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q3-2014_pressrel.htm"/>
      <w:bookmarkStart w:id="1" w:name="ksq32014_pressrel"/>
      <w:bookmarkEnd w:id="0"/>
      <w:bookmarkEnd w:id="1"/>
      <w:r>
        <w:rPr/>
        <w:t xml:space="preserve">  </w:t>
      </w:r>
    </w:p>
    <w:p>
      <w:pPr>
        <w:pStyle w:val="TextBody"/>
        <w:spacing w:before="0" w:after="0"/>
        <w:jc w:val="center"/>
        <w:rPr>
          <w:b/>
        </w:rPr>
      </w:pPr>
      <w:r>
        <w:rPr>
          <w:b/>
        </w:rPr>
        <w:t>UNITED STATES</w:t>
        <w:br/>
        <w:t>SECURITIES AND EXCHANGE COMMISSION</w:t>
        <w:br/>
        <w:t>WASHINGTON, DC 20549</w:t>
      </w:r>
    </w:p>
    <w:p>
      <w:pPr>
        <w:pStyle w:val="TextBody"/>
        <w:spacing w:before="0" w:after="0"/>
        <w:jc w:val="center"/>
        <w:rPr/>
      </w:pPr>
      <w:r>
        <w:rPr/>
        <w:t> </w:t>
      </w:r>
    </w:p>
    <w:p>
      <w:pPr>
        <w:pStyle w:val="TextBody"/>
        <w:spacing w:before="0" w:after="0"/>
        <w:jc w:val="center"/>
        <w:rPr>
          <w:b/>
        </w:rPr>
      </w:pPr>
      <w:r>
        <w:rPr>
          <w:b/>
        </w:rPr>
        <w:t>FORM 8-K</w:t>
      </w:r>
    </w:p>
    <w:p>
      <w:pPr>
        <w:pStyle w:val="TextBody"/>
        <w:spacing w:before="0" w:after="0"/>
        <w:jc w:val="center"/>
        <w:rPr/>
      </w:pPr>
      <w:r>
        <w:rPr/>
        <w:t> </w:t>
      </w:r>
    </w:p>
    <w:p>
      <w:pPr>
        <w:pStyle w:val="TextBody"/>
        <w:spacing w:before="0" w:after="0"/>
        <w:jc w:val="center"/>
        <w:rPr>
          <w:b/>
        </w:rPr>
      </w:pPr>
      <w:r>
        <w:rPr>
          <w:b/>
        </w:rPr>
        <w:t>CURRENT REPORT PURSUANT</w:t>
        <w:br/>
        <w:t>TO SECTION 13 OR 15(D) OF THE</w:t>
        <w:br/>
        <w:t>SECURITIES EXCHANGE ACT OF 1934</w:t>
      </w:r>
    </w:p>
    <w:p>
      <w:pPr>
        <w:pStyle w:val="TextBody"/>
        <w:spacing w:before="0" w:after="0"/>
        <w:jc w:val="center"/>
        <w:rPr/>
      </w:pPr>
      <w:r>
        <w:rPr/>
        <w:t> </w:t>
      </w:r>
    </w:p>
    <w:p>
      <w:pPr>
        <w:pStyle w:val="TextBody"/>
        <w:spacing w:before="0" w:after="0"/>
        <w:jc w:val="center"/>
        <w:rPr>
          <w:b/>
          <w:sz w:val="20"/>
        </w:rPr>
      </w:pPr>
      <w:r>
        <w:rPr>
          <w:b/>
          <w:sz w:val="20"/>
        </w:rPr>
        <w:t>October 27, 2014</w:t>
      </w:r>
    </w:p>
    <w:p>
      <w:pPr>
        <w:pStyle w:val="HorizontalLine"/>
        <w:pBdr>
          <w:bottom w:val="single" w:sz="6" w:space="0" w:color="808080"/>
        </w:pBdr>
        <w:rPr/>
      </w:pPr>
      <w:r>
        <w:rPr/>
      </w:r>
    </w:p>
    <w:p>
      <w:pPr>
        <w:pStyle w:val="TextBody"/>
        <w:spacing w:before="0" w:after="0"/>
        <w:jc w:val="center"/>
        <w:rPr/>
      </w:pPr>
      <w:r>
        <w:rPr/>
        <w:t>DATE OF REPORT (DATE OF EARLIEST EVENT REPORTED)</w:t>
      </w:r>
    </w:p>
    <w:p>
      <w:pPr>
        <w:pStyle w:val="TextBody"/>
        <w:spacing w:before="0" w:after="0"/>
        <w:jc w:val="center"/>
        <w:rPr>
          <w:b/>
        </w:rPr>
      </w:pPr>
      <w:r>
        <w:rPr>
          <w:b/>
        </w:rPr>
        <w:t>ROPER INDUSTRIES, INC.</w:t>
      </w:r>
    </w:p>
    <w:p>
      <w:pPr>
        <w:pStyle w:val="HorizontalLine"/>
        <w:pBdr>
          <w:bottom w:val="single" w:sz="6" w:space="0" w:color="808080"/>
        </w:pBdr>
        <w:rPr/>
      </w:pPr>
      <w:r>
        <w:rPr/>
      </w:r>
    </w:p>
    <w:p>
      <w:pPr>
        <w:pStyle w:val="TextBody"/>
        <w:spacing w:before="0" w:after="0"/>
        <w:jc w:val="center"/>
        <w:rPr/>
      </w:pPr>
      <w:r>
        <w:rPr/>
        <w:t>(EXACT NAME OF REGISTRANT AS SPECIFIED IN ITS CHARTER)</w:t>
      </w:r>
    </w:p>
    <w:p>
      <w:pPr>
        <w:pStyle w:val="TextBody"/>
        <w:spacing w:before="0" w:after="0"/>
        <w:jc w:val="center"/>
        <w:rPr>
          <w:b/>
        </w:rPr>
      </w:pPr>
      <w:r>
        <w:rPr>
          <w:b/>
        </w:rPr>
        <w:t>DELAWARE</w:t>
      </w:r>
    </w:p>
    <w:p>
      <w:pPr>
        <w:pStyle w:val="HorizontalLine"/>
        <w:pBdr>
          <w:bottom w:val="single" w:sz="6" w:space="0" w:color="808080"/>
        </w:pBdr>
        <w:rPr/>
      </w:pPr>
      <w:r>
        <w:rPr/>
      </w:r>
    </w:p>
    <w:p>
      <w:pPr>
        <w:pStyle w:val="TextBody"/>
        <w:spacing w:before="0" w:after="0"/>
        <w:jc w:val="center"/>
        <w:rPr/>
      </w:pPr>
      <w:r>
        <w:rPr/>
        <w:t>(STATE OR OTHER JURISDICTION OF INCORPORATION)</w:t>
      </w:r>
    </w:p>
    <w:p>
      <w:pPr>
        <w:pStyle w:val="Normal"/>
        <w:spacing w:before="0" w:after="0"/>
        <w:rPr>
          <w:sz w:val="4"/>
          <w:szCs w:val="4"/>
        </w:rPr>
      </w:pPr>
      <w:r>
        <w:rPr>
          <w:sz w:val="4"/>
          <w:szCs w:val="4"/>
        </w:rPr>
      </w:r>
      <w:bookmarkStart w:id="2" w:name="ed1f0ebc49da43b0a88abcde6ceeaa94"/>
      <w:bookmarkStart w:id="3" w:name="ed1f0ebc49da43b0a88abcde6ceeaa94"/>
      <w:bookmarkEnd w:id="3"/>
    </w:p>
    <w:tbl>
      <w:tblPr>
        <w:tblW w:w="9850" w:type="dxa"/>
        <w:jc w:val="center"/>
        <w:tblInd w:w="0" w:type="dxa"/>
        <w:shd w:fill="FFFFFF" w:val="clear"/>
        <w:tblCellMar>
          <w:top w:w="0" w:type="dxa"/>
          <w:left w:w="0" w:type="dxa"/>
          <w:bottom w:w="0" w:type="dxa"/>
          <w:right w:w="0" w:type="dxa"/>
        </w:tblCellMar>
      </w:tblPr>
      <w:tblGrid>
        <w:gridCol w:w="6380"/>
        <w:gridCol w:w="3470"/>
      </w:tblGrid>
      <w:tr>
        <w:trPr/>
        <w:tc>
          <w:tcPr>
            <w:tcW w:w="6380" w:type="dxa"/>
            <w:tcBorders/>
            <w:shd w:fill="FFFFFF" w:val="clear"/>
            <w:vAlign w:val="center"/>
          </w:tcPr>
          <w:p>
            <w:pPr>
              <w:pStyle w:val="TableContents"/>
              <w:spacing w:before="0" w:after="0"/>
              <w:jc w:val="center"/>
              <w:rPr>
                <w:rFonts w:ascii="times new roman" w:hAnsi="times new roman"/>
                <w:b/>
                <w:sz w:val="20"/>
              </w:rPr>
            </w:pPr>
            <w:r>
              <w:rPr>
                <w:rFonts w:ascii="times new roman" w:hAnsi="times new roman"/>
                <w:b/>
                <w:sz w:val="20"/>
              </w:rPr>
              <w:t>1-12273</w:t>
            </w:r>
          </w:p>
        </w:tc>
        <w:tc>
          <w:tcPr>
            <w:tcW w:w="3470" w:type="dxa"/>
            <w:tcBorders/>
            <w:shd w:fill="FFFFFF" w:val="clear"/>
            <w:vAlign w:val="center"/>
          </w:tcPr>
          <w:p>
            <w:pPr>
              <w:pStyle w:val="TableContents"/>
              <w:spacing w:before="0" w:after="0"/>
              <w:jc w:val="center"/>
              <w:rPr>
                <w:rFonts w:ascii="times new roman" w:hAnsi="times new roman"/>
                <w:b/>
                <w:sz w:val="20"/>
              </w:rPr>
            </w:pPr>
            <w:r>
              <w:rPr>
                <w:rFonts w:ascii="times new roman" w:hAnsi="times new roman"/>
                <w:b/>
                <w:sz w:val="20"/>
              </w:rPr>
              <w:t>51-0263969</w:t>
            </w:r>
          </w:p>
        </w:tc>
      </w:tr>
      <w:tr>
        <w:trPr/>
        <w:tc>
          <w:tcPr>
            <w:tcW w:w="6380" w:type="dxa"/>
            <w:tcBorders>
              <w:bottom w:val="single" w:sz="12"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3470" w:type="dxa"/>
            <w:tcBorders>
              <w:bottom w:val="single" w:sz="12" w:space="0" w:color="000000"/>
            </w:tcBorders>
            <w:shd w:fill="FFFFFF" w:val="clear"/>
            <w:tcMar>
              <w:bottom w:w="28" w:type="dxa"/>
            </w:tcMar>
            <w:vAlign w:val="center"/>
          </w:tcPr>
          <w:p>
            <w:pPr>
              <w:pStyle w:val="TableContents"/>
              <w:spacing w:before="0" w:after="283"/>
              <w:rPr>
                <w:sz w:val="4"/>
                <w:szCs w:val="4"/>
              </w:rPr>
            </w:pPr>
            <w:r>
              <w:rPr>
                <w:sz w:val="4"/>
                <w:szCs w:val="4"/>
              </w:rPr>
            </w:r>
          </w:p>
        </w:tc>
      </w:tr>
      <w:tr>
        <w:trPr/>
        <w:tc>
          <w:tcPr>
            <w:tcW w:w="6380" w:type="dxa"/>
            <w:tcBorders/>
            <w:shd w:fill="FFFFFF" w:val="clear"/>
            <w:vAlign w:val="center"/>
          </w:tcPr>
          <w:p>
            <w:pPr>
              <w:pStyle w:val="TableContents"/>
              <w:spacing w:before="0" w:after="283"/>
              <w:rPr>
                <w:sz w:val="4"/>
                <w:szCs w:val="4"/>
              </w:rPr>
            </w:pPr>
            <w:r>
              <w:rPr>
                <w:sz w:val="4"/>
                <w:szCs w:val="4"/>
              </w:rPr>
            </w:r>
          </w:p>
        </w:tc>
        <w:tc>
          <w:tcPr>
            <w:tcW w:w="3470" w:type="dxa"/>
            <w:tcBorders/>
            <w:shd w:fill="FFFFFF" w:val="clear"/>
            <w:vAlign w:val="center"/>
          </w:tcPr>
          <w:p>
            <w:pPr>
              <w:pStyle w:val="TableContents"/>
              <w:spacing w:before="0" w:after="283"/>
              <w:rPr>
                <w:sz w:val="4"/>
                <w:szCs w:val="4"/>
              </w:rPr>
            </w:pPr>
            <w:r>
              <w:rPr>
                <w:sz w:val="4"/>
                <w:szCs w:val="4"/>
              </w:rPr>
            </w:r>
          </w:p>
        </w:tc>
      </w:tr>
      <w:tr>
        <w:trPr/>
        <w:tc>
          <w:tcPr>
            <w:tcW w:w="6380" w:type="dxa"/>
            <w:tcBorders/>
            <w:shd w:fill="FFFFFF" w:val="clear"/>
            <w:vAlign w:val="center"/>
          </w:tcPr>
          <w:p>
            <w:pPr>
              <w:pStyle w:val="TableContents"/>
              <w:spacing w:before="0" w:after="0"/>
              <w:jc w:val="center"/>
              <w:rPr>
                <w:rFonts w:ascii="times new roman" w:hAnsi="times new roman"/>
                <w:sz w:val="20"/>
              </w:rPr>
            </w:pPr>
            <w:r>
              <w:rPr>
                <w:rFonts w:ascii="times new roman" w:hAnsi="times new roman"/>
                <w:sz w:val="20"/>
              </w:rPr>
              <w:t>(COMMISSION FILE NUMBER)</w:t>
            </w:r>
          </w:p>
        </w:tc>
        <w:tc>
          <w:tcPr>
            <w:tcW w:w="3470" w:type="dxa"/>
            <w:tcBorders/>
            <w:shd w:fill="FFFFFF" w:val="clear"/>
            <w:vAlign w:val="center"/>
          </w:tcPr>
          <w:p>
            <w:pPr>
              <w:pStyle w:val="TableContents"/>
              <w:spacing w:before="0" w:after="0"/>
              <w:jc w:val="center"/>
              <w:rPr>
                <w:rFonts w:ascii="times new roman" w:hAnsi="times new roman"/>
                <w:sz w:val="20"/>
              </w:rPr>
            </w:pPr>
            <w:r>
              <w:rPr>
                <w:rFonts w:ascii="times new roman" w:hAnsi="times new roman"/>
                <w:sz w:val="20"/>
              </w:rPr>
              <w:t>(IRS EMPLOYER IDENTIFICATION NO.)</w:t>
            </w:r>
          </w:p>
        </w:tc>
      </w:tr>
      <w:tr>
        <w:trPr/>
        <w:tc>
          <w:tcPr>
            <w:tcW w:w="6380" w:type="dxa"/>
            <w:tcBorders/>
            <w:shd w:fill="FFFFFF" w:val="clear"/>
            <w:vAlign w:val="center"/>
          </w:tcPr>
          <w:p>
            <w:pPr>
              <w:pStyle w:val="TableContents"/>
              <w:spacing w:before="0" w:after="283"/>
              <w:rPr>
                <w:sz w:val="4"/>
                <w:szCs w:val="4"/>
              </w:rPr>
            </w:pPr>
            <w:r>
              <w:rPr>
                <w:sz w:val="4"/>
                <w:szCs w:val="4"/>
              </w:rPr>
            </w:r>
          </w:p>
        </w:tc>
        <w:tc>
          <w:tcPr>
            <w:tcW w:w="3470" w:type="dxa"/>
            <w:tcBorders/>
            <w:shd w:fill="FFFFFF" w:val="clear"/>
            <w:vAlign w:val="center"/>
          </w:tcPr>
          <w:p>
            <w:pPr>
              <w:pStyle w:val="TableContents"/>
              <w:spacing w:before="0" w:after="283"/>
              <w:rPr>
                <w:sz w:val="4"/>
                <w:szCs w:val="4"/>
              </w:rPr>
            </w:pPr>
            <w:r>
              <w:rPr>
                <w:sz w:val="4"/>
                <w:szCs w:val="4"/>
              </w:rPr>
            </w:r>
          </w:p>
        </w:tc>
      </w:tr>
      <w:tr>
        <w:trPr/>
        <w:tc>
          <w:tcPr>
            <w:tcW w:w="6380" w:type="dxa"/>
            <w:tcBorders/>
            <w:shd w:fill="FFFFFF" w:val="clear"/>
            <w:vAlign w:val="center"/>
          </w:tcPr>
          <w:p>
            <w:pPr>
              <w:pStyle w:val="TableContents"/>
              <w:spacing w:before="0" w:after="283"/>
              <w:rPr>
                <w:sz w:val="4"/>
                <w:szCs w:val="4"/>
              </w:rPr>
            </w:pPr>
            <w:r>
              <w:rPr>
                <w:sz w:val="4"/>
                <w:szCs w:val="4"/>
              </w:rPr>
            </w:r>
          </w:p>
        </w:tc>
        <w:tc>
          <w:tcPr>
            <w:tcW w:w="3470" w:type="dxa"/>
            <w:tcBorders/>
            <w:shd w:fill="FFFFFF" w:val="clear"/>
            <w:vAlign w:val="center"/>
          </w:tcPr>
          <w:p>
            <w:pPr>
              <w:pStyle w:val="TableContents"/>
              <w:spacing w:before="0" w:after="283"/>
              <w:rPr>
                <w:sz w:val="4"/>
                <w:szCs w:val="4"/>
              </w:rPr>
            </w:pPr>
            <w:r>
              <w:rPr>
                <w:sz w:val="4"/>
                <w:szCs w:val="4"/>
              </w:rPr>
            </w:r>
          </w:p>
        </w:tc>
      </w:tr>
      <w:tr>
        <w:trPr/>
        <w:tc>
          <w:tcPr>
            <w:tcW w:w="6380" w:type="dxa"/>
            <w:tcBorders/>
            <w:shd w:fill="FFFFFF" w:val="clear"/>
            <w:vAlign w:val="center"/>
          </w:tcPr>
          <w:p>
            <w:pPr>
              <w:pStyle w:val="TableContents"/>
              <w:spacing w:before="0" w:after="0"/>
              <w:jc w:val="center"/>
              <w:rPr>
                <w:rFonts w:ascii="times new roman" w:hAnsi="times new roman"/>
                <w:b/>
                <w:sz w:val="20"/>
              </w:rPr>
            </w:pPr>
            <w:r>
              <w:rPr>
                <w:rFonts w:ascii="times new roman" w:hAnsi="times new roman"/>
                <w:b/>
                <w:sz w:val="20"/>
              </w:rPr>
              <w:t>6901 PROFESSIONAL PKWY. EAST, SUITE 200, SARASOTA, FLORIDA</w:t>
            </w:r>
          </w:p>
        </w:tc>
        <w:tc>
          <w:tcPr>
            <w:tcW w:w="3470" w:type="dxa"/>
            <w:tcBorders/>
            <w:shd w:fill="FFFFFF" w:val="clear"/>
            <w:vAlign w:val="center"/>
          </w:tcPr>
          <w:p>
            <w:pPr>
              <w:pStyle w:val="TableContents"/>
              <w:spacing w:before="0" w:after="0"/>
              <w:jc w:val="center"/>
              <w:rPr>
                <w:rFonts w:ascii="times new roman" w:hAnsi="times new roman"/>
                <w:b/>
                <w:sz w:val="20"/>
              </w:rPr>
            </w:pPr>
            <w:r>
              <w:rPr>
                <w:rFonts w:ascii="times new roman" w:hAnsi="times new roman"/>
                <w:b/>
                <w:sz w:val="20"/>
              </w:rPr>
              <w:t>34240</w:t>
            </w:r>
          </w:p>
        </w:tc>
      </w:tr>
      <w:tr>
        <w:trPr/>
        <w:tc>
          <w:tcPr>
            <w:tcW w:w="6380" w:type="dxa"/>
            <w:tcBorders>
              <w:bottom w:val="single" w:sz="12"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3470" w:type="dxa"/>
            <w:tcBorders>
              <w:bottom w:val="single" w:sz="12" w:space="0" w:color="000000"/>
            </w:tcBorders>
            <w:shd w:fill="FFFFFF" w:val="clear"/>
            <w:tcMar>
              <w:bottom w:w="28" w:type="dxa"/>
            </w:tcMar>
            <w:vAlign w:val="center"/>
          </w:tcPr>
          <w:p>
            <w:pPr>
              <w:pStyle w:val="TableContents"/>
              <w:spacing w:before="0" w:after="283"/>
              <w:rPr>
                <w:sz w:val="4"/>
                <w:szCs w:val="4"/>
              </w:rPr>
            </w:pPr>
            <w:r>
              <w:rPr>
                <w:sz w:val="4"/>
                <w:szCs w:val="4"/>
              </w:rPr>
            </w:r>
          </w:p>
        </w:tc>
      </w:tr>
      <w:tr>
        <w:trPr/>
        <w:tc>
          <w:tcPr>
            <w:tcW w:w="6380" w:type="dxa"/>
            <w:tcBorders/>
            <w:shd w:fill="FFFFFF" w:val="clear"/>
            <w:vAlign w:val="center"/>
          </w:tcPr>
          <w:p>
            <w:pPr>
              <w:pStyle w:val="TableContents"/>
              <w:spacing w:before="0" w:after="283"/>
              <w:rPr>
                <w:sz w:val="4"/>
                <w:szCs w:val="4"/>
              </w:rPr>
            </w:pPr>
            <w:r>
              <w:rPr>
                <w:sz w:val="4"/>
                <w:szCs w:val="4"/>
              </w:rPr>
            </w:r>
          </w:p>
        </w:tc>
        <w:tc>
          <w:tcPr>
            <w:tcW w:w="3470" w:type="dxa"/>
            <w:tcBorders/>
            <w:shd w:fill="FFFFFF" w:val="clear"/>
            <w:vAlign w:val="center"/>
          </w:tcPr>
          <w:p>
            <w:pPr>
              <w:pStyle w:val="TableContents"/>
              <w:spacing w:before="0" w:after="283"/>
              <w:rPr>
                <w:sz w:val="4"/>
                <w:szCs w:val="4"/>
              </w:rPr>
            </w:pPr>
            <w:r>
              <w:rPr>
                <w:sz w:val="4"/>
                <w:szCs w:val="4"/>
              </w:rPr>
            </w:r>
          </w:p>
        </w:tc>
      </w:tr>
      <w:tr>
        <w:trPr/>
        <w:tc>
          <w:tcPr>
            <w:tcW w:w="6380" w:type="dxa"/>
            <w:tcBorders/>
            <w:shd w:fill="FFFFFF" w:val="clear"/>
            <w:vAlign w:val="center"/>
          </w:tcPr>
          <w:p>
            <w:pPr>
              <w:pStyle w:val="TableContents"/>
              <w:spacing w:before="0" w:after="0"/>
              <w:jc w:val="center"/>
              <w:rPr>
                <w:rFonts w:ascii="Times New Roman;serif" w:hAnsi="Times New Roman;serif"/>
                <w:sz w:val="20"/>
              </w:rPr>
            </w:pPr>
            <w:r>
              <w:rPr>
                <w:rFonts w:ascii="Times New Roman;serif" w:hAnsi="Times New Roman;serif"/>
                <w:sz w:val="20"/>
              </w:rPr>
              <w:t>(ADDRESS OF PRINCIPAL EXECUTIVE OFFICES)</w:t>
            </w:r>
          </w:p>
        </w:tc>
        <w:tc>
          <w:tcPr>
            <w:tcW w:w="3470" w:type="dxa"/>
            <w:tcBorders/>
            <w:shd w:fill="FFFFFF" w:val="clear"/>
            <w:vAlign w:val="center"/>
          </w:tcPr>
          <w:p>
            <w:pPr>
              <w:pStyle w:val="TableContents"/>
              <w:spacing w:before="0" w:after="0"/>
              <w:jc w:val="center"/>
              <w:rPr>
                <w:rFonts w:ascii="Times New Roman;serif" w:hAnsi="Times New Roman;serif"/>
                <w:sz w:val="20"/>
              </w:rPr>
            </w:pPr>
            <w:r>
              <w:rPr>
                <w:rFonts w:ascii="Times New Roman;serif" w:hAnsi="Times New Roman;serif"/>
                <w:sz w:val="20"/>
              </w:rPr>
              <w:t>(ZIP CODE)</w:t>
            </w:r>
          </w:p>
        </w:tc>
      </w:tr>
    </w:tbl>
    <w:p>
      <w:pPr>
        <w:pStyle w:val="TextBody"/>
        <w:spacing w:before="0" w:after="0"/>
        <w:jc w:val="center"/>
        <w:rPr>
          <w:rFonts w:ascii="Times New Roman;serif" w:hAnsi="Times New Roman;serif"/>
          <w:b/>
          <w:sz w:val="20"/>
        </w:rPr>
      </w:pPr>
      <w:r>
        <w:rPr>
          <w:rFonts w:ascii="Times New Roman;serif" w:hAnsi="Times New Roman;serif"/>
          <w:b/>
          <w:sz w:val="20"/>
        </w:rPr>
        <w:t>(941) 556-2601</w:t>
      </w:r>
    </w:p>
    <w:p>
      <w:pPr>
        <w:pStyle w:val="HorizontalLine"/>
        <w:pBdr>
          <w:bottom w:val="single" w:sz="6" w:space="0" w:color="808080"/>
        </w:pBdr>
        <w:rPr/>
      </w:pPr>
      <w:r>
        <w:rPr/>
      </w:r>
    </w:p>
    <w:p>
      <w:pPr>
        <w:pStyle w:val="TextBody"/>
        <w:spacing w:before="0" w:after="0"/>
        <w:jc w:val="center"/>
        <w:rPr>
          <w:rFonts w:ascii="Times New Roman;serif" w:hAnsi="Times New Roman;serif"/>
          <w:sz w:val="20"/>
        </w:rPr>
      </w:pPr>
      <w:r>
        <w:rPr>
          <w:rFonts w:ascii="Times New Roman;serif" w:hAnsi="Times New Roman;serif"/>
          <w:sz w:val="20"/>
        </w:rPr>
        <w:t>(REGISTRANT'S TELEPHONE NUMBER, INCLUDING AREA CODE)</w:t>
      </w:r>
    </w:p>
    <w:p>
      <w:pPr>
        <w:pStyle w:val="HorizontalLine"/>
        <w:pBdr>
          <w:bottom w:val="single" w:sz="6" w:space="0" w:color="808080"/>
        </w:pBdr>
        <w:rPr/>
      </w:pPr>
      <w:r>
        <w:rPr/>
      </w:r>
    </w:p>
    <w:p>
      <w:pPr>
        <w:pStyle w:val="TextBody"/>
        <w:spacing w:before="0" w:after="0"/>
        <w:jc w:val="center"/>
        <w:rPr>
          <w:rFonts w:ascii="Times New Roman;serif" w:hAnsi="Times New Roman;serif"/>
          <w:sz w:val="20"/>
        </w:rPr>
      </w:pPr>
      <w:r>
        <w:rPr>
          <w:rFonts w:ascii="Times New Roman;serif" w:hAnsi="Times New Roman;serif"/>
          <w:sz w:val="20"/>
        </w:rPr>
        <w:t>(FORMER NAME OR ADDRESS, IF CHANGED SINCE LAST REPORT)</w:t>
      </w:r>
    </w:p>
    <w:p>
      <w:pPr>
        <w:pStyle w:val="TextBody"/>
        <w:spacing w:before="0" w:after="0"/>
        <w:ind w:left="540" w:right="0" w:hanging="0"/>
        <w:jc w:val="left"/>
        <w:rPr/>
      </w:pPr>
      <w:r>
        <w:rPr/>
        <w:t> </w:t>
      </w:r>
    </w:p>
    <w:p>
      <w:pPr>
        <w:pStyle w:val="TextBody"/>
        <w:spacing w:before="0" w:after="0"/>
        <w:ind w:left="540" w:right="0" w:hanging="0"/>
        <w:jc w:val="left"/>
        <w:rPr>
          <w:rFonts w:ascii="Times New Roman;serif" w:hAnsi="Times New Roman;serif"/>
          <w:sz w:val="20"/>
        </w:rPr>
      </w:pPr>
      <w:r>
        <w:rPr>
          <w:rFonts w:ascii="Times New Roman;serif" w:hAnsi="Times New Roman;serif"/>
          <w:sz w:val="20"/>
        </w:rPr>
        <w:t>Check the appropriate box below if the Form 8-K filing is intended to simultaneously satisfy the filing obligation of the registrant</w:t>
        <w:br/>
        <w:t>under any of the following provisions:</w:t>
      </w:r>
    </w:p>
    <w:p>
      <w:pPr>
        <w:pStyle w:val="TextBody"/>
        <w:spacing w:before="0" w:after="0"/>
        <w:ind w:left="540" w:right="0" w:hanging="0"/>
        <w:jc w:val="left"/>
        <w:rPr/>
      </w:pPr>
      <w:r>
        <w:rPr/>
        <w:t> </w:t>
      </w:r>
    </w:p>
    <w:p>
      <w:pPr>
        <w:pStyle w:val="TextBody"/>
        <w:spacing w:before="0" w:after="0"/>
        <w:ind w:left="1620" w:right="0" w:hanging="0"/>
        <w:jc w:val="left"/>
        <w:rPr>
          <w:rFonts w:ascii="Times New Roman;serif" w:hAnsi="Times New Roman;serif"/>
          <w:sz w:val="20"/>
        </w:rPr>
      </w:pPr>
      <w:r>
        <w:rPr>
          <w:rFonts w:ascii="Times New Roman;serif" w:hAnsi="Times New Roman;serif"/>
          <w:sz w:val="20"/>
        </w:rPr>
        <w:t xml:space="preserve">[ ] Written communication pursuant to Rule 425 under the Securities Act (17 CFR 230.425) </w:t>
        <w:br/>
        <w:t xml:space="preserve">[ ] Soliciting material pursuant to Rule 14a-12 under the Exchange Act (17 CFR 240.14a-12) </w:t>
        <w:br/>
        <w:t>[ ] Pre-commencement communications pursuant to Rule 14d-2(b) under the Exchange Act (17 CFR 240.14d-2(b))</w:t>
        <w:br/>
        <w:t xml:space="preserve">[ ] Pre-commencement communications pursuant to Rule 13e-4(c) under the Exchange Act (17 CFR 240.13e-4(c)) </w:t>
      </w:r>
    </w:p>
    <w:p>
      <w:pPr>
        <w:pStyle w:val="TextBody"/>
        <w:spacing w:before="0" w:after="0"/>
        <w:rPr/>
      </w:pPr>
      <w:r>
        <w:rPr/>
        <w:t xml:space="preserve">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Item 2.02. Results of Operations and Financial Condition.</w:t>
      </w:r>
    </w:p>
    <w:p>
      <w:pPr>
        <w:pStyle w:val="TextBody"/>
        <w:spacing w:before="0" w:after="0"/>
        <w:jc w:val="left"/>
        <w:rPr/>
      </w:pPr>
      <w:r>
        <w:rPr/>
        <w:t> </w:t>
      </w:r>
    </w:p>
    <w:p>
      <w:pPr>
        <w:pStyle w:val="TextBody"/>
        <w:spacing w:before="0" w:after="0"/>
        <w:jc w:val="both"/>
        <w:rPr>
          <w:rFonts w:ascii="Times New Roman;Times;Serif" w:hAnsi="Times New Roman;Times;Serif"/>
          <w:sz w:val="20"/>
        </w:rPr>
      </w:pPr>
      <w:r>
        <w:rPr>
          <w:rFonts w:ascii="Times New Roman;Times;Serif" w:hAnsi="Times New Roman;Times;Serif"/>
          <w:sz w:val="20"/>
        </w:rPr>
        <w:t xml:space="preserve">On October 27, 2014, Roper Industries, Inc. (the "Company") issued a press release containing information about the Company's results of operations for the quarter ended September 30, 2014. A copy of the press release is furnished as </w:t>
      </w:r>
      <w:r>
        <w:rPr>
          <w:rFonts w:ascii="Times New Roman;Times;Serif" w:hAnsi="Times New Roman;Times;Serif"/>
          <w:sz w:val="20"/>
          <w:u w:val="single"/>
        </w:rPr>
        <w:t>Exhibit 99.1</w:t>
      </w:r>
      <w:r>
        <w:rPr>
          <w:rFonts w:ascii="Times New Roman;Times;Serif" w:hAnsi="Times New Roman;Times;Serif"/>
          <w:sz w:val="20"/>
        </w:rPr>
        <w:t>.  In the press release, the Company uses several non-GAAP financial measures: non-GAAP Revenue, non-GAAP Gross Profit, non-GAAP Gross Margin, non-GAAP Net Income, non-GAAP Diluted Earnings per Share, EBITDA and Free Cash Flow.</w:t>
      </w:r>
    </w:p>
    <w:p>
      <w:pPr>
        <w:pStyle w:val="TextBody"/>
        <w:spacing w:before="0" w:after="0"/>
        <w:rPr/>
      </w:pPr>
      <w:r>
        <w:rPr/>
        <w:t> </w:t>
      </w:r>
    </w:p>
    <w:p>
      <w:pPr>
        <w:pStyle w:val="TextBody"/>
        <w:spacing w:before="0" w:after="200"/>
        <w:jc w:val="both"/>
        <w:rPr>
          <w:rFonts w:ascii="Times New Roman" w:hAnsi="Times New Roman"/>
          <w:sz w:val="20"/>
        </w:rPr>
      </w:pPr>
      <w:r>
        <w:rPr>
          <w:rFonts w:ascii="Times New Roman" w:hAnsi="Times New Roman"/>
          <w:sz w:val="20"/>
        </w:rPr>
        <w:t>Business combination accounting rules required Roper to account for the fair value of deferred revenue assumed in connection with the 2013 acquisition of Sunquest Information Systems, and the 2014 acquisitions of Foodlink and Strategic Healthcare Programs ("SHP"). The fair value is based on the assumed cost of having a third-party provide the relevant support services rather than the contracted amount under the contracts. Because the fair value is less than the contracted amount, Roper's GAAP revenues for the one year period subsequent to the acquisition will not reflect the full amount of revenue that would have otherwise been recorded by the acquired companies had they remained independent companies. The Adjusted Revenue measure is intended to reflect the full amount that would have recognized as revenue, absent the fair value adjustment.</w:t>
      </w:r>
    </w:p>
    <w:p>
      <w:pPr>
        <w:pStyle w:val="TextBody"/>
        <w:spacing w:before="0" w:after="200"/>
        <w:jc w:val="both"/>
        <w:rPr>
          <w:rFonts w:ascii="Times New Roman" w:hAnsi="Times New Roman"/>
          <w:sz w:val="20"/>
        </w:rPr>
      </w:pPr>
      <w:r>
        <w:rPr>
          <w:rFonts w:ascii="Times New Roman" w:hAnsi="Times New Roman"/>
          <w:sz w:val="20"/>
        </w:rPr>
        <w:t>In the second quarter of 2013, business combination accounting rules required Roper to account for the fair value of accounts receivable at acquisition date for revenue that was "earned but not recognized" at the date of purchase of Managed Healthcare Associates, Inc. ("MHA"). Roper's GAAP revenues for the one year period subsequent to the acquisition did not reflect the full amount of revenue that would have otherwise been recorded by MHA had they remained an independent company. The Adjusted Revenue measure is intended to reflect the full amount that MHA would have recognized as revenue, absent the fair value adjustment.</w:t>
      </w:r>
    </w:p>
    <w:p>
      <w:pPr>
        <w:pStyle w:val="TextBody"/>
        <w:spacing w:before="0" w:after="200"/>
        <w:jc w:val="both"/>
        <w:rPr>
          <w:rFonts w:ascii="Times New Roman" w:hAnsi="Times New Roman"/>
          <w:sz w:val="20"/>
        </w:rPr>
      </w:pPr>
      <w:r>
        <w:rPr>
          <w:rFonts w:ascii="Times New Roman" w:hAnsi="Times New Roman"/>
          <w:sz w:val="20"/>
        </w:rPr>
        <w:t>In the third quarter of 2014, business combination accounting rules required Roper to increase the carrying value of the inventory (inventory step-up) to fair value at the date of purchase of Innovative Product Achievements ("IPA").  Roper's GAAP gross profit for the two quarters subsequent to the acquisition will not reflect the full amount of gross profit that would have otherwise been recorded by IPA had they remained an independent company. The Adjusted Gross Profit measure is intended to reflect the full amount that IPA would have recognized, absent the fair value adjustment.</w:t>
      </w:r>
    </w:p>
    <w:p>
      <w:pPr>
        <w:pStyle w:val="TextBody"/>
        <w:spacing w:before="0" w:after="200"/>
        <w:ind w:left="0" w:right="0" w:hanging="0"/>
        <w:jc w:val="both"/>
        <w:rPr>
          <w:rFonts w:ascii="Times New Roman" w:hAnsi="Times New Roman"/>
          <w:sz w:val="20"/>
        </w:rPr>
      </w:pPr>
      <w:r>
        <w:rPr>
          <w:rFonts w:ascii="Times New Roman" w:hAnsi="Times New Roman"/>
          <w:sz w:val="20"/>
        </w:rPr>
        <w:t>The non-GAAP Gross Margin, non-GAAP Net Income and non-GAAP Diluted Earnings per Share reflect these fair value adjustments. The Company believes these non-GAAP measures are useful to investors as a measure of the ongoing performance of its business.</w:t>
      </w:r>
    </w:p>
    <w:p>
      <w:pPr>
        <w:pStyle w:val="TextBody"/>
        <w:spacing w:before="0" w:after="200"/>
        <w:ind w:left="0" w:right="0" w:hanging="0"/>
        <w:jc w:val="both"/>
        <w:rPr>
          <w:rFonts w:ascii="Times New Roman" w:hAnsi="Times New Roman"/>
          <w:sz w:val="20"/>
        </w:rPr>
      </w:pPr>
      <w:r>
        <w:rPr>
          <w:rFonts w:ascii="Times New Roman" w:hAnsi="Times New Roman"/>
          <w:sz w:val="20"/>
        </w:rPr>
        <w:t>EBITDA as shown in the press release is defined as net earnings plus (a) interest expense, (b) income taxes and (c) depreciation and amortization. The Company believes EBITDA is an important indicator of operational performance of the Company's business because it provides a link between profitability and operating cash flow. EBITDA as calculated by the Company is not necessarily comparable to similarly titled measures reported by other companies. In addition, EBITDA: (a) does not represent net income or cash flows from operations as defined by GAAP; (b) is not necessarily indicative of cash available to fund the Company's cash flow needs; and (c) should not be considered as an alternative to net earnings, operating income, cash flows from operating activities or the Company's other financial information determined under GAAP. The Company believes that the line on the Company's consolidated statement of operations entitled net earnings is the most directly comparable GAAP measure to EBITDA.</w:t>
      </w:r>
    </w:p>
    <w:p>
      <w:pPr>
        <w:pStyle w:val="TextBody"/>
        <w:spacing w:before="0" w:after="200"/>
        <w:ind w:left="0" w:right="0" w:hanging="0"/>
        <w:jc w:val="both"/>
        <w:rPr>
          <w:rFonts w:ascii="Times New Roman;Serif" w:hAnsi="Times New Roman;Serif"/>
          <w:sz w:val="20"/>
        </w:rPr>
      </w:pPr>
      <w:r>
        <w:rPr>
          <w:rFonts w:ascii="Times New Roman;Serif" w:hAnsi="Times New Roman;Serif"/>
          <w:sz w:val="20"/>
        </w:rPr>
        <w:t>Free Cash Flow is defined as "Cash Provided by Operating Activities" ("Operating Cash Flow") as stated in Roper's Consolidated Statements of Cash Flows, reduced by capital expenditures. The Company believes that Free Cash Flow is useful to investors as a basis for comparing its performance with other companies. Roper's measure of Free Cash Flow may not be comparable to similar measures used by other companies.</w:t>
      </w:r>
    </w:p>
    <w:p>
      <w:pPr>
        <w:pStyle w:val="TextBody"/>
        <w:spacing w:before="0" w:after="0"/>
        <w:ind w:left="180" w:right="0" w:hanging="180"/>
        <w:rPr>
          <w:rFonts w:ascii="Times New Roman;Times;Serif" w:hAnsi="Times New Roman;Times;Serif"/>
          <w:sz w:val="20"/>
        </w:rPr>
      </w:pPr>
      <w:r>
        <w:rPr>
          <w:rFonts w:ascii="Times New Roman;Times;Serif" w:hAnsi="Times New Roman;Times;Serif"/>
          <w:sz w:val="20"/>
        </w:rPr>
        <w:t>Item 9.01. Financial Statements and Exhibits.</w:t>
      </w:r>
    </w:p>
    <w:p>
      <w:pPr>
        <w:pStyle w:val="TextBody"/>
        <w:spacing w:before="0" w:after="0"/>
        <w:rPr/>
      </w:pPr>
      <w:r>
        <w:rPr/>
        <w:t> </w:t>
      </w:r>
    </w:p>
    <w:p>
      <w:pPr>
        <w:pStyle w:val="TextBody"/>
        <w:spacing w:before="0" w:after="0"/>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i/>
          <w:sz w:val="20"/>
        </w:rPr>
        <w:t>Exhibits</w:t>
      </w:r>
      <w:r>
        <w:rPr>
          <w:rFonts w:ascii="Times New Roman;Times;Serif" w:hAnsi="Times New Roman;Times;Serif"/>
          <w:sz w:val="20"/>
        </w:rPr>
        <w:t>.</w:t>
      </w:r>
    </w:p>
    <w:p>
      <w:pPr>
        <w:pStyle w:val="Normal"/>
        <w:spacing w:before="0" w:after="0"/>
        <w:rPr>
          <w:sz w:val="4"/>
          <w:szCs w:val="4"/>
        </w:rPr>
      </w:pPr>
      <w:r>
        <w:rPr>
          <w:sz w:val="4"/>
          <w:szCs w:val="4"/>
        </w:rPr>
      </w:r>
      <w:bookmarkStart w:id="4" w:name="4efcf897e31c406a843e47c3e841d750"/>
      <w:bookmarkStart w:id="5" w:name="4efcf897e31c406a843e47c3e841d750"/>
      <w:bookmarkEnd w:id="5"/>
    </w:p>
    <w:tbl>
      <w:tblPr>
        <w:tblW w:w="4873" w:type="dxa"/>
        <w:jc w:val="left"/>
        <w:tblInd w:w="0" w:type="dxa"/>
        <w:tblCellMar>
          <w:top w:w="0" w:type="dxa"/>
          <w:left w:w="0" w:type="dxa"/>
          <w:bottom w:w="0" w:type="dxa"/>
          <w:right w:w="0" w:type="dxa"/>
        </w:tblCellMar>
      </w:tblPr>
      <w:tblGrid>
        <w:gridCol w:w="23"/>
        <w:gridCol w:w="4850"/>
      </w:tblGrid>
      <w:tr>
        <w:trPr/>
        <w:tc>
          <w:tcPr>
            <w:tcW w:w="23" w:type="dxa"/>
            <w:tcBorders/>
            <w:shd w:fill="auto" w:val="clear"/>
          </w:tcPr>
          <w:p>
            <w:pPr>
              <w:pStyle w:val="TableContents"/>
              <w:spacing w:before="0" w:after="283"/>
              <w:rPr>
                <w:sz w:val="4"/>
                <w:szCs w:val="4"/>
              </w:rPr>
            </w:pPr>
            <w:r>
              <w:rPr>
                <w:sz w:val="4"/>
                <w:szCs w:val="4"/>
              </w:rPr>
            </w:r>
          </w:p>
        </w:tc>
        <w:tc>
          <w:tcPr>
            <w:tcW w:w="4850" w:type="dxa"/>
            <w:tcBorders/>
            <w:shd w:fill="auto" w:val="clear"/>
          </w:tcPr>
          <w:p>
            <w:pPr>
              <w:pStyle w:val="TableContents"/>
              <w:spacing w:before="0" w:after="283"/>
              <w:rPr>
                <w:rFonts w:ascii="times new roman;times;serif" w:hAnsi="times new roman;times;serif"/>
                <w:sz w:val="20"/>
              </w:rPr>
            </w:pPr>
            <w:r>
              <w:rPr>
                <w:rFonts w:ascii="times new roman;times;serif" w:hAnsi="times new roman;times;serif"/>
                <w:sz w:val="20"/>
              </w:rPr>
              <w:t>99.1 Press Release of the Company dated October 27, 2014.</w:t>
            </w:r>
          </w:p>
        </w:tc>
      </w:tr>
    </w:tbl>
    <w:p>
      <w:pPr>
        <w:pStyle w:val="TextBody"/>
        <w:spacing w:before="0" w:after="0"/>
        <w:rPr/>
      </w:pPr>
      <w:r>
        <w:rPr/>
      </w:r>
    </w:p>
    <w:p>
      <w:pPr>
        <w:pStyle w:val="HorizontalLine"/>
        <w:pBdr>
          <w:bottom w:val="single" w:sz="18" w:space="0" w:color="808080"/>
        </w:pBdr>
        <w:rPr/>
      </w:pPr>
      <w:r>
        <w:rPr/>
      </w:r>
    </w:p>
    <w:p>
      <w:pPr>
        <w:pStyle w:val="TextBody"/>
        <w:rPr/>
      </w:pPr>
      <w:r>
        <w:rPr/>
      </w:r>
    </w:p>
    <w:p>
      <w:pPr>
        <w:pStyle w:val="TextBody"/>
        <w:spacing w:before="0" w:after="0"/>
        <w:jc w:val="center"/>
        <w:rPr>
          <w:rFonts w:ascii="Times New Roman;Times;Serif" w:hAnsi="Times New Roman;Times;Serif"/>
          <w:sz w:val="20"/>
          <w:u w:val="single"/>
        </w:rPr>
      </w:pPr>
      <w:r>
        <w:rPr>
          <w:rFonts w:ascii="Times New Roman;Times;Serif" w:hAnsi="Times New Roman;Times;Serif"/>
          <w:sz w:val="20"/>
          <w:u w:val="single"/>
        </w:rPr>
        <w:t>Signatures</w:t>
      </w:r>
    </w:p>
    <w:p>
      <w:pPr>
        <w:pStyle w:val="TextBody"/>
        <w:spacing w:before="0" w:after="0"/>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spacing w:before="0" w:after="0"/>
        <w:rPr/>
      </w:pPr>
      <w:r>
        <w:rPr/>
        <w:t> </w:t>
      </w:r>
    </w:p>
    <w:p>
      <w:pPr>
        <w:pStyle w:val="Normal"/>
        <w:spacing w:before="0" w:after="0"/>
        <w:rPr>
          <w:sz w:val="4"/>
          <w:szCs w:val="4"/>
        </w:rPr>
      </w:pPr>
      <w:r>
        <w:rPr>
          <w:sz w:val="4"/>
          <w:szCs w:val="4"/>
        </w:rPr>
      </w:r>
      <w:bookmarkStart w:id="6" w:name="b159702af9ff4576a3a96f065334a423"/>
      <w:bookmarkStart w:id="7" w:name="b159702af9ff4576a3a96f065334a423"/>
      <w:bookmarkEnd w:id="7"/>
    </w:p>
    <w:tbl>
      <w:tblPr>
        <w:tblW w:w="5860" w:type="dxa"/>
        <w:jc w:val="center"/>
        <w:tblInd w:w="0" w:type="dxa"/>
        <w:tblCellMar>
          <w:top w:w="0" w:type="dxa"/>
          <w:left w:w="0" w:type="dxa"/>
          <w:bottom w:w="0" w:type="dxa"/>
          <w:right w:w="0" w:type="dxa"/>
        </w:tblCellMar>
      </w:tblPr>
      <w:tblGrid>
        <w:gridCol w:w="23"/>
        <w:gridCol w:w="23"/>
        <w:gridCol w:w="395"/>
        <w:gridCol w:w="3440"/>
        <w:gridCol w:w="23"/>
        <w:gridCol w:w="1910"/>
        <w:gridCol w:w="23"/>
        <w:gridCol w:w="23"/>
      </w:tblGrid>
      <w:tr>
        <w:trPr/>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3440" w:type="dxa"/>
            <w:tcBorders/>
            <w:shd w:fill="auto" w:val="clear"/>
            <w:vAlign w:val="bottom"/>
          </w:tcPr>
          <w:p>
            <w:pPr>
              <w:pStyle w:val="TableContents"/>
              <w:spacing w:before="0" w:after="283"/>
              <w:rPr>
                <w:b/>
                <w:sz w:val="20"/>
              </w:rPr>
            </w:pPr>
            <w:r>
              <w:rPr>
                <w:b/>
                <w:sz w:val="20"/>
              </w:rPr>
              <w:t>Roper Industries, Inc.</w:t>
            </w:r>
          </w:p>
        </w:tc>
        <w:tc>
          <w:tcPr>
            <w:tcW w:w="23" w:type="dxa"/>
            <w:tcBorders/>
            <w:shd w:fill="auto" w:val="clear"/>
            <w:vAlign w:val="bottom"/>
          </w:tcPr>
          <w:p>
            <w:pPr>
              <w:pStyle w:val="TableContents"/>
              <w:spacing w:before="0" w:after="283"/>
              <w:rPr>
                <w:sz w:val="4"/>
                <w:szCs w:val="4"/>
              </w:rPr>
            </w:pPr>
            <w:r>
              <w:rPr>
                <w:sz w:val="4"/>
                <w:szCs w:val="4"/>
              </w:rPr>
            </w:r>
          </w:p>
        </w:tc>
        <w:tc>
          <w:tcPr>
            <w:tcW w:w="1910"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r>
      <w:tr>
        <w:trPr/>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tcPr>
          <w:p>
            <w:pPr>
              <w:pStyle w:val="TableContents"/>
              <w:spacing w:before="0" w:after="283"/>
              <w:rPr>
                <w:sz w:val="4"/>
                <w:szCs w:val="4"/>
              </w:rPr>
            </w:pPr>
            <w:r>
              <w:rPr>
                <w:sz w:val="4"/>
                <w:szCs w:val="4"/>
              </w:rPr>
            </w:r>
          </w:p>
        </w:tc>
        <w:tc>
          <w:tcPr>
            <w:tcW w:w="3440" w:type="dxa"/>
            <w:tcBorders/>
            <w:shd w:fill="auto" w:val="clear"/>
            <w:vAlign w:val="bottom"/>
          </w:tcPr>
          <w:p>
            <w:pPr>
              <w:pStyle w:val="TableContents"/>
              <w:spacing w:before="0" w:after="283"/>
              <w:rPr>
                <w:sz w:val="20"/>
              </w:rPr>
            </w:pPr>
            <w:r>
              <w:rPr>
                <w:sz w:val="20"/>
              </w:rPr>
              <w:t>(Registrant)</w:t>
            </w:r>
          </w:p>
        </w:tc>
        <w:tc>
          <w:tcPr>
            <w:tcW w:w="23" w:type="dxa"/>
            <w:tcBorders/>
            <w:shd w:fill="auto" w:val="clear"/>
          </w:tcPr>
          <w:p>
            <w:pPr>
              <w:pStyle w:val="TableContents"/>
              <w:spacing w:before="0" w:after="283"/>
              <w:rPr>
                <w:sz w:val="4"/>
                <w:szCs w:val="4"/>
              </w:rPr>
            </w:pPr>
            <w:r>
              <w:rPr>
                <w:sz w:val="4"/>
                <w:szCs w:val="4"/>
              </w:rPr>
            </w:r>
          </w:p>
        </w:tc>
        <w:tc>
          <w:tcPr>
            <w:tcW w:w="1910"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r>
      <w:tr>
        <w:trPr/>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440" w:type="dxa"/>
            <w:tcBorders/>
            <w:shd w:fill="auto" w:val="clea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pPr>
            <w:r>
              <w:rPr/>
            </w:r>
          </w:p>
        </w:tc>
        <w:tc>
          <w:tcPr>
            <w:tcW w:w="191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r>
      <w:tr>
        <w:trPr/>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20"/>
              </w:rPr>
            </w:pPr>
            <w:r>
              <w:rPr>
                <w:sz w:val="20"/>
              </w:rPr>
              <w:t xml:space="preserve">BY: </w:t>
            </w:r>
          </w:p>
        </w:tc>
        <w:tc>
          <w:tcPr>
            <w:tcW w:w="3440" w:type="dxa"/>
            <w:tcBorders>
              <w:bottom w:val="single" w:sz="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John Humphrey</w:t>
            </w:r>
          </w:p>
        </w:tc>
        <w:tc>
          <w:tcPr>
            <w:tcW w:w="23" w:type="dxa"/>
            <w:tcBorders/>
            <w:shd w:fill="auto" w:val="clear"/>
            <w:vAlign w:val="bottom"/>
          </w:tcPr>
          <w:p>
            <w:pPr>
              <w:pStyle w:val="TableContents"/>
              <w:spacing w:before="0" w:after="283"/>
              <w:rPr>
                <w:sz w:val="4"/>
                <w:szCs w:val="4"/>
              </w:rPr>
            </w:pPr>
            <w:r>
              <w:rPr>
                <w:sz w:val="4"/>
                <w:szCs w:val="4"/>
              </w:rPr>
            </w:r>
          </w:p>
        </w:tc>
        <w:tc>
          <w:tcPr>
            <w:tcW w:w="1910"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r>
      <w:tr>
        <w:trPr/>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tcPr>
          <w:p>
            <w:pPr>
              <w:pStyle w:val="TableContents"/>
              <w:spacing w:before="0" w:after="283"/>
              <w:rPr>
                <w:sz w:val="4"/>
                <w:szCs w:val="4"/>
              </w:rPr>
            </w:pPr>
            <w:r>
              <w:rPr>
                <w:sz w:val="4"/>
                <w:szCs w:val="4"/>
              </w:rPr>
            </w:r>
          </w:p>
        </w:tc>
        <w:tc>
          <w:tcPr>
            <w:tcW w:w="3440" w:type="dxa"/>
            <w:tcBorders/>
            <w:shd w:fill="auto" w:val="clear"/>
          </w:tcPr>
          <w:p>
            <w:pPr>
              <w:pStyle w:val="TableContents"/>
              <w:spacing w:before="0" w:after="283"/>
              <w:jc w:val="left"/>
              <w:rPr>
                <w:sz w:val="20"/>
              </w:rPr>
            </w:pPr>
            <w:r>
              <w:rPr>
                <w:sz w:val="20"/>
              </w:rPr>
              <w:t>John Humphrey,</w:t>
              <w:br/>
              <w:t>Vice President and Chief Financial Officer</w:t>
            </w:r>
          </w:p>
        </w:tc>
        <w:tc>
          <w:tcPr>
            <w:tcW w:w="23" w:type="dxa"/>
            <w:tcBorders/>
            <w:shd w:fill="auto" w:val="clear"/>
            <w:vAlign w:val="bottom"/>
          </w:tcPr>
          <w:p>
            <w:pPr>
              <w:pStyle w:val="TableContents"/>
              <w:spacing w:before="0" w:after="283"/>
              <w:rPr>
                <w:sz w:val="4"/>
                <w:szCs w:val="4"/>
              </w:rPr>
            </w:pPr>
            <w:r>
              <w:rPr>
                <w:sz w:val="4"/>
                <w:szCs w:val="4"/>
              </w:rPr>
            </w:r>
          </w:p>
        </w:tc>
        <w:tc>
          <w:tcPr>
            <w:tcW w:w="1910" w:type="dxa"/>
            <w:tcBorders/>
            <w:shd w:fill="auto" w:val="clear"/>
            <w:vAlign w:val="bottom"/>
          </w:tcPr>
          <w:p>
            <w:pPr>
              <w:pStyle w:val="TableContents"/>
              <w:spacing w:before="0" w:after="283"/>
              <w:jc w:val="left"/>
              <w:rPr>
                <w:sz w:val="20"/>
              </w:rPr>
            </w:pPr>
            <w:r>
              <w:rPr>
                <w:sz w:val="20"/>
              </w:rPr>
              <w:t>Date: October 27, 2014</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r>
    </w:tbl>
    <w:p>
      <w:pPr>
        <w:pStyle w:val="HorizontalLine"/>
        <w:pBdr>
          <w:bottom w:val="single" w:sz="20" w:space="0" w:color="808080"/>
        </w:pBdr>
        <w:rPr/>
      </w:pPr>
      <w:r>
        <w:rPr/>
      </w:r>
    </w:p>
    <w:p>
      <w:pPr>
        <w:pStyle w:val="TextBody"/>
        <w:spacing w:before="0" w:after="0"/>
        <w:jc w:val="center"/>
        <w:rPr>
          <w:b/>
        </w:rPr>
      </w:pPr>
      <w:r>
        <w:rPr>
          <w:b/>
        </w:rPr>
        <w:t>EXHIBIT INDEX</w:t>
      </w:r>
    </w:p>
    <w:p>
      <w:pPr>
        <w:pStyle w:val="Normal"/>
        <w:spacing w:before="0" w:after="0"/>
        <w:rPr>
          <w:sz w:val="4"/>
          <w:szCs w:val="4"/>
        </w:rPr>
      </w:pPr>
      <w:r>
        <w:rPr>
          <w:sz w:val="4"/>
          <w:szCs w:val="4"/>
        </w:rPr>
      </w:r>
      <w:bookmarkStart w:id="8" w:name="b6b911584e894981b13e9c6f619c7646"/>
      <w:bookmarkStart w:id="9" w:name="b6b911584e894981b13e9c6f619c7646"/>
      <w:bookmarkEnd w:id="9"/>
    </w:p>
    <w:tbl>
      <w:tblPr>
        <w:tblW w:w="5403" w:type="dxa"/>
        <w:jc w:val="center"/>
        <w:tblInd w:w="0" w:type="dxa"/>
        <w:tblCellMar>
          <w:top w:w="0" w:type="dxa"/>
          <w:left w:w="0" w:type="dxa"/>
          <w:bottom w:w="0" w:type="dxa"/>
          <w:right w:w="0" w:type="dxa"/>
        </w:tblCellMar>
      </w:tblPr>
      <w:tblGrid>
        <w:gridCol w:w="980"/>
        <w:gridCol w:w="23"/>
        <w:gridCol w:w="4400"/>
      </w:tblGrid>
      <w:tr>
        <w:trPr/>
        <w:tc>
          <w:tcPr>
            <w:tcW w:w="980"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4400" w:type="dxa"/>
            <w:tcBorders/>
            <w:shd w:fill="auto" w:val="clear"/>
            <w:vAlign w:val="bottom"/>
          </w:tcPr>
          <w:p>
            <w:pPr>
              <w:pStyle w:val="TableContents"/>
              <w:spacing w:before="0" w:after="283"/>
              <w:rPr>
                <w:sz w:val="4"/>
                <w:szCs w:val="4"/>
              </w:rPr>
            </w:pPr>
            <w:r>
              <w:rPr>
                <w:sz w:val="4"/>
                <w:szCs w:val="4"/>
              </w:rPr>
            </w:r>
          </w:p>
        </w:tc>
      </w:tr>
      <w:tr>
        <w:trPr/>
        <w:tc>
          <w:tcPr>
            <w:tcW w:w="980" w:type="dxa"/>
            <w:tcBorders/>
            <w:shd w:fill="auto" w:val="clear"/>
            <w:vAlign w:val="bottom"/>
          </w:tcPr>
          <w:p>
            <w:pPr>
              <w:pStyle w:val="TableContents"/>
              <w:spacing w:before="0" w:after="283"/>
              <w:rPr>
                <w:b/>
                <w:sz w:val="20"/>
              </w:rPr>
            </w:pPr>
            <w:r>
              <w:rPr>
                <w:b/>
                <w:sz w:val="20"/>
              </w:rPr>
              <w:t>Exhibit No.</w:t>
            </w:r>
          </w:p>
        </w:tc>
        <w:tc>
          <w:tcPr>
            <w:tcW w:w="23" w:type="dxa"/>
            <w:tcBorders/>
            <w:shd w:fill="auto" w:val="clear"/>
            <w:vAlign w:val="bottom"/>
          </w:tcPr>
          <w:p>
            <w:pPr>
              <w:pStyle w:val="TableContents"/>
              <w:spacing w:before="0" w:after="283"/>
              <w:rPr>
                <w:sz w:val="4"/>
                <w:szCs w:val="4"/>
              </w:rPr>
            </w:pPr>
            <w:r>
              <w:rPr>
                <w:sz w:val="4"/>
                <w:szCs w:val="4"/>
              </w:rPr>
            </w:r>
          </w:p>
        </w:tc>
        <w:tc>
          <w:tcPr>
            <w:tcW w:w="4400" w:type="dxa"/>
            <w:tcBorders/>
            <w:shd w:fill="auto" w:val="clear"/>
            <w:vAlign w:val="bottom"/>
          </w:tcPr>
          <w:p>
            <w:pPr>
              <w:pStyle w:val="TableContents"/>
              <w:spacing w:before="0" w:after="283"/>
              <w:jc w:val="left"/>
              <w:rPr>
                <w:b/>
                <w:sz w:val="20"/>
              </w:rPr>
            </w:pPr>
            <w:r>
              <w:rPr>
                <w:b/>
                <w:sz w:val="20"/>
              </w:rPr>
              <w:t>Description</w:t>
            </w:r>
          </w:p>
        </w:tc>
      </w:tr>
      <w:tr>
        <w:trPr/>
        <w:tc>
          <w:tcPr>
            <w:tcW w:w="980" w:type="dxa"/>
            <w:tcBorders/>
            <w:shd w:fill="auto" w:val="clear"/>
            <w:vAlign w:val="bottom"/>
          </w:tcPr>
          <w:p>
            <w:pPr>
              <w:pStyle w:val="HorizontalLine"/>
              <w:pBdr>
                <w:bottom w:val="single" w:sz="6" w:space="0" w:color="808080"/>
              </w:pBdr>
              <w:spacing w:before="0" w:after="283"/>
              <w:rPr>
                <w:sz w:val="20"/>
                <w:szCs w:val="20"/>
              </w:rPr>
            </w:pPr>
            <w:r>
              <w:rPr>
                <w:sz w:val="20"/>
                <w:szCs w:val="20"/>
              </w:rPr>
            </w:r>
          </w:p>
        </w:tc>
        <w:tc>
          <w:tcPr>
            <w:tcW w:w="23" w:type="dxa"/>
            <w:tcBorders/>
            <w:shd w:fill="auto" w:val="clear"/>
            <w:vAlign w:val="bottom"/>
          </w:tcPr>
          <w:p>
            <w:pPr>
              <w:pStyle w:val="TableContents"/>
              <w:spacing w:before="0" w:after="283"/>
              <w:rPr>
                <w:sz w:val="4"/>
                <w:szCs w:val="4"/>
              </w:rPr>
            </w:pPr>
            <w:r>
              <w:rPr>
                <w:sz w:val="4"/>
                <w:szCs w:val="4"/>
              </w:rPr>
            </w:r>
          </w:p>
        </w:tc>
        <w:tc>
          <w:tcPr>
            <w:tcW w:w="4400" w:type="dxa"/>
            <w:tcBorders/>
            <w:shd w:fill="auto" w:val="clear"/>
            <w:vAlign w:val="bottom"/>
          </w:tcPr>
          <w:p>
            <w:pPr>
              <w:pStyle w:val="HorizontalLine"/>
              <w:pBdr>
                <w:bottom w:val="single" w:sz="6" w:space="0" w:color="808080"/>
              </w:pBdr>
              <w:spacing w:before="0" w:after="283"/>
              <w:rPr>
                <w:sz w:val="20"/>
                <w:szCs w:val="20"/>
              </w:rPr>
            </w:pPr>
            <w:r>
              <w:rPr>
                <w:sz w:val="20"/>
                <w:szCs w:val="20"/>
              </w:rPr>
            </w:r>
          </w:p>
        </w:tc>
      </w:tr>
      <w:tr>
        <w:trPr/>
        <w:tc>
          <w:tcPr>
            <w:tcW w:w="980"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4400" w:type="dxa"/>
            <w:tcBorders/>
            <w:shd w:fill="auto" w:val="clear"/>
            <w:vAlign w:val="bottom"/>
          </w:tcPr>
          <w:p>
            <w:pPr>
              <w:pStyle w:val="TableContents"/>
              <w:spacing w:before="0" w:after="283"/>
              <w:rPr>
                <w:sz w:val="4"/>
                <w:szCs w:val="4"/>
              </w:rPr>
            </w:pPr>
            <w:r>
              <w:rPr>
                <w:sz w:val="4"/>
                <w:szCs w:val="4"/>
              </w:rPr>
            </w:r>
          </w:p>
        </w:tc>
      </w:tr>
      <w:tr>
        <w:trPr/>
        <w:tc>
          <w:tcPr>
            <w:tcW w:w="980" w:type="dxa"/>
            <w:tcBorders/>
            <w:shd w:fill="auto" w:val="clear"/>
          </w:tcPr>
          <w:p>
            <w:pPr>
              <w:pStyle w:val="TableContents"/>
              <w:spacing w:before="0" w:after="283"/>
              <w:rPr>
                <w:sz w:val="20"/>
              </w:rPr>
            </w:pPr>
            <w:r>
              <w:rPr>
                <w:sz w:val="20"/>
              </w:rPr>
              <w:t>99.1</w:t>
            </w:r>
          </w:p>
        </w:tc>
        <w:tc>
          <w:tcPr>
            <w:tcW w:w="23" w:type="dxa"/>
            <w:tcBorders/>
            <w:shd w:fill="auto" w:val="clear"/>
            <w:vAlign w:val="bottom"/>
          </w:tcPr>
          <w:p>
            <w:pPr>
              <w:pStyle w:val="TableContents"/>
              <w:spacing w:before="0" w:after="283"/>
              <w:rPr>
                <w:sz w:val="4"/>
                <w:szCs w:val="4"/>
              </w:rPr>
            </w:pPr>
            <w:r>
              <w:rPr>
                <w:sz w:val="4"/>
                <w:szCs w:val="4"/>
              </w:rPr>
            </w:r>
          </w:p>
        </w:tc>
        <w:tc>
          <w:tcPr>
            <w:tcW w:w="4400" w:type="dxa"/>
            <w:tcBorders/>
            <w:shd w:fill="auto" w:val="clear"/>
          </w:tcPr>
          <w:p>
            <w:pPr>
              <w:pStyle w:val="TableContents"/>
              <w:spacing w:before="0" w:after="283"/>
              <w:jc w:val="left"/>
              <w:rPr>
                <w:sz w:val="20"/>
              </w:rPr>
            </w:pPr>
            <w:r>
              <w:rPr>
                <w:sz w:val="20"/>
              </w:rPr>
              <w:t>Press Release of the Company dated October 27, 2014</w:t>
            </w:r>
          </w:p>
        </w:tc>
      </w:tr>
    </w:tbl>
    <w:p>
      <w:pPr>
        <w:pStyle w:val="TextBody"/>
        <w:spacing w:before="0" w:after="0"/>
        <w:jc w:val="right"/>
        <w:rPr>
          <w:color w:val="000000"/>
        </w:rPr>
      </w:pPr>
      <w:r>
        <w:br w:type="page"/>
      </w:r>
      <w:bookmarkStart w:id="10" w:name="pressrel.htm"/>
      <w:bookmarkStart w:id="11" w:name="kspressrel"/>
      <w:bookmarkEnd w:id="10"/>
      <w:bookmarkEnd w:id="11"/>
      <w:r>
        <w:rPr>
          <w:color w:val="000000"/>
        </w:rPr>
        <w:t>Exhibit 99.1</w:t>
      </w:r>
    </w:p>
    <w:p>
      <w:pPr>
        <w:pStyle w:val="TextBody"/>
        <w:spacing w:before="0" w:after="0"/>
        <w:rPr>
          <w:color w:val="000000"/>
        </w:rPr>
      </w:pPr>
      <w:r>
        <w:rPr>
          <w:color w:val="000000"/>
        </w:rPr>
        <w:t> </w:t>
      </w:r>
    </w:p>
    <w:p>
      <w:pPr>
        <w:pStyle w:val="TextBody"/>
        <w:spacing w:before="0" w:after="0"/>
        <w:rPr>
          <w:color w:val="000000"/>
        </w:rPr>
      </w:pPr>
      <w:r>
        <w:rPr>
          <w:color w:val="000000"/>
        </w:rPr>
        <w:br/>
        <w:t> </w:t>
      </w:r>
    </w:p>
    <w:p>
      <w:pPr>
        <w:pStyle w:val="Normal"/>
        <w:spacing w:before="0" w:after="0"/>
        <w:rPr>
          <w:sz w:val="4"/>
          <w:szCs w:val="4"/>
        </w:rPr>
      </w:pPr>
      <w:r>
        <w:rPr>
          <w:sz w:val="4"/>
          <w:szCs w:val="4"/>
        </w:rPr>
      </w:r>
      <w:bookmarkStart w:id="12" w:name="e439669fbcdd431db879cb6587301b9b"/>
      <w:bookmarkStart w:id="13" w:name="e439669fbcdd431db879cb6587301b9b"/>
      <w:bookmarkEnd w:id="13"/>
    </w:p>
    <w:tbl>
      <w:tblPr>
        <w:tblW w:w="5000" w:type="dxa"/>
        <w:jc w:val="left"/>
        <w:tblInd w:w="0" w:type="dxa"/>
        <w:tblCellMar>
          <w:top w:w="0" w:type="dxa"/>
          <w:left w:w="0" w:type="dxa"/>
          <w:bottom w:w="0" w:type="dxa"/>
          <w:right w:w="0" w:type="dxa"/>
        </w:tblCellMar>
      </w:tblPr>
      <w:tblGrid>
        <w:gridCol w:w="2720"/>
        <w:gridCol w:w="2280"/>
      </w:tblGrid>
      <w:tr>
        <w:trPr/>
        <w:tc>
          <w:tcPr>
            <w:tcW w:w="2720" w:type="dxa"/>
            <w:tcBorders/>
            <w:shd w:fill="auto" w:val="clear"/>
            <w:vAlign w:val="center"/>
          </w:tcPr>
          <w:p>
            <w:pPr>
              <w:pStyle w:val="TableContents"/>
              <w:spacing w:before="0" w:after="0"/>
              <w:rPr>
                <w:rFonts w:ascii="'Times New Roman', ;Times;serif', 'TEXT-ALIGN: left'" w:hAnsi="'Times New Roman', ;Times;serif', 'TEXT-ALIGN: left'"/>
                <w:sz w:val="20"/>
              </w:rPr>
            </w:pPr>
            <w:r>
              <w:rPr>
                <w:rFonts w:ascii="'Times New Roman', ;Times;serif', 'FONT-WEIGHT: bold', 'COLOR: #000000'" w:hAnsi="'Times New Roman', ;Times;serif', 'FONT-WEIGHT: bold', 'COLOR: #000000'"/>
                <w:sz w:val="20"/>
              </w:rPr>
              <w:t>Contact Information:</w:t>
            </w:r>
            <w:r>
              <w:rPr>
                <w:rFonts w:ascii="'Times New Roman', ;Times;serif'" w:hAnsi="'Times New Roman', ;Times;serif'"/>
                <w:sz w:val="20"/>
              </w:rPr>
              <w:br/>
            </w:r>
            <w:r>
              <w:rPr>
                <w:rFonts w:ascii="'Times New Roman', ;Times;serif', 'TEXT-ALIGN: left'" w:hAnsi="'Times New Roman', ;Times;serif', 'TEXT-ALIGN: left'"/>
                <w:color w:val="000000"/>
                <w:sz w:val="20"/>
              </w:rPr>
              <w:t>Investor Relations</w:t>
            </w:r>
          </w:p>
          <w:p>
            <w:pPr>
              <w:pStyle w:val="TableContents"/>
              <w:spacing w:before="0" w:after="0"/>
              <w:rPr>
                <w:rFonts w:ascii="'Times New Roman', ;Times;serif', 'TEXT-ALIGN: left'" w:hAnsi="'Times New Roman', ;Times;serif', 'TEXT-ALIGN: left'"/>
                <w:sz w:val="20"/>
              </w:rPr>
            </w:pPr>
            <w:r>
              <w:rPr>
                <w:rFonts w:ascii="'Times New Roman', ;Times;serif', 'TEXT-ALIGN: left'" w:hAnsi="'Times New Roman', ;Times;serif', 'TEXT-ALIGN: left'"/>
                <w:color w:val="000000"/>
                <w:sz w:val="20"/>
              </w:rPr>
              <w:t>941-556-2601</w:t>
            </w:r>
            <w:r>
              <w:rPr>
                <w:rFonts w:ascii="'Times New Roman', ;Times;serif'" w:hAnsi="'Times New Roman', ;Times;serif'"/>
                <w:sz w:val="20"/>
              </w:rPr>
              <w:br/>
            </w:r>
            <w:r>
              <w:rPr>
                <w:rFonts w:ascii="'Times New Roman', ;Times;serif', 'COLOR: #000000'" w:hAnsi="'Times New Roman', ;Times;serif', 'COLOR: #000000'"/>
                <w:sz w:val="20"/>
              </w:rPr>
              <w:t>investor-relations@roperind.com</w:t>
            </w:r>
          </w:p>
        </w:tc>
        <w:tc>
          <w:tcPr>
            <w:tcW w:w="2280" w:type="dxa"/>
            <w:tcBorders/>
            <w:shd w:fill="auto" w:val="clear"/>
            <w:vAlign w:val="center"/>
          </w:tcPr>
          <w:p>
            <w:pPr>
              <w:pStyle w:val="TableContents"/>
              <w:spacing w:before="0" w:after="0"/>
              <w:jc w:val="right"/>
              <w:rPr>
                <w:color w:val="000000"/>
              </w:rPr>
            </w:pPr>
            <w:r>
              <w:rPr>
                <w:color w:val="000000"/>
              </w:rPr>
              <w:drawing>
                <wp:inline distT="0" distB="0" distL="0" distR="0">
                  <wp:extent cx="1438275"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38275" cy="704850"/>
                          </a:xfrm>
                          <a:prstGeom prst="rect">
                            <a:avLst/>
                          </a:prstGeom>
                        </pic:spPr>
                      </pic:pic>
                    </a:graphicData>
                  </a:graphic>
                </wp:inline>
              </w:drawing>
            </w:r>
          </w:p>
          <w:p>
            <w:pPr>
              <w:pStyle w:val="TableContents"/>
              <w:spacing w:before="0" w:after="0"/>
              <w:rPr>
                <w:rFonts w:ascii="'Times New Roman', ;Times;serif', 'FONT-WEIGHT: bold', 'COLOR: #000000', 'TEXT-ALIGN: right'" w:hAnsi="'Times New Roman', ;Times;serif', 'FONT-WEIGHT: bold', 'COLOR: #000000', 'TEXT-ALIGN: right'"/>
                <w:sz w:val="20"/>
              </w:rPr>
            </w:pPr>
            <w:r>
              <w:rPr>
                <w:rFonts w:ascii="'Times New Roman', ;Times;serif', 'FONT-WEIGHT: bold', 'COLOR: #000000', 'TEXT-ALIGN: right'" w:hAnsi="'Times New Roman', ;Times;serif', 'FONT-WEIGHT: bold', 'COLOR: #000000', 'TEXT-ALIGN: right'"/>
                <w:sz w:val="20"/>
              </w:rPr>
              <w:t>Roper Industries, Inc.</w:t>
            </w:r>
          </w:p>
        </w:tc>
      </w:tr>
    </w:tbl>
    <w:p>
      <w:pPr>
        <w:pStyle w:val="TextBody"/>
        <w:spacing w:before="0" w:after="0"/>
        <w:rPr>
          <w:color w:val="000000"/>
        </w:rPr>
      </w:pPr>
      <w:r>
        <w:rPr>
          <w:color w:val="000000"/>
        </w:rPr>
        <w:br/>
        <w:t> </w:t>
      </w:r>
    </w:p>
    <w:p>
      <w:pPr>
        <w:pStyle w:val="TextBody"/>
        <w:spacing w:before="0" w:after="0"/>
        <w:rPr>
          <w:rFonts w:ascii="'Times New Roman', ;Times;serif', 'FONT-WEIGHT: bold', 'COLOR: #000000', 'TEXT-ALIGN: center'" w:hAnsi="'Times New Roman', ;Times;serif', 'FONT-WEIGHT: bold', 'COLOR: #000000', 'TEXT-ALIGN: center'"/>
          <w:sz w:val="28"/>
          <w:u w:val="single"/>
        </w:rPr>
      </w:pPr>
      <w:r>
        <w:rPr>
          <w:rFonts w:ascii="'Times New Roman', ;Times;serif', 'FONT-WEIGHT: bold', 'COLOR: #000000', 'TEXT-ALIGN: center'" w:hAnsi="'Times New Roman', ;Times;serif', 'FONT-WEIGHT: bold', 'COLOR: #000000', 'TEXT-ALIGN: center'"/>
          <w:sz w:val="28"/>
          <w:u w:val="single"/>
        </w:rPr>
        <w:t>Roper Industries Announces Record Third Quarter Results</w:t>
      </w:r>
    </w:p>
    <w:p>
      <w:pPr>
        <w:pStyle w:val="TextBody"/>
        <w:spacing w:before="0" w:after="0"/>
        <w:rPr>
          <w:color w:val="000000"/>
          <w:sz w:val="24"/>
        </w:rPr>
      </w:pPr>
      <w:r>
        <w:rPr>
          <w:color w:val="000000"/>
          <w:sz w:val="24"/>
        </w:rPr>
      </w:r>
    </w:p>
    <w:p>
      <w:pPr>
        <w:pStyle w:val="TextBody"/>
        <w:spacing w:before="0" w:after="0"/>
        <w:rPr>
          <w:rFonts w:ascii="'Times New Roman', ;Times;serif', 'FONT-WEIGHT: bold', 'COLOR: #000000', 'TEXT-ALIGN: center'" w:hAnsi="'Times New Roman', ;Times;serif', 'FONT-WEIGHT: bold', 'COLOR: #000000', 'TEXT-ALIGN: center'"/>
          <w:sz w:val="24"/>
        </w:rPr>
      </w:pPr>
      <w:r>
        <w:rPr>
          <w:rFonts w:ascii="'Times New Roman', ;Times;serif', 'FONT-WEIGHT: bold', 'COLOR: #000000', 'TEXT-ALIGN: center'" w:hAnsi="'Times New Roman', ;Times;serif', 'FONT-WEIGHT: bold', 'COLOR: #000000', 'TEXT-ALIGN: center'"/>
          <w:sz w:val="24"/>
        </w:rPr>
        <w:t>GAAP Diluted Earnings Per Share (DEPS) $1.54; Adjusted DEPS $1.55</w:t>
      </w:r>
    </w:p>
    <w:p>
      <w:pPr>
        <w:pStyle w:val="TextBody"/>
        <w:spacing w:before="0" w:after="0"/>
        <w:rPr>
          <w:rFonts w:ascii="'Times New Roman', ;Times;serif', 'FONT-WEIGHT: bold', 'COLOR: #000000', 'TEXT-ALIGN: center'" w:hAnsi="'Times New Roman', ;Times;serif', 'FONT-WEIGHT: bold', 'COLOR: #000000', 'TEXT-ALIGN: center'"/>
          <w:sz w:val="24"/>
        </w:rPr>
      </w:pPr>
      <w:r>
        <w:rPr>
          <w:rFonts w:ascii="'Times New Roman', ;Times;serif', 'FONT-WEIGHT: bold', 'COLOR: #000000', 'TEXT-ALIGN: center'" w:hAnsi="'Times New Roman', ;Times;serif', 'FONT-WEIGHT: bold', 'COLOR: #000000', 'TEXT-ALIGN: center'"/>
          <w:sz w:val="24"/>
        </w:rPr>
        <w:t>Operating Cash Flow of $226 million, 25.6% of Revenue</w:t>
      </w:r>
    </w:p>
    <w:p>
      <w:pPr>
        <w:pStyle w:val="TextBody"/>
        <w:spacing w:before="0" w:after="0"/>
        <w:rPr>
          <w:rFonts w:ascii="'Times New Roman', ;Times;serif', 'FONT-WEIGHT: bold', 'COLOR: #000000', 'TEXT-ALIGN: center'" w:hAnsi="'Times New Roman', ;Times;serif', 'FONT-WEIGHT: bold', 'COLOR: #000000', 'TEXT-ALIGN: center'"/>
          <w:sz w:val="24"/>
        </w:rPr>
      </w:pPr>
      <w:r>
        <w:rPr>
          <w:rFonts w:ascii="'Times New Roman', ;Times;serif', 'FONT-WEIGHT: bold', 'COLOR: #000000', 'TEXT-ALIGN: center'" w:hAnsi="'Times New Roman', ;Times;serif', 'FONT-WEIGHT: bold', 'COLOR: #000000', 'TEXT-ALIGN: center'"/>
          <w:sz w:val="24"/>
        </w:rPr>
        <w:t>Full Year Guidance Increased</w:t>
      </w:r>
    </w:p>
    <w:p>
      <w:pPr>
        <w:pStyle w:val="TextBody"/>
        <w:spacing w:before="0" w:after="0"/>
        <w:rPr>
          <w:color w:val="000000"/>
        </w:rPr>
      </w:pPr>
      <w:r>
        <w:rPr>
          <w:color w:val="000000"/>
        </w:rPr>
      </w:r>
    </w:p>
    <w:p>
      <w:pPr>
        <w:pStyle w:val="TextBody"/>
        <w:spacing w:before="0" w:after="0"/>
        <w:rPr>
          <w:color w:val="000000"/>
        </w:rPr>
      </w:pPr>
      <w:r>
        <w:rPr>
          <w:color w:val="000000"/>
        </w:rPr>
      </w:r>
    </w:p>
    <w:p>
      <w:pPr>
        <w:pStyle w:val="TextBody"/>
        <w:spacing w:before="0" w:after="0"/>
        <w:rPr>
          <w:rFonts w:ascii="'Times New Roman', ;Times;serif', 'COLOR: #000000', 'TEXT-ALIGN: justify'" w:hAnsi="'Times New Roman', ;Times;serif', 'COLOR: #000000', 'TEXT-ALIGN: justify'"/>
          <w:sz w:val="20"/>
        </w:rPr>
      </w:pPr>
      <w:r>
        <w:rPr>
          <w:rFonts w:ascii="'Times New Roman', ;Times;serif', 'FONT-WEIGHT: bold'" w:hAnsi="'Times New Roman', ;Times;serif', 'FONT-WEIGHT: bold'"/>
          <w:sz w:val="20"/>
        </w:rPr>
        <w:t>Sarasota, Florida, October 27, 2014 ... Roper Industries, Inc. (NYSE: ROP)</w:t>
      </w:r>
      <w:r>
        <w:rPr>
          <w:rFonts w:ascii="'Times New Roman', ;Times;serif', 'COLOR: #000000', 'TEXT-ALIGN: justify'" w:hAnsi="'Times New Roman', ;Times;serif', 'COLOR: #000000', 'TEXT-ALIGN: justify'"/>
          <w:sz w:val="20"/>
        </w:rPr>
        <w:t xml:space="preserve"> reported financial results for the third quarter ended September 30, 2014.</w:t>
      </w:r>
    </w:p>
    <w:p>
      <w:pPr>
        <w:pStyle w:val="TextBody"/>
        <w:spacing w:before="0" w:after="0"/>
        <w:rPr>
          <w:color w:val="000000"/>
        </w:rPr>
      </w:pPr>
      <w:r>
        <w:rPr>
          <w:color w:val="000000"/>
        </w:rPr>
      </w:r>
    </w:p>
    <w:p>
      <w:pPr>
        <w:pStyle w:val="TextBody"/>
        <w:spacing w:before="0" w:after="0"/>
        <w:rPr>
          <w:rFonts w:ascii="'Times New Roman', ;Times;serif', 'COLOR: #000000', 'TEXT-ALIGN: justify'" w:hAnsi="'Times New Roman', ;Times;serif', 'COLOR: #000000', 'TEXT-ALIGN: justify'"/>
          <w:sz w:val="20"/>
        </w:rPr>
      </w:pPr>
      <w:r>
        <w:rPr>
          <w:rFonts w:ascii="'Times New Roman', ;Times;serif', 'COLOR: #000000', 'TEXT-ALIGN: justify'" w:hAnsi="'Times New Roman', ;Times;serif', 'COLOR: #000000', 'TEXT-ALIGN: justify'"/>
          <w:sz w:val="20"/>
        </w:rPr>
        <w:t>Roper reports results – including revenue, operating margin, net income and diluted earnings per share – on a GAAP and adjusted basis.  Adjusted measures are reconciled to the corresponding GAAP measures at the end of this release.</w:t>
      </w:r>
    </w:p>
    <w:p>
      <w:pPr>
        <w:pStyle w:val="TextBody"/>
        <w:spacing w:before="0" w:after="0"/>
        <w:rPr>
          <w:color w:val="000000"/>
        </w:rPr>
      </w:pPr>
      <w:r>
        <w:rPr>
          <w:color w:val="000000"/>
        </w:rPr>
      </w:r>
    </w:p>
    <w:p>
      <w:pPr>
        <w:pStyle w:val="TextBody"/>
        <w:spacing w:before="0" w:after="0"/>
        <w:rPr>
          <w:rFonts w:ascii="'Times New Roman', ;Times;serif', 'COLOR: #000000', 'TEXT-ALIGN: justify'" w:hAnsi="'Times New Roman', ;Times;serif', 'COLOR: #000000', 'TEXT-ALIGN: justify'"/>
          <w:sz w:val="20"/>
        </w:rPr>
      </w:pPr>
      <w:r>
        <w:rPr>
          <w:rFonts w:ascii="'Times New Roman', ;Times;serif', 'COLOR: #000000', 'TEXT-ALIGN: justify'" w:hAnsi="'Times New Roman', ;Times;serif', 'COLOR: #000000', 'TEXT-ALIGN: justify'"/>
          <w:sz w:val="20"/>
        </w:rPr>
        <w:t>Third quarter GAAP diluted earnings per share (DEPS) were $1.54, a 13% increase over last year.  Adjusted diluted earnings per share were $1.55, a 9% increase over last year.  GAAP revenue increased 7% to $884 million and adjusted revenue increased 6% to $885 million.  Orders increased to $893 million and enterprise book-to-bill was 1.01x for the quarter.</w:t>
      </w:r>
    </w:p>
    <w:p>
      <w:pPr>
        <w:pStyle w:val="TextBody"/>
        <w:spacing w:before="0" w:after="0"/>
        <w:rPr>
          <w:color w:val="000000"/>
        </w:rPr>
      </w:pPr>
      <w:r>
        <w:rPr>
          <w:color w:val="000000"/>
        </w:rPr>
      </w:r>
    </w:p>
    <w:p>
      <w:pPr>
        <w:pStyle w:val="TextBody"/>
        <w:spacing w:before="0" w:after="0"/>
        <w:rPr>
          <w:rFonts w:ascii="'Times New Roman', ;Times;serif', 'COLOR: #000000', 'TEXT-ALIGN: justify'" w:hAnsi="'Times New Roman', ;Times;serif', 'COLOR: #000000', 'TEXT-ALIGN: justify'"/>
          <w:sz w:val="20"/>
        </w:rPr>
      </w:pPr>
      <w:r>
        <w:rPr>
          <w:rFonts w:ascii="'Times New Roman', ;Times;serif', 'COLOR: #000000', 'TEXT-ALIGN: justify'" w:hAnsi="'Times New Roman', ;Times;serif', 'COLOR: #000000', 'TEXT-ALIGN: justify'"/>
          <w:sz w:val="20"/>
        </w:rPr>
        <w:t>GAAP gross margin increased 100 basis points to 59.3% and adjusted gross margin increased to 59.4%, a 70 basis point gain over the prior year.  EBITDA margin was a record 33.6% for the quarter.  Operating cash flow in the quarter was $226 million, representing 145% conversion of GAAP Net Income.</w:t>
      </w:r>
    </w:p>
    <w:p>
      <w:pPr>
        <w:pStyle w:val="TextBody"/>
        <w:spacing w:before="0" w:after="0"/>
        <w:rPr>
          <w:color w:val="000000"/>
        </w:rPr>
      </w:pPr>
      <w:r>
        <w:rPr>
          <w:color w:val="000000"/>
        </w:rPr>
      </w:r>
    </w:p>
    <w:p>
      <w:pPr>
        <w:pStyle w:val="TextBody"/>
        <w:spacing w:before="0" w:after="0"/>
        <w:rPr>
          <w:rFonts w:ascii="'Times New Roman', ;Times;serif', 'COLOR: #000000', 'TEXT-ALIGN: justify'" w:hAnsi="'Times New Roman', ;Times;serif', 'COLOR: #000000', 'TEXT-ALIGN: justify'"/>
          <w:sz w:val="20"/>
        </w:rPr>
      </w:pPr>
      <w:r>
        <w:rPr>
          <w:rFonts w:ascii="'Times New Roman', ;Times;serif', 'COLOR: #000000', 'TEXT-ALIGN: justify'" w:hAnsi="'Times New Roman', ;Times;serif', 'COLOR: #000000', 'TEXT-ALIGN: justify'"/>
          <w:sz w:val="20"/>
        </w:rPr>
        <w:t>"Our businesses continue to perform exceptionally well," said Brian Jellison, Roper's Chairman, President and CEO.  "Revenue growth in the quarter was broad-based, with organic increases in each segment.  We are encouraged by the continued strength in orders, which exceeded revenue in all four segments.  We delivered free cash flow of $217 million, representing 24.5% of revenue."</w:t>
      </w:r>
    </w:p>
    <w:p>
      <w:pPr>
        <w:pStyle w:val="TextBody"/>
        <w:spacing w:before="0" w:after="0"/>
        <w:rPr>
          <w:color w:val="000000"/>
        </w:rPr>
      </w:pPr>
      <w:r>
        <w:rPr>
          <w:color w:val="000000"/>
        </w:rPr>
      </w:r>
    </w:p>
    <w:p>
      <w:pPr>
        <w:pStyle w:val="TextBody"/>
        <w:spacing w:before="0" w:after="0"/>
        <w:rPr>
          <w:rFonts w:ascii="'Times New Roman', ;Times;serif', 'COLOR: #000000', 'TEXT-ALIGN: justify'" w:hAnsi="'Times New Roman', ;Times;serif', 'COLOR: #000000', 'TEXT-ALIGN: justify'"/>
          <w:sz w:val="20"/>
        </w:rPr>
      </w:pPr>
      <w:r>
        <w:rPr>
          <w:rFonts w:ascii="'Times New Roman', ;Times;serif', 'COLOR: #000000', 'TEXT-ALIGN: justify'" w:hAnsi="'Times New Roman', ;Times;serif', 'COLOR: #000000', 'TEXT-ALIGN: justify'"/>
          <w:sz w:val="20"/>
        </w:rPr>
        <w:t>"We invested $303 million in three acquisitions during the quarter," continued Mr. Jellison.  "Strategic Healthcare Programs (SHP) and Innovative Product Achievements (IPA) are outstanding additions to our growing Medical platform.  FoodLink® brings technology for food traceability and commerce solutions to our iTradeNetwork business.  We are pleased with the performance of these businesses and are excited about their growth opportunities.  Looking forward, we finished the quarter with substantial capacity for future acquisitions and have an attractive pipeline of opportunities."</w:t>
      </w:r>
    </w:p>
    <w:p>
      <w:pPr>
        <w:pStyle w:val="TextBody"/>
        <w:spacing w:before="0" w:after="0"/>
        <w:rPr>
          <w:color w:val="000000"/>
        </w:rPr>
      </w:pPr>
      <w:r>
        <w:rPr>
          <w:color w:val="000000"/>
        </w:rPr>
        <w:br/>
        <w:t> </w:t>
      </w:r>
    </w:p>
    <w:p>
      <w:pPr>
        <w:pStyle w:val="TextBody"/>
        <w:spacing w:before="0" w:after="0"/>
        <w:rPr>
          <w:rFonts w:ascii="'Times New Roman', ;Times;serif', 'FONT-WEIGHT: bold', 'COLOR: #000000', 'TEXT-ALIGN: justify'" w:hAnsi="'Times New Roman', ;Times;serif', 'FONT-WEIGHT: bold', 'COLOR: #000000', 'TEXT-ALIGN: justify'"/>
          <w:sz w:val="20"/>
          <w:u w:val="single"/>
        </w:rPr>
      </w:pPr>
      <w:r>
        <w:rPr>
          <w:rFonts w:ascii="'Times New Roman', ;Times;serif', 'FONT-WEIGHT: bold', 'COLOR: #000000', 'TEXT-ALIGN: justify'" w:hAnsi="'Times New Roman', ;Times;serif', 'FONT-WEIGHT: bold', 'COLOR: #000000', 'TEXT-ALIGN: justify'"/>
          <w:sz w:val="20"/>
          <w:u w:val="single"/>
        </w:rPr>
        <w:t>2014 Outlook and Guidance</w:t>
      </w:r>
    </w:p>
    <w:p>
      <w:pPr>
        <w:pStyle w:val="TextBody"/>
        <w:spacing w:before="0" w:after="0"/>
        <w:rPr>
          <w:color w:val="000000"/>
        </w:rPr>
      </w:pPr>
      <w:r>
        <w:rPr>
          <w:color w:val="000000"/>
        </w:rPr>
      </w:r>
    </w:p>
    <w:p>
      <w:pPr>
        <w:pStyle w:val="TextBody"/>
        <w:spacing w:before="0" w:after="0"/>
        <w:rPr>
          <w:rFonts w:ascii="'Times New Roman', ;Times;serif', 'COLOR: #000000', 'TEXT-ALIGN: justify'" w:hAnsi="'Times New Roman', ;Times;serif', 'COLOR: #000000', 'TEXT-ALIGN: justify'"/>
          <w:sz w:val="20"/>
        </w:rPr>
      </w:pPr>
      <w:r>
        <w:rPr>
          <w:rFonts w:ascii="'Times New Roman', ;Times;serif', 'COLOR: #000000', 'TEXT-ALIGN: justify'" w:hAnsi="'Times New Roman', ;Times;serif', 'COLOR: #000000', 'TEXT-ALIGN: justify'"/>
          <w:sz w:val="20"/>
        </w:rPr>
        <w:t>Roper is increasing its full year adjusted diluted earnings per share guidance to $6.32 – $6.38, from its previous range of $6.27 - $6.37, and establishing fourth quarter adjusted diluted earnings per share guidance of $1.75 - $1.81.</w:t>
      </w:r>
    </w:p>
    <w:p>
      <w:pPr>
        <w:pStyle w:val="TextBody"/>
        <w:spacing w:before="0" w:after="0"/>
        <w:rPr>
          <w:color w:val="000000"/>
        </w:rPr>
      </w:pPr>
      <w:r>
        <w:rPr>
          <w:color w:val="000000"/>
        </w:rPr>
      </w:r>
    </w:p>
    <w:p>
      <w:pPr>
        <w:pStyle w:val="TextBody"/>
        <w:spacing w:before="0" w:after="0"/>
        <w:rPr>
          <w:rFonts w:ascii="'Times New Roman', ;Times;serif', 'COLOR: #000000', 'TEXT-ALIGN: justify'" w:hAnsi="'Times New Roman', ;Times;serif', 'COLOR: #000000', 'TEXT-ALIGN: justify'"/>
          <w:sz w:val="20"/>
        </w:rPr>
      </w:pPr>
      <w:r>
        <w:rPr>
          <w:rFonts w:ascii="'Times New Roman', ;Times;serif', 'COLOR: #000000', 'TEXT-ALIGN: justify'" w:hAnsi="'Times New Roman', ;Times;serif', 'COLOR: #000000', 'TEXT-ALIGN: justify'"/>
          <w:sz w:val="20"/>
        </w:rPr>
        <w:t>The company's guidance includes the recognition of acquired revenue which is excluded under GAAP's purchase accounting rules, and also excludes certain items as detailed later in this press release under the heading "Use of Non-GAAP Financial Measures."  The company's guidance excludes the impact of any future acquisitions or divestitures.</w:t>
      </w:r>
    </w:p>
    <w:p>
      <w:pPr>
        <w:pStyle w:val="TextBody"/>
        <w:spacing w:before="0" w:after="0"/>
        <w:rPr>
          <w:color w:val="000000"/>
        </w:rPr>
      </w:pPr>
      <w:r>
        <w:rPr>
          <w:color w:val="000000"/>
        </w:rPr>
        <w:br/>
        <w:t> </w:t>
      </w:r>
    </w:p>
    <w:p>
      <w:pPr>
        <w:pStyle w:val="TextBody"/>
        <w:spacing w:before="0" w:after="0"/>
        <w:rPr>
          <w:rFonts w:ascii="'Times New Roman', ;Times;serif', 'COLOR: #000000', 'FONT-STYLE: italic', 'TEXT-ALIGN: justify'" w:hAnsi="'Times New Roman', ;Times;serif', 'COLOR: #000000', 'FONT-STYLE: italic', 'TEXT-ALIGN: justify'"/>
          <w:sz w:val="20"/>
        </w:rPr>
      </w:pPr>
      <w:r>
        <w:rPr>
          <w:rFonts w:ascii="'Times New Roman', ;Times;serif', 'COLOR: #000000', 'FONT-STYLE: italic', 'TEXT-ALIGN: justify'" w:hAnsi="'Times New Roman', ;Times;serif', 'COLOR: #000000', 'FONT-STYLE: italic', 'TEXT-ALIGN: justify'"/>
          <w:sz w:val="20"/>
        </w:rPr>
        <w:t>Use of Non-GAAP Financial Measures</w:t>
      </w:r>
    </w:p>
    <w:p>
      <w:pPr>
        <w:pStyle w:val="TextBody"/>
        <w:spacing w:before="0" w:after="0"/>
        <w:rPr>
          <w:color w:val="000000"/>
        </w:rPr>
      </w:pPr>
      <w:r>
        <w:rPr>
          <w:color w:val="000000"/>
        </w:rPr>
      </w:r>
    </w:p>
    <w:p>
      <w:pPr>
        <w:pStyle w:val="TextBody"/>
        <w:spacing w:before="0" w:after="0"/>
        <w:rPr>
          <w:rFonts w:ascii="'Times New Roman', ;Times;serif', 'COLOR: #000000', 'FONT-STYLE: italic', 'TEXT-ALIGN: justify'" w:hAnsi="'Times New Roman', ;Times;serif', 'COLOR: #000000', 'FONT-STYLE: italic', 'TEXT-ALIGN: justify'"/>
          <w:sz w:val="20"/>
        </w:rPr>
      </w:pPr>
      <w:r>
        <w:rPr>
          <w:rFonts w:ascii="'Times New Roman', ;Times;serif', 'COLOR: #000000', 'FONT-STYLE: italic', 'TEXT-ALIGN: justify'" w:hAnsi="'Times New Roman', ;Times;serif', 'COLOR: #000000', 'FONT-STYLE: italic', 'TEXT-ALIGN: justify'"/>
          <w:sz w:val="20"/>
        </w:rPr>
        <w:t>The company supplements its consolidated financial statements presented on a GAAP basis with certain non-GAAP financial information to provide investors with greater insight, increase transparency and allow for a more comprehensive understanding of the information used by management in its financial and operational decision-making.  Reconciliation of non-GAAP measures to their most directly comparable GAAP measures are included in the accompanying financial schedules or tables.  Non-GAAP financial measures disclosed by the company should not be considered a substitute for, or superior to, financial measures prepared in accordance with GAAP.  The financial results prepared in accordance with GAAP and reconciliations from these results should be carefully evaluated.</w:t>
      </w:r>
    </w:p>
    <w:p>
      <w:pPr>
        <w:pStyle w:val="TextBody"/>
        <w:spacing w:before="0" w:after="0"/>
        <w:rPr>
          <w:color w:val="000000"/>
        </w:rPr>
      </w:pPr>
      <w:r>
        <w:rPr>
          <w:color w:val="000000"/>
        </w:rPr>
        <w:t> </w:t>
      </w:r>
    </w:p>
    <w:p>
      <w:pPr>
        <w:pStyle w:val="TextBody"/>
        <w:spacing w:before="0" w:after="0"/>
        <w:rPr>
          <w:color w:val="000000"/>
        </w:rPr>
      </w:pPr>
      <w:r>
        <w:rPr>
          <w:color w:val="000000"/>
        </w:rPr>
        <w:t> </w:t>
      </w:r>
    </w:p>
    <w:p>
      <w:pPr>
        <w:pStyle w:val="TextBody"/>
        <w:spacing w:before="0" w:after="0"/>
        <w:rPr>
          <w:color w:val="000000"/>
        </w:rPr>
      </w:pPr>
      <w:r>
        <w:rPr>
          <w:color w:val="000000"/>
        </w:rPr>
        <w:t>Table 1:  Revenue Growth Detail</w:t>
      </w:r>
    </w:p>
    <w:p>
      <w:pPr>
        <w:pStyle w:val="TextBody"/>
        <w:spacing w:before="0" w:after="0"/>
        <w:rPr>
          <w:color w:val="000000"/>
        </w:rPr>
      </w:pPr>
      <w:r>
        <w:rPr>
          <w:color w:val="000000"/>
        </w:rPr>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5565775" cy="4481830"/>
                <wp:effectExtent l="0" t="0" r="0" b="0"/>
                <wp:wrapSquare wrapText="largest"/>
                <wp:docPr id="2" name="Frame1"/>
                <a:graphic xmlns:a="http://schemas.openxmlformats.org/drawingml/2006/main">
                  <a:graphicData uri="http://schemas.microsoft.com/office/word/2010/wordprocessingShape">
                    <wps:wsp>
                      <wps:cNvSpPr txBox="1"/>
                      <wps:spPr>
                        <a:xfrm>
                          <a:off x="0" y="0"/>
                          <a:ext cx="5565775" cy="4481830"/>
                        </a:xfrm>
                        <a:prstGeom prst="rect"/>
                      </wps:spPr>
                      <wps:txbx>
                        <w:txbxContent>
                          <w:tbl>
                            <w:tblPr>
                              <w:tblW w:w="8765" w:type="dxa"/>
                              <w:jc w:val="left"/>
                              <w:tblInd w:w="0" w:type="dxa"/>
                              <w:tblCellMar>
                                <w:top w:w="0" w:type="dxa"/>
                                <w:left w:w="0" w:type="dxa"/>
                                <w:bottom w:w="0" w:type="dxa"/>
                                <w:right w:w="0" w:type="dxa"/>
                              </w:tblCellMar>
                            </w:tblPr>
                            <w:tblGrid>
                              <w:gridCol w:w="7145"/>
                              <w:gridCol w:w="60"/>
                              <w:gridCol w:w="125"/>
                              <w:gridCol w:w="335"/>
                              <w:gridCol w:w="60"/>
                              <w:gridCol w:w="60"/>
                              <w:gridCol w:w="125"/>
                              <w:gridCol w:w="335"/>
                              <w:gridCol w:w="60"/>
                              <w:gridCol w:w="60"/>
                              <w:gridCol w:w="60"/>
                              <w:gridCol w:w="155"/>
                              <w:gridCol w:w="185"/>
                            </w:tblGrid>
                            <w:tr>
                              <w:trPr/>
                              <w:tc>
                                <w:tcPr>
                                  <w:tcW w:w="7145"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460" w:type="dxa"/>
                                  <w:gridSpan w:val="2"/>
                                  <w:tcBorders>
                                    <w:bottom w:val="single" w:sz="12" w:space="0" w:color="000000"/>
                                  </w:tcBorders>
                                  <w:shd w:fill="auto" w:val="clear"/>
                                  <w:tcMar>
                                    <w:bottom w:w="28" w:type="dxa"/>
                                  </w:tcMar>
                                  <w:vAlign w:val="bottom"/>
                                </w:tcPr>
                                <w:p>
                                  <w:pPr>
                                    <w:pStyle w:val="TableContents"/>
                                    <w:spacing w:before="0" w:after="0"/>
                                    <w:rPr>
                                      <w:rFonts w:ascii="'Times New Roman', ;Times;serif', 'TEXT-ALIGN: right'" w:hAnsi="'Times New Roman', ;Times;serif', 'TEXT-ALIGN: right'"/>
                                      <w:color w:val="000000"/>
                                      <w:sz w:val="20"/>
                                    </w:rPr>
                                  </w:pPr>
                                  <w:r>
                                    <w:rPr>
                                      <w:rFonts w:ascii="'Times New Roman', ;Times;serif', 'TEXT-ALIGN: right'" w:hAnsi="'Times New Roman', ;Times;serif', 'TEXT-ALIGN: right'"/>
                                      <w:color w:val="000000"/>
                                      <w:sz w:val="20"/>
                                    </w:rPr>
                                    <w:t>2014</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460" w:type="dxa"/>
                                  <w:gridSpan w:val="2"/>
                                  <w:tcBorders>
                                    <w:bottom w:val="single" w:sz="12" w:space="0" w:color="000000"/>
                                  </w:tcBorders>
                                  <w:shd w:fill="auto" w:val="clear"/>
                                  <w:tcMar>
                                    <w:bottom w:w="28" w:type="dxa"/>
                                  </w:tcMar>
                                  <w:vAlign w:val="bottom"/>
                                </w:tcPr>
                                <w:p>
                                  <w:pPr>
                                    <w:pStyle w:val="TableContents"/>
                                    <w:spacing w:before="0" w:after="0"/>
                                    <w:rPr>
                                      <w:rFonts w:ascii="'Times New Roman', ;Times;serif', 'TEXT-ALIGN: right'" w:hAnsi="'Times New Roman', ;Times;serif', 'TEXT-ALIGN: right'"/>
                                      <w:color w:val="000000"/>
                                      <w:sz w:val="20"/>
                                    </w:rPr>
                                  </w:pPr>
                                  <w:r>
                                    <w:rPr>
                                      <w:rFonts w:ascii="'Times New Roman', ;Times;serif', 'TEXT-ALIGN: right'" w:hAnsi="'Times New Roman', ;Times;serif', 'TEXT-ALIGN: right'"/>
                                      <w:color w:val="000000"/>
                                      <w:sz w:val="20"/>
                                    </w:rPr>
                                    <w:t>2013</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15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V</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r>
                            <w:tr>
                              <w:trPr/>
                              <w:tc>
                                <w:tcPr>
                                  <w:tcW w:w="714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Q3 GAAP Revenue</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33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884</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33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828</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15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7</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r>
                            <w:tr>
                              <w:trPr/>
                              <w:tc>
                                <w:tcPr>
                                  <w:tcW w:w="714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Purchase Accounting Adjustment to Acquired Revenue (Sunquest, MHA)</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9</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15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Purchase Accounting Adjustment to Acquired Deferred Revenue (SHP, FoodLink)</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33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335" w:type="dxa"/>
                                  <w:tcBorders>
                                    <w:bottom w:val="single" w:sz="12" w:space="0" w:color="000000"/>
                                  </w:tcBorders>
                                  <w:shd w:fill="auto" w:val="clear"/>
                                  <w:tcMar>
                                    <w:bottom w:w="28" w:type="dxa"/>
                                  </w:tcM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155" w:type="dxa"/>
                                  <w:tcBorders>
                                    <w:bottom w:val="single" w:sz="12" w:space="0" w:color="000000"/>
                                  </w:tcBorders>
                                  <w:shd w:fill="auto" w:val="clear"/>
                                  <w:tcMar>
                                    <w:bottom w:w="28" w:type="dxa"/>
                                  </w:tcM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Q3 Adjusted Revenue</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335"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885</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335"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837</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bottom w:val="double" w:sz="8"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155"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6</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r>
                            <w:tr>
                              <w:trPr/>
                              <w:tc>
                                <w:tcPr>
                                  <w:tcW w:w="7145" w:type="dxa"/>
                                  <w:tcBorders/>
                                  <w:shd w:fill="auto" w:val="clear"/>
                                  <w:vAlign w:val="bottom"/>
                                </w:tcPr>
                                <w:p>
                                  <w:pPr>
                                    <w:pStyle w:val="TableContents"/>
                                    <w:spacing w:before="0" w:after="0"/>
                                    <w:rPr>
                                      <w:color w:val="000000"/>
                                    </w:rPr>
                                  </w:pPr>
                                  <w:r>
                                    <w:rPr>
                                      <w:color w:val="000000"/>
                                    </w:rPr>
                                    <w:t> </w:t>
                                  </w:r>
                                </w:p>
                                <w:p>
                                  <w:pPr>
                                    <w:pStyle w:val="TableContents"/>
                                    <w:spacing w:before="0" w:after="0"/>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15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Components of Adjusted Revenue Growth</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15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Organic</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15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4</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r>
                            <w:tr>
                              <w:trPr/>
                              <w:tc>
                                <w:tcPr>
                                  <w:tcW w:w="714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Acquisitions</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15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2</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r>
                            <w:tr>
                              <w:trPr/>
                              <w:tc>
                                <w:tcPr>
                                  <w:tcW w:w="714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Foreign Exchange</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15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r>
                            <w:tr>
                              <w:trPr/>
                              <w:tc>
                                <w:tcPr>
                                  <w:tcW w:w="714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Total Growth</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bottom w:val="double" w:sz="8"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155"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6</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r>
                            <w:tr>
                              <w:trPr/>
                              <w:tc>
                                <w:tcPr>
                                  <w:tcW w:w="7145"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15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r>
                          </w:tbl>
                        </w:txbxContent>
                      </wps:txbx>
                      <wps:bodyPr anchor="t" lIns="0" tIns="0" rIns="0" bIns="0">
                        <a:noAutofit/>
                      </wps:bodyPr>
                    </wps:wsp>
                  </a:graphicData>
                </a:graphic>
              </wp:anchor>
            </w:drawing>
          </mc:Choice>
          <mc:Fallback>
            <w:pict>
              <v:rect style="position:absolute;rotation:0;width:438.25pt;height:352.9pt;mso-wrap-distance-left:0pt;mso-wrap-distance-right:0pt;mso-wrap-distance-top:0pt;mso-wrap-distance-bottom:0pt;margin-top:0pt;mso-position-vertical:top;mso-position-vertical-relative:text;margin-left:0pt;mso-position-horizontal:left;mso-position-horizontal-relative:text">
                <v:textbox>
                  <w:txbxContent>
                    <w:tbl>
                      <w:tblPr>
                        <w:tblW w:w="8765" w:type="dxa"/>
                        <w:jc w:val="left"/>
                        <w:tblInd w:w="0" w:type="dxa"/>
                        <w:tblCellMar>
                          <w:top w:w="0" w:type="dxa"/>
                          <w:left w:w="0" w:type="dxa"/>
                          <w:bottom w:w="0" w:type="dxa"/>
                          <w:right w:w="0" w:type="dxa"/>
                        </w:tblCellMar>
                      </w:tblPr>
                      <w:tblGrid>
                        <w:gridCol w:w="7145"/>
                        <w:gridCol w:w="60"/>
                        <w:gridCol w:w="125"/>
                        <w:gridCol w:w="335"/>
                        <w:gridCol w:w="60"/>
                        <w:gridCol w:w="60"/>
                        <w:gridCol w:w="125"/>
                        <w:gridCol w:w="335"/>
                        <w:gridCol w:w="60"/>
                        <w:gridCol w:w="60"/>
                        <w:gridCol w:w="60"/>
                        <w:gridCol w:w="155"/>
                        <w:gridCol w:w="185"/>
                      </w:tblGrid>
                      <w:tr>
                        <w:trPr/>
                        <w:tc>
                          <w:tcPr>
                            <w:tcW w:w="7145"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460" w:type="dxa"/>
                            <w:gridSpan w:val="2"/>
                            <w:tcBorders>
                              <w:bottom w:val="single" w:sz="12" w:space="0" w:color="000000"/>
                            </w:tcBorders>
                            <w:shd w:fill="auto" w:val="clear"/>
                            <w:tcMar>
                              <w:bottom w:w="28" w:type="dxa"/>
                            </w:tcMar>
                            <w:vAlign w:val="bottom"/>
                          </w:tcPr>
                          <w:p>
                            <w:pPr>
                              <w:pStyle w:val="TableContents"/>
                              <w:spacing w:before="0" w:after="0"/>
                              <w:rPr>
                                <w:rFonts w:ascii="'Times New Roman', ;Times;serif', 'TEXT-ALIGN: right'" w:hAnsi="'Times New Roman', ;Times;serif', 'TEXT-ALIGN: right'"/>
                                <w:color w:val="000000"/>
                                <w:sz w:val="20"/>
                              </w:rPr>
                            </w:pPr>
                            <w:r>
                              <w:rPr>
                                <w:rFonts w:ascii="'Times New Roman', ;Times;serif', 'TEXT-ALIGN: right'" w:hAnsi="'Times New Roman', ;Times;serif', 'TEXT-ALIGN: right'"/>
                                <w:color w:val="000000"/>
                                <w:sz w:val="20"/>
                              </w:rPr>
                              <w:t>2014</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460" w:type="dxa"/>
                            <w:gridSpan w:val="2"/>
                            <w:tcBorders>
                              <w:bottom w:val="single" w:sz="12" w:space="0" w:color="000000"/>
                            </w:tcBorders>
                            <w:shd w:fill="auto" w:val="clear"/>
                            <w:tcMar>
                              <w:bottom w:w="28" w:type="dxa"/>
                            </w:tcMar>
                            <w:vAlign w:val="bottom"/>
                          </w:tcPr>
                          <w:p>
                            <w:pPr>
                              <w:pStyle w:val="TableContents"/>
                              <w:spacing w:before="0" w:after="0"/>
                              <w:rPr>
                                <w:rFonts w:ascii="'Times New Roman', ;Times;serif', 'TEXT-ALIGN: right'" w:hAnsi="'Times New Roman', ;Times;serif', 'TEXT-ALIGN: right'"/>
                                <w:color w:val="000000"/>
                                <w:sz w:val="20"/>
                              </w:rPr>
                            </w:pPr>
                            <w:r>
                              <w:rPr>
                                <w:rFonts w:ascii="'Times New Roman', ;Times;serif', 'TEXT-ALIGN: right'" w:hAnsi="'Times New Roman', ;Times;serif', 'TEXT-ALIGN: right'"/>
                                <w:color w:val="000000"/>
                                <w:sz w:val="20"/>
                              </w:rPr>
                              <w:t>2013</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15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V</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r>
                      <w:tr>
                        <w:trPr/>
                        <w:tc>
                          <w:tcPr>
                            <w:tcW w:w="714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Q3 GAAP Revenue</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33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884</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33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828</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15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7</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r>
                      <w:tr>
                        <w:trPr/>
                        <w:tc>
                          <w:tcPr>
                            <w:tcW w:w="714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Purchase Accounting Adjustment to Acquired Revenue (Sunquest, MHA)</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9</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15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Purchase Accounting Adjustment to Acquired Deferred Revenue (SHP, FoodLink)</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33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335" w:type="dxa"/>
                            <w:tcBorders>
                              <w:bottom w:val="single" w:sz="12" w:space="0" w:color="000000"/>
                            </w:tcBorders>
                            <w:shd w:fill="auto" w:val="clear"/>
                            <w:tcMar>
                              <w:bottom w:w="28" w:type="dxa"/>
                            </w:tcM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155" w:type="dxa"/>
                            <w:tcBorders>
                              <w:bottom w:val="single" w:sz="12" w:space="0" w:color="000000"/>
                            </w:tcBorders>
                            <w:shd w:fill="auto" w:val="clear"/>
                            <w:tcMar>
                              <w:bottom w:w="28" w:type="dxa"/>
                            </w:tcM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Q3 Adjusted Revenue</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335"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885</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335"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837</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bottom w:val="double" w:sz="8"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155"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6</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r>
                      <w:tr>
                        <w:trPr/>
                        <w:tc>
                          <w:tcPr>
                            <w:tcW w:w="7145" w:type="dxa"/>
                            <w:tcBorders/>
                            <w:shd w:fill="auto" w:val="clear"/>
                            <w:vAlign w:val="bottom"/>
                          </w:tcPr>
                          <w:p>
                            <w:pPr>
                              <w:pStyle w:val="TableContents"/>
                              <w:spacing w:before="0" w:after="0"/>
                              <w:rPr>
                                <w:color w:val="000000"/>
                              </w:rPr>
                            </w:pPr>
                            <w:r>
                              <w:rPr>
                                <w:color w:val="000000"/>
                              </w:rPr>
                              <w:t> </w:t>
                            </w:r>
                          </w:p>
                          <w:p>
                            <w:pPr>
                              <w:pStyle w:val="TableContents"/>
                              <w:spacing w:before="0" w:after="0"/>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15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Components of Adjusted Revenue Growth</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15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Organic</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15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4</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r>
                      <w:tr>
                        <w:trPr/>
                        <w:tc>
                          <w:tcPr>
                            <w:tcW w:w="714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Acquisitions</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15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2</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r>
                      <w:tr>
                        <w:trPr/>
                        <w:tc>
                          <w:tcPr>
                            <w:tcW w:w="714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Foreign Exchange</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15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r>
                      <w:tr>
                        <w:trPr/>
                        <w:tc>
                          <w:tcPr>
                            <w:tcW w:w="714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Total Growth</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bottom w:val="double" w:sz="8"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155"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6</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r>
                      <w:tr>
                        <w:trPr/>
                        <w:tc>
                          <w:tcPr>
                            <w:tcW w:w="7145"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35"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15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r>
                    </w:tbl>
                  </w:txbxContent>
                </v:textbox>
                <w10:wrap type="square" side="right"/>
              </v:rect>
            </w:pict>
          </mc:Fallback>
        </mc:AlternateConten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orizontalLine"/>
        <w:pBdr>
          <w:bottom w:val="single" w:sz="20" w:space="0" w:color="808080"/>
        </w:pBdr>
        <w:spacing w:before="200" w:after="200"/>
        <w:rPr/>
      </w:pPr>
      <w:r>
        <w:rPr/>
      </w:r>
      <w:bookmarkStart w:id="14" w:name="DSPFPageBreak"/>
      <w:bookmarkStart w:id="15" w:name="DSPFPageBreak"/>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color w:val="000000"/>
        </w:rPr>
      </w:pPr>
      <w:r>
        <w:rPr>
          <w:color w:val="000000"/>
        </w:rPr>
        <w:t>Table 2:  Reconciliation of Q3 2014 GAAP DEPS to Adjusted DEPS</w:t>
      </w:r>
    </w:p>
    <w:p>
      <w:pPr>
        <w:pStyle w:val="TextBody"/>
        <w:spacing w:before="0" w:after="0"/>
        <w:rPr>
          <w:color w:val="000000"/>
        </w:rPr>
      </w:pPr>
      <w:r>
        <w:rPr>
          <w:color w:val="000000"/>
        </w:rPr>
        <w:t>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6213475" cy="2614295"/>
                <wp:effectExtent l="0" t="0" r="0" b="0"/>
                <wp:wrapSquare wrapText="largest"/>
                <wp:docPr id="3" name="Frame2"/>
                <a:graphic xmlns:a="http://schemas.openxmlformats.org/drawingml/2006/main">
                  <a:graphicData uri="http://schemas.microsoft.com/office/word/2010/wordprocessingShape">
                    <wps:wsp>
                      <wps:cNvSpPr txBox="1"/>
                      <wps:spPr>
                        <a:xfrm>
                          <a:off x="0" y="0"/>
                          <a:ext cx="6213475" cy="2614295"/>
                        </a:xfrm>
                        <a:prstGeom prst="rect"/>
                      </wps:spPr>
                      <wps:txbx>
                        <w:txbxContent>
                          <w:tbl>
                            <w:tblPr>
                              <w:tblW w:w="9785" w:type="dxa"/>
                              <w:jc w:val="left"/>
                              <w:tblInd w:w="0" w:type="dxa"/>
                              <w:tblCellMar>
                                <w:top w:w="0" w:type="dxa"/>
                                <w:left w:w="0" w:type="dxa"/>
                                <w:bottom w:w="0" w:type="dxa"/>
                                <w:right w:w="0" w:type="dxa"/>
                              </w:tblCellMar>
                            </w:tblPr>
                            <w:tblGrid>
                              <w:gridCol w:w="8000"/>
                              <w:gridCol w:w="60"/>
                              <w:gridCol w:w="125"/>
                              <w:gridCol w:w="380"/>
                              <w:gridCol w:w="60"/>
                              <w:gridCol w:w="60"/>
                              <w:gridCol w:w="125"/>
                              <w:gridCol w:w="380"/>
                              <w:gridCol w:w="60"/>
                              <w:gridCol w:w="60"/>
                              <w:gridCol w:w="60"/>
                              <w:gridCol w:w="230"/>
                              <w:gridCol w:w="185"/>
                            </w:tblGrid>
                            <w:tr>
                              <w:trPr/>
                              <w:tc>
                                <w:tcPr>
                                  <w:tcW w:w="800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505" w:type="dxa"/>
                                  <w:gridSpan w:val="2"/>
                                  <w:tcBorders>
                                    <w:bottom w:val="single" w:sz="12" w:space="0" w:color="000000"/>
                                  </w:tcBorders>
                                  <w:shd w:fill="auto" w:val="clear"/>
                                  <w:tcMar>
                                    <w:bottom w:w="28" w:type="dxa"/>
                                  </w:tcMar>
                                  <w:vAlign w:val="bottom"/>
                                </w:tcPr>
                                <w:p>
                                  <w:pPr>
                                    <w:pStyle w:val="TableContents"/>
                                    <w:spacing w:before="0" w:after="0"/>
                                    <w:rPr>
                                      <w:rFonts w:ascii="'Times New Roman', ;Times;serif', 'TEXT-ALIGN: right'" w:hAnsi="'Times New Roman', ;Times;serif', 'TEXT-ALIGN: right'"/>
                                      <w:color w:val="000000"/>
                                      <w:sz w:val="20"/>
                                    </w:rPr>
                                  </w:pPr>
                                  <w:r>
                                    <w:rPr>
                                      <w:rFonts w:ascii="'Times New Roman', ;Times;serif', 'TEXT-ALIGN: right'" w:hAnsi="'Times New Roman', ;Times;serif', 'TEXT-ALIGN: right'"/>
                                      <w:color w:val="000000"/>
                                      <w:sz w:val="20"/>
                                    </w:rPr>
                                    <w:t>2014</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505" w:type="dxa"/>
                                  <w:gridSpan w:val="2"/>
                                  <w:tcBorders>
                                    <w:bottom w:val="single" w:sz="12" w:space="0" w:color="000000"/>
                                  </w:tcBorders>
                                  <w:shd w:fill="auto" w:val="clear"/>
                                  <w:tcMar>
                                    <w:bottom w:w="28" w:type="dxa"/>
                                  </w:tcMar>
                                  <w:vAlign w:val="bottom"/>
                                </w:tcPr>
                                <w:p>
                                  <w:pPr>
                                    <w:pStyle w:val="TableContents"/>
                                    <w:spacing w:before="0" w:after="0"/>
                                    <w:rPr>
                                      <w:rFonts w:ascii="'Times New Roman', ;Times;serif', 'TEXT-ALIGN: right'" w:hAnsi="'Times New Roman', ;Times;serif', 'TEXT-ALIGN: right'"/>
                                      <w:color w:val="000000"/>
                                      <w:sz w:val="20"/>
                                    </w:rPr>
                                  </w:pPr>
                                  <w:r>
                                    <w:rPr>
                                      <w:rFonts w:ascii="'Times New Roman', ;Times;serif', 'TEXT-ALIGN: right'" w:hAnsi="'Times New Roman', ;Times;serif', 'TEXT-ALIGN: right'"/>
                                      <w:color w:val="000000"/>
                                      <w:sz w:val="20"/>
                                    </w:rPr>
                                    <w:t>2013</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230"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V</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r>
                            <w:tr>
                              <w:trPr/>
                              <w:tc>
                                <w:tcPr>
                                  <w:tcW w:w="8000"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GAAP Diluted Earnings Per Share (DEPS)</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380"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1.54</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380"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1.36</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230"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13</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r>
                            <w:tr>
                              <w:trPr/>
                              <w:tc>
                                <w:tcPr>
                                  <w:tcW w:w="8000"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Purchase Accounting Adjustment to Acquired Deferred Revenue (FoodLink, SHP), net of tax</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380"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0.01</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80"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230"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8000"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Acquisition-Related Inventory Step-up Charge (IPA), net of tax</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380"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0.00</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80"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230"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8000"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Purchase Accounting Adjustment for Acquired Revenue (Sunquest, MHA)</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380" w:type="dxa"/>
                                  <w:tcBorders>
                                    <w:bottom w:val="single" w:sz="12" w:space="0" w:color="000000"/>
                                  </w:tcBorders>
                                  <w:shd w:fill="auto" w:val="clear"/>
                                  <w:tcMar>
                                    <w:bottom w:w="28" w:type="dxa"/>
                                  </w:tcM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380"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0.06</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230" w:type="dxa"/>
                                  <w:tcBorders>
                                    <w:bottom w:val="single" w:sz="12" w:space="0" w:color="000000"/>
                                  </w:tcBorders>
                                  <w:shd w:fill="auto" w:val="clear"/>
                                  <w:tcMar>
                                    <w:bottom w:w="28" w:type="dxa"/>
                                  </w:tcM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8000"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Adjusted DEPS</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380"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1.55</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380"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1.42</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bottom w:val="double" w:sz="8"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230"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9</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r>
                            <w:tr>
                              <w:trPr/>
                              <w:tc>
                                <w:tcPr>
                                  <w:tcW w:w="800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80"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80"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230"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r>
                          </w:tbl>
                        </w:txbxContent>
                      </wps:txbx>
                      <wps:bodyPr anchor="t" lIns="0" tIns="0" rIns="0" bIns="0">
                        <a:noAutofit/>
                      </wps:bodyPr>
                    </wps:wsp>
                  </a:graphicData>
                </a:graphic>
              </wp:anchor>
            </w:drawing>
          </mc:Choice>
          <mc:Fallback>
            <w:pict>
              <v:rect style="position:absolute;rotation:0;width:489.25pt;height:205.85pt;mso-wrap-distance-left:0pt;mso-wrap-distance-right:0pt;mso-wrap-distance-top:0pt;mso-wrap-distance-bottom:0pt;margin-top:0pt;mso-position-vertical:top;mso-position-vertical-relative:text;margin-left:0pt;mso-position-horizontal:left;mso-position-horizontal-relative:text">
                <v:textbox>
                  <w:txbxContent>
                    <w:tbl>
                      <w:tblPr>
                        <w:tblW w:w="9785" w:type="dxa"/>
                        <w:jc w:val="left"/>
                        <w:tblInd w:w="0" w:type="dxa"/>
                        <w:tblCellMar>
                          <w:top w:w="0" w:type="dxa"/>
                          <w:left w:w="0" w:type="dxa"/>
                          <w:bottom w:w="0" w:type="dxa"/>
                          <w:right w:w="0" w:type="dxa"/>
                        </w:tblCellMar>
                      </w:tblPr>
                      <w:tblGrid>
                        <w:gridCol w:w="8000"/>
                        <w:gridCol w:w="60"/>
                        <w:gridCol w:w="125"/>
                        <w:gridCol w:w="380"/>
                        <w:gridCol w:w="60"/>
                        <w:gridCol w:w="60"/>
                        <w:gridCol w:w="125"/>
                        <w:gridCol w:w="380"/>
                        <w:gridCol w:w="60"/>
                        <w:gridCol w:w="60"/>
                        <w:gridCol w:w="60"/>
                        <w:gridCol w:w="230"/>
                        <w:gridCol w:w="185"/>
                      </w:tblGrid>
                      <w:tr>
                        <w:trPr/>
                        <w:tc>
                          <w:tcPr>
                            <w:tcW w:w="800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505" w:type="dxa"/>
                            <w:gridSpan w:val="2"/>
                            <w:tcBorders>
                              <w:bottom w:val="single" w:sz="12" w:space="0" w:color="000000"/>
                            </w:tcBorders>
                            <w:shd w:fill="auto" w:val="clear"/>
                            <w:tcMar>
                              <w:bottom w:w="28" w:type="dxa"/>
                            </w:tcMar>
                            <w:vAlign w:val="bottom"/>
                          </w:tcPr>
                          <w:p>
                            <w:pPr>
                              <w:pStyle w:val="TableContents"/>
                              <w:spacing w:before="0" w:after="0"/>
                              <w:rPr>
                                <w:rFonts w:ascii="'Times New Roman', ;Times;serif', 'TEXT-ALIGN: right'" w:hAnsi="'Times New Roman', ;Times;serif', 'TEXT-ALIGN: right'"/>
                                <w:color w:val="000000"/>
                                <w:sz w:val="20"/>
                              </w:rPr>
                            </w:pPr>
                            <w:r>
                              <w:rPr>
                                <w:rFonts w:ascii="'Times New Roman', ;Times;serif', 'TEXT-ALIGN: right'" w:hAnsi="'Times New Roman', ;Times;serif', 'TEXT-ALIGN: right'"/>
                                <w:color w:val="000000"/>
                                <w:sz w:val="20"/>
                              </w:rPr>
                              <w:t>2014</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505" w:type="dxa"/>
                            <w:gridSpan w:val="2"/>
                            <w:tcBorders>
                              <w:bottom w:val="single" w:sz="12" w:space="0" w:color="000000"/>
                            </w:tcBorders>
                            <w:shd w:fill="auto" w:val="clear"/>
                            <w:tcMar>
                              <w:bottom w:w="28" w:type="dxa"/>
                            </w:tcMar>
                            <w:vAlign w:val="bottom"/>
                          </w:tcPr>
                          <w:p>
                            <w:pPr>
                              <w:pStyle w:val="TableContents"/>
                              <w:spacing w:before="0" w:after="0"/>
                              <w:rPr>
                                <w:rFonts w:ascii="'Times New Roman', ;Times;serif', 'TEXT-ALIGN: right'" w:hAnsi="'Times New Roman', ;Times;serif', 'TEXT-ALIGN: right'"/>
                                <w:color w:val="000000"/>
                                <w:sz w:val="20"/>
                              </w:rPr>
                            </w:pPr>
                            <w:r>
                              <w:rPr>
                                <w:rFonts w:ascii="'Times New Roman', ;Times;serif', 'TEXT-ALIGN: right'" w:hAnsi="'Times New Roman', ;Times;serif', 'TEXT-ALIGN: right'"/>
                                <w:color w:val="000000"/>
                                <w:sz w:val="20"/>
                              </w:rPr>
                              <w:t>2013</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230"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V</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r>
                      <w:tr>
                        <w:trPr/>
                        <w:tc>
                          <w:tcPr>
                            <w:tcW w:w="8000"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GAAP Diluted Earnings Per Share (DEPS)</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380"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1.54</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380"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1.36</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230"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13</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r>
                      <w:tr>
                        <w:trPr/>
                        <w:tc>
                          <w:tcPr>
                            <w:tcW w:w="8000"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Purchase Accounting Adjustment to Acquired Deferred Revenue (FoodLink, SHP), net of tax</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380"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0.01</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80"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230"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8000"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Acquisition-Related Inventory Step-up Charge (IPA), net of tax</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380"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0.00</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80"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230"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8000"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Purchase Accounting Adjustment for Acquired Revenue (Sunquest, MHA)</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380" w:type="dxa"/>
                            <w:tcBorders>
                              <w:bottom w:val="single" w:sz="12" w:space="0" w:color="000000"/>
                            </w:tcBorders>
                            <w:shd w:fill="auto" w:val="clear"/>
                            <w:tcMar>
                              <w:bottom w:w="28" w:type="dxa"/>
                            </w:tcM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380"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0.06</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230" w:type="dxa"/>
                            <w:tcBorders>
                              <w:bottom w:val="single" w:sz="12" w:space="0" w:color="000000"/>
                            </w:tcBorders>
                            <w:shd w:fill="auto" w:val="clear"/>
                            <w:tcMar>
                              <w:bottom w:w="28" w:type="dxa"/>
                            </w:tcM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8000"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Adjusted DEPS</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380"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1.55</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380"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1.42</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bottom w:val="double" w:sz="8"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230"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9</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r>
                      <w:tr>
                        <w:trPr/>
                        <w:tc>
                          <w:tcPr>
                            <w:tcW w:w="800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80"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380"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230"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r>
                    </w:tbl>
                  </w:txbxContent>
                </v:textbox>
                <w10:wrap type="square" side="right"/>
              </v:rect>
            </w:pict>
          </mc:Fallback>
        </mc:AlternateContent>
      </w:r>
    </w:p>
    <w:p>
      <w:pPr>
        <w:pStyle w:val="TextBody"/>
        <w:spacing w:before="0" w:after="0"/>
        <w:rPr>
          <w:rFonts w:ascii="'Times New Roman', ;Times;serif', 'COLOR: #000000', 'TEXT-ALIGN: justify'" w:hAnsi="'Times New Roman', ;Times;serif', 'COLOR: #000000', 'TEXT-ALIGN: justify'"/>
          <w:sz w:val="20"/>
        </w:rPr>
      </w:pPr>
      <w:r>
        <w:rPr>
          <w:rFonts w:ascii="'Times New Roman', ;Times;serif', 'COLOR: #000000', 'TEXT-ALIGN: justify'" w:hAnsi="'Times New Roman', ;Times;serif', 'COLOR: #000000', 'TEXT-ALIGN: justify'"/>
          <w:sz w:val="20"/>
        </w:rPr>
        <w:t>Table 3:  Adjusted Net Income Reconciliation</w:t>
      </w:r>
    </w:p>
    <w:p>
      <w:pPr>
        <w:pStyle w:val="TextBody"/>
        <w:spacing w:before="0" w:after="0"/>
        <w:rPr>
          <w:color w:val="000000"/>
        </w:rPr>
      </w:pPr>
      <w:r>
        <w:rPr>
          <w:color w:val="000000"/>
        </w:rPr>
        <w:br/>
        <w:t>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5381625" cy="1848485"/>
                <wp:effectExtent l="0" t="0" r="0" b="0"/>
                <wp:wrapSquare wrapText="largest"/>
                <wp:docPr id="4" name="Frame3"/>
                <a:graphic xmlns:a="http://schemas.openxmlformats.org/drawingml/2006/main">
                  <a:graphicData uri="http://schemas.microsoft.com/office/word/2010/wordprocessingShape">
                    <wps:wsp>
                      <wps:cNvSpPr txBox="1"/>
                      <wps:spPr>
                        <a:xfrm>
                          <a:off x="0" y="0"/>
                          <a:ext cx="5381625" cy="1848485"/>
                        </a:xfrm>
                        <a:prstGeom prst="rect"/>
                      </wps:spPr>
                      <wps:txbx>
                        <w:txbxContent>
                          <w:tbl>
                            <w:tblPr>
                              <w:tblW w:w="8475" w:type="dxa"/>
                              <w:jc w:val="left"/>
                              <w:tblInd w:w="0" w:type="dxa"/>
                              <w:tblCellMar>
                                <w:top w:w="0" w:type="dxa"/>
                                <w:left w:w="0" w:type="dxa"/>
                                <w:bottom w:w="0" w:type="dxa"/>
                                <w:right w:w="0" w:type="dxa"/>
                              </w:tblCellMar>
                            </w:tblPr>
                            <w:tblGrid>
                              <w:gridCol w:w="7505"/>
                              <w:gridCol w:w="60"/>
                              <w:gridCol w:w="125"/>
                              <w:gridCol w:w="725"/>
                              <w:gridCol w:w="60"/>
                            </w:tblGrid>
                            <w:tr>
                              <w:trPr/>
                              <w:tc>
                                <w:tcPr>
                                  <w:tcW w:w="7505"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72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Q3 2014</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0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GAAP Net Earnings</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72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155.5</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0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Purchase Accounting Adjustment to Acquired Deferred Revenue (FoodLink, SHP), net of tax</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72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0.6</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0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Acquisition-Related Inventory Step-up Charge (IPA), net of tax</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72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0.3</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0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Adjusted Net Earnings</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72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156.4</w:t>
                                  </w:r>
                                </w:p>
                              </w:tc>
                              <w:tc>
                                <w:tcPr>
                                  <w:tcW w:w="60" w:type="dxa"/>
                                  <w:tcBorders/>
                                  <w:shd w:fill="auto" w:val="clear"/>
                                  <w:vAlign w:val="bottom"/>
                                </w:tcPr>
                                <w:p>
                                  <w:pPr>
                                    <w:pStyle w:val="TableContents"/>
                                    <w:spacing w:before="0" w:after="283"/>
                                    <w:jc w:val="left"/>
                                    <w:rPr>
                                      <w:color w:val="000000"/>
                                    </w:rPr>
                                  </w:pPr>
                                  <w:r>
                                    <w:rPr>
                                      <w:color w:val="000000"/>
                                    </w:rPr>
                                    <w:t> </w:t>
                                  </w:r>
                                </w:p>
                              </w:tc>
                            </w:tr>
                          </w:tbl>
                        </w:txbxContent>
                      </wps:txbx>
                      <wps:bodyPr anchor="t" lIns="0" tIns="0" rIns="0" bIns="0">
                        <a:noAutofit/>
                      </wps:bodyPr>
                    </wps:wsp>
                  </a:graphicData>
                </a:graphic>
              </wp:anchor>
            </w:drawing>
          </mc:Choice>
          <mc:Fallback>
            <w:pict>
              <v:rect style="position:absolute;rotation:0;width:423.75pt;height:145.55pt;mso-wrap-distance-left:0pt;mso-wrap-distance-right:0pt;mso-wrap-distance-top:0pt;mso-wrap-distance-bottom:0pt;margin-top:0pt;mso-position-vertical:top;mso-position-vertical-relative:text;margin-left:0pt;mso-position-horizontal:left;mso-position-horizontal-relative:text">
                <v:textbox>
                  <w:txbxContent>
                    <w:tbl>
                      <w:tblPr>
                        <w:tblW w:w="8475" w:type="dxa"/>
                        <w:jc w:val="left"/>
                        <w:tblInd w:w="0" w:type="dxa"/>
                        <w:tblCellMar>
                          <w:top w:w="0" w:type="dxa"/>
                          <w:left w:w="0" w:type="dxa"/>
                          <w:bottom w:w="0" w:type="dxa"/>
                          <w:right w:w="0" w:type="dxa"/>
                        </w:tblCellMar>
                      </w:tblPr>
                      <w:tblGrid>
                        <w:gridCol w:w="7505"/>
                        <w:gridCol w:w="60"/>
                        <w:gridCol w:w="125"/>
                        <w:gridCol w:w="725"/>
                        <w:gridCol w:w="60"/>
                      </w:tblGrid>
                      <w:tr>
                        <w:trPr/>
                        <w:tc>
                          <w:tcPr>
                            <w:tcW w:w="7505"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72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Q3 2014</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0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GAAP Net Earnings</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72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155.5</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0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Purchase Accounting Adjustment to Acquired Deferred Revenue (FoodLink, SHP), net of tax</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72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0.6</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0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Acquisition-Related Inventory Step-up Charge (IPA), net of tax</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72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0.3</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0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Adjusted Net Earnings</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72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156.4</w:t>
                            </w:r>
                          </w:p>
                        </w:tc>
                        <w:tc>
                          <w:tcPr>
                            <w:tcW w:w="60" w:type="dxa"/>
                            <w:tcBorders/>
                            <w:shd w:fill="auto" w:val="clear"/>
                            <w:vAlign w:val="bottom"/>
                          </w:tcPr>
                          <w:p>
                            <w:pPr>
                              <w:pStyle w:val="TableContents"/>
                              <w:spacing w:before="0" w:after="283"/>
                              <w:jc w:val="left"/>
                              <w:rPr>
                                <w:color w:val="000000"/>
                              </w:rPr>
                            </w:pPr>
                            <w:r>
                              <w:rPr>
                                <w:color w:val="000000"/>
                              </w:rPr>
                              <w:t> </w:t>
                            </w:r>
                          </w:p>
                        </w:tc>
                      </w:tr>
                    </w:tbl>
                  </w:txbxContent>
                </v:textbox>
                <w10:wrap type="square" side="right"/>
              </v:rect>
            </w:pict>
          </mc:Fallback>
        </mc:AlternateContent>
      </w:r>
    </w:p>
    <w:p>
      <w:pPr>
        <w:pStyle w:val="TextBody"/>
        <w:spacing w:before="0" w:after="0"/>
        <w:rPr>
          <w:color w:val="000000"/>
        </w:rPr>
      </w:pPr>
      <w:r>
        <w:rPr>
          <w:color w:val="000000"/>
        </w:rPr>
        <w:t>Table 4:  Adjusted Gross Margin Reconciliation</w:t>
      </w:r>
    </w:p>
    <w:p>
      <w:pPr>
        <w:pStyle w:val="TextBody"/>
        <w:spacing w:before="0" w:after="0"/>
        <w:rPr>
          <w:color w:val="000000"/>
        </w:rPr>
      </w:pPr>
      <w:r>
        <w:rPr>
          <w:color w:val="000000"/>
        </w:rPr>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6111875" cy="6144895"/>
                <wp:effectExtent l="0" t="0" r="0" b="0"/>
                <wp:wrapSquare wrapText="largest"/>
                <wp:docPr id="5" name="Frame4"/>
                <a:graphic xmlns:a="http://schemas.openxmlformats.org/drawingml/2006/main">
                  <a:graphicData uri="http://schemas.microsoft.com/office/word/2010/wordprocessingShape">
                    <wps:wsp>
                      <wps:cNvSpPr txBox="1"/>
                      <wps:spPr>
                        <a:xfrm>
                          <a:off x="0" y="0"/>
                          <a:ext cx="6111875" cy="6144895"/>
                        </a:xfrm>
                        <a:prstGeom prst="rect"/>
                      </wps:spPr>
                      <wps:txbx>
                        <w:txbxContent>
                          <w:tbl>
                            <w:tblPr>
                              <w:tblW w:w="9625" w:type="dxa"/>
                              <w:jc w:val="left"/>
                              <w:tblInd w:w="0" w:type="dxa"/>
                              <w:tblCellMar>
                                <w:top w:w="0" w:type="dxa"/>
                                <w:left w:w="0" w:type="dxa"/>
                                <w:bottom w:w="0" w:type="dxa"/>
                                <w:right w:w="0" w:type="dxa"/>
                              </w:tblCellMar>
                            </w:tblPr>
                            <w:tblGrid>
                              <w:gridCol w:w="7145"/>
                              <w:gridCol w:w="60"/>
                              <w:gridCol w:w="125"/>
                              <w:gridCol w:w="485"/>
                              <w:gridCol w:w="185"/>
                              <w:gridCol w:w="60"/>
                              <w:gridCol w:w="125"/>
                              <w:gridCol w:w="485"/>
                              <w:gridCol w:w="185"/>
                              <w:gridCol w:w="770"/>
                            </w:tblGrid>
                            <w:tr>
                              <w:trPr/>
                              <w:tc>
                                <w:tcPr>
                                  <w:tcW w:w="7145"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10" w:type="dxa"/>
                                  <w:gridSpan w:val="2"/>
                                  <w:tcBorders>
                                    <w:bottom w:val="single" w:sz="12" w:space="0" w:color="000000"/>
                                  </w:tcBorders>
                                  <w:shd w:fill="auto" w:val="clear"/>
                                  <w:tcMar>
                                    <w:bottom w:w="28" w:type="dxa"/>
                                  </w:tcMar>
                                  <w:vAlign w:val="bottom"/>
                                </w:tcPr>
                                <w:p>
                                  <w:pPr>
                                    <w:pStyle w:val="TableContents"/>
                                    <w:spacing w:before="0" w:after="0"/>
                                    <w:rPr>
                                      <w:rFonts w:ascii="'Times New Roman', ;Times;serif', 'TEXT-ALIGN: right'" w:hAnsi="'Times New Roman', ;Times;serif', 'TEXT-ALIGN: right'"/>
                                      <w:color w:val="000000"/>
                                      <w:sz w:val="20"/>
                                    </w:rPr>
                                  </w:pPr>
                                  <w:r>
                                    <w:rPr>
                                      <w:rFonts w:ascii="'Times New Roman', ;Times;serif', 'TEXT-ALIGN: right'" w:hAnsi="'Times New Roman', ;Times;serif', 'TEXT-ALIGN: right'"/>
                                      <w:color w:val="000000"/>
                                      <w:sz w:val="20"/>
                                    </w:rPr>
                                    <w:t>2014</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10" w:type="dxa"/>
                                  <w:gridSpan w:val="2"/>
                                  <w:tcBorders>
                                    <w:bottom w:val="single" w:sz="12" w:space="0" w:color="000000"/>
                                  </w:tcBorders>
                                  <w:shd w:fill="auto" w:val="clear"/>
                                  <w:tcMar>
                                    <w:bottom w:w="28" w:type="dxa"/>
                                  </w:tcMar>
                                  <w:vAlign w:val="bottom"/>
                                </w:tcPr>
                                <w:p>
                                  <w:pPr>
                                    <w:pStyle w:val="TableContents"/>
                                    <w:spacing w:before="0" w:after="0"/>
                                    <w:rPr>
                                      <w:rFonts w:ascii="'Times New Roman', ;Times;serif', 'TEXT-ALIGN: right'" w:hAnsi="'Times New Roman', ;Times;serif', 'TEXT-ALIGN: right'"/>
                                      <w:color w:val="000000"/>
                                      <w:sz w:val="20"/>
                                    </w:rPr>
                                  </w:pPr>
                                  <w:r>
                                    <w:rPr>
                                      <w:rFonts w:ascii="'Times New Roman', ;Times;serif', 'TEXT-ALIGN: right'" w:hAnsi="'Times New Roman', ;Times;serif', 'TEXT-ALIGN: right'"/>
                                      <w:color w:val="000000"/>
                                      <w:sz w:val="20"/>
                                    </w:rPr>
                                    <w:t>2013</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0"/>
                                    <w:rPr>
                                      <w:rFonts w:ascii="'Times New Roman', ;Times;serif', 'TEXT-ALIGN: right'" w:hAnsi="'Times New Roman', ;Times;serif', 'TEXT-ALIGN: right'"/>
                                      <w:color w:val="000000"/>
                                      <w:sz w:val="20"/>
                                    </w:rPr>
                                  </w:pPr>
                                  <w:r>
                                    <w:rPr>
                                      <w:rFonts w:ascii="'Times New Roman', ;Times;serif', 'TEXT-ALIGN: right'" w:hAnsi="'Times New Roman', ;Times;serif', 'TEXT-ALIGN: right'"/>
                                      <w:color w:val="000000"/>
                                      <w:sz w:val="20"/>
                                    </w:rPr>
                                    <w:t>V bps</w:t>
                                  </w:r>
                                </w:p>
                              </w:tc>
                            </w:tr>
                            <w:tr>
                              <w:trPr/>
                              <w:tc>
                                <w:tcPr>
                                  <w:tcW w:w="714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Q3 GAAP Revenue</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884.1</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827.8</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Purchase Accounting Adjustment to Acquired Revenue (Sunquest, MHA)</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8.9</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Purchase Accounting Adjustment to Acquired Deferred Revenue (SHP, FoodLink)</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0.9</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Rounding</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48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0.1</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485" w:type="dxa"/>
                                  <w:tcBorders>
                                    <w:bottom w:val="single" w:sz="12" w:space="0" w:color="000000"/>
                                  </w:tcBorders>
                                  <w:shd w:fill="auto" w:val="clear"/>
                                  <w:tcMar>
                                    <w:bottom w:w="28" w:type="dxa"/>
                                  </w:tcM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Q3 Adjusted Revenue (A)</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885.1</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836.7</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Q3 GAAP Gross Profit</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524.0</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482.6</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Purchase Accounting Adjustment to Acquired Revenue (Sunquest, MHA)</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8.9</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Purchase Accounting Adjustment to Acquired Deferred Revenue (SHP, FoodLink)</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0.9</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Acquisition-Related Inventory Step-up Charge (IPA)</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0.4</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Rounding</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48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0.1</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485" w:type="dxa"/>
                                  <w:tcBorders>
                                    <w:bottom w:val="single" w:sz="12" w:space="0" w:color="000000"/>
                                  </w:tcBorders>
                                  <w:shd w:fill="auto" w:val="clear"/>
                                  <w:tcMar>
                                    <w:bottom w:w="28" w:type="dxa"/>
                                  </w:tcM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Adjusted Gross Profit (B)</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525.4</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491.5</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GAAP Gross Margin</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59.3</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58.3</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770" w:type="dxa"/>
                                  <w:tcBorders/>
                                  <w:shd w:fill="auto" w:val="clear"/>
                                  <w:vAlign w:val="bottom"/>
                                </w:tcPr>
                                <w:p>
                                  <w:pPr>
                                    <w:pStyle w:val="TableContents"/>
                                    <w:spacing w:before="0" w:after="0"/>
                                    <w:rPr>
                                      <w:rFonts w:ascii="'Times New Roman', ;Times;serif', 'TEXT-ALIGN: right'" w:hAnsi="'Times New Roman', ;Times;serif', 'TEXT-ALIGN: right'"/>
                                      <w:color w:val="000000"/>
                                      <w:sz w:val="20"/>
                                    </w:rPr>
                                  </w:pPr>
                                  <w:r>
                                    <w:rPr>
                                      <w:rFonts w:ascii="'Times New Roman', ;Times;serif', 'TEXT-ALIGN: right'" w:hAnsi="'Times New Roman', ;Times;serif', 'TEXT-ALIGN: right'"/>
                                      <w:color w:val="000000"/>
                                      <w:sz w:val="20"/>
                                    </w:rPr>
                                    <w:t>+100 bps</w:t>
                                  </w:r>
                                </w:p>
                              </w:tc>
                            </w:tr>
                            <w:tr>
                              <w:trPr/>
                              <w:tc>
                                <w:tcPr>
                                  <w:tcW w:w="7145"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Adjusted Gross Margin (B) / (A)</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59.4</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58.7</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770" w:type="dxa"/>
                                  <w:tcBorders/>
                                  <w:shd w:fill="auto" w:val="clear"/>
                                  <w:vAlign w:val="bottom"/>
                                </w:tcPr>
                                <w:p>
                                  <w:pPr>
                                    <w:pStyle w:val="TableContents"/>
                                    <w:spacing w:before="0" w:after="0"/>
                                    <w:rPr>
                                      <w:rFonts w:ascii="'Times New Roman', ;Times;serif', 'TEXT-ALIGN: right'" w:hAnsi="'Times New Roman', ;Times;serif', 'TEXT-ALIGN: right'"/>
                                      <w:color w:val="000000"/>
                                      <w:sz w:val="20"/>
                                    </w:rPr>
                                  </w:pPr>
                                  <w:r>
                                    <w:rPr>
                                      <w:rFonts w:ascii="'Times New Roman', ;Times;serif', 'TEXT-ALIGN: right'" w:hAnsi="'Times New Roman', ;Times;serif', 'TEXT-ALIGN: right'"/>
                                      <w:color w:val="000000"/>
                                      <w:sz w:val="20"/>
                                    </w:rPr>
                                    <w:t>+70 bps</w:t>
                                  </w:r>
                                </w:p>
                              </w:tc>
                            </w:tr>
                          </w:tbl>
                        </w:txbxContent>
                      </wps:txbx>
                      <wps:bodyPr anchor="t" lIns="0" tIns="0" rIns="0" bIns="0">
                        <a:noAutofit/>
                      </wps:bodyPr>
                    </wps:wsp>
                  </a:graphicData>
                </a:graphic>
              </wp:anchor>
            </w:drawing>
          </mc:Choice>
          <mc:Fallback>
            <w:pict>
              <v:rect style="position:absolute;rotation:0;width:481.25pt;height:483.85pt;mso-wrap-distance-left:0pt;mso-wrap-distance-right:0pt;mso-wrap-distance-top:0pt;mso-wrap-distance-bottom:0pt;margin-top:0pt;mso-position-vertical:top;mso-position-vertical-relative:text;margin-left:0pt;mso-position-horizontal:left;mso-position-horizontal-relative:text">
                <v:textbox>
                  <w:txbxContent>
                    <w:tbl>
                      <w:tblPr>
                        <w:tblW w:w="9625" w:type="dxa"/>
                        <w:jc w:val="left"/>
                        <w:tblInd w:w="0" w:type="dxa"/>
                        <w:tblCellMar>
                          <w:top w:w="0" w:type="dxa"/>
                          <w:left w:w="0" w:type="dxa"/>
                          <w:bottom w:w="0" w:type="dxa"/>
                          <w:right w:w="0" w:type="dxa"/>
                        </w:tblCellMar>
                      </w:tblPr>
                      <w:tblGrid>
                        <w:gridCol w:w="7145"/>
                        <w:gridCol w:w="60"/>
                        <w:gridCol w:w="125"/>
                        <w:gridCol w:w="485"/>
                        <w:gridCol w:w="185"/>
                        <w:gridCol w:w="60"/>
                        <w:gridCol w:w="125"/>
                        <w:gridCol w:w="485"/>
                        <w:gridCol w:w="185"/>
                        <w:gridCol w:w="770"/>
                      </w:tblGrid>
                      <w:tr>
                        <w:trPr/>
                        <w:tc>
                          <w:tcPr>
                            <w:tcW w:w="7145"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10" w:type="dxa"/>
                            <w:gridSpan w:val="2"/>
                            <w:tcBorders>
                              <w:bottom w:val="single" w:sz="12" w:space="0" w:color="000000"/>
                            </w:tcBorders>
                            <w:shd w:fill="auto" w:val="clear"/>
                            <w:tcMar>
                              <w:bottom w:w="28" w:type="dxa"/>
                            </w:tcMar>
                            <w:vAlign w:val="bottom"/>
                          </w:tcPr>
                          <w:p>
                            <w:pPr>
                              <w:pStyle w:val="TableContents"/>
                              <w:spacing w:before="0" w:after="0"/>
                              <w:rPr>
                                <w:rFonts w:ascii="'Times New Roman', ;Times;serif', 'TEXT-ALIGN: right'" w:hAnsi="'Times New Roman', ;Times;serif', 'TEXT-ALIGN: right'"/>
                                <w:color w:val="000000"/>
                                <w:sz w:val="20"/>
                              </w:rPr>
                            </w:pPr>
                            <w:r>
                              <w:rPr>
                                <w:rFonts w:ascii="'Times New Roman', ;Times;serif', 'TEXT-ALIGN: right'" w:hAnsi="'Times New Roman', ;Times;serif', 'TEXT-ALIGN: right'"/>
                                <w:color w:val="000000"/>
                                <w:sz w:val="20"/>
                              </w:rPr>
                              <w:t>2014</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610" w:type="dxa"/>
                            <w:gridSpan w:val="2"/>
                            <w:tcBorders>
                              <w:bottom w:val="single" w:sz="12" w:space="0" w:color="000000"/>
                            </w:tcBorders>
                            <w:shd w:fill="auto" w:val="clear"/>
                            <w:tcMar>
                              <w:bottom w:w="28" w:type="dxa"/>
                            </w:tcMar>
                            <w:vAlign w:val="bottom"/>
                          </w:tcPr>
                          <w:p>
                            <w:pPr>
                              <w:pStyle w:val="TableContents"/>
                              <w:spacing w:before="0" w:after="0"/>
                              <w:rPr>
                                <w:rFonts w:ascii="'Times New Roman', ;Times;serif', 'TEXT-ALIGN: right'" w:hAnsi="'Times New Roman', ;Times;serif', 'TEXT-ALIGN: right'"/>
                                <w:color w:val="000000"/>
                                <w:sz w:val="20"/>
                              </w:rPr>
                            </w:pPr>
                            <w:r>
                              <w:rPr>
                                <w:rFonts w:ascii="'Times New Roman', ;Times;serif', 'TEXT-ALIGN: right'" w:hAnsi="'Times New Roman', ;Times;serif', 'TEXT-ALIGN: right'"/>
                                <w:color w:val="000000"/>
                                <w:sz w:val="20"/>
                              </w:rPr>
                              <w:t>2013</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0"/>
                              <w:rPr>
                                <w:rFonts w:ascii="'Times New Roman', ;Times;serif', 'TEXT-ALIGN: right'" w:hAnsi="'Times New Roman', ;Times;serif', 'TEXT-ALIGN: right'"/>
                                <w:color w:val="000000"/>
                                <w:sz w:val="20"/>
                              </w:rPr>
                            </w:pPr>
                            <w:r>
                              <w:rPr>
                                <w:rFonts w:ascii="'Times New Roman', ;Times;serif', 'TEXT-ALIGN: right'" w:hAnsi="'Times New Roman', ;Times;serif', 'TEXT-ALIGN: right'"/>
                                <w:color w:val="000000"/>
                                <w:sz w:val="20"/>
                              </w:rPr>
                              <w:t>V bps</w:t>
                            </w:r>
                          </w:p>
                        </w:tc>
                      </w:tr>
                      <w:tr>
                        <w:trPr/>
                        <w:tc>
                          <w:tcPr>
                            <w:tcW w:w="714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Q3 GAAP Revenue</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884.1</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827.8</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Purchase Accounting Adjustment to Acquired Revenue (Sunquest, MHA)</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8.9</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Purchase Accounting Adjustment to Acquired Deferred Revenue (SHP, FoodLink)</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0.9</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Rounding</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48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0.1</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485" w:type="dxa"/>
                            <w:tcBorders>
                              <w:bottom w:val="single" w:sz="12" w:space="0" w:color="000000"/>
                            </w:tcBorders>
                            <w:shd w:fill="auto" w:val="clear"/>
                            <w:tcMar>
                              <w:bottom w:w="28" w:type="dxa"/>
                            </w:tcM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Q3 Adjusted Revenue (A)</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885.1</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836.7</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Q3 GAAP Gross Profit</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524.0</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482.6</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Purchase Accounting Adjustment to Acquired Revenue (Sunquest, MHA)</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8.9</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Purchase Accounting Adjustment to Acquired Deferred Revenue (SHP, FoodLink)</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0.9</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Acquisition-Related Inventory Step-up Charge (IPA)</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0.4</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Rounding</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48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0.1</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485" w:type="dxa"/>
                            <w:tcBorders>
                              <w:bottom w:val="single" w:sz="12" w:space="0" w:color="000000"/>
                            </w:tcBorders>
                            <w:shd w:fill="auto" w:val="clear"/>
                            <w:tcMar>
                              <w:bottom w:w="28" w:type="dxa"/>
                            </w:tcM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Adjusted Gross Profit (B)</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525.4</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491.5</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GAAP Gross Margin</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59.3</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58.3</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770" w:type="dxa"/>
                            <w:tcBorders/>
                            <w:shd w:fill="auto" w:val="clear"/>
                            <w:vAlign w:val="bottom"/>
                          </w:tcPr>
                          <w:p>
                            <w:pPr>
                              <w:pStyle w:val="TableContents"/>
                              <w:spacing w:before="0" w:after="0"/>
                              <w:rPr>
                                <w:rFonts w:ascii="'Times New Roman', ;Times;serif', 'TEXT-ALIGN: right'" w:hAnsi="'Times New Roman', ;Times;serif', 'TEXT-ALIGN: right'"/>
                                <w:color w:val="000000"/>
                                <w:sz w:val="20"/>
                              </w:rPr>
                            </w:pPr>
                            <w:r>
                              <w:rPr>
                                <w:rFonts w:ascii="'Times New Roman', ;Times;serif', 'TEXT-ALIGN: right'" w:hAnsi="'Times New Roman', ;Times;serif', 'TEXT-ALIGN: right'"/>
                                <w:color w:val="000000"/>
                                <w:sz w:val="20"/>
                              </w:rPr>
                              <w:t>+100 bps</w:t>
                            </w:r>
                          </w:p>
                        </w:tc>
                      </w:tr>
                      <w:tr>
                        <w:trPr/>
                        <w:tc>
                          <w:tcPr>
                            <w:tcW w:w="7145"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c>
                          <w:tcPr>
                            <w:tcW w:w="770" w:type="dxa"/>
                            <w:tcBorders/>
                            <w:shd w:fill="auto" w:val="clear"/>
                            <w:vAlign w:val="bottom"/>
                          </w:tcPr>
                          <w:p>
                            <w:pPr>
                              <w:pStyle w:val="TableContents"/>
                              <w:spacing w:before="0" w:after="283"/>
                              <w:rPr>
                                <w:color w:val="000000"/>
                              </w:rPr>
                            </w:pPr>
                            <w:r>
                              <w:rPr>
                                <w:color w:val="000000"/>
                              </w:rPr>
                              <w:t>    </w:t>
                            </w:r>
                          </w:p>
                        </w:tc>
                      </w:tr>
                      <w:tr>
                        <w:trPr/>
                        <w:tc>
                          <w:tcPr>
                            <w:tcW w:w="714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Adjusted Gross Margin (B) / (A)</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59.4</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48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58.7</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770" w:type="dxa"/>
                            <w:tcBorders/>
                            <w:shd w:fill="auto" w:val="clear"/>
                            <w:vAlign w:val="bottom"/>
                          </w:tcPr>
                          <w:p>
                            <w:pPr>
                              <w:pStyle w:val="TableContents"/>
                              <w:spacing w:before="0" w:after="0"/>
                              <w:rPr>
                                <w:rFonts w:ascii="'Times New Roman', ;Times;serif', 'TEXT-ALIGN: right'" w:hAnsi="'Times New Roman', ;Times;serif', 'TEXT-ALIGN: right'"/>
                                <w:color w:val="000000"/>
                                <w:sz w:val="20"/>
                              </w:rPr>
                            </w:pPr>
                            <w:r>
                              <w:rPr>
                                <w:rFonts w:ascii="'Times New Roman', ;Times;serif', 'TEXT-ALIGN: right'" w:hAnsi="'Times New Roman', ;Times;serif', 'TEXT-ALIGN: right'"/>
                                <w:color w:val="000000"/>
                                <w:sz w:val="20"/>
                              </w:rPr>
                              <w:t>+70 bps</w:t>
                            </w:r>
                          </w:p>
                        </w:tc>
                      </w:tr>
                    </w:tbl>
                  </w:txbxContent>
                </v:textbox>
                <w10:wrap type="square" side="right"/>
              </v:rect>
            </w:pict>
          </mc:Fallback>
        </mc:AlternateContent>
      </w:r>
    </w:p>
    <w:p>
      <w:pPr>
        <w:pStyle w:val="TextBody"/>
        <w:spacing w:before="0" w:after="0"/>
        <w:rPr>
          <w:color w:val="000000"/>
        </w:rPr>
      </w:pPr>
      <w:r>
        <w:rPr>
          <w:color w:val="000000"/>
        </w:rPr>
        <w:t> </w:t>
      </w:r>
    </w:p>
    <w:p>
      <w:pPr>
        <w:pStyle w:val="TextBody"/>
        <w:spacing w:before="0" w:after="0"/>
        <w:rPr>
          <w:color w:val="000000"/>
        </w:rPr>
      </w:pPr>
      <w:r>
        <w:rPr>
          <w:color w:val="000000"/>
        </w:rPr>
        <w:t>Table 5:  Free Cash Flow</w:t>
      </w:r>
    </w:p>
    <w:p>
      <w:pPr>
        <w:pStyle w:val="TextBody"/>
        <w:spacing w:before="0" w:after="0"/>
        <w:rPr>
          <w:color w:val="000000"/>
        </w:rPr>
      </w:pPr>
      <w:r>
        <w:rPr>
          <w:color w:val="000000"/>
        </w:rPr>
        <w:t>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060575" cy="1904365"/>
                <wp:effectExtent l="0" t="0" r="0" b="0"/>
                <wp:wrapSquare wrapText="largest"/>
                <wp:docPr id="6" name="Frame5"/>
                <a:graphic xmlns:a="http://schemas.openxmlformats.org/drawingml/2006/main">
                  <a:graphicData uri="http://schemas.microsoft.com/office/word/2010/wordprocessingShape">
                    <wps:wsp>
                      <wps:cNvSpPr txBox="1"/>
                      <wps:spPr>
                        <a:xfrm>
                          <a:off x="0" y="0"/>
                          <a:ext cx="2060575" cy="1904365"/>
                        </a:xfrm>
                        <a:prstGeom prst="rect"/>
                      </wps:spPr>
                      <wps:txbx>
                        <w:txbxContent>
                          <w:tbl>
                            <w:tblPr>
                              <w:tblW w:w="3245" w:type="dxa"/>
                              <w:jc w:val="left"/>
                              <w:tblInd w:w="0" w:type="dxa"/>
                              <w:tblCellMar>
                                <w:top w:w="0" w:type="dxa"/>
                                <w:left w:w="0" w:type="dxa"/>
                                <w:bottom w:w="0" w:type="dxa"/>
                                <w:right w:w="0" w:type="dxa"/>
                              </w:tblCellMar>
                            </w:tblPr>
                            <w:tblGrid>
                              <w:gridCol w:w="2255"/>
                              <w:gridCol w:w="60"/>
                              <w:gridCol w:w="125"/>
                              <w:gridCol w:w="725"/>
                              <w:gridCol w:w="80"/>
                            </w:tblGrid>
                            <w:tr>
                              <w:trPr/>
                              <w:tc>
                                <w:tcPr>
                                  <w:tcW w:w="2255"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72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Q3 2014</w:t>
                                  </w:r>
                                </w:p>
                              </w:tc>
                              <w:tc>
                                <w:tcPr>
                                  <w:tcW w:w="80" w:type="dxa"/>
                                  <w:tcBorders/>
                                  <w:shd w:fill="auto" w:val="clear"/>
                                  <w:vAlign w:val="bottom"/>
                                </w:tcPr>
                                <w:p>
                                  <w:pPr>
                                    <w:pStyle w:val="TableContents"/>
                                    <w:spacing w:before="0" w:after="283"/>
                                    <w:jc w:val="left"/>
                                    <w:rPr>
                                      <w:color w:val="000000"/>
                                    </w:rPr>
                                  </w:pPr>
                                  <w:r>
                                    <w:rPr>
                                      <w:color w:val="000000"/>
                                    </w:rPr>
                                    <w:t> </w:t>
                                  </w:r>
                                </w:p>
                              </w:tc>
                            </w:tr>
                            <w:tr>
                              <w:trPr/>
                              <w:tc>
                                <w:tcPr>
                                  <w:tcW w:w="225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Operating Cash Flow</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72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226</w:t>
                                  </w:r>
                                </w:p>
                              </w:tc>
                              <w:tc>
                                <w:tcPr>
                                  <w:tcW w:w="80" w:type="dxa"/>
                                  <w:tcBorders/>
                                  <w:shd w:fill="auto" w:val="clear"/>
                                  <w:vAlign w:val="bottom"/>
                                </w:tcPr>
                                <w:p>
                                  <w:pPr>
                                    <w:pStyle w:val="TableContents"/>
                                    <w:spacing w:before="0" w:after="283"/>
                                    <w:jc w:val="left"/>
                                    <w:rPr>
                                      <w:color w:val="000000"/>
                                    </w:rPr>
                                  </w:pPr>
                                  <w:r>
                                    <w:rPr>
                                      <w:color w:val="000000"/>
                                    </w:rPr>
                                    <w:t> </w:t>
                                  </w:r>
                                </w:p>
                              </w:tc>
                            </w:tr>
                            <w:tr>
                              <w:trPr/>
                              <w:tc>
                                <w:tcPr>
                                  <w:tcW w:w="225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Less:  Capital Expenditures</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72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(9</w:t>
                                  </w:r>
                                </w:p>
                              </w:tc>
                              <w:tc>
                                <w:tcPr>
                                  <w:tcW w:w="80"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r>
                            <w:tr>
                              <w:trPr/>
                              <w:tc>
                                <w:tcPr>
                                  <w:tcW w:w="225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Free Cash Flow</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725"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217</w:t>
                                  </w:r>
                                </w:p>
                              </w:tc>
                              <w:tc>
                                <w:tcPr>
                                  <w:tcW w:w="80" w:type="dxa"/>
                                  <w:tcBorders/>
                                  <w:shd w:fill="auto" w:val="clear"/>
                                  <w:vAlign w:val="bottom"/>
                                </w:tcPr>
                                <w:p>
                                  <w:pPr>
                                    <w:pStyle w:val="TableContents"/>
                                    <w:spacing w:before="0" w:after="283"/>
                                    <w:jc w:val="left"/>
                                    <w:rPr>
                                      <w:color w:val="000000"/>
                                    </w:rPr>
                                  </w:pPr>
                                  <w:r>
                                    <w:rPr>
                                      <w:color w:val="000000"/>
                                    </w:rPr>
                                    <w:t> </w:t>
                                  </w:r>
                                </w:p>
                              </w:tc>
                            </w:tr>
                            <w:tr>
                              <w:trPr/>
                              <w:tc>
                                <w:tcPr>
                                  <w:tcW w:w="2255"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725" w:type="dxa"/>
                                  <w:tcBorders/>
                                  <w:shd w:fill="auto" w:val="clear"/>
                                  <w:vAlign w:val="bottom"/>
                                </w:tcPr>
                                <w:p>
                                  <w:pPr>
                                    <w:pStyle w:val="TableContents"/>
                                    <w:spacing w:before="0" w:after="283"/>
                                    <w:jc w:val="right"/>
                                    <w:rPr>
                                      <w:color w:val="000000"/>
                                    </w:rPr>
                                  </w:pPr>
                                  <w:r>
                                    <w:rPr>
                                      <w:color w:val="000000"/>
                                    </w:rPr>
                                    <w:t> </w:t>
                                  </w:r>
                                </w:p>
                              </w:tc>
                              <w:tc>
                                <w:tcPr>
                                  <w:tcW w:w="80" w:type="dxa"/>
                                  <w:tcBorders/>
                                  <w:shd w:fill="auto" w:val="clear"/>
                                  <w:vAlign w:val="bottom"/>
                                </w:tcPr>
                                <w:p>
                                  <w:pPr>
                                    <w:pStyle w:val="TableContents"/>
                                    <w:spacing w:before="0" w:after="283"/>
                                    <w:jc w:val="left"/>
                                    <w:rPr>
                                      <w:color w:val="000000"/>
                                    </w:rPr>
                                  </w:pPr>
                                  <w:r>
                                    <w:rPr>
                                      <w:color w:val="000000"/>
                                    </w:rPr>
                                    <w:t> </w:t>
                                  </w:r>
                                </w:p>
                              </w:tc>
                            </w:tr>
                          </w:tbl>
                        </w:txbxContent>
                      </wps:txbx>
                      <wps:bodyPr anchor="t" lIns="0" tIns="0" rIns="0" bIns="0">
                        <a:noAutofit/>
                      </wps:bodyPr>
                    </wps:wsp>
                  </a:graphicData>
                </a:graphic>
              </wp:anchor>
            </w:drawing>
          </mc:Choice>
          <mc:Fallback>
            <w:pict>
              <v:rect style="position:absolute;rotation:0;width:162.25pt;height:149.95pt;mso-wrap-distance-left:0pt;mso-wrap-distance-right:0pt;mso-wrap-distance-top:0pt;mso-wrap-distance-bottom:0pt;margin-top:0pt;mso-position-vertical:top;mso-position-vertical-relative:text;margin-left:0pt;mso-position-horizontal:left;mso-position-horizontal-relative:text">
                <v:textbox>
                  <w:txbxContent>
                    <w:tbl>
                      <w:tblPr>
                        <w:tblW w:w="3245" w:type="dxa"/>
                        <w:jc w:val="left"/>
                        <w:tblInd w:w="0" w:type="dxa"/>
                        <w:tblCellMar>
                          <w:top w:w="0" w:type="dxa"/>
                          <w:left w:w="0" w:type="dxa"/>
                          <w:bottom w:w="0" w:type="dxa"/>
                          <w:right w:w="0" w:type="dxa"/>
                        </w:tblCellMar>
                      </w:tblPr>
                      <w:tblGrid>
                        <w:gridCol w:w="2255"/>
                        <w:gridCol w:w="60"/>
                        <w:gridCol w:w="125"/>
                        <w:gridCol w:w="725"/>
                        <w:gridCol w:w="80"/>
                      </w:tblGrid>
                      <w:tr>
                        <w:trPr/>
                        <w:tc>
                          <w:tcPr>
                            <w:tcW w:w="2255"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72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Q3 2014</w:t>
                            </w:r>
                          </w:p>
                        </w:tc>
                        <w:tc>
                          <w:tcPr>
                            <w:tcW w:w="80" w:type="dxa"/>
                            <w:tcBorders/>
                            <w:shd w:fill="auto" w:val="clear"/>
                            <w:vAlign w:val="bottom"/>
                          </w:tcPr>
                          <w:p>
                            <w:pPr>
                              <w:pStyle w:val="TableContents"/>
                              <w:spacing w:before="0" w:after="283"/>
                              <w:jc w:val="left"/>
                              <w:rPr>
                                <w:color w:val="000000"/>
                              </w:rPr>
                            </w:pPr>
                            <w:r>
                              <w:rPr>
                                <w:color w:val="000000"/>
                              </w:rPr>
                              <w:t> </w:t>
                            </w:r>
                          </w:p>
                        </w:tc>
                      </w:tr>
                      <w:tr>
                        <w:trPr/>
                        <w:tc>
                          <w:tcPr>
                            <w:tcW w:w="225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Operating Cash Flow</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72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226</w:t>
                            </w:r>
                          </w:p>
                        </w:tc>
                        <w:tc>
                          <w:tcPr>
                            <w:tcW w:w="80" w:type="dxa"/>
                            <w:tcBorders/>
                            <w:shd w:fill="auto" w:val="clear"/>
                            <w:vAlign w:val="bottom"/>
                          </w:tcPr>
                          <w:p>
                            <w:pPr>
                              <w:pStyle w:val="TableContents"/>
                              <w:spacing w:before="0" w:after="283"/>
                              <w:jc w:val="left"/>
                              <w:rPr>
                                <w:color w:val="000000"/>
                              </w:rPr>
                            </w:pPr>
                            <w:r>
                              <w:rPr>
                                <w:color w:val="000000"/>
                              </w:rPr>
                              <w:t> </w:t>
                            </w:r>
                          </w:p>
                        </w:tc>
                      </w:tr>
                      <w:tr>
                        <w:trPr/>
                        <w:tc>
                          <w:tcPr>
                            <w:tcW w:w="225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Less:  Capital Expenditures</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72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(9</w:t>
                            </w:r>
                          </w:p>
                        </w:tc>
                        <w:tc>
                          <w:tcPr>
                            <w:tcW w:w="80"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r>
                      <w:tr>
                        <w:trPr/>
                        <w:tc>
                          <w:tcPr>
                            <w:tcW w:w="225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Free Cash Flow</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725"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217</w:t>
                            </w:r>
                          </w:p>
                        </w:tc>
                        <w:tc>
                          <w:tcPr>
                            <w:tcW w:w="80" w:type="dxa"/>
                            <w:tcBorders/>
                            <w:shd w:fill="auto" w:val="clear"/>
                            <w:vAlign w:val="bottom"/>
                          </w:tcPr>
                          <w:p>
                            <w:pPr>
                              <w:pStyle w:val="TableContents"/>
                              <w:spacing w:before="0" w:after="283"/>
                              <w:jc w:val="left"/>
                              <w:rPr>
                                <w:color w:val="000000"/>
                              </w:rPr>
                            </w:pPr>
                            <w:r>
                              <w:rPr>
                                <w:color w:val="000000"/>
                              </w:rPr>
                              <w:t> </w:t>
                            </w:r>
                          </w:p>
                        </w:tc>
                      </w:tr>
                      <w:tr>
                        <w:trPr/>
                        <w:tc>
                          <w:tcPr>
                            <w:tcW w:w="2255"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725" w:type="dxa"/>
                            <w:tcBorders/>
                            <w:shd w:fill="auto" w:val="clear"/>
                            <w:vAlign w:val="bottom"/>
                          </w:tcPr>
                          <w:p>
                            <w:pPr>
                              <w:pStyle w:val="TableContents"/>
                              <w:spacing w:before="0" w:after="283"/>
                              <w:jc w:val="right"/>
                              <w:rPr>
                                <w:color w:val="000000"/>
                              </w:rPr>
                            </w:pPr>
                            <w:r>
                              <w:rPr>
                                <w:color w:val="000000"/>
                              </w:rPr>
                              <w:t> </w:t>
                            </w:r>
                          </w:p>
                        </w:tc>
                        <w:tc>
                          <w:tcPr>
                            <w:tcW w:w="80" w:type="dxa"/>
                            <w:tcBorders/>
                            <w:shd w:fill="auto" w:val="clear"/>
                            <w:vAlign w:val="bottom"/>
                          </w:tcPr>
                          <w:p>
                            <w:pPr>
                              <w:pStyle w:val="TableContents"/>
                              <w:spacing w:before="0" w:after="283"/>
                              <w:jc w:val="left"/>
                              <w:rPr>
                                <w:color w:val="000000"/>
                              </w:rPr>
                            </w:pPr>
                            <w:r>
                              <w:rPr>
                                <w:color w:val="000000"/>
                              </w:rPr>
                              <w:t> </w:t>
                            </w:r>
                          </w:p>
                        </w:tc>
                      </w:tr>
                    </w:tbl>
                  </w:txbxContent>
                </v:textbox>
                <w10:wrap type="square" side="right"/>
              </v:rect>
            </w:pict>
          </mc:Fallback>
        </mc:AlternateContent>
      </w:r>
    </w:p>
    <w:p>
      <w:pPr>
        <w:pStyle w:val="TextBody"/>
        <w:spacing w:before="0" w:after="0"/>
        <w:rPr>
          <w:color w:val="000000"/>
        </w:rPr>
      </w:pPr>
      <w:r>
        <w:rPr>
          <w:color w:val="000000"/>
        </w:rPr>
        <w:t>Table 6:  EBITDA Reconciliation</w:t>
      </w:r>
    </w:p>
    <w:p>
      <w:pPr>
        <w:pStyle w:val="TextBody"/>
        <w:spacing w:before="0" w:after="0"/>
        <w:rPr>
          <w:color w:val="000000"/>
        </w:rPr>
      </w:pPr>
      <w:r>
        <w:rPr>
          <w:color w:val="000000"/>
        </w:rPr>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918075" cy="5901690"/>
                <wp:effectExtent l="0" t="0" r="0" b="0"/>
                <wp:wrapSquare wrapText="largest"/>
                <wp:docPr id="7" name="Frame6"/>
                <a:graphic xmlns:a="http://schemas.openxmlformats.org/drawingml/2006/main">
                  <a:graphicData uri="http://schemas.microsoft.com/office/word/2010/wordprocessingShape">
                    <wps:wsp>
                      <wps:cNvSpPr txBox="1"/>
                      <wps:spPr>
                        <a:xfrm>
                          <a:off x="0" y="0"/>
                          <a:ext cx="4918075" cy="5901690"/>
                        </a:xfrm>
                        <a:prstGeom prst="rect"/>
                      </wps:spPr>
                      <wps:txbx>
                        <w:txbxContent>
                          <w:tbl>
                            <w:tblPr>
                              <w:tblW w:w="7745" w:type="dxa"/>
                              <w:jc w:val="left"/>
                              <w:tblInd w:w="0" w:type="dxa"/>
                              <w:tblCellMar>
                                <w:top w:w="0" w:type="dxa"/>
                                <w:left w:w="0" w:type="dxa"/>
                                <w:bottom w:w="0" w:type="dxa"/>
                                <w:right w:w="0" w:type="dxa"/>
                              </w:tblCellMar>
                            </w:tblPr>
                            <w:tblGrid>
                              <w:gridCol w:w="6650"/>
                              <w:gridCol w:w="60"/>
                              <w:gridCol w:w="125"/>
                              <w:gridCol w:w="725"/>
                              <w:gridCol w:w="185"/>
                            </w:tblGrid>
                            <w:tr>
                              <w:trPr/>
                              <w:tc>
                                <w:tcPr>
                                  <w:tcW w:w="665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72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Q3 2014</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GAAP Revenue</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72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884</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Purchase Accounting Adjustment to Acquired Deferred Revenue (FoodLink, SHP)</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72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Adjusted Revenue (A)</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725"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885</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72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72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GAAP Net Earnings</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72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155.5</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Depreciation</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72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10.4</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Amortization</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72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39.7</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Interest Expense</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72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20.0</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Taxes</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72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70.7</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Purchase Accounting Adjustment to Acquired Deferred Revenue (FoodLink, SHP)</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72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0.9</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Acquisition-Related Inventory Step-up Charge (IPA)</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72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0.4</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EBITDA (B)</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725"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297.6</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72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EBITDA Margin (B) / (A)</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72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33.6</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r>
                          </w:tbl>
                        </w:txbxContent>
                      </wps:txbx>
                      <wps:bodyPr anchor="t" lIns="0" tIns="0" rIns="0" bIns="0">
                        <a:noAutofit/>
                      </wps:bodyPr>
                    </wps:wsp>
                  </a:graphicData>
                </a:graphic>
              </wp:anchor>
            </w:drawing>
          </mc:Choice>
          <mc:Fallback>
            <w:pict>
              <v:rect style="position:absolute;rotation:0;width:387.25pt;height:464.7pt;mso-wrap-distance-left:0pt;mso-wrap-distance-right:0pt;mso-wrap-distance-top:0pt;mso-wrap-distance-bottom:0pt;margin-top:0pt;mso-position-vertical:top;mso-position-vertical-relative:text;margin-left:0pt;mso-position-horizontal:left;mso-position-horizontal-relative:text">
                <v:textbox>
                  <w:txbxContent>
                    <w:tbl>
                      <w:tblPr>
                        <w:tblW w:w="7745" w:type="dxa"/>
                        <w:jc w:val="left"/>
                        <w:tblInd w:w="0" w:type="dxa"/>
                        <w:tblCellMar>
                          <w:top w:w="0" w:type="dxa"/>
                          <w:left w:w="0" w:type="dxa"/>
                          <w:bottom w:w="0" w:type="dxa"/>
                          <w:right w:w="0" w:type="dxa"/>
                        </w:tblCellMar>
                      </w:tblPr>
                      <w:tblGrid>
                        <w:gridCol w:w="6650"/>
                        <w:gridCol w:w="60"/>
                        <w:gridCol w:w="125"/>
                        <w:gridCol w:w="725"/>
                        <w:gridCol w:w="185"/>
                      </w:tblGrid>
                      <w:tr>
                        <w:trPr/>
                        <w:tc>
                          <w:tcPr>
                            <w:tcW w:w="665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72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Q3 2014</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GAAP Revenue</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72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884</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Purchase Accounting Adjustment to Acquired Deferred Revenue (FoodLink, SHP)</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72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Adjusted Revenue (A)</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725"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885</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72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72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GAAP Net Earnings</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72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155.5</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Depreciation</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72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10.4</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Amortization</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72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39.7</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Interest Expense</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72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20.0</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Add:  Taxes</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72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70.7</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Purchase Accounting Adjustment to Acquired Deferred Revenue (FoodLink, SHP)</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72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0.9</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Acquisition-Related Inventory Step-up Charge (IPA)</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72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0.4</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EBITDA (B)</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725"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297.6</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725" w:type="dxa"/>
                            <w:tcBorders/>
                            <w:shd w:fill="auto" w:val="clear"/>
                            <w:vAlign w:val="bottom"/>
                          </w:tcPr>
                          <w:p>
                            <w:pPr>
                              <w:pStyle w:val="TableContents"/>
                              <w:spacing w:before="0" w:after="283"/>
                              <w:jc w:val="right"/>
                              <w:rPr>
                                <w:color w:val="000000"/>
                              </w:rPr>
                            </w:pPr>
                            <w:r>
                              <w:rPr>
                                <w:color w:val="000000"/>
                              </w:rPr>
                              <w:t> </w:t>
                            </w:r>
                          </w:p>
                        </w:tc>
                        <w:tc>
                          <w:tcPr>
                            <w:tcW w:w="185" w:type="dxa"/>
                            <w:tcBorders/>
                            <w:shd w:fill="auto" w:val="clear"/>
                            <w:vAlign w:val="bottom"/>
                          </w:tcPr>
                          <w:p>
                            <w:pPr>
                              <w:pStyle w:val="TableContents"/>
                              <w:spacing w:before="0" w:after="283"/>
                              <w:jc w:val="left"/>
                              <w:rPr>
                                <w:color w:val="000000"/>
                              </w:rPr>
                            </w:pPr>
                            <w:r>
                              <w:rPr>
                                <w:color w:val="000000"/>
                              </w:rPr>
                              <w:t> </w:t>
                            </w:r>
                          </w:p>
                        </w:tc>
                      </w:tr>
                      <w:tr>
                        <w:trPr/>
                        <w:tc>
                          <w:tcPr>
                            <w:tcW w:w="6650"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EBITDA Margin (B) / (A)</w:t>
                            </w:r>
                          </w:p>
                        </w:tc>
                        <w:tc>
                          <w:tcPr>
                            <w:tcW w:w="60" w:type="dxa"/>
                            <w:tcBorders/>
                            <w:shd w:fill="auto" w:val="clear"/>
                            <w:vAlign w:val="bottom"/>
                          </w:tcPr>
                          <w:p>
                            <w:pPr>
                              <w:pStyle w:val="TableContents"/>
                              <w:spacing w:before="0" w:after="283"/>
                              <w:rPr>
                                <w:color w:val="000000"/>
                              </w:rPr>
                            </w:pPr>
                            <w:r>
                              <w:rPr>
                                <w:color w:val="000000"/>
                              </w:rPr>
                              <w:t> </w:t>
                            </w:r>
                          </w:p>
                        </w:tc>
                        <w:tc>
                          <w:tcPr>
                            <w:tcW w:w="125" w:type="dxa"/>
                            <w:tcBorders/>
                            <w:shd w:fill="auto" w:val="clear"/>
                            <w:vAlign w:val="bottom"/>
                          </w:tcPr>
                          <w:p>
                            <w:pPr>
                              <w:pStyle w:val="TableContents"/>
                              <w:spacing w:before="0" w:after="283"/>
                              <w:jc w:val="left"/>
                              <w:rPr>
                                <w:color w:val="000000"/>
                              </w:rPr>
                            </w:pPr>
                            <w:r>
                              <w:rPr>
                                <w:color w:val="000000"/>
                              </w:rPr>
                              <w:t> </w:t>
                            </w:r>
                          </w:p>
                        </w:tc>
                        <w:tc>
                          <w:tcPr>
                            <w:tcW w:w="725"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33.6</w:t>
                            </w:r>
                          </w:p>
                        </w:tc>
                        <w:tc>
                          <w:tcPr>
                            <w:tcW w:w="185"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r>
                    </w:tbl>
                  </w:txbxContent>
                </v:textbox>
                <w10:wrap type="square" side="right"/>
              </v:rect>
            </w:pict>
          </mc:Fallback>
        </mc:AlternateContent>
      </w:r>
    </w:p>
    <w:p>
      <w:pPr>
        <w:pStyle w:val="TextBody"/>
        <w:spacing w:before="0" w:after="0"/>
        <w:rPr>
          <w:color w:val="000000"/>
        </w:rPr>
      </w:pPr>
      <w:r>
        <w:rPr>
          <w:color w:val="000000"/>
        </w:rPr>
        <w:t> </w:t>
      </w:r>
    </w:p>
    <w:p>
      <w:pPr>
        <w:pStyle w:val="TextBody"/>
        <w:spacing w:before="0" w:after="0"/>
        <w:rPr>
          <w:color w:val="000000"/>
        </w:rPr>
      </w:pPr>
      <w:r>
        <w:rPr>
          <w:color w:val="000000"/>
        </w:rPr>
        <w:t>Table 7:  Q4 Guidance Reconciliation</w:t>
      </w:r>
    </w:p>
    <w:p>
      <w:pPr>
        <w:pStyle w:val="TextBody"/>
        <w:spacing w:before="0" w:after="0"/>
        <w:rPr>
          <w:color w:val="000000"/>
        </w:rPr>
      </w:pPr>
      <w:r>
        <w:rPr>
          <w:color w:val="000000"/>
        </w:rPr>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5942330" cy="2259330"/>
                <wp:effectExtent l="0" t="0" r="0" b="0"/>
                <wp:wrapSquare wrapText="largest"/>
                <wp:docPr id="8" name="Frame7"/>
                <a:graphic xmlns:a="http://schemas.openxmlformats.org/drawingml/2006/main">
                  <a:graphicData uri="http://schemas.microsoft.com/office/word/2010/wordprocessingShape">
                    <wps:wsp>
                      <wps:cNvSpPr txBox="1"/>
                      <wps:spPr>
                        <a:xfrm>
                          <a:off x="0" y="0"/>
                          <a:ext cx="5942330" cy="2259330"/>
                        </a:xfrm>
                        <a:prstGeom prst="rect"/>
                      </wps:spPr>
                      <wps:txbx>
                        <w:txbxContent>
                          <w:tbl>
                            <w:tblPr>
                              <w:tblW w:w="9358" w:type="dxa"/>
                              <w:jc w:val="left"/>
                              <w:tblInd w:w="0" w:type="dxa"/>
                              <w:tblCellMar>
                                <w:top w:w="0" w:type="dxa"/>
                                <w:left w:w="0" w:type="dxa"/>
                                <w:bottom w:w="0" w:type="dxa"/>
                                <w:right w:w="0" w:type="dxa"/>
                              </w:tblCellMar>
                            </w:tblPr>
                            <w:tblGrid>
                              <w:gridCol w:w="7565"/>
                              <w:gridCol w:w="60"/>
                              <w:gridCol w:w="186"/>
                              <w:gridCol w:w="568"/>
                              <w:gridCol w:w="60"/>
                              <w:gridCol w:w="60"/>
                              <w:gridCol w:w="198"/>
                              <w:gridCol w:w="601"/>
                              <w:gridCol w:w="60"/>
                            </w:tblGrid>
                            <w:tr>
                              <w:trPr/>
                              <w:tc>
                                <w:tcPr>
                                  <w:tcW w:w="7565"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754" w:type="dxa"/>
                                  <w:gridSpan w:val="2"/>
                                  <w:tcBorders>
                                    <w:bottom w:val="single" w:sz="12" w:space="0" w:color="000000"/>
                                  </w:tcBorders>
                                  <w:shd w:fill="auto" w:val="clear"/>
                                  <w:tcMar>
                                    <w:bottom w:w="28" w:type="dxa"/>
                                  </w:tcMar>
                                  <w:vAlign w:val="bottom"/>
                                </w:tcPr>
                                <w:p>
                                  <w:pPr>
                                    <w:pStyle w:val="TableContents"/>
                                    <w:spacing w:before="0" w:after="0"/>
                                    <w:rPr>
                                      <w:rFonts w:ascii="'Times New Roman', ;Times;serif', 'TEXT-ALIGN: center'" w:hAnsi="'Times New Roman', ;Times;serif', 'TEXT-ALIGN: center'"/>
                                      <w:color w:val="000000"/>
                                      <w:sz w:val="20"/>
                                    </w:rPr>
                                  </w:pPr>
                                  <w:r>
                                    <w:rPr>
                                      <w:rFonts w:ascii="'Times New Roman', ;Times;serif', 'TEXT-ALIGN: center'" w:hAnsi="'Times New Roman', ;Times;serif', 'TEXT-ALIGN: center'"/>
                                      <w:color w:val="000000"/>
                                      <w:sz w:val="20"/>
                                    </w:rPr>
                                    <w:t>Low End</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799" w:type="dxa"/>
                                  <w:gridSpan w:val="2"/>
                                  <w:tcBorders>
                                    <w:bottom w:val="single" w:sz="12" w:space="0" w:color="000000"/>
                                  </w:tcBorders>
                                  <w:shd w:fill="auto" w:val="clear"/>
                                  <w:tcMar>
                                    <w:bottom w:w="28" w:type="dxa"/>
                                  </w:tcMar>
                                  <w:vAlign w:val="bottom"/>
                                </w:tcPr>
                                <w:p>
                                  <w:pPr>
                                    <w:pStyle w:val="TableContents"/>
                                    <w:spacing w:before="0" w:after="0"/>
                                    <w:rPr>
                                      <w:rFonts w:ascii="'Times New Roman', ;Times;serif', 'TEXT-ALIGN: center', 'MARGIN-LEFT: 12.6pt', 'TEXT-INDENT: -12.6pt'" w:hAnsi="'Times New Roman', ;Times;serif', 'TEXT-ALIGN: center', 'MARGIN-LEFT: 12.6pt', 'TEXT-INDENT: -12.6pt'"/>
                                      <w:color w:val="000000"/>
                                      <w:sz w:val="20"/>
                                    </w:rPr>
                                  </w:pPr>
                                  <w:r>
                                    <w:rPr>
                                      <w:rFonts w:ascii="'Times New Roman', ;Times;serif', 'TEXT-ALIGN: center', 'MARGIN-LEFT: 12.6pt', 'TEXT-INDENT: -12.6pt'" w:hAnsi="'Times New Roman', ;Times;serif', 'TEXT-ALIGN: center', 'MARGIN-LEFT: 12.6pt', 'TEXT-INDENT: -12.6pt'"/>
                                      <w:color w:val="000000"/>
                                      <w:sz w:val="20"/>
                                    </w:rPr>
                                    <w:t>High End</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6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GAAP Diluted Earnings Per Share Guidance</w:t>
                                  </w:r>
                                </w:p>
                              </w:tc>
                              <w:tc>
                                <w:tcPr>
                                  <w:tcW w:w="60" w:type="dxa"/>
                                  <w:tcBorders/>
                                  <w:shd w:fill="auto" w:val="clear"/>
                                  <w:vAlign w:val="bottom"/>
                                </w:tcPr>
                                <w:p>
                                  <w:pPr>
                                    <w:pStyle w:val="TableContents"/>
                                    <w:spacing w:before="0" w:after="283"/>
                                    <w:rPr>
                                      <w:color w:val="000000"/>
                                    </w:rPr>
                                  </w:pPr>
                                  <w:r>
                                    <w:rPr>
                                      <w:color w:val="000000"/>
                                    </w:rPr>
                                    <w:t> </w:t>
                                  </w:r>
                                </w:p>
                              </w:tc>
                              <w:tc>
                                <w:tcPr>
                                  <w:tcW w:w="186"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568"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1.74</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98"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601"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1.80</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6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Purchase Accounting Adjustment for Acquired Deferred Revenue (FoodLink, SHP), net of tax</w:t>
                                  </w:r>
                                </w:p>
                              </w:tc>
                              <w:tc>
                                <w:tcPr>
                                  <w:tcW w:w="60" w:type="dxa"/>
                                  <w:tcBorders/>
                                  <w:shd w:fill="auto" w:val="clear"/>
                                  <w:vAlign w:val="bottom"/>
                                </w:tcPr>
                                <w:p>
                                  <w:pPr>
                                    <w:pStyle w:val="TableContents"/>
                                    <w:spacing w:before="0" w:after="283"/>
                                    <w:rPr>
                                      <w:color w:val="000000"/>
                                    </w:rPr>
                                  </w:pPr>
                                  <w:r>
                                    <w:rPr>
                                      <w:color w:val="000000"/>
                                    </w:rPr>
                                    <w:t> </w:t>
                                  </w:r>
                                </w:p>
                              </w:tc>
                              <w:tc>
                                <w:tcPr>
                                  <w:tcW w:w="186"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568"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0.01</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98"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601"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0.01</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6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Acquisition-Related Inventory Step-up Charge (IPA), net of tax</w:t>
                                  </w:r>
                                </w:p>
                              </w:tc>
                              <w:tc>
                                <w:tcPr>
                                  <w:tcW w:w="60" w:type="dxa"/>
                                  <w:tcBorders/>
                                  <w:shd w:fill="auto" w:val="clear"/>
                                  <w:vAlign w:val="bottom"/>
                                </w:tcPr>
                                <w:p>
                                  <w:pPr>
                                    <w:pStyle w:val="TableContents"/>
                                    <w:spacing w:before="0" w:after="283"/>
                                    <w:rPr>
                                      <w:color w:val="000000"/>
                                    </w:rPr>
                                  </w:pPr>
                                  <w:r>
                                    <w:rPr>
                                      <w:color w:val="000000"/>
                                    </w:rPr>
                                    <w:t> </w:t>
                                  </w:r>
                                </w:p>
                              </w:tc>
                              <w:tc>
                                <w:tcPr>
                                  <w:tcW w:w="186" w:type="dxa"/>
                                  <w:tcBorders>
                                    <w:bottom w:val="single" w:sz="12"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568"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0.00</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98" w:type="dxa"/>
                                  <w:tcBorders>
                                    <w:bottom w:val="single" w:sz="12"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601"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0.00</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6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Adjusted Diluted Earnings Per Share Guidance</w:t>
                                  </w:r>
                                </w:p>
                              </w:tc>
                              <w:tc>
                                <w:tcPr>
                                  <w:tcW w:w="60" w:type="dxa"/>
                                  <w:tcBorders/>
                                  <w:shd w:fill="auto" w:val="clear"/>
                                  <w:vAlign w:val="bottom"/>
                                </w:tcPr>
                                <w:p>
                                  <w:pPr>
                                    <w:pStyle w:val="TableContents"/>
                                    <w:spacing w:before="0" w:after="283"/>
                                    <w:rPr>
                                      <w:color w:val="000000"/>
                                    </w:rPr>
                                  </w:pPr>
                                  <w:r>
                                    <w:rPr>
                                      <w:color w:val="000000"/>
                                    </w:rPr>
                                    <w:t> </w:t>
                                  </w:r>
                                </w:p>
                              </w:tc>
                              <w:tc>
                                <w:tcPr>
                                  <w:tcW w:w="186"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568"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1.75</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98"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601"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1.81</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65"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86" w:type="dxa"/>
                                  <w:tcBorders/>
                                  <w:shd w:fill="auto" w:val="clear"/>
                                  <w:vAlign w:val="bottom"/>
                                </w:tcPr>
                                <w:p>
                                  <w:pPr>
                                    <w:pStyle w:val="TableContents"/>
                                    <w:spacing w:before="0" w:after="283"/>
                                    <w:jc w:val="left"/>
                                    <w:rPr>
                                      <w:color w:val="000000"/>
                                    </w:rPr>
                                  </w:pPr>
                                  <w:r>
                                    <w:rPr>
                                      <w:color w:val="000000"/>
                                    </w:rPr>
                                    <w:t> </w:t>
                                  </w:r>
                                </w:p>
                              </w:tc>
                              <w:tc>
                                <w:tcPr>
                                  <w:tcW w:w="568"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98" w:type="dxa"/>
                                  <w:tcBorders/>
                                  <w:shd w:fill="auto" w:val="clear"/>
                                  <w:vAlign w:val="bottom"/>
                                </w:tcPr>
                                <w:p>
                                  <w:pPr>
                                    <w:pStyle w:val="TableContents"/>
                                    <w:spacing w:before="0" w:after="283"/>
                                    <w:jc w:val="left"/>
                                    <w:rPr>
                                      <w:color w:val="000000"/>
                                    </w:rPr>
                                  </w:pPr>
                                  <w:r>
                                    <w:rPr>
                                      <w:color w:val="000000"/>
                                    </w:rPr>
                                    <w:t> </w:t>
                                  </w:r>
                                </w:p>
                              </w:tc>
                              <w:tc>
                                <w:tcPr>
                                  <w:tcW w:w="601"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r>
                          </w:tbl>
                        </w:txbxContent>
                      </wps:txbx>
                      <wps:bodyPr anchor="t" lIns="0" tIns="0" rIns="0" bIns="0">
                        <a:noAutofit/>
                      </wps:bodyPr>
                    </wps:wsp>
                  </a:graphicData>
                </a:graphic>
              </wp:anchor>
            </w:drawing>
          </mc:Choice>
          <mc:Fallback>
            <w:pict>
              <v:rect style="position:absolute;rotation:0;width:467.9pt;height:177.9pt;mso-wrap-distance-left:0pt;mso-wrap-distance-right:0pt;mso-wrap-distance-top:0pt;mso-wrap-distance-bottom:0pt;margin-top:0pt;mso-position-vertical:top;mso-position-vertical-relative:text;margin-left:0pt;mso-position-horizontal:left;mso-position-horizontal-relative:text">
                <v:textbox>
                  <w:txbxContent>
                    <w:tbl>
                      <w:tblPr>
                        <w:tblW w:w="9358" w:type="dxa"/>
                        <w:jc w:val="left"/>
                        <w:tblInd w:w="0" w:type="dxa"/>
                        <w:tblCellMar>
                          <w:top w:w="0" w:type="dxa"/>
                          <w:left w:w="0" w:type="dxa"/>
                          <w:bottom w:w="0" w:type="dxa"/>
                          <w:right w:w="0" w:type="dxa"/>
                        </w:tblCellMar>
                      </w:tblPr>
                      <w:tblGrid>
                        <w:gridCol w:w="7565"/>
                        <w:gridCol w:w="60"/>
                        <w:gridCol w:w="186"/>
                        <w:gridCol w:w="568"/>
                        <w:gridCol w:w="60"/>
                        <w:gridCol w:w="60"/>
                        <w:gridCol w:w="198"/>
                        <w:gridCol w:w="601"/>
                        <w:gridCol w:w="60"/>
                      </w:tblGrid>
                      <w:tr>
                        <w:trPr/>
                        <w:tc>
                          <w:tcPr>
                            <w:tcW w:w="7565"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754" w:type="dxa"/>
                            <w:gridSpan w:val="2"/>
                            <w:tcBorders>
                              <w:bottom w:val="single" w:sz="12" w:space="0" w:color="000000"/>
                            </w:tcBorders>
                            <w:shd w:fill="auto" w:val="clear"/>
                            <w:tcMar>
                              <w:bottom w:w="28" w:type="dxa"/>
                            </w:tcMar>
                            <w:vAlign w:val="bottom"/>
                          </w:tcPr>
                          <w:p>
                            <w:pPr>
                              <w:pStyle w:val="TableContents"/>
                              <w:spacing w:before="0" w:after="0"/>
                              <w:rPr>
                                <w:rFonts w:ascii="'Times New Roman', ;Times;serif', 'TEXT-ALIGN: center'" w:hAnsi="'Times New Roman', ;Times;serif', 'TEXT-ALIGN: center'"/>
                                <w:color w:val="000000"/>
                                <w:sz w:val="20"/>
                              </w:rPr>
                            </w:pPr>
                            <w:r>
                              <w:rPr>
                                <w:rFonts w:ascii="'Times New Roman', ;Times;serif', 'TEXT-ALIGN: center'" w:hAnsi="'Times New Roman', ;Times;serif', 'TEXT-ALIGN: center'"/>
                                <w:color w:val="000000"/>
                                <w:sz w:val="20"/>
                              </w:rPr>
                              <w:t>Low End</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799" w:type="dxa"/>
                            <w:gridSpan w:val="2"/>
                            <w:tcBorders>
                              <w:bottom w:val="single" w:sz="12" w:space="0" w:color="000000"/>
                            </w:tcBorders>
                            <w:shd w:fill="auto" w:val="clear"/>
                            <w:tcMar>
                              <w:bottom w:w="28" w:type="dxa"/>
                            </w:tcMar>
                            <w:vAlign w:val="bottom"/>
                          </w:tcPr>
                          <w:p>
                            <w:pPr>
                              <w:pStyle w:val="TableContents"/>
                              <w:spacing w:before="0" w:after="0"/>
                              <w:rPr>
                                <w:rFonts w:ascii="'Times New Roman', ;Times;serif', 'TEXT-ALIGN: center', 'MARGIN-LEFT: 12.6pt', 'TEXT-INDENT: -12.6pt'" w:hAnsi="'Times New Roman', ;Times;serif', 'TEXT-ALIGN: center', 'MARGIN-LEFT: 12.6pt', 'TEXT-INDENT: -12.6pt'"/>
                                <w:color w:val="000000"/>
                                <w:sz w:val="20"/>
                              </w:rPr>
                            </w:pPr>
                            <w:r>
                              <w:rPr>
                                <w:rFonts w:ascii="'Times New Roman', ;Times;serif', 'TEXT-ALIGN: center', 'MARGIN-LEFT: 12.6pt', 'TEXT-INDENT: -12.6pt'" w:hAnsi="'Times New Roman', ;Times;serif', 'TEXT-ALIGN: center', 'MARGIN-LEFT: 12.6pt', 'TEXT-INDENT: -12.6pt'"/>
                                <w:color w:val="000000"/>
                                <w:sz w:val="20"/>
                              </w:rPr>
                              <w:t>High End</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6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GAAP Diluted Earnings Per Share Guidance</w:t>
                            </w:r>
                          </w:p>
                        </w:tc>
                        <w:tc>
                          <w:tcPr>
                            <w:tcW w:w="60" w:type="dxa"/>
                            <w:tcBorders/>
                            <w:shd w:fill="auto" w:val="clear"/>
                            <w:vAlign w:val="bottom"/>
                          </w:tcPr>
                          <w:p>
                            <w:pPr>
                              <w:pStyle w:val="TableContents"/>
                              <w:spacing w:before="0" w:after="283"/>
                              <w:rPr>
                                <w:color w:val="000000"/>
                              </w:rPr>
                            </w:pPr>
                            <w:r>
                              <w:rPr>
                                <w:color w:val="000000"/>
                              </w:rPr>
                              <w:t> </w:t>
                            </w:r>
                          </w:p>
                        </w:tc>
                        <w:tc>
                          <w:tcPr>
                            <w:tcW w:w="186"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568"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1.74</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98"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601"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1.80</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6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Purchase Accounting Adjustment for Acquired Deferred Revenue (FoodLink, SHP), net of tax</w:t>
                            </w:r>
                          </w:p>
                        </w:tc>
                        <w:tc>
                          <w:tcPr>
                            <w:tcW w:w="60" w:type="dxa"/>
                            <w:tcBorders/>
                            <w:shd w:fill="auto" w:val="clear"/>
                            <w:vAlign w:val="bottom"/>
                          </w:tcPr>
                          <w:p>
                            <w:pPr>
                              <w:pStyle w:val="TableContents"/>
                              <w:spacing w:before="0" w:after="283"/>
                              <w:rPr>
                                <w:color w:val="000000"/>
                              </w:rPr>
                            </w:pPr>
                            <w:r>
                              <w:rPr>
                                <w:color w:val="000000"/>
                              </w:rPr>
                              <w:t> </w:t>
                            </w:r>
                          </w:p>
                        </w:tc>
                        <w:tc>
                          <w:tcPr>
                            <w:tcW w:w="186"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568"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0.01</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98"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601"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0.01</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6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Acquisition-Related Inventory Step-up Charge (IPA), net of tax</w:t>
                            </w:r>
                          </w:p>
                        </w:tc>
                        <w:tc>
                          <w:tcPr>
                            <w:tcW w:w="60" w:type="dxa"/>
                            <w:tcBorders/>
                            <w:shd w:fill="auto" w:val="clear"/>
                            <w:vAlign w:val="bottom"/>
                          </w:tcPr>
                          <w:p>
                            <w:pPr>
                              <w:pStyle w:val="TableContents"/>
                              <w:spacing w:before="0" w:after="283"/>
                              <w:rPr>
                                <w:color w:val="000000"/>
                              </w:rPr>
                            </w:pPr>
                            <w:r>
                              <w:rPr>
                                <w:color w:val="000000"/>
                              </w:rPr>
                              <w:t> </w:t>
                            </w:r>
                          </w:p>
                        </w:tc>
                        <w:tc>
                          <w:tcPr>
                            <w:tcW w:w="186" w:type="dxa"/>
                            <w:tcBorders>
                              <w:bottom w:val="single" w:sz="12"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568"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0.00</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98" w:type="dxa"/>
                            <w:tcBorders>
                              <w:bottom w:val="single" w:sz="12"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601"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0.00</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6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Adjusted Diluted Earnings Per Share Guidance</w:t>
                            </w:r>
                          </w:p>
                        </w:tc>
                        <w:tc>
                          <w:tcPr>
                            <w:tcW w:w="60" w:type="dxa"/>
                            <w:tcBorders/>
                            <w:shd w:fill="auto" w:val="clear"/>
                            <w:vAlign w:val="bottom"/>
                          </w:tcPr>
                          <w:p>
                            <w:pPr>
                              <w:pStyle w:val="TableContents"/>
                              <w:spacing w:before="0" w:after="283"/>
                              <w:rPr>
                                <w:color w:val="000000"/>
                              </w:rPr>
                            </w:pPr>
                            <w:r>
                              <w:rPr>
                                <w:color w:val="000000"/>
                              </w:rPr>
                              <w:t> </w:t>
                            </w:r>
                          </w:p>
                        </w:tc>
                        <w:tc>
                          <w:tcPr>
                            <w:tcW w:w="186"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568"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1.75</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98"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601"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1.81</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65"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86" w:type="dxa"/>
                            <w:tcBorders/>
                            <w:shd w:fill="auto" w:val="clear"/>
                            <w:vAlign w:val="bottom"/>
                          </w:tcPr>
                          <w:p>
                            <w:pPr>
                              <w:pStyle w:val="TableContents"/>
                              <w:spacing w:before="0" w:after="283"/>
                              <w:jc w:val="left"/>
                              <w:rPr>
                                <w:color w:val="000000"/>
                              </w:rPr>
                            </w:pPr>
                            <w:r>
                              <w:rPr>
                                <w:color w:val="000000"/>
                              </w:rPr>
                              <w:t> </w:t>
                            </w:r>
                          </w:p>
                        </w:tc>
                        <w:tc>
                          <w:tcPr>
                            <w:tcW w:w="568"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98" w:type="dxa"/>
                            <w:tcBorders/>
                            <w:shd w:fill="auto" w:val="clear"/>
                            <w:vAlign w:val="bottom"/>
                          </w:tcPr>
                          <w:p>
                            <w:pPr>
                              <w:pStyle w:val="TableContents"/>
                              <w:spacing w:before="0" w:after="283"/>
                              <w:jc w:val="left"/>
                              <w:rPr>
                                <w:color w:val="000000"/>
                              </w:rPr>
                            </w:pPr>
                            <w:r>
                              <w:rPr>
                                <w:color w:val="000000"/>
                              </w:rPr>
                              <w:t> </w:t>
                            </w:r>
                          </w:p>
                        </w:tc>
                        <w:tc>
                          <w:tcPr>
                            <w:tcW w:w="601"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r>
                    </w:tbl>
                  </w:txbxContent>
                </v:textbox>
                <w10:wrap type="square" side="right"/>
              </v:rect>
            </w:pict>
          </mc:Fallback>
        </mc:AlternateContent>
      </w:r>
    </w:p>
    <w:p>
      <w:pPr>
        <w:pStyle w:val="TextBody"/>
        <w:spacing w:before="0" w:after="0"/>
        <w:rPr>
          <w:color w:val="000000"/>
        </w:rPr>
      </w:pPr>
      <w:r>
        <w:rPr>
          <w:color w:val="000000"/>
        </w:rPr>
        <w:t>Table 8:  Full Year Guidance Reconciliation</w:t>
      </w:r>
    </w:p>
    <w:p>
      <w:pPr>
        <w:pStyle w:val="TextBody"/>
        <w:spacing w:before="0" w:after="0"/>
        <w:rPr>
          <w:color w:val="000000"/>
        </w:rPr>
      </w:pPr>
      <w:r>
        <w:rPr>
          <w:color w:val="000000"/>
        </w:rPr>
        <w:br/>
        <w:t>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5942330" cy="2259330"/>
                <wp:effectExtent l="0" t="0" r="0" b="0"/>
                <wp:wrapSquare wrapText="largest"/>
                <wp:docPr id="9" name="Frame8"/>
                <a:graphic xmlns:a="http://schemas.openxmlformats.org/drawingml/2006/main">
                  <a:graphicData uri="http://schemas.microsoft.com/office/word/2010/wordprocessingShape">
                    <wps:wsp>
                      <wps:cNvSpPr txBox="1"/>
                      <wps:spPr>
                        <a:xfrm>
                          <a:off x="0" y="0"/>
                          <a:ext cx="5942330" cy="2259330"/>
                        </a:xfrm>
                        <a:prstGeom prst="rect"/>
                      </wps:spPr>
                      <wps:txbx>
                        <w:txbxContent>
                          <w:tbl>
                            <w:tblPr>
                              <w:tblW w:w="9358" w:type="dxa"/>
                              <w:jc w:val="left"/>
                              <w:tblInd w:w="0" w:type="dxa"/>
                              <w:tblCellMar>
                                <w:top w:w="0" w:type="dxa"/>
                                <w:left w:w="0" w:type="dxa"/>
                                <w:bottom w:w="0" w:type="dxa"/>
                                <w:right w:w="0" w:type="dxa"/>
                              </w:tblCellMar>
                            </w:tblPr>
                            <w:tblGrid>
                              <w:gridCol w:w="7565"/>
                              <w:gridCol w:w="60"/>
                              <w:gridCol w:w="186"/>
                              <w:gridCol w:w="568"/>
                              <w:gridCol w:w="60"/>
                              <w:gridCol w:w="60"/>
                              <w:gridCol w:w="198"/>
                              <w:gridCol w:w="601"/>
                              <w:gridCol w:w="60"/>
                            </w:tblGrid>
                            <w:tr>
                              <w:trPr/>
                              <w:tc>
                                <w:tcPr>
                                  <w:tcW w:w="7565"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754" w:type="dxa"/>
                                  <w:gridSpan w:val="2"/>
                                  <w:tcBorders>
                                    <w:bottom w:val="single" w:sz="12" w:space="0" w:color="000000"/>
                                  </w:tcBorders>
                                  <w:shd w:fill="auto" w:val="clear"/>
                                  <w:tcMar>
                                    <w:bottom w:w="28" w:type="dxa"/>
                                  </w:tcMar>
                                  <w:vAlign w:val="bottom"/>
                                </w:tcPr>
                                <w:p>
                                  <w:pPr>
                                    <w:pStyle w:val="TableContents"/>
                                    <w:spacing w:before="0" w:after="0"/>
                                    <w:rPr>
                                      <w:rFonts w:ascii="'Times New Roman', ;Times;serif', 'TEXT-ALIGN: center'" w:hAnsi="'Times New Roman', ;Times;serif', 'TEXT-ALIGN: center'"/>
                                      <w:color w:val="000000"/>
                                      <w:sz w:val="20"/>
                                    </w:rPr>
                                  </w:pPr>
                                  <w:r>
                                    <w:rPr>
                                      <w:rFonts w:ascii="'Times New Roman', ;Times;serif', 'TEXT-ALIGN: center'" w:hAnsi="'Times New Roman', ;Times;serif', 'TEXT-ALIGN: center'"/>
                                      <w:color w:val="000000"/>
                                      <w:sz w:val="20"/>
                                    </w:rPr>
                                    <w:t>Low End</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799" w:type="dxa"/>
                                  <w:gridSpan w:val="2"/>
                                  <w:tcBorders>
                                    <w:bottom w:val="single" w:sz="12" w:space="0" w:color="000000"/>
                                  </w:tcBorders>
                                  <w:shd w:fill="auto" w:val="clear"/>
                                  <w:tcMar>
                                    <w:bottom w:w="28" w:type="dxa"/>
                                  </w:tcMar>
                                  <w:vAlign w:val="bottom"/>
                                </w:tcPr>
                                <w:p>
                                  <w:pPr>
                                    <w:pStyle w:val="TableContents"/>
                                    <w:spacing w:before="0" w:after="0"/>
                                    <w:rPr>
                                      <w:rFonts w:ascii="'Times New Roman', ;Times;serif', 'TEXT-ALIGN: center', 'MARGIN-LEFT: 12.6pt', 'TEXT-INDENT: -12.6pt'" w:hAnsi="'Times New Roman', ;Times;serif', 'TEXT-ALIGN: center', 'MARGIN-LEFT: 12.6pt', 'TEXT-INDENT: -12.6pt'"/>
                                      <w:color w:val="000000"/>
                                      <w:sz w:val="20"/>
                                    </w:rPr>
                                  </w:pPr>
                                  <w:r>
                                    <w:rPr>
                                      <w:rFonts w:ascii="'Times New Roman', ;Times;serif', 'TEXT-ALIGN: center', 'MARGIN-LEFT: 12.6pt', 'TEXT-INDENT: -12.6pt'" w:hAnsi="'Times New Roman', ;Times;serif', 'TEXT-ALIGN: center', 'MARGIN-LEFT: 12.6pt', 'TEXT-INDENT: -12.6pt'"/>
                                      <w:color w:val="000000"/>
                                      <w:sz w:val="20"/>
                                    </w:rPr>
                                    <w:t>High End</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6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GAAP Diluted Earnings Per Share Guidance</w:t>
                                  </w:r>
                                </w:p>
                              </w:tc>
                              <w:tc>
                                <w:tcPr>
                                  <w:tcW w:w="60" w:type="dxa"/>
                                  <w:tcBorders/>
                                  <w:shd w:fill="auto" w:val="clear"/>
                                  <w:vAlign w:val="bottom"/>
                                </w:tcPr>
                                <w:p>
                                  <w:pPr>
                                    <w:pStyle w:val="TableContents"/>
                                    <w:spacing w:before="0" w:after="283"/>
                                    <w:rPr>
                                      <w:color w:val="000000"/>
                                    </w:rPr>
                                  </w:pPr>
                                  <w:r>
                                    <w:rPr>
                                      <w:color w:val="000000"/>
                                    </w:rPr>
                                    <w:t> </w:t>
                                  </w:r>
                                </w:p>
                              </w:tc>
                              <w:tc>
                                <w:tcPr>
                                  <w:tcW w:w="186"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568"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6.29</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98"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601"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6.35</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6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Purchase Accounting Adjustment for Acquired Deferred Revenue (FoodLink, SHP), net of tax</w:t>
                                  </w:r>
                                </w:p>
                              </w:tc>
                              <w:tc>
                                <w:tcPr>
                                  <w:tcW w:w="60" w:type="dxa"/>
                                  <w:tcBorders/>
                                  <w:shd w:fill="auto" w:val="clear"/>
                                  <w:vAlign w:val="bottom"/>
                                </w:tcPr>
                                <w:p>
                                  <w:pPr>
                                    <w:pStyle w:val="TableContents"/>
                                    <w:spacing w:before="0" w:after="283"/>
                                    <w:rPr>
                                      <w:color w:val="000000"/>
                                    </w:rPr>
                                  </w:pPr>
                                  <w:r>
                                    <w:rPr>
                                      <w:color w:val="000000"/>
                                    </w:rPr>
                                    <w:t> </w:t>
                                  </w:r>
                                </w:p>
                              </w:tc>
                              <w:tc>
                                <w:tcPr>
                                  <w:tcW w:w="186"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568"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0.02</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98"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601"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0.02</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6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Acquisition-Related Inventory Charge (IPA), net of tax</w:t>
                                  </w:r>
                                </w:p>
                              </w:tc>
                              <w:tc>
                                <w:tcPr>
                                  <w:tcW w:w="60" w:type="dxa"/>
                                  <w:tcBorders/>
                                  <w:shd w:fill="auto" w:val="clear"/>
                                  <w:vAlign w:val="bottom"/>
                                </w:tcPr>
                                <w:p>
                                  <w:pPr>
                                    <w:pStyle w:val="TableContents"/>
                                    <w:spacing w:before="0" w:after="283"/>
                                    <w:rPr>
                                      <w:color w:val="000000"/>
                                    </w:rPr>
                                  </w:pPr>
                                  <w:r>
                                    <w:rPr>
                                      <w:color w:val="000000"/>
                                    </w:rPr>
                                    <w:t> </w:t>
                                  </w:r>
                                </w:p>
                              </w:tc>
                              <w:tc>
                                <w:tcPr>
                                  <w:tcW w:w="186" w:type="dxa"/>
                                  <w:tcBorders>
                                    <w:bottom w:val="single" w:sz="12"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568"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0.01</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98" w:type="dxa"/>
                                  <w:tcBorders>
                                    <w:bottom w:val="single" w:sz="12"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601"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0.01</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6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Adjusted Diluted Earnings Per Share Guidance</w:t>
                                  </w:r>
                                </w:p>
                              </w:tc>
                              <w:tc>
                                <w:tcPr>
                                  <w:tcW w:w="60" w:type="dxa"/>
                                  <w:tcBorders/>
                                  <w:shd w:fill="auto" w:val="clear"/>
                                  <w:vAlign w:val="bottom"/>
                                </w:tcPr>
                                <w:p>
                                  <w:pPr>
                                    <w:pStyle w:val="TableContents"/>
                                    <w:spacing w:before="0" w:after="283"/>
                                    <w:rPr>
                                      <w:color w:val="000000"/>
                                    </w:rPr>
                                  </w:pPr>
                                  <w:r>
                                    <w:rPr>
                                      <w:color w:val="000000"/>
                                    </w:rPr>
                                    <w:t> </w:t>
                                  </w:r>
                                </w:p>
                              </w:tc>
                              <w:tc>
                                <w:tcPr>
                                  <w:tcW w:w="186"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568"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6.32</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98"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601"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6.38</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65"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86" w:type="dxa"/>
                                  <w:tcBorders/>
                                  <w:shd w:fill="auto" w:val="clear"/>
                                  <w:vAlign w:val="bottom"/>
                                </w:tcPr>
                                <w:p>
                                  <w:pPr>
                                    <w:pStyle w:val="TableContents"/>
                                    <w:spacing w:before="0" w:after="283"/>
                                    <w:jc w:val="left"/>
                                    <w:rPr>
                                      <w:color w:val="000000"/>
                                    </w:rPr>
                                  </w:pPr>
                                  <w:r>
                                    <w:rPr>
                                      <w:color w:val="000000"/>
                                    </w:rPr>
                                    <w:t> </w:t>
                                  </w:r>
                                </w:p>
                              </w:tc>
                              <w:tc>
                                <w:tcPr>
                                  <w:tcW w:w="568"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98" w:type="dxa"/>
                                  <w:tcBorders/>
                                  <w:shd w:fill="auto" w:val="clear"/>
                                  <w:vAlign w:val="bottom"/>
                                </w:tcPr>
                                <w:p>
                                  <w:pPr>
                                    <w:pStyle w:val="TableContents"/>
                                    <w:spacing w:before="0" w:after="283"/>
                                    <w:jc w:val="left"/>
                                    <w:rPr>
                                      <w:color w:val="000000"/>
                                    </w:rPr>
                                  </w:pPr>
                                  <w:r>
                                    <w:rPr>
                                      <w:color w:val="000000"/>
                                    </w:rPr>
                                    <w:t> </w:t>
                                  </w:r>
                                </w:p>
                              </w:tc>
                              <w:tc>
                                <w:tcPr>
                                  <w:tcW w:w="601"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r>
                          </w:tbl>
                        </w:txbxContent>
                      </wps:txbx>
                      <wps:bodyPr anchor="t" lIns="0" tIns="0" rIns="0" bIns="0">
                        <a:noAutofit/>
                      </wps:bodyPr>
                    </wps:wsp>
                  </a:graphicData>
                </a:graphic>
              </wp:anchor>
            </w:drawing>
          </mc:Choice>
          <mc:Fallback>
            <w:pict>
              <v:rect style="position:absolute;rotation:0;width:467.9pt;height:177.9pt;mso-wrap-distance-left:0pt;mso-wrap-distance-right:0pt;mso-wrap-distance-top:0pt;mso-wrap-distance-bottom:0pt;margin-top:0pt;mso-position-vertical:top;mso-position-vertical-relative:text;margin-left:0pt;mso-position-horizontal:left;mso-position-horizontal-relative:text">
                <v:textbox>
                  <w:txbxContent>
                    <w:tbl>
                      <w:tblPr>
                        <w:tblW w:w="9358" w:type="dxa"/>
                        <w:jc w:val="left"/>
                        <w:tblInd w:w="0" w:type="dxa"/>
                        <w:tblCellMar>
                          <w:top w:w="0" w:type="dxa"/>
                          <w:left w:w="0" w:type="dxa"/>
                          <w:bottom w:w="0" w:type="dxa"/>
                          <w:right w:w="0" w:type="dxa"/>
                        </w:tblCellMar>
                      </w:tblPr>
                      <w:tblGrid>
                        <w:gridCol w:w="7565"/>
                        <w:gridCol w:w="60"/>
                        <w:gridCol w:w="186"/>
                        <w:gridCol w:w="568"/>
                        <w:gridCol w:w="60"/>
                        <w:gridCol w:w="60"/>
                        <w:gridCol w:w="198"/>
                        <w:gridCol w:w="601"/>
                        <w:gridCol w:w="60"/>
                      </w:tblGrid>
                      <w:tr>
                        <w:trPr/>
                        <w:tc>
                          <w:tcPr>
                            <w:tcW w:w="7565"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754" w:type="dxa"/>
                            <w:gridSpan w:val="2"/>
                            <w:tcBorders>
                              <w:bottom w:val="single" w:sz="12" w:space="0" w:color="000000"/>
                            </w:tcBorders>
                            <w:shd w:fill="auto" w:val="clear"/>
                            <w:tcMar>
                              <w:bottom w:w="28" w:type="dxa"/>
                            </w:tcMar>
                            <w:vAlign w:val="bottom"/>
                          </w:tcPr>
                          <w:p>
                            <w:pPr>
                              <w:pStyle w:val="TableContents"/>
                              <w:spacing w:before="0" w:after="0"/>
                              <w:rPr>
                                <w:rFonts w:ascii="'Times New Roman', ;Times;serif', 'TEXT-ALIGN: center'" w:hAnsi="'Times New Roman', ;Times;serif', 'TEXT-ALIGN: center'"/>
                                <w:color w:val="000000"/>
                                <w:sz w:val="20"/>
                              </w:rPr>
                            </w:pPr>
                            <w:r>
                              <w:rPr>
                                <w:rFonts w:ascii="'Times New Roman', ;Times;serif', 'TEXT-ALIGN: center'" w:hAnsi="'Times New Roman', ;Times;serif', 'TEXT-ALIGN: center'"/>
                                <w:color w:val="000000"/>
                                <w:sz w:val="20"/>
                              </w:rPr>
                              <w:t>Low End</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799" w:type="dxa"/>
                            <w:gridSpan w:val="2"/>
                            <w:tcBorders>
                              <w:bottom w:val="single" w:sz="12" w:space="0" w:color="000000"/>
                            </w:tcBorders>
                            <w:shd w:fill="auto" w:val="clear"/>
                            <w:tcMar>
                              <w:bottom w:w="28" w:type="dxa"/>
                            </w:tcMar>
                            <w:vAlign w:val="bottom"/>
                          </w:tcPr>
                          <w:p>
                            <w:pPr>
                              <w:pStyle w:val="TableContents"/>
                              <w:spacing w:before="0" w:after="0"/>
                              <w:rPr>
                                <w:rFonts w:ascii="'Times New Roman', ;Times;serif', 'TEXT-ALIGN: center', 'MARGIN-LEFT: 12.6pt', 'TEXT-INDENT: -12.6pt'" w:hAnsi="'Times New Roman', ;Times;serif', 'TEXT-ALIGN: center', 'MARGIN-LEFT: 12.6pt', 'TEXT-INDENT: -12.6pt'"/>
                                <w:color w:val="000000"/>
                                <w:sz w:val="20"/>
                              </w:rPr>
                            </w:pPr>
                            <w:r>
                              <w:rPr>
                                <w:rFonts w:ascii="'Times New Roman', ;Times;serif', 'TEXT-ALIGN: center', 'MARGIN-LEFT: 12.6pt', 'TEXT-INDENT: -12.6pt'" w:hAnsi="'Times New Roman', ;Times;serif', 'TEXT-ALIGN: center', 'MARGIN-LEFT: 12.6pt', 'TEXT-INDENT: -12.6pt'"/>
                                <w:color w:val="000000"/>
                                <w:sz w:val="20"/>
                              </w:rPr>
                              <w:t>High End</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6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GAAP Diluted Earnings Per Share Guidance</w:t>
                            </w:r>
                          </w:p>
                        </w:tc>
                        <w:tc>
                          <w:tcPr>
                            <w:tcW w:w="60" w:type="dxa"/>
                            <w:tcBorders/>
                            <w:shd w:fill="auto" w:val="clear"/>
                            <w:vAlign w:val="bottom"/>
                          </w:tcPr>
                          <w:p>
                            <w:pPr>
                              <w:pStyle w:val="TableContents"/>
                              <w:spacing w:before="0" w:after="283"/>
                              <w:rPr>
                                <w:color w:val="000000"/>
                              </w:rPr>
                            </w:pPr>
                            <w:r>
                              <w:rPr>
                                <w:color w:val="000000"/>
                              </w:rPr>
                              <w:t> </w:t>
                            </w:r>
                          </w:p>
                        </w:tc>
                        <w:tc>
                          <w:tcPr>
                            <w:tcW w:w="186"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568"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6.29</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98"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601"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6.35</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6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Purchase Accounting Adjustment for Acquired Deferred Revenue (FoodLink, SHP), net of tax</w:t>
                            </w:r>
                          </w:p>
                        </w:tc>
                        <w:tc>
                          <w:tcPr>
                            <w:tcW w:w="60" w:type="dxa"/>
                            <w:tcBorders/>
                            <w:shd w:fill="auto" w:val="clear"/>
                            <w:vAlign w:val="bottom"/>
                          </w:tcPr>
                          <w:p>
                            <w:pPr>
                              <w:pStyle w:val="TableContents"/>
                              <w:spacing w:before="0" w:after="283"/>
                              <w:rPr>
                                <w:color w:val="000000"/>
                              </w:rPr>
                            </w:pPr>
                            <w:r>
                              <w:rPr>
                                <w:color w:val="000000"/>
                              </w:rPr>
                              <w:t> </w:t>
                            </w:r>
                          </w:p>
                        </w:tc>
                        <w:tc>
                          <w:tcPr>
                            <w:tcW w:w="186"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568"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0.02</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98" w:type="dxa"/>
                            <w:tcBorders/>
                            <w:shd w:fill="auto" w:val="cle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601" w:type="dxa"/>
                            <w:tcBorders/>
                            <w:shd w:fill="auto" w:val="cle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0.02</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65" w:type="dxa"/>
                            <w:tcBorders/>
                            <w:shd w:fill="auto" w:val="clear"/>
                            <w:vAlign w:val="bottom"/>
                          </w:tcPr>
                          <w:p>
                            <w:pPr>
                              <w:pStyle w:val="TableContents"/>
                              <w:spacing w:before="0" w:after="0"/>
                              <w:rPr>
                                <w:rFonts w:ascii="'Times New Roman', ;Times;serif', 'TEXT-ALIGN: left', 'MARGIN-LEFT: 13.5pt'" w:hAnsi="'Times New Roman', ;Times;serif', 'TEXT-ALIGN: left', 'MARGIN-LEFT: 13.5pt'"/>
                                <w:color w:val="000000"/>
                                <w:sz w:val="20"/>
                              </w:rPr>
                            </w:pPr>
                            <w:r>
                              <w:rPr>
                                <w:rFonts w:ascii="'Times New Roman', ;Times;serif', 'TEXT-ALIGN: left', 'MARGIN-LEFT: 13.5pt'" w:hAnsi="'Times New Roman', ;Times;serif', 'TEXT-ALIGN: left', 'MARGIN-LEFT: 13.5pt'"/>
                                <w:color w:val="000000"/>
                                <w:sz w:val="20"/>
                              </w:rPr>
                              <w:t>Acquisition-Related Inventory Charge (IPA), net of tax</w:t>
                            </w:r>
                          </w:p>
                        </w:tc>
                        <w:tc>
                          <w:tcPr>
                            <w:tcW w:w="60" w:type="dxa"/>
                            <w:tcBorders/>
                            <w:shd w:fill="auto" w:val="clear"/>
                            <w:vAlign w:val="bottom"/>
                          </w:tcPr>
                          <w:p>
                            <w:pPr>
                              <w:pStyle w:val="TableContents"/>
                              <w:spacing w:before="0" w:after="283"/>
                              <w:rPr>
                                <w:color w:val="000000"/>
                              </w:rPr>
                            </w:pPr>
                            <w:r>
                              <w:rPr>
                                <w:color w:val="000000"/>
                              </w:rPr>
                              <w:t> </w:t>
                            </w:r>
                          </w:p>
                        </w:tc>
                        <w:tc>
                          <w:tcPr>
                            <w:tcW w:w="186" w:type="dxa"/>
                            <w:tcBorders>
                              <w:bottom w:val="single" w:sz="12"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568"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0.01</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98" w:type="dxa"/>
                            <w:tcBorders>
                              <w:bottom w:val="single" w:sz="12"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601"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0.01</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65" w:type="dxa"/>
                            <w:tcBorders/>
                            <w:shd w:fill="auto" w:val="clear"/>
                            <w:vAlign w:val="bottom"/>
                          </w:tcPr>
                          <w:p>
                            <w:pPr>
                              <w:pStyle w:val="TableContents"/>
                              <w:spacing w:before="0" w:after="0"/>
                              <w:rPr>
                                <w:rFonts w:ascii="'Times New Roman', ;Times;serif', 'TEXT-ALIGN: left'" w:hAnsi="'Times New Roman', ;Times;serif', 'TEXT-ALIGN: left'"/>
                                <w:color w:val="000000"/>
                                <w:sz w:val="20"/>
                              </w:rPr>
                            </w:pPr>
                            <w:r>
                              <w:rPr>
                                <w:rFonts w:ascii="'Times New Roman', ;Times;serif', 'TEXT-ALIGN: left'" w:hAnsi="'Times New Roman', ;Times;serif', 'TEXT-ALIGN: left'"/>
                                <w:color w:val="000000"/>
                                <w:sz w:val="20"/>
                              </w:rPr>
                              <w:t>Adjusted Diluted Earnings Per Share Guidance</w:t>
                            </w:r>
                          </w:p>
                        </w:tc>
                        <w:tc>
                          <w:tcPr>
                            <w:tcW w:w="60" w:type="dxa"/>
                            <w:tcBorders/>
                            <w:shd w:fill="auto" w:val="clear"/>
                            <w:vAlign w:val="bottom"/>
                          </w:tcPr>
                          <w:p>
                            <w:pPr>
                              <w:pStyle w:val="TableContents"/>
                              <w:spacing w:before="0" w:after="283"/>
                              <w:rPr>
                                <w:color w:val="000000"/>
                              </w:rPr>
                            </w:pPr>
                            <w:r>
                              <w:rPr>
                                <w:color w:val="000000"/>
                              </w:rPr>
                              <w:t> </w:t>
                            </w:r>
                          </w:p>
                        </w:tc>
                        <w:tc>
                          <w:tcPr>
                            <w:tcW w:w="186"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568"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6.32</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98"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w:hAnsi="'Times New Roman', ;Times;serif'"/>
                                <w:color w:val="000000"/>
                                <w:sz w:val="20"/>
                              </w:rPr>
                            </w:pPr>
                            <w:r>
                              <w:rPr>
                                <w:rFonts w:ascii="'Times New Roman', ;Times;serif'" w:hAnsi="'Times New Roman', ;Times;serif'"/>
                                <w:color w:val="000000"/>
                                <w:sz w:val="20"/>
                              </w:rPr>
                              <w:t>$</w:t>
                            </w:r>
                          </w:p>
                        </w:tc>
                        <w:tc>
                          <w:tcPr>
                            <w:tcW w:w="601"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w:hAnsi="'Times New Roman', ;Times;serif'"/>
                                <w:color w:val="000000"/>
                                <w:sz w:val="20"/>
                              </w:rPr>
                            </w:pPr>
                            <w:r>
                              <w:rPr>
                                <w:rFonts w:ascii="'Times New Roman', ;Times;serif'" w:hAnsi="'Times New Roman', ;Times;serif'"/>
                                <w:color w:val="000000"/>
                                <w:sz w:val="20"/>
                              </w:rPr>
                              <w:t>6.38</w:t>
                            </w:r>
                          </w:p>
                        </w:tc>
                        <w:tc>
                          <w:tcPr>
                            <w:tcW w:w="60" w:type="dxa"/>
                            <w:tcBorders/>
                            <w:shd w:fill="auto" w:val="clear"/>
                            <w:vAlign w:val="bottom"/>
                          </w:tcPr>
                          <w:p>
                            <w:pPr>
                              <w:pStyle w:val="TableContents"/>
                              <w:spacing w:before="0" w:after="283"/>
                              <w:jc w:val="left"/>
                              <w:rPr>
                                <w:color w:val="000000"/>
                              </w:rPr>
                            </w:pPr>
                            <w:r>
                              <w:rPr>
                                <w:color w:val="000000"/>
                              </w:rPr>
                              <w:t> </w:t>
                            </w:r>
                          </w:p>
                        </w:tc>
                      </w:tr>
                      <w:tr>
                        <w:trPr/>
                        <w:tc>
                          <w:tcPr>
                            <w:tcW w:w="7565" w:type="dxa"/>
                            <w:tcBorders/>
                            <w:shd w:fill="auto" w:val="clear"/>
                            <w:vAlign w:val="bottom"/>
                          </w:tcPr>
                          <w:p>
                            <w:pPr>
                              <w:pStyle w:val="TableContents"/>
                              <w:spacing w:before="0" w:after="283"/>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86" w:type="dxa"/>
                            <w:tcBorders/>
                            <w:shd w:fill="auto" w:val="clear"/>
                            <w:vAlign w:val="bottom"/>
                          </w:tcPr>
                          <w:p>
                            <w:pPr>
                              <w:pStyle w:val="TableContents"/>
                              <w:spacing w:before="0" w:after="283"/>
                              <w:jc w:val="left"/>
                              <w:rPr>
                                <w:color w:val="000000"/>
                              </w:rPr>
                            </w:pPr>
                            <w:r>
                              <w:rPr>
                                <w:color w:val="000000"/>
                              </w:rPr>
                              <w:t> </w:t>
                            </w:r>
                          </w:p>
                        </w:tc>
                        <w:tc>
                          <w:tcPr>
                            <w:tcW w:w="568"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c>
                          <w:tcPr>
                            <w:tcW w:w="60" w:type="dxa"/>
                            <w:tcBorders/>
                            <w:shd w:fill="auto" w:val="clear"/>
                            <w:vAlign w:val="bottom"/>
                          </w:tcPr>
                          <w:p>
                            <w:pPr>
                              <w:pStyle w:val="TableContents"/>
                              <w:spacing w:before="0" w:after="283"/>
                              <w:rPr>
                                <w:color w:val="000000"/>
                              </w:rPr>
                            </w:pPr>
                            <w:r>
                              <w:rPr>
                                <w:color w:val="000000"/>
                              </w:rPr>
                              <w:t> </w:t>
                            </w:r>
                          </w:p>
                        </w:tc>
                        <w:tc>
                          <w:tcPr>
                            <w:tcW w:w="198" w:type="dxa"/>
                            <w:tcBorders/>
                            <w:shd w:fill="auto" w:val="clear"/>
                            <w:vAlign w:val="bottom"/>
                          </w:tcPr>
                          <w:p>
                            <w:pPr>
                              <w:pStyle w:val="TableContents"/>
                              <w:spacing w:before="0" w:after="283"/>
                              <w:jc w:val="left"/>
                              <w:rPr>
                                <w:color w:val="000000"/>
                              </w:rPr>
                            </w:pPr>
                            <w:r>
                              <w:rPr>
                                <w:color w:val="000000"/>
                              </w:rPr>
                              <w:t> </w:t>
                            </w:r>
                          </w:p>
                        </w:tc>
                        <w:tc>
                          <w:tcPr>
                            <w:tcW w:w="601" w:type="dxa"/>
                            <w:tcBorders/>
                            <w:shd w:fill="auto" w:val="clear"/>
                            <w:vAlign w:val="bottom"/>
                          </w:tcPr>
                          <w:p>
                            <w:pPr>
                              <w:pStyle w:val="TableContents"/>
                              <w:spacing w:before="0" w:after="283"/>
                              <w:jc w:val="right"/>
                              <w:rPr>
                                <w:color w:val="000000"/>
                              </w:rPr>
                            </w:pPr>
                            <w:r>
                              <w:rPr>
                                <w:color w:val="000000"/>
                              </w:rPr>
                              <w:t> </w:t>
                            </w:r>
                          </w:p>
                        </w:tc>
                        <w:tc>
                          <w:tcPr>
                            <w:tcW w:w="60" w:type="dxa"/>
                            <w:tcBorders/>
                            <w:shd w:fill="auto" w:val="clear"/>
                            <w:vAlign w:val="bottom"/>
                          </w:tcPr>
                          <w:p>
                            <w:pPr>
                              <w:pStyle w:val="TableContents"/>
                              <w:spacing w:before="0" w:after="283"/>
                              <w:jc w:val="left"/>
                              <w:rPr>
                                <w:color w:val="000000"/>
                              </w:rPr>
                            </w:pPr>
                            <w:r>
                              <w:rPr>
                                <w:color w:val="000000"/>
                              </w:rPr>
                              <w:t> </w:t>
                            </w:r>
                          </w:p>
                        </w:tc>
                      </w:tr>
                    </w:tbl>
                  </w:txbxContent>
                </v:textbox>
                <w10:wrap type="square" side="right"/>
              </v:rect>
            </w:pict>
          </mc:Fallback>
        </mc:AlternateContent>
      </w:r>
    </w:p>
    <w:p>
      <w:pPr>
        <w:pStyle w:val="TextBody"/>
        <w:spacing w:before="0" w:after="0"/>
        <w:rPr>
          <w:rFonts w:ascii="'Times New Roman', ;Times;serif', 'FONT-WEIGHT: bold', 'COLOR: #000000', 'TEXT-ALIGN: justify'" w:hAnsi="'Times New Roman', ;Times;serif', 'FONT-WEIGHT: bold', 'COLOR: #000000', 'TEXT-ALIGN: justify'"/>
          <w:sz w:val="20"/>
          <w:u w:val="single"/>
        </w:rPr>
      </w:pPr>
      <w:r>
        <w:rPr>
          <w:rFonts w:ascii="'Times New Roman', ;Times;serif', 'FONT-WEIGHT: bold', 'COLOR: #000000', 'TEXT-ALIGN: justify'" w:hAnsi="'Times New Roman', ;Times;serif', 'FONT-WEIGHT: bold', 'COLOR: #000000', 'TEXT-ALIGN: justify'"/>
          <w:sz w:val="20"/>
          <w:u w:val="single"/>
        </w:rPr>
        <w:t>Conference Call to be Held at 8:30 AM (ET) Today</w:t>
      </w:r>
    </w:p>
    <w:p>
      <w:pPr>
        <w:pStyle w:val="TextBody"/>
        <w:spacing w:before="0" w:after="0"/>
        <w:rPr>
          <w:color w:val="000000"/>
        </w:rPr>
      </w:pPr>
      <w:r>
        <w:rPr>
          <w:color w:val="000000"/>
        </w:rPr>
      </w:r>
    </w:p>
    <w:p>
      <w:pPr>
        <w:pStyle w:val="TextBody"/>
        <w:spacing w:before="0" w:after="0"/>
        <w:rPr>
          <w:rFonts w:ascii="'Times New Roman', ;Times;serif', 'COLOR: #000000', 'TEXT-ALIGN: justify'" w:hAnsi="'Times New Roman', ;Times;serif', 'COLOR: #000000', 'TEXT-ALIGN: justify'"/>
          <w:sz w:val="20"/>
        </w:rPr>
      </w:pPr>
      <w:r>
        <w:rPr>
          <w:rFonts w:ascii="'Times New Roman', ;Times;serif', 'COLOR: #000000', 'TEXT-ALIGN: justify'" w:hAnsi="'Times New Roman', ;Times;serif', 'COLOR: #000000', 'TEXT-ALIGN: justify'"/>
          <w:sz w:val="20"/>
        </w:rPr>
        <w:t>A conference call to discuss these results has been scheduled for 8:30 AM ET on Monday, October 27, 2014.  The call can be accessed via webcast or by dialing +1 888-438-5525 (US/Canada) or +1 719-457-2689, using confirmation code 3987678.  Webcast information and conference call materials will be made available in the Investors section of Roper's website (</w:t>
      </w:r>
      <w:r>
        <w:rPr>
          <w:rFonts w:ascii="'Times New Roman', ;Times;serif'" w:hAnsi="'Times New Roman', ;Times;serif'"/>
          <w:sz w:val="20"/>
        </w:rPr>
        <w:t>www.roperind.com</w:t>
      </w:r>
      <w:r>
        <w:rPr>
          <w:rFonts w:ascii="'Times New Roman', ;Times;serif', 'COLOR: #000000', 'TEXT-ALIGN: justify'" w:hAnsi="'Times New Roman', ;Times;serif', 'COLOR: #000000', 'TEXT-ALIGN: justify'"/>
          <w:sz w:val="20"/>
        </w:rPr>
        <w:t>) prior to the start of the call. Telephonic replays will be available for up to two weeks by calling +1 719-457-0820 and using the access code 3987678.</w:t>
      </w:r>
    </w:p>
    <w:p>
      <w:pPr>
        <w:pStyle w:val="TextBody"/>
        <w:spacing w:before="0" w:after="0"/>
        <w:rPr>
          <w:color w:val="000000"/>
        </w:rPr>
      </w:pPr>
      <w:r>
        <w:rPr>
          <w:color w:val="000000"/>
        </w:rPr>
      </w:r>
    </w:p>
    <w:p>
      <w:pPr>
        <w:pStyle w:val="TextBody"/>
        <w:spacing w:before="0" w:after="0"/>
        <w:rPr>
          <w:color w:val="000000"/>
        </w:rPr>
      </w:pPr>
      <w:r>
        <w:rPr>
          <w:color w:val="000000"/>
        </w:rPr>
      </w:r>
    </w:p>
    <w:p>
      <w:pPr>
        <w:pStyle w:val="TextBody"/>
        <w:spacing w:before="0" w:after="0"/>
        <w:rPr>
          <w:color w:val="000000"/>
        </w:rPr>
      </w:pPr>
      <w:r>
        <w:rPr>
          <w:color w:val="000000"/>
        </w:rPr>
      </w:r>
    </w:p>
    <w:p>
      <w:pPr>
        <w:pStyle w:val="TextBody"/>
        <w:spacing w:before="0" w:after="0"/>
        <w:rPr>
          <w:rFonts w:ascii="'Times New Roman', ;Times;serif', 'FONT-WEIGHT: bold', 'COLOR: #000000', 'TEXT-ALIGN: justify'" w:hAnsi="'Times New Roman', ;Times;serif', 'FONT-WEIGHT: bold', 'COLOR: #000000', 'TEXT-ALIGN: justify'"/>
          <w:sz w:val="20"/>
          <w:u w:val="single"/>
        </w:rPr>
      </w:pPr>
      <w:r>
        <w:rPr>
          <w:rFonts w:ascii="'Times New Roman', ;Times;serif', 'FONT-WEIGHT: bold', 'COLOR: #000000', 'TEXT-ALIGN: justify'" w:hAnsi="'Times New Roman', ;Times;serif', 'FONT-WEIGHT: bold', 'COLOR: #000000', 'TEXT-ALIGN: justify'"/>
          <w:sz w:val="20"/>
          <w:u w:val="single"/>
        </w:rPr>
        <w:t>About Roper Industries</w:t>
      </w:r>
    </w:p>
    <w:p>
      <w:pPr>
        <w:pStyle w:val="TextBody"/>
        <w:spacing w:before="0" w:after="0"/>
        <w:rPr>
          <w:color w:val="000000"/>
        </w:rPr>
      </w:pPr>
      <w:r>
        <w:rPr>
          <w:color w:val="000000"/>
        </w:rPr>
      </w:r>
    </w:p>
    <w:p>
      <w:pPr>
        <w:pStyle w:val="TextBody"/>
        <w:spacing w:before="0" w:after="0"/>
        <w:rPr>
          <w:rFonts w:ascii="'Times New Roman', ;Times;serif', 'COLOR: #000000', 'TEXT-ALIGN: justify'" w:hAnsi="'Times New Roman', ;Times;serif', 'COLOR: #000000', 'TEXT-ALIGN: justify'"/>
          <w:sz w:val="20"/>
        </w:rPr>
      </w:pPr>
      <w:r>
        <w:rPr>
          <w:rFonts w:ascii="'Times New Roman', ;Times;serif', 'COLOR: #000000', 'TEXT-ALIGN: justify'" w:hAnsi="'Times New Roman', ;Times;serif', 'COLOR: #000000', 'TEXT-ALIGN: justify'"/>
          <w:sz w:val="20"/>
        </w:rPr>
        <w:t xml:space="preserve">Roper Industries is a diversified technology company and is a constituent of the S&amp;P 500, Fortune 1000, and the Russell 1000 indices. Roper provides engineered products and solutions for global niche markets, including software information networks, medical, water, energy, and transportation. Additional information about Roper is available on the company's website at </w:t>
      </w:r>
      <w:r>
        <w:rPr>
          <w:rFonts w:ascii="'Times New Roman', ;Times;serif'" w:hAnsi="'Times New Roman', ;Times;serif'"/>
          <w:sz w:val="20"/>
        </w:rPr>
        <w:t>www.roperind.com</w:t>
      </w:r>
      <w:r>
        <w:rPr>
          <w:rFonts w:ascii="'Times New Roman', ;Times;serif', 'COLOR: #000000', 'TEXT-ALIGN: justify'" w:hAnsi="'Times New Roman', ;Times;serif', 'COLOR: #000000', 'TEXT-ALIGN: justify'"/>
          <w:sz w:val="20"/>
        </w:rPr>
        <w:t>.</w:t>
      </w:r>
    </w:p>
    <w:p>
      <w:pPr>
        <w:pStyle w:val="TextBody"/>
        <w:spacing w:before="0" w:after="0"/>
        <w:rPr>
          <w:color w:val="000000"/>
        </w:rPr>
      </w:pPr>
      <w:r>
        <w:rPr>
          <w:color w:val="000000"/>
        </w:rPr>
      </w:r>
    </w:p>
    <w:p>
      <w:pPr>
        <w:pStyle w:val="TextBody"/>
        <w:spacing w:before="0" w:after="0"/>
        <w:rPr>
          <w:color w:val="000000"/>
        </w:rPr>
      </w:pPr>
      <w:r>
        <w:rPr>
          <w:color w:val="000000"/>
        </w:rPr>
      </w:r>
    </w:p>
    <w:p>
      <w:pPr>
        <w:pStyle w:val="TextBody"/>
        <w:spacing w:before="0" w:after="0"/>
        <w:rPr>
          <w:rFonts w:ascii="'Times New Roman', ;Times;serif', 'COLOR: #000000', 'FONT-STYLE: italic', 'TEXT-ALIGN: justify'" w:hAnsi="'Times New Roman', ;Times;serif', 'COLOR: #000000', 'FONT-STYLE: italic', 'TEXT-ALIGN: justify'"/>
          <w:sz w:val="20"/>
        </w:rPr>
      </w:pPr>
      <w:r>
        <w:rPr>
          <w:rFonts w:ascii="'Times New Roman', ;Times;serif', 'COLOR: #000000', 'FONT-STYLE: italic', 'TEXT-ALIGN: justify'" w:hAnsi="'Times New Roman', ;Times;serif', 'COLOR: #000000', 'FONT-STYLE: italic', 'TEXT-ALIGN: justify'"/>
          <w:sz w:val="20"/>
        </w:rPr>
        <w:t>The information provided in this press release contains forward-looking statements within the meaning of the federal securities laws. These forward-looking statements may include, among others, statements regarding operating results, the success of our internal operating plans, and the prospects for newly acquired businesses to be integrated and contribute to future growth, profit and cash flow expectations.  Forward-looking statements may be indicated by words or phrases such as "anticipate," "estimate," "plans," "expects," "projects," "should," "will," "believes," "intends" and similar words and phrases.  These statements reflect management's current beliefs and are not guarantees of future performance.  They involve risks and uncertainties that could cause actual results to differ materially from those contained in any forward-looking statement. Such risks and uncertainties include our ability to integrate acquisitions and realize expected synergies.  We also face other general risks, including our ability to realize cost savings from our operating initiatives, general economic conditions, changes in foreign exchange rates, difficulties associated with exports, risks associated with our international operations, difficulties in making and integrating acquisitions, risks associated with newly acquired businesses, increased product liability and insurance costs, increased warranty exposure, future competition, changes in the supply of, or price for, parts and components, environmental compliance costs and liabilities, risks and cost associated with asbestos related litigation, potential write-offs of our substantial intangible assets, and risks associated with obtaining governmental approvals and maintaining regulatory compliance for new and existing products.  Important risks may be discussed in current and subsequent filings with the SEC.  You should not place undue reliance on any forward-looking statements.  These statements speak only as of the date they are made, and we undertake no obligation to update publicly any of them in light of new information or future events.</w:t>
      </w:r>
    </w:p>
    <w:p>
      <w:pPr>
        <w:pStyle w:val="TextBody"/>
        <w:spacing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HorizontalLine"/>
        <w:pBdr>
          <w:bottom w:val="single" w:sz="20" w:space="0" w:color="808080"/>
        </w:pBdr>
        <w:spacing w:before="200" w:after="200"/>
        <w:rPr/>
      </w:pPr>
      <w:r>
        <w:rPr/>
      </w:r>
      <w:bookmarkStart w:id="16" w:name="DSPFPageBreak1"/>
      <w:bookmarkStart w:id="17" w:name="DSPFPageBreakArea"/>
      <w:bookmarkStart w:id="18" w:name="DSPFPageBreak1"/>
      <w:bookmarkStart w:id="19" w:name="DSPFPageBreakArea"/>
      <w:bookmarkEnd w:id="18"/>
      <w:bookmarkEnd w:id="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20" w:name="b77ba9007af14d508d6b4f108be55701"/>
      <w:bookmarkStart w:id="21" w:name="b77ba9007af14d508d6b4f108be55701"/>
      <w:bookmarkEnd w:id="21"/>
    </w:p>
    <w:tbl>
      <w:tblPr>
        <w:tblW w:w="7193" w:type="dxa"/>
        <w:jc w:val="center"/>
        <w:tblInd w:w="0" w:type="dxa"/>
        <w:tblCellMar>
          <w:top w:w="0" w:type="dxa"/>
          <w:left w:w="0" w:type="dxa"/>
          <w:bottom w:w="0" w:type="dxa"/>
          <w:right w:w="0" w:type="dxa"/>
        </w:tblCellMar>
      </w:tblPr>
      <w:tblGrid>
        <w:gridCol w:w="4595"/>
        <w:gridCol w:w="60"/>
        <w:gridCol w:w="151"/>
        <w:gridCol w:w="1023"/>
        <w:gridCol w:w="80"/>
        <w:gridCol w:w="60"/>
        <w:gridCol w:w="145"/>
        <w:gridCol w:w="984"/>
        <w:gridCol w:w="95"/>
      </w:tblGrid>
      <w:tr>
        <w:trPr/>
        <w:tc>
          <w:tcPr>
            <w:tcW w:w="4595" w:type="dxa"/>
            <w:tcBorders/>
            <w:shd w:fill="auto" w:val="clear"/>
            <w:vAlign w:val="bottom"/>
          </w:tcPr>
          <w:p>
            <w:pPr>
              <w:pStyle w:val="TableContents"/>
              <w:spacing w:before="0" w:after="0"/>
              <w:rPr>
                <w:rFonts w:ascii="'Times New Roman', ;Times;serif', 'FONT-WEIGHT: bold', 'COLOR: #000000', 'TEXT-ALIGN: left'" w:hAnsi="'Times New Roman', ;Times;serif', 'FONT-WEIGHT: bold', 'COLOR: #000000', 'TEXT-ALIGN: left'"/>
                <w:sz w:val="20"/>
              </w:rPr>
            </w:pPr>
            <w:r>
              <w:rPr>
                <w:rFonts w:ascii="'Times New Roman', ;Times;serif', 'FONT-WEIGHT: bold', 'COLOR: #000000', 'TEXT-ALIGN: left'" w:hAnsi="'Times New Roman', ;Times;serif', 'FONT-WEIGHT: bold', 'COLOR: #000000', 'TEXT-ALIGN: left'"/>
                <w:sz w:val="20"/>
              </w:rPr>
              <w:t>Roper Industries, Inc. and Subsidiaries</w:t>
            </w:r>
          </w:p>
        </w:tc>
        <w:tc>
          <w:tcPr>
            <w:tcW w:w="60"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29" w:type="dxa"/>
            <w:gridSpan w:val="2"/>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rFonts w:ascii="'Times New Roman', ;Times;serif', 'FONT-WEIGHT: bold', 'COLOR: #000000', 'TEXT-ALIGN: left'" w:hAnsi="'Times New Roman', ;Times;serif', 'FONT-WEIGHT: bold', 'COLOR: #000000', 'TEXT-ALIGN: left'"/>
                <w:sz w:val="20"/>
              </w:rPr>
            </w:pPr>
            <w:r>
              <w:rPr>
                <w:rFonts w:ascii="'Times New Roman', ;Times;serif', 'FONT-WEIGHT: bold', 'COLOR: #000000', 'TEXT-ALIGN: left'" w:hAnsi="'Times New Roman', ;Times;serif', 'FONT-WEIGHT: bold', 'COLOR: #000000', 'TEXT-ALIGN: left'"/>
                <w:sz w:val="20"/>
              </w:rPr>
              <w:t>Condensed Consolidated Balance Sheets (unaudited)</w:t>
            </w:r>
          </w:p>
        </w:tc>
        <w:tc>
          <w:tcPr>
            <w:tcW w:w="60"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29" w:type="dxa"/>
            <w:gridSpan w:val="2"/>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rFonts w:ascii="'Times New Roman', ;Times;serif', 'FONT-WEIGHT: bold', 'COLOR: #000000', 'TEXT-ALIGN: left'" w:hAnsi="'Times New Roman', ;Times;serif', 'FONT-WEIGHT: bold', 'COLOR: #000000', 'TEXT-ALIGN: left'"/>
                <w:sz w:val="20"/>
              </w:rPr>
            </w:pPr>
            <w:r>
              <w:rPr>
                <w:rFonts w:ascii="'Times New Roman', ;Times;serif', 'FONT-WEIGHT: bold', 'COLOR: #000000', 'TEXT-ALIGN: left'" w:hAnsi="'Times New Roman', ;Times;serif', 'FONT-WEIGHT: bold', 'COLOR: #000000', 'TEXT-ALIGN: left'"/>
                <w:sz w:val="20"/>
              </w:rPr>
              <w:t>(Amounts in thousands)</w:t>
            </w:r>
          </w:p>
        </w:tc>
        <w:tc>
          <w:tcPr>
            <w:tcW w:w="60"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29" w:type="dxa"/>
            <w:gridSpan w:val="2"/>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29" w:type="dxa"/>
            <w:gridSpan w:val="2"/>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29" w:type="dxa"/>
            <w:gridSpan w:val="2"/>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September 30,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29" w:type="dxa"/>
            <w:gridSpan w:val="2"/>
            <w:tcBorders/>
            <w:shd w:fill="auto" w:val="cle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December 31,</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rFonts w:ascii="'Times New Roman', ;Times;serif', 'FONT-WEIGHT: bold', 'COLOR: #000000', 'TEXT-ALIGN: left'" w:hAnsi="'Times New Roman', ;Times;serif', 'FONT-WEIGHT: bold', 'COLOR: #000000', 'TEXT-ALIGN: left'"/>
                <w:sz w:val="20"/>
              </w:rPr>
            </w:pPr>
            <w:r>
              <w:rPr>
                <w:rFonts w:ascii="'Times New Roman', ;Times;serif', 'FONT-WEIGHT: bold', 'COLOR: #000000', 'TEXT-ALIGN: left'" w:hAnsi="'Times New Roman', ;Times;serif', 'FONT-WEIGHT: bold', 'COLOR: #000000', 'TEXT-ALIGN: left'"/>
                <w:sz w:val="20"/>
              </w:rPr>
              <w:t>ASSETS</w:t>
            </w:r>
          </w:p>
        </w:tc>
        <w:tc>
          <w:tcPr>
            <w:tcW w:w="60" w:type="dxa"/>
            <w:tcBorders/>
            <w:shd w:fill="auto" w:val="clear"/>
            <w:vAlign w:val="bottom"/>
          </w:tcPr>
          <w:p>
            <w:pPr>
              <w:pStyle w:val="TableContents"/>
              <w:spacing w:before="0" w:after="283"/>
              <w:rPr/>
            </w:pPr>
            <w:r>
              <w:rPr/>
              <w:t> </w:t>
            </w:r>
          </w:p>
        </w:tc>
        <w:tc>
          <w:tcPr>
            <w:tcW w:w="1174" w:type="dxa"/>
            <w:gridSpan w:val="2"/>
            <w:tcBorders>
              <w:bottom w:val="single" w:sz="12" w:space="0" w:color="646464"/>
            </w:tcBorders>
            <w:shd w:fill="auto" w:val="clear"/>
            <w:tcMar>
              <w:bottom w:w="28" w:type="dxa"/>
            </w:tcM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2014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29" w:type="dxa"/>
            <w:gridSpan w:val="2"/>
            <w:tcBorders>
              <w:bottom w:val="single" w:sz="12" w:space="0" w:color="646464"/>
            </w:tcBorders>
            <w:shd w:fill="auto" w:val="clear"/>
            <w:tcMar>
              <w:bottom w:w="28" w:type="dxa"/>
            </w:tcM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2013</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29" w:type="dxa"/>
            <w:gridSpan w:val="2"/>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CURRENT ASSETS:</w:t>
            </w:r>
          </w:p>
        </w:tc>
        <w:tc>
          <w:tcPr>
            <w:tcW w:w="60"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29" w:type="dxa"/>
            <w:gridSpan w:val="2"/>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Cash and cash equivalents</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1023"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564,112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98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459,720</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Accounts receivable</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528,734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519,075</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Inventories</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213,440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204,923</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Unbilled receivable</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103,124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86,945</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Deferred taxes</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65,230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64,464</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Other current assets</w:t>
            </w:r>
          </w:p>
        </w:tc>
        <w:tc>
          <w:tcPr>
            <w:tcW w:w="60" w:type="dxa"/>
            <w:tcBorders/>
            <w:shd w:fill="auto" w:val="clear"/>
            <w:vAlign w:val="bottom"/>
          </w:tcPr>
          <w:p>
            <w:pPr>
              <w:pStyle w:val="TableContents"/>
              <w:spacing w:before="0" w:after="283"/>
              <w:rPr/>
            </w:pPr>
            <w:r>
              <w:rPr/>
              <w:t> </w:t>
            </w:r>
          </w:p>
        </w:tc>
        <w:tc>
          <w:tcPr>
            <w:tcW w:w="15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58,051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38,210</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Total current assets</w:t>
            </w:r>
          </w:p>
        </w:tc>
        <w:tc>
          <w:tcPr>
            <w:tcW w:w="60" w:type="dxa"/>
            <w:tcBorders/>
            <w:shd w:fill="auto" w:val="clear"/>
            <w:vAlign w:val="bottom"/>
          </w:tcPr>
          <w:p>
            <w:pPr>
              <w:pStyle w:val="TableContents"/>
              <w:spacing w:before="0" w:after="283"/>
              <w:rPr/>
            </w:pPr>
            <w:r>
              <w:rPr/>
              <w:t> </w:t>
            </w:r>
          </w:p>
        </w:tc>
        <w:tc>
          <w:tcPr>
            <w:tcW w:w="15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1,532,691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1,373,337</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PROPERTY, PLANT AND EQUIPMENT, NET</w:t>
            </w:r>
          </w:p>
        </w:tc>
        <w:tc>
          <w:tcPr>
            <w:tcW w:w="60" w:type="dxa"/>
            <w:tcBorders/>
            <w:shd w:fill="auto" w:val="clear"/>
            <w:vAlign w:val="bottom"/>
          </w:tcPr>
          <w:p>
            <w:pPr>
              <w:pStyle w:val="TableContents"/>
              <w:spacing w:before="0" w:after="283"/>
              <w:rPr/>
            </w:pPr>
            <w:r>
              <w:rPr/>
              <w:t> </w:t>
            </w:r>
          </w:p>
        </w:tc>
        <w:tc>
          <w:tcPr>
            <w:tcW w:w="15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115,243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117,310</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OTHER ASSETS:</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Goodwill</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4,731,394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4,549,998</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Other intangible assets, net</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2,020,798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2,039,136</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Deferred taxes</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29,051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28,773</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Other assets</w:t>
            </w:r>
          </w:p>
        </w:tc>
        <w:tc>
          <w:tcPr>
            <w:tcW w:w="60" w:type="dxa"/>
            <w:tcBorders/>
            <w:shd w:fill="auto" w:val="clear"/>
            <w:vAlign w:val="bottom"/>
          </w:tcPr>
          <w:p>
            <w:pPr>
              <w:pStyle w:val="TableContents"/>
              <w:spacing w:before="0" w:after="283"/>
              <w:rPr/>
            </w:pPr>
            <w:r>
              <w:rPr/>
              <w:t> </w:t>
            </w:r>
          </w:p>
        </w:tc>
        <w:tc>
          <w:tcPr>
            <w:tcW w:w="15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81,089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76,427</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Total other assets</w:t>
            </w:r>
          </w:p>
        </w:tc>
        <w:tc>
          <w:tcPr>
            <w:tcW w:w="60" w:type="dxa"/>
            <w:tcBorders/>
            <w:shd w:fill="auto" w:val="clear"/>
            <w:vAlign w:val="bottom"/>
          </w:tcPr>
          <w:p>
            <w:pPr>
              <w:pStyle w:val="TableContents"/>
              <w:spacing w:before="0" w:after="283"/>
              <w:rPr/>
            </w:pPr>
            <w:r>
              <w:rPr/>
              <w:t> </w:t>
            </w:r>
          </w:p>
        </w:tc>
        <w:tc>
          <w:tcPr>
            <w:tcW w:w="15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6,862,332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6,694,334</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TOTAL ASSETS</w:t>
            </w:r>
          </w:p>
        </w:tc>
        <w:tc>
          <w:tcPr>
            <w:tcW w:w="60" w:type="dxa"/>
            <w:tcBorders/>
            <w:shd w:fill="auto" w:val="clear"/>
            <w:vAlign w:val="bottom"/>
          </w:tcPr>
          <w:p>
            <w:pPr>
              <w:pStyle w:val="TableContents"/>
              <w:spacing w:before="0" w:after="283"/>
              <w:rPr/>
            </w:pPr>
            <w:r>
              <w:rPr/>
              <w:t> </w:t>
            </w:r>
          </w:p>
        </w:tc>
        <w:tc>
          <w:tcPr>
            <w:tcW w:w="151"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1023"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8,510,266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984"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8,184,981</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rFonts w:ascii="'Times New Roman', ;Times;serif', 'FONT-WEIGHT: bold', 'COLOR: #000000', 'TEXT-ALIGN: left'" w:hAnsi="'Times New Roman', ;Times;serif', 'FONT-WEIGHT: bold', 'COLOR: #000000', 'TEXT-ALIGN: left'"/>
                <w:sz w:val="20"/>
              </w:rPr>
            </w:pPr>
            <w:r>
              <w:rPr>
                <w:rFonts w:ascii="'Times New Roman', ;Times;serif', 'FONT-WEIGHT: bold', 'COLOR: #000000', 'TEXT-ALIGN: left'" w:hAnsi="'Times New Roman', ;Times;serif', 'FONT-WEIGHT: bold', 'COLOR: #000000', 'TEXT-ALIGN: left'"/>
                <w:sz w:val="20"/>
              </w:rPr>
              <w:t>LIABILITIES AND STOCKHOLDERS' EQUITY</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CURRENT LIABILITIES:</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Accounts payable</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1023"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145,660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98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150,313</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Accrued compensation</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115,167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107,953</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Deferred revenue</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221,552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209,332</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Other accrued liabilities</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161,057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153,712</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Income taxes payable</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4,275</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Deferred taxes</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7,495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6,490</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Current portion of long-term debt</w:t>
            </w:r>
          </w:p>
        </w:tc>
        <w:tc>
          <w:tcPr>
            <w:tcW w:w="60" w:type="dxa"/>
            <w:tcBorders/>
            <w:shd w:fill="auto" w:val="clear"/>
            <w:vAlign w:val="bottom"/>
          </w:tcPr>
          <w:p>
            <w:pPr>
              <w:pStyle w:val="TableContents"/>
              <w:spacing w:before="0" w:after="283"/>
              <w:rPr/>
            </w:pPr>
            <w:r>
              <w:rPr/>
              <w:t> </w:t>
            </w:r>
          </w:p>
        </w:tc>
        <w:tc>
          <w:tcPr>
            <w:tcW w:w="15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11,074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11,016</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Total current liabilities</w:t>
            </w:r>
          </w:p>
        </w:tc>
        <w:tc>
          <w:tcPr>
            <w:tcW w:w="60" w:type="dxa"/>
            <w:tcBorders/>
            <w:shd w:fill="auto" w:val="clear"/>
            <w:vAlign w:val="bottom"/>
          </w:tcPr>
          <w:p>
            <w:pPr>
              <w:pStyle w:val="TableContents"/>
              <w:spacing w:before="0" w:after="283"/>
              <w:rPr/>
            </w:pPr>
            <w:r>
              <w:rPr/>
              <w:t> </w:t>
            </w:r>
          </w:p>
        </w:tc>
        <w:tc>
          <w:tcPr>
            <w:tcW w:w="15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662,005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643,091</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NONCURRENT LIABILITIES:</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Long-term debt</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2,358,474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2,453,836</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Deferred taxes</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753,798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783,805</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Other liabilities</w:t>
            </w:r>
          </w:p>
        </w:tc>
        <w:tc>
          <w:tcPr>
            <w:tcW w:w="60" w:type="dxa"/>
            <w:tcBorders/>
            <w:shd w:fill="auto" w:val="clear"/>
            <w:vAlign w:val="bottom"/>
          </w:tcPr>
          <w:p>
            <w:pPr>
              <w:pStyle w:val="TableContents"/>
              <w:spacing w:before="0" w:after="283"/>
              <w:rPr/>
            </w:pPr>
            <w:r>
              <w:rPr/>
              <w:t> </w:t>
            </w:r>
          </w:p>
        </w:tc>
        <w:tc>
          <w:tcPr>
            <w:tcW w:w="15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87,765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91,199</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Total liabilities</w:t>
            </w:r>
          </w:p>
        </w:tc>
        <w:tc>
          <w:tcPr>
            <w:tcW w:w="60" w:type="dxa"/>
            <w:tcBorders/>
            <w:shd w:fill="auto" w:val="clear"/>
            <w:vAlign w:val="bottom"/>
          </w:tcPr>
          <w:p>
            <w:pPr>
              <w:pStyle w:val="TableContents"/>
              <w:spacing w:before="0" w:after="283"/>
              <w:rPr/>
            </w:pPr>
            <w:r>
              <w:rPr/>
              <w:t> </w:t>
            </w:r>
          </w:p>
        </w:tc>
        <w:tc>
          <w:tcPr>
            <w:tcW w:w="15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3,862,042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3,971,931</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STOCKHOLDERS' EQUITY:</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Common stock</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1,021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1,013</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Additional paid-in capital</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1,317,906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1,229,233</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Retained earnings</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3,359,297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2,959,196</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Accumulated other comprehensive earnings</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(10,680</w:t>
            </w:r>
          </w:p>
        </w:tc>
        <w:tc>
          <w:tcPr>
            <w:tcW w:w="80"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43,083</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Treasury stock</w:t>
            </w:r>
          </w:p>
        </w:tc>
        <w:tc>
          <w:tcPr>
            <w:tcW w:w="60" w:type="dxa"/>
            <w:tcBorders/>
            <w:shd w:fill="auto" w:val="clear"/>
            <w:vAlign w:val="bottom"/>
          </w:tcPr>
          <w:p>
            <w:pPr>
              <w:pStyle w:val="TableContents"/>
              <w:spacing w:before="0" w:after="283"/>
              <w:rPr/>
            </w:pPr>
            <w:r>
              <w:rPr/>
              <w:t> </w:t>
            </w:r>
          </w:p>
        </w:tc>
        <w:tc>
          <w:tcPr>
            <w:tcW w:w="15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(19,320</w:t>
            </w:r>
          </w:p>
        </w:tc>
        <w:tc>
          <w:tcPr>
            <w:tcW w:w="80"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60" w:type="dxa"/>
            <w:tcBorders/>
            <w:shd w:fill="auto" w:val="clear"/>
            <w:vAlign w:val="bottom"/>
          </w:tcPr>
          <w:p>
            <w:pPr>
              <w:pStyle w:val="TableContents"/>
              <w:spacing w:before="0" w:after="283"/>
              <w:rPr/>
            </w:pPr>
            <w:r>
              <w:rPr/>
              <w:t> </w:t>
            </w:r>
          </w:p>
        </w:tc>
        <w:tc>
          <w:tcPr>
            <w:tcW w:w="14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(19,475</w:t>
            </w:r>
          </w:p>
        </w:tc>
        <w:tc>
          <w:tcPr>
            <w:tcW w:w="9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r>
      <w:tr>
        <w:trPr/>
        <w:tc>
          <w:tcPr>
            <w:tcW w:w="4595"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Total stockholders' equity</w:t>
            </w:r>
          </w:p>
        </w:tc>
        <w:tc>
          <w:tcPr>
            <w:tcW w:w="60" w:type="dxa"/>
            <w:tcBorders/>
            <w:shd w:fill="auto" w:val="clear"/>
            <w:vAlign w:val="bottom"/>
          </w:tcPr>
          <w:p>
            <w:pPr>
              <w:pStyle w:val="TableContents"/>
              <w:spacing w:before="0" w:after="283"/>
              <w:rPr/>
            </w:pPr>
            <w:r>
              <w:rPr/>
              <w:t> </w:t>
            </w:r>
          </w:p>
        </w:tc>
        <w:tc>
          <w:tcPr>
            <w:tcW w:w="15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4,648,224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4,213,050</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595"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TOTAL LIABILITIES AND STOCKHOLDERS' EQUITY</w:t>
            </w:r>
          </w:p>
        </w:tc>
        <w:tc>
          <w:tcPr>
            <w:tcW w:w="60" w:type="dxa"/>
            <w:tcBorders/>
            <w:shd w:fill="auto" w:val="clear"/>
            <w:vAlign w:val="bottom"/>
          </w:tcPr>
          <w:p>
            <w:pPr>
              <w:pStyle w:val="TableContents"/>
              <w:spacing w:before="0" w:after="283"/>
              <w:rPr/>
            </w:pPr>
            <w:r>
              <w:rPr/>
              <w:t> </w:t>
            </w:r>
          </w:p>
        </w:tc>
        <w:tc>
          <w:tcPr>
            <w:tcW w:w="151"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1023"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8,510,266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984"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8,184,981</w:t>
            </w:r>
          </w:p>
        </w:tc>
        <w:tc>
          <w:tcPr>
            <w:tcW w:w="95" w:type="dxa"/>
            <w:tcBorders/>
            <w:shd w:fill="auto" w:val="clear"/>
            <w:vAlign w:val="bottom"/>
          </w:tcPr>
          <w:p>
            <w:pPr>
              <w:pStyle w:val="TableContents"/>
              <w:spacing w:before="0" w:after="283"/>
              <w:jc w:val="left"/>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HorizontalLine"/>
        <w:pBdr>
          <w:bottom w:val="single" w:sz="20" w:space="0" w:color="808080"/>
        </w:pBdr>
        <w:spacing w:before="200" w:after="200"/>
        <w:rPr/>
      </w:pPr>
      <w:r>
        <w:rPr/>
      </w:r>
      <w:bookmarkStart w:id="22" w:name="DSPFPageBreak2"/>
      <w:bookmarkStart w:id="23" w:name="DSPFPageBreakArea1"/>
      <w:bookmarkStart w:id="24" w:name="DSPFPageBreak2"/>
      <w:bookmarkStart w:id="25" w:name="DSPFPageBreakArea1"/>
      <w:bookmarkEnd w:id="24"/>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26" w:name="078771f8312a474f8546f4704f4b3735"/>
      <w:bookmarkStart w:id="27" w:name="078771f8312a474f8546f4704f4b3735"/>
      <w:bookmarkEnd w:id="27"/>
    </w:p>
    <w:tbl>
      <w:tblPr>
        <w:tblW w:w="8178" w:type="dxa"/>
        <w:jc w:val="center"/>
        <w:tblInd w:w="0" w:type="dxa"/>
        <w:tblCellMar>
          <w:top w:w="0" w:type="dxa"/>
          <w:left w:w="0" w:type="dxa"/>
          <w:bottom w:w="0" w:type="dxa"/>
          <w:right w:w="0" w:type="dxa"/>
        </w:tblCellMar>
      </w:tblPr>
      <w:tblGrid>
        <w:gridCol w:w="4016"/>
        <w:gridCol w:w="66"/>
        <w:gridCol w:w="137"/>
        <w:gridCol w:w="764"/>
        <w:gridCol w:w="60"/>
        <w:gridCol w:w="60"/>
        <w:gridCol w:w="125"/>
        <w:gridCol w:w="695"/>
        <w:gridCol w:w="60"/>
        <w:gridCol w:w="60"/>
        <w:gridCol w:w="125"/>
        <w:gridCol w:w="845"/>
        <w:gridCol w:w="60"/>
        <w:gridCol w:w="60"/>
        <w:gridCol w:w="125"/>
        <w:gridCol w:w="845"/>
        <w:gridCol w:w="75"/>
      </w:tblGrid>
      <w:tr>
        <w:trPr/>
        <w:tc>
          <w:tcPr>
            <w:tcW w:w="4016" w:type="dxa"/>
            <w:tcBorders/>
            <w:shd w:fill="auto" w:val="clear"/>
            <w:vAlign w:val="bottom"/>
          </w:tcPr>
          <w:p>
            <w:pPr>
              <w:pStyle w:val="TableContents"/>
              <w:spacing w:before="0" w:after="0"/>
              <w:rPr>
                <w:rFonts w:ascii="'Times New Roman', ;Times;serif', 'FONT-WEIGHT: bold', 'COLOR: #000000', 'TEXT-ALIGN: left'" w:hAnsi="'Times New Roman', ;Times;serif', 'FONT-WEIGHT: bold', 'COLOR: #000000', 'TEXT-ALIGN: left'"/>
                <w:sz w:val="20"/>
              </w:rPr>
            </w:pPr>
            <w:r>
              <w:rPr>
                <w:rFonts w:ascii="'Times New Roman', ;Times;serif', 'FONT-WEIGHT: bold', 'COLOR: #000000', 'TEXT-ALIGN: left'" w:hAnsi="'Times New Roman', ;Times;serif', 'FONT-WEIGHT: bold', 'COLOR: #000000', 'TEXT-ALIGN: left'"/>
                <w:sz w:val="20"/>
              </w:rPr>
              <w:t>Roper Industries, Inc. and Subsidiaries</w:t>
            </w:r>
          </w:p>
        </w:tc>
        <w:tc>
          <w:tcPr>
            <w:tcW w:w="66" w:type="dxa"/>
            <w:tcBorders/>
            <w:shd w:fill="auto" w:val="clear"/>
            <w:vAlign w:val="bottom"/>
          </w:tcPr>
          <w:p>
            <w:pPr>
              <w:pStyle w:val="TableContents"/>
              <w:spacing w:before="0" w:after="283"/>
              <w:rPr/>
            </w:pPr>
            <w:r>
              <w:rPr/>
              <w:t> </w:t>
            </w:r>
          </w:p>
        </w:tc>
        <w:tc>
          <w:tcPr>
            <w:tcW w:w="901"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jc w:val="left"/>
              <w:rPr/>
            </w:pPr>
            <w:r>
              <w:rPr/>
              <w:t> </w:t>
            </w:r>
          </w:p>
        </w:tc>
      </w:tr>
      <w:tr>
        <w:trPr/>
        <w:tc>
          <w:tcPr>
            <w:tcW w:w="4983" w:type="dxa"/>
            <w:gridSpan w:val="4"/>
            <w:tcBorders/>
            <w:shd w:fill="auto" w:val="clear"/>
            <w:vAlign w:val="bottom"/>
          </w:tcPr>
          <w:p>
            <w:pPr>
              <w:pStyle w:val="TableContents"/>
              <w:spacing w:before="0" w:after="0"/>
              <w:rPr>
                <w:rFonts w:ascii="'Times New Roman', ;Times;serif', 'FONT-WEIGHT: bold', 'COLOR: #000000', 'TEXT-ALIGN: left'" w:hAnsi="'Times New Roman', ;Times;serif', 'FONT-WEIGHT: bold', 'COLOR: #000000', 'TEXT-ALIGN: left'"/>
                <w:sz w:val="20"/>
              </w:rPr>
            </w:pPr>
            <w:r>
              <w:rPr>
                <w:rFonts w:ascii="'Times New Roman', ;Times;serif', 'FONT-WEIGHT: bold', 'COLOR: #000000', 'TEXT-ALIGN: left'" w:hAnsi="'Times New Roman', ;Times;serif', 'FONT-WEIGHT: bold', 'COLOR: #000000', 'TEXT-ALIGN: left'"/>
                <w:sz w:val="20"/>
              </w:rPr>
              <w:t>Condensed Consolidated Statements of Earnings (unaudited)</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jc w:val="left"/>
              <w:rPr/>
            </w:pPr>
            <w:r>
              <w:rPr/>
              <w:t> </w:t>
            </w:r>
          </w:p>
        </w:tc>
      </w:tr>
      <w:tr>
        <w:trPr/>
        <w:tc>
          <w:tcPr>
            <w:tcW w:w="4983" w:type="dxa"/>
            <w:gridSpan w:val="4"/>
            <w:tcBorders/>
            <w:shd w:fill="auto" w:val="clear"/>
            <w:vAlign w:val="bottom"/>
          </w:tcPr>
          <w:p>
            <w:pPr>
              <w:pStyle w:val="TableContents"/>
              <w:spacing w:before="0" w:after="0"/>
              <w:rPr>
                <w:rFonts w:ascii="'Times New Roman', ;Times;serif', 'FONT-WEIGHT: bold', 'COLOR: #000000', 'TEXT-ALIGN: left'" w:hAnsi="'Times New Roman', ;Times;serif', 'FONT-WEIGHT: bold', 'COLOR: #000000', 'TEXT-ALIGN: left'"/>
                <w:sz w:val="20"/>
              </w:rPr>
            </w:pPr>
            <w:r>
              <w:rPr>
                <w:rFonts w:ascii="'Times New Roman', ;Times;serif', 'FONT-WEIGHT: bold', 'COLOR: #000000', 'TEXT-ALIGN: left'" w:hAnsi="'Times New Roman', ;Times;serif', 'FONT-WEIGHT: bold', 'COLOR: #000000', 'TEXT-ALIGN: left'"/>
                <w:sz w:val="20"/>
              </w:rPr>
              <w:t>(Amounts in thousands, except per share data)</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901"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901"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841" w:type="dxa"/>
            <w:gridSpan w:val="6"/>
            <w:tcBorders/>
            <w:shd w:fill="auto" w:val="cle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Three months ended</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60" w:type="dxa"/>
            <w:gridSpan w:val="6"/>
            <w:tcBorders/>
            <w:shd w:fill="auto" w:val="cle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Nine months ended</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841" w:type="dxa"/>
            <w:gridSpan w:val="6"/>
            <w:tcBorders>
              <w:bottom w:val="single" w:sz="12" w:space="0" w:color="646464"/>
            </w:tcBorders>
            <w:shd w:fill="auto" w:val="clear"/>
            <w:tcMar>
              <w:bottom w:w="28" w:type="dxa"/>
            </w:tcM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September 30,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60" w:type="dxa"/>
            <w:gridSpan w:val="6"/>
            <w:tcBorders>
              <w:bottom w:val="single" w:sz="12" w:space="0" w:color="646464"/>
            </w:tcBorders>
            <w:shd w:fill="auto" w:val="clear"/>
            <w:tcMar>
              <w:bottom w:w="28" w:type="dxa"/>
            </w:tcM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September 30,</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901" w:type="dxa"/>
            <w:gridSpan w:val="2"/>
            <w:tcBorders>
              <w:bottom w:val="single" w:sz="12" w:space="0" w:color="646464"/>
            </w:tcBorders>
            <w:shd w:fill="auto" w:val="clear"/>
            <w:tcMar>
              <w:bottom w:w="28" w:type="dxa"/>
            </w:tcM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2014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646464"/>
            </w:tcBorders>
            <w:shd w:fill="auto" w:val="clear"/>
            <w:tcMar>
              <w:bottom w:w="28" w:type="dxa"/>
            </w:tcM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2013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646464"/>
            </w:tcBorders>
            <w:shd w:fill="auto" w:val="clear"/>
            <w:tcMar>
              <w:bottom w:w="28" w:type="dxa"/>
            </w:tcM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2014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646464"/>
            </w:tcBorders>
            <w:shd w:fill="auto" w:val="clear"/>
            <w:tcMar>
              <w:bottom w:w="28" w:type="dxa"/>
            </w:tcM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2013</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901"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Net sales</w:t>
            </w:r>
          </w:p>
        </w:tc>
        <w:tc>
          <w:tcPr>
            <w:tcW w:w="6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6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884,122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69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827,810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8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2,603,349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8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2,348,955</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Cost of sales</w:t>
            </w:r>
          </w:p>
        </w:tc>
        <w:tc>
          <w:tcPr>
            <w:tcW w:w="66" w:type="dxa"/>
            <w:tcBorders/>
            <w:shd w:fill="auto" w:val="clear"/>
            <w:vAlign w:val="bottom"/>
          </w:tcPr>
          <w:p>
            <w:pPr>
              <w:pStyle w:val="TableContents"/>
              <w:spacing w:before="0" w:after="283"/>
              <w:rPr/>
            </w:pPr>
            <w:r>
              <w:rPr/>
              <w:t> </w:t>
            </w:r>
          </w:p>
        </w:tc>
        <w:tc>
          <w:tcPr>
            <w:tcW w:w="137" w:type="dxa"/>
            <w:tcBorders>
              <w:bottom w:val="single" w:sz="12" w:space="0" w:color="646464"/>
            </w:tcBorders>
            <w:shd w:fill="auto" w:val="clear"/>
            <w:tcMar>
              <w:bottom w:w="28" w:type="dxa"/>
            </w:tcMar>
            <w:vAlign w:val="bottom"/>
          </w:tcPr>
          <w:p>
            <w:pPr>
              <w:pStyle w:val="TableContents"/>
              <w:spacing w:before="0" w:after="283"/>
              <w:jc w:val="left"/>
              <w:rPr/>
            </w:pPr>
            <w:r>
              <w:rPr/>
              <w:t> </w:t>
            </w:r>
          </w:p>
        </w:tc>
        <w:tc>
          <w:tcPr>
            <w:tcW w:w="764" w:type="dxa"/>
            <w:tcBorders>
              <w:bottom w:val="single" w:sz="12"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360,082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646464"/>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345,185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646464"/>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1,067,191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646464"/>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999,247</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76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Gross profit</w:t>
            </w:r>
          </w:p>
        </w:tc>
        <w:tc>
          <w:tcPr>
            <w:tcW w:w="6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76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524,040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482,625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1,536,158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1,349,708</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76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Selling, general and administrative expenses</w:t>
            </w:r>
          </w:p>
        </w:tc>
        <w:tc>
          <w:tcPr>
            <w:tcW w:w="66" w:type="dxa"/>
            <w:tcBorders/>
            <w:shd w:fill="auto" w:val="clear"/>
            <w:vAlign w:val="bottom"/>
          </w:tcPr>
          <w:p>
            <w:pPr>
              <w:pStyle w:val="TableContents"/>
              <w:spacing w:before="0" w:after="283"/>
              <w:rPr/>
            </w:pPr>
            <w:r>
              <w:rPr/>
              <w:t> </w:t>
            </w:r>
          </w:p>
        </w:tc>
        <w:tc>
          <w:tcPr>
            <w:tcW w:w="137" w:type="dxa"/>
            <w:tcBorders>
              <w:bottom w:val="single" w:sz="12" w:space="0" w:color="646464"/>
            </w:tcBorders>
            <w:shd w:fill="auto" w:val="clear"/>
            <w:tcMar>
              <w:bottom w:w="28" w:type="dxa"/>
            </w:tcMar>
            <w:vAlign w:val="bottom"/>
          </w:tcPr>
          <w:p>
            <w:pPr>
              <w:pStyle w:val="TableContents"/>
              <w:spacing w:before="0" w:after="283"/>
              <w:jc w:val="left"/>
              <w:rPr/>
            </w:pPr>
            <w:r>
              <w:rPr/>
              <w:t> </w:t>
            </w:r>
          </w:p>
        </w:tc>
        <w:tc>
          <w:tcPr>
            <w:tcW w:w="764" w:type="dxa"/>
            <w:tcBorders>
              <w:bottom w:val="single" w:sz="12"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278,382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646464"/>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263,276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646464"/>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820,434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646464"/>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765,436</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76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Income from operations</w:t>
            </w:r>
          </w:p>
        </w:tc>
        <w:tc>
          <w:tcPr>
            <w:tcW w:w="6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76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245,658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219,349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715,724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584,272</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76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Interest expense</w:t>
            </w:r>
          </w:p>
        </w:tc>
        <w:tc>
          <w:tcPr>
            <w:tcW w:w="6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76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20,013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24,705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59,352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67,924</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Other income</w:t>
            </w:r>
          </w:p>
        </w:tc>
        <w:tc>
          <w:tcPr>
            <w:tcW w:w="66" w:type="dxa"/>
            <w:tcBorders/>
            <w:shd w:fill="auto" w:val="clear"/>
            <w:vAlign w:val="bottom"/>
          </w:tcPr>
          <w:p>
            <w:pPr>
              <w:pStyle w:val="TableContents"/>
              <w:spacing w:before="0" w:after="283"/>
              <w:rPr/>
            </w:pPr>
            <w:r>
              <w:rPr/>
              <w:t> </w:t>
            </w:r>
          </w:p>
        </w:tc>
        <w:tc>
          <w:tcPr>
            <w:tcW w:w="137" w:type="dxa"/>
            <w:tcBorders>
              <w:bottom w:val="single" w:sz="12" w:space="0" w:color="646464"/>
            </w:tcBorders>
            <w:shd w:fill="auto" w:val="clear"/>
            <w:tcMar>
              <w:bottom w:w="28" w:type="dxa"/>
            </w:tcMar>
            <w:vAlign w:val="bottom"/>
          </w:tcPr>
          <w:p>
            <w:pPr>
              <w:pStyle w:val="TableContents"/>
              <w:spacing w:before="0" w:after="283"/>
              <w:jc w:val="left"/>
              <w:rPr/>
            </w:pPr>
            <w:r>
              <w:rPr/>
              <w:t> </w:t>
            </w:r>
          </w:p>
        </w:tc>
        <w:tc>
          <w:tcPr>
            <w:tcW w:w="764" w:type="dxa"/>
            <w:tcBorders>
              <w:bottom w:val="single" w:sz="12"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552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646464"/>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409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646464"/>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1,042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646464"/>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453</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76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Earnings from continuing operations before</w:t>
            </w:r>
          </w:p>
        </w:tc>
        <w:tc>
          <w:tcPr>
            <w:tcW w:w="6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76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income taxes</w:t>
            </w:r>
          </w:p>
        </w:tc>
        <w:tc>
          <w:tcPr>
            <w:tcW w:w="6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76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226,197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195,053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657,414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516,801</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76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Income taxes</w:t>
            </w:r>
          </w:p>
        </w:tc>
        <w:tc>
          <w:tcPr>
            <w:tcW w:w="66" w:type="dxa"/>
            <w:tcBorders/>
            <w:shd w:fill="auto" w:val="clear"/>
            <w:vAlign w:val="bottom"/>
          </w:tcPr>
          <w:p>
            <w:pPr>
              <w:pStyle w:val="TableContents"/>
              <w:spacing w:before="0" w:after="283"/>
              <w:rPr/>
            </w:pPr>
            <w:r>
              <w:rPr/>
              <w:t> </w:t>
            </w:r>
          </w:p>
        </w:tc>
        <w:tc>
          <w:tcPr>
            <w:tcW w:w="137" w:type="dxa"/>
            <w:tcBorders>
              <w:bottom w:val="single" w:sz="12" w:space="0" w:color="646464"/>
            </w:tcBorders>
            <w:shd w:fill="auto" w:val="clear"/>
            <w:tcMar>
              <w:bottom w:w="28" w:type="dxa"/>
            </w:tcMar>
            <w:vAlign w:val="bottom"/>
          </w:tcPr>
          <w:p>
            <w:pPr>
              <w:pStyle w:val="TableContents"/>
              <w:spacing w:before="0" w:after="283"/>
              <w:jc w:val="left"/>
              <w:rPr/>
            </w:pPr>
            <w:r>
              <w:rPr/>
              <w:t> </w:t>
            </w:r>
          </w:p>
        </w:tc>
        <w:tc>
          <w:tcPr>
            <w:tcW w:w="764" w:type="dxa"/>
            <w:tcBorders>
              <w:bottom w:val="single" w:sz="12"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70,687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646464"/>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58,730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646464"/>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197,317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646464"/>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144,211</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76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Net Earnings</w:t>
            </w:r>
          </w:p>
        </w:tc>
        <w:tc>
          <w:tcPr>
            <w:tcW w:w="66" w:type="dxa"/>
            <w:tcBorders/>
            <w:shd w:fill="auto" w:val="clear"/>
            <w:vAlign w:val="bottom"/>
          </w:tcPr>
          <w:p>
            <w:pPr>
              <w:pStyle w:val="TableContents"/>
              <w:spacing w:before="0" w:after="283"/>
              <w:rPr/>
            </w:pPr>
            <w:r>
              <w:rPr/>
              <w:t> </w:t>
            </w:r>
          </w:p>
        </w:tc>
        <w:tc>
          <w:tcPr>
            <w:tcW w:w="137" w:type="dxa"/>
            <w:tcBorders>
              <w:bottom w:val="double" w:sz="8" w:space="0" w:color="646464"/>
            </w:tcBorders>
            <w:shd w:fill="auto" w:val="clear"/>
            <w:tcMar>
              <w:bottom w:w="28" w:type="dxa"/>
            </w:tcM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64" w:type="dxa"/>
            <w:tcBorders>
              <w:bottom w:val="double" w:sz="8"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155,510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646464"/>
            </w:tcBorders>
            <w:shd w:fill="auto" w:val="clear"/>
            <w:tcMar>
              <w:bottom w:w="28" w:type="dxa"/>
            </w:tcM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695" w:type="dxa"/>
            <w:tcBorders>
              <w:bottom w:val="double" w:sz="8"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136,323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646464"/>
            </w:tcBorders>
            <w:shd w:fill="auto" w:val="clear"/>
            <w:tcMar>
              <w:bottom w:w="28" w:type="dxa"/>
            </w:tcM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845" w:type="dxa"/>
            <w:tcBorders>
              <w:bottom w:val="double" w:sz="8"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460,097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646464"/>
            </w:tcBorders>
            <w:shd w:fill="auto" w:val="clear"/>
            <w:tcMar>
              <w:bottom w:w="28" w:type="dxa"/>
            </w:tcM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845" w:type="dxa"/>
            <w:tcBorders>
              <w:bottom w:val="double" w:sz="8"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372,590</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76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76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76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76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76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Earnings per share:</w:t>
            </w:r>
          </w:p>
        </w:tc>
        <w:tc>
          <w:tcPr>
            <w:tcW w:w="6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76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Basic</w:t>
            </w:r>
          </w:p>
        </w:tc>
        <w:tc>
          <w:tcPr>
            <w:tcW w:w="6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6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1.55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69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1.37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8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4.61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8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3.76</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Diluted</w:t>
            </w:r>
          </w:p>
        </w:tc>
        <w:tc>
          <w:tcPr>
            <w:tcW w:w="6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6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1.54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69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1.36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8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4.56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8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3.72</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76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Weighted average common and common</w:t>
            </w:r>
          </w:p>
        </w:tc>
        <w:tc>
          <w:tcPr>
            <w:tcW w:w="6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76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equivalent shares outstanding:</w:t>
            </w:r>
          </w:p>
        </w:tc>
        <w:tc>
          <w:tcPr>
            <w:tcW w:w="6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76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Basic</w:t>
            </w:r>
          </w:p>
        </w:tc>
        <w:tc>
          <w:tcPr>
            <w:tcW w:w="6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764"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100,068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99,207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99,837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99,058</w:t>
            </w:r>
          </w:p>
        </w:tc>
        <w:tc>
          <w:tcPr>
            <w:tcW w:w="75" w:type="dxa"/>
            <w:tcBorders/>
            <w:shd w:fill="auto" w:val="clear"/>
            <w:vAlign w:val="bottom"/>
          </w:tcPr>
          <w:p>
            <w:pPr>
              <w:pStyle w:val="TableContents"/>
              <w:spacing w:before="0" w:after="283"/>
              <w:jc w:val="left"/>
              <w:rPr/>
            </w:pPr>
            <w:r>
              <w:rPr/>
              <w:t> </w:t>
            </w:r>
          </w:p>
        </w:tc>
      </w:tr>
      <w:tr>
        <w:trPr/>
        <w:tc>
          <w:tcPr>
            <w:tcW w:w="4016"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Diluted</w:t>
            </w:r>
          </w:p>
        </w:tc>
        <w:tc>
          <w:tcPr>
            <w:tcW w:w="66" w:type="dxa"/>
            <w:tcBorders/>
            <w:shd w:fill="auto" w:val="clear"/>
            <w:vAlign w:val="bottom"/>
          </w:tcPr>
          <w:p>
            <w:pPr>
              <w:pStyle w:val="TableContents"/>
              <w:spacing w:before="0" w:after="283"/>
              <w:rPr/>
            </w:pPr>
            <w:r>
              <w:rPr/>
              <w:t> </w:t>
            </w:r>
          </w:p>
        </w:tc>
        <w:tc>
          <w:tcPr>
            <w:tcW w:w="137" w:type="dxa"/>
            <w:tcBorders>
              <w:bottom w:val="double" w:sz="8" w:space="0" w:color="646464"/>
            </w:tcBorders>
            <w:shd w:fill="auto" w:val="clear"/>
            <w:tcMar>
              <w:bottom w:w="28" w:type="dxa"/>
            </w:tcMar>
            <w:vAlign w:val="bottom"/>
          </w:tcPr>
          <w:p>
            <w:pPr>
              <w:pStyle w:val="TableContents"/>
              <w:spacing w:before="0" w:after="283"/>
              <w:jc w:val="left"/>
              <w:rPr/>
            </w:pPr>
            <w:r>
              <w:rPr/>
              <w:t> </w:t>
            </w:r>
          </w:p>
        </w:tc>
        <w:tc>
          <w:tcPr>
            <w:tcW w:w="764" w:type="dxa"/>
            <w:tcBorders>
              <w:bottom w:val="double" w:sz="8"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101,006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646464"/>
            </w:tcBorders>
            <w:shd w:fill="auto" w:val="clear"/>
            <w:tcMar>
              <w:bottom w:w="28" w:type="dxa"/>
            </w:tcMar>
            <w:vAlign w:val="bottom"/>
          </w:tcPr>
          <w:p>
            <w:pPr>
              <w:pStyle w:val="TableContents"/>
              <w:spacing w:before="0" w:after="283"/>
              <w:jc w:val="left"/>
              <w:rPr/>
            </w:pPr>
            <w:r>
              <w:rPr/>
              <w:t> </w:t>
            </w:r>
          </w:p>
        </w:tc>
        <w:tc>
          <w:tcPr>
            <w:tcW w:w="695" w:type="dxa"/>
            <w:tcBorders>
              <w:bottom w:val="double" w:sz="8"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100,302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646464"/>
            </w:tcBorders>
            <w:shd w:fill="auto" w:val="clear"/>
            <w:tcMar>
              <w:bottom w:w="28" w:type="dxa"/>
            </w:tcMar>
            <w:vAlign w:val="bottom"/>
          </w:tcPr>
          <w:p>
            <w:pPr>
              <w:pStyle w:val="TableContents"/>
              <w:spacing w:before="0" w:after="283"/>
              <w:jc w:val="left"/>
              <w:rPr/>
            </w:pPr>
            <w:r>
              <w:rPr/>
              <w:t> </w:t>
            </w:r>
          </w:p>
        </w:tc>
        <w:tc>
          <w:tcPr>
            <w:tcW w:w="845" w:type="dxa"/>
            <w:tcBorders>
              <w:bottom w:val="double" w:sz="8"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100,803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646464"/>
            </w:tcBorders>
            <w:shd w:fill="auto" w:val="clear"/>
            <w:tcMar>
              <w:bottom w:w="28" w:type="dxa"/>
            </w:tcMar>
            <w:vAlign w:val="bottom"/>
          </w:tcPr>
          <w:p>
            <w:pPr>
              <w:pStyle w:val="TableContents"/>
              <w:spacing w:before="0" w:after="283"/>
              <w:jc w:val="left"/>
              <w:rPr/>
            </w:pPr>
            <w:r>
              <w:rPr/>
              <w:t> </w:t>
            </w:r>
          </w:p>
        </w:tc>
        <w:tc>
          <w:tcPr>
            <w:tcW w:w="845" w:type="dxa"/>
            <w:tcBorders>
              <w:bottom w:val="double" w:sz="8"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100,152</w:t>
            </w:r>
          </w:p>
        </w:tc>
        <w:tc>
          <w:tcPr>
            <w:tcW w:w="75" w:type="dxa"/>
            <w:tcBorders/>
            <w:shd w:fill="auto" w:val="clear"/>
            <w:vAlign w:val="bottom"/>
          </w:tcPr>
          <w:p>
            <w:pPr>
              <w:pStyle w:val="TableContents"/>
              <w:spacing w:before="0" w:after="283"/>
              <w:jc w:val="left"/>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HorizontalLine"/>
        <w:pBdr>
          <w:bottom w:val="single" w:sz="20" w:space="0" w:color="808080"/>
        </w:pBdr>
        <w:spacing w:before="200" w:after="200"/>
        <w:rPr/>
      </w:pPr>
      <w:r>
        <w:rPr/>
      </w:r>
      <w:bookmarkStart w:id="28" w:name="DSPFPageBreak3"/>
      <w:bookmarkStart w:id="29" w:name="DSPFPageBreakArea2"/>
      <w:bookmarkStart w:id="30" w:name="DSPFPageBreak3"/>
      <w:bookmarkStart w:id="31" w:name="DSPFPageBreakArea2"/>
      <w:bookmarkEnd w:id="30"/>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32" w:name="69dd5c30b7844539936e36dfe5f569f5"/>
      <w:bookmarkStart w:id="33" w:name="69dd5c30b7844539936e36dfe5f569f5"/>
      <w:bookmarkEnd w:id="33"/>
    </w:p>
    <w:tbl>
      <w:tblPr>
        <w:tblW w:w="10205" w:type="dxa"/>
        <w:jc w:val="center"/>
        <w:tblInd w:w="0" w:type="dxa"/>
        <w:tblCellMar>
          <w:top w:w="0" w:type="dxa"/>
          <w:left w:w="0" w:type="dxa"/>
          <w:bottom w:w="0" w:type="dxa"/>
          <w:right w:w="0" w:type="dxa"/>
        </w:tblCellMar>
      </w:tblPr>
      <w:tblGrid>
        <w:gridCol w:w="1838"/>
        <w:gridCol w:w="74"/>
        <w:gridCol w:w="154"/>
        <w:gridCol w:w="859"/>
        <w:gridCol w:w="74"/>
        <w:gridCol w:w="74"/>
        <w:gridCol w:w="74"/>
        <w:gridCol w:w="470"/>
        <w:gridCol w:w="228"/>
        <w:gridCol w:w="74"/>
        <w:gridCol w:w="154"/>
        <w:gridCol w:w="859"/>
        <w:gridCol w:w="74"/>
        <w:gridCol w:w="74"/>
        <w:gridCol w:w="74"/>
        <w:gridCol w:w="470"/>
        <w:gridCol w:w="228"/>
        <w:gridCol w:w="74"/>
        <w:gridCol w:w="154"/>
        <w:gridCol w:w="1045"/>
        <w:gridCol w:w="74"/>
        <w:gridCol w:w="74"/>
        <w:gridCol w:w="74"/>
        <w:gridCol w:w="470"/>
        <w:gridCol w:w="228"/>
        <w:gridCol w:w="74"/>
        <w:gridCol w:w="154"/>
        <w:gridCol w:w="1045"/>
        <w:gridCol w:w="74"/>
        <w:gridCol w:w="74"/>
        <w:gridCol w:w="74"/>
        <w:gridCol w:w="470"/>
        <w:gridCol w:w="195"/>
      </w:tblGrid>
      <w:tr>
        <w:trPr/>
        <w:tc>
          <w:tcPr>
            <w:tcW w:w="2925" w:type="dxa"/>
            <w:gridSpan w:val="4"/>
            <w:tcBorders/>
            <w:shd w:fill="auto" w:val="clear"/>
            <w:vAlign w:val="bottom"/>
          </w:tcPr>
          <w:p>
            <w:pPr>
              <w:pStyle w:val="TableContents"/>
              <w:spacing w:before="0" w:after="0"/>
              <w:rPr>
                <w:rFonts w:ascii="'Times New Roman', ;Times;serif', 'FONT-WEIGHT: bold', 'COLOR: #000000', 'TEXT-ALIGN: left'" w:hAnsi="'Times New Roman', ;Times;serif', 'FONT-WEIGHT: bold', 'COLOR: #000000', 'TEXT-ALIGN: left'"/>
                <w:sz w:val="20"/>
              </w:rPr>
            </w:pPr>
            <w:r>
              <w:rPr>
                <w:rFonts w:ascii="'Times New Roman', ;Times;serif', 'FONT-WEIGHT: bold', 'COLOR: #000000', 'TEXT-ALIGN: left'" w:hAnsi="'Times New Roman', ;Times;serif', 'FONT-WEIGHT: bold', 'COLOR: #000000', 'TEXT-ALIGN: left'"/>
                <w:sz w:val="20"/>
              </w:rPr>
              <w:t>Roper Industries, Inc. and Subsidiaries</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013" w:type="dxa"/>
            <w:gridSpan w:val="2"/>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199" w:type="dxa"/>
            <w:gridSpan w:val="2"/>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199" w:type="dxa"/>
            <w:gridSpan w:val="2"/>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pPr>
            <w:r>
              <w:rPr/>
              <w:t> </w:t>
            </w:r>
          </w:p>
        </w:tc>
      </w:tr>
      <w:tr>
        <w:trPr/>
        <w:tc>
          <w:tcPr>
            <w:tcW w:w="3617" w:type="dxa"/>
            <w:gridSpan w:val="8"/>
            <w:tcBorders/>
            <w:shd w:fill="auto" w:val="clear"/>
            <w:vAlign w:val="bottom"/>
          </w:tcPr>
          <w:p>
            <w:pPr>
              <w:pStyle w:val="TableContents"/>
              <w:spacing w:before="0" w:after="0"/>
              <w:rPr>
                <w:rFonts w:ascii="'Times New Roman', ;Times;serif', 'FONT-WEIGHT: bold', 'COLOR: #000000', 'TEXT-ALIGN: left'" w:hAnsi="'Times New Roman', ;Times;serif', 'FONT-WEIGHT: bold', 'COLOR: #000000', 'TEXT-ALIGN: left'"/>
                <w:sz w:val="20"/>
              </w:rPr>
            </w:pPr>
            <w:r>
              <w:rPr>
                <w:rFonts w:ascii="'Times New Roman', ;Times;serif', 'FONT-WEIGHT: bold', 'COLOR: #000000', 'TEXT-ALIGN: left'" w:hAnsi="'Times New Roman', ;Times;serif', 'FONT-WEIGHT: bold', 'COLOR: #000000', 'TEXT-ALIGN: left'"/>
                <w:sz w:val="20"/>
              </w:rPr>
              <w:t>Selected Segment Financial Data (unaudited)</w:t>
            </w:r>
          </w:p>
        </w:tc>
        <w:tc>
          <w:tcPr>
            <w:tcW w:w="22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013" w:type="dxa"/>
            <w:gridSpan w:val="2"/>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199" w:type="dxa"/>
            <w:gridSpan w:val="2"/>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199" w:type="dxa"/>
            <w:gridSpan w:val="2"/>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pPr>
            <w:r>
              <w:rPr/>
              <w:t> </w:t>
            </w:r>
          </w:p>
        </w:tc>
      </w:tr>
      <w:tr>
        <w:trPr/>
        <w:tc>
          <w:tcPr>
            <w:tcW w:w="3617" w:type="dxa"/>
            <w:gridSpan w:val="8"/>
            <w:tcBorders/>
            <w:shd w:fill="auto" w:val="clear"/>
            <w:vAlign w:val="bottom"/>
          </w:tcPr>
          <w:p>
            <w:pPr>
              <w:pStyle w:val="TableContents"/>
              <w:spacing w:before="0" w:after="0"/>
              <w:rPr>
                <w:rFonts w:ascii="'Times New Roman', ;Times;serif', 'FONT-WEIGHT: bold', 'COLOR: #000000', 'TEXT-ALIGN: left'" w:hAnsi="'Times New Roman', ;Times;serif', 'FONT-WEIGHT: bold', 'COLOR: #000000', 'TEXT-ALIGN: left'"/>
                <w:sz w:val="20"/>
              </w:rPr>
            </w:pPr>
            <w:r>
              <w:rPr>
                <w:rFonts w:ascii="'Times New Roman', ;Times;serif', 'FONT-WEIGHT: bold', 'COLOR: #000000', 'TEXT-ALIGN: left'" w:hAnsi="'Times New Roman', ;Times;serif', 'FONT-WEIGHT: bold', 'COLOR: #000000', 'TEXT-ALIGN: left'"/>
                <w:sz w:val="20"/>
              </w:rPr>
              <w:t>(Amounts in thousands and percents of net sales)</w:t>
            </w:r>
          </w:p>
        </w:tc>
        <w:tc>
          <w:tcPr>
            <w:tcW w:w="22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013" w:type="dxa"/>
            <w:gridSpan w:val="2"/>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199" w:type="dxa"/>
            <w:gridSpan w:val="2"/>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199" w:type="dxa"/>
            <w:gridSpan w:val="2"/>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pPr>
            <w:r>
              <w:rPr/>
              <w:t> </w:t>
            </w:r>
          </w:p>
        </w:tc>
      </w:tr>
      <w:tr>
        <w:trPr/>
        <w:tc>
          <w:tcPr>
            <w:tcW w:w="183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013" w:type="dxa"/>
            <w:gridSpan w:val="2"/>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013" w:type="dxa"/>
            <w:gridSpan w:val="2"/>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199" w:type="dxa"/>
            <w:gridSpan w:val="2"/>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199" w:type="dxa"/>
            <w:gridSpan w:val="2"/>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pPr>
            <w:r>
              <w:rPr/>
              <w:t> </w:t>
            </w:r>
          </w:p>
        </w:tc>
      </w:tr>
      <w:tr>
        <w:trPr/>
        <w:tc>
          <w:tcPr>
            <w:tcW w:w="183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013" w:type="dxa"/>
            <w:gridSpan w:val="2"/>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013" w:type="dxa"/>
            <w:gridSpan w:val="2"/>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199" w:type="dxa"/>
            <w:gridSpan w:val="2"/>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199" w:type="dxa"/>
            <w:gridSpan w:val="2"/>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pPr>
            <w:r>
              <w:rPr/>
              <w:t> </w:t>
            </w:r>
          </w:p>
        </w:tc>
      </w:tr>
      <w:tr>
        <w:trPr/>
        <w:tc>
          <w:tcPr>
            <w:tcW w:w="183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3712" w:type="dxa"/>
            <w:gridSpan w:val="14"/>
            <w:tcBorders>
              <w:bottom w:val="single" w:sz="12" w:space="0" w:color="646464"/>
            </w:tcBorders>
            <w:shd w:fill="auto" w:val="clear"/>
            <w:tcMar>
              <w:bottom w:w="28" w:type="dxa"/>
            </w:tcM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Three months ended September 30,</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4084" w:type="dxa"/>
            <w:gridSpan w:val="14"/>
            <w:tcBorders>
              <w:bottom w:val="single" w:sz="12" w:space="0" w:color="646464"/>
            </w:tcBorders>
            <w:shd w:fill="auto" w:val="clear"/>
            <w:tcMar>
              <w:bottom w:w="28" w:type="dxa"/>
            </w:tcM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Nine months ended September 30,</w:t>
            </w:r>
          </w:p>
        </w:tc>
        <w:tc>
          <w:tcPr>
            <w:tcW w:w="195" w:type="dxa"/>
            <w:tcBorders/>
            <w:shd w:fill="auto" w:val="clear"/>
            <w:vAlign w:val="bottom"/>
          </w:tcPr>
          <w:p>
            <w:pPr>
              <w:pStyle w:val="TableContents"/>
              <w:spacing w:before="0" w:after="283"/>
              <w:jc w:val="left"/>
              <w:rPr/>
            </w:pPr>
            <w:r>
              <w:rPr/>
              <w:t> </w:t>
            </w:r>
          </w:p>
        </w:tc>
      </w:tr>
      <w:tr>
        <w:trPr/>
        <w:tc>
          <w:tcPr>
            <w:tcW w:w="183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705" w:type="dxa"/>
            <w:gridSpan w:val="6"/>
            <w:tcBorders>
              <w:bottom w:val="single" w:sz="12" w:space="0" w:color="646464"/>
            </w:tcBorders>
            <w:shd w:fill="auto" w:val="clear"/>
            <w:tcMar>
              <w:bottom w:w="28" w:type="dxa"/>
            </w:tcM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2014 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705" w:type="dxa"/>
            <w:gridSpan w:val="6"/>
            <w:tcBorders>
              <w:bottom w:val="single" w:sz="12" w:space="0" w:color="646464"/>
            </w:tcBorders>
            <w:shd w:fill="auto" w:val="clear"/>
            <w:tcMar>
              <w:bottom w:w="28" w:type="dxa"/>
            </w:tcM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2013 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891" w:type="dxa"/>
            <w:gridSpan w:val="6"/>
            <w:tcBorders>
              <w:bottom w:val="single" w:sz="12" w:space="0" w:color="646464"/>
            </w:tcBorders>
            <w:shd w:fill="auto" w:val="clear"/>
            <w:tcMar>
              <w:bottom w:w="28" w:type="dxa"/>
            </w:tcM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2014 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891" w:type="dxa"/>
            <w:gridSpan w:val="6"/>
            <w:tcBorders>
              <w:bottom w:val="single" w:sz="12" w:space="0" w:color="646464"/>
            </w:tcBorders>
            <w:shd w:fill="auto" w:val="clear"/>
            <w:tcMar>
              <w:bottom w:w="28" w:type="dxa"/>
            </w:tcM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2013 </w:t>
            </w:r>
          </w:p>
        </w:tc>
        <w:tc>
          <w:tcPr>
            <w:tcW w:w="195" w:type="dxa"/>
            <w:tcBorders/>
            <w:shd w:fill="auto" w:val="clear"/>
            <w:vAlign w:val="bottom"/>
          </w:tcPr>
          <w:p>
            <w:pPr>
              <w:pStyle w:val="TableContents"/>
              <w:spacing w:before="0" w:after="283"/>
              <w:jc w:val="left"/>
              <w:rPr/>
            </w:pPr>
            <w:r>
              <w:rPr/>
              <w:t> </w:t>
            </w:r>
          </w:p>
        </w:tc>
      </w:tr>
      <w:tr>
        <w:trPr/>
        <w:tc>
          <w:tcPr>
            <w:tcW w:w="183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013" w:type="dxa"/>
            <w:gridSpan w:val="2"/>
            <w:tcBorders>
              <w:bottom w:val="single" w:sz="12" w:space="0" w:color="646464"/>
            </w:tcBorders>
            <w:shd w:fill="auto" w:val="clear"/>
            <w:tcMar>
              <w:bottom w:w="28" w:type="dxa"/>
            </w:tcM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Amount</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bottom w:val="single" w:sz="12" w:space="0" w:color="646464"/>
            </w:tcBorders>
            <w:shd w:fill="auto" w:val="clear"/>
            <w:tcMar>
              <w:bottom w:w="28" w:type="dxa"/>
            </w:tcM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013" w:type="dxa"/>
            <w:gridSpan w:val="2"/>
            <w:tcBorders>
              <w:bottom w:val="single" w:sz="12" w:space="0" w:color="646464"/>
            </w:tcBorders>
            <w:shd w:fill="auto" w:val="clear"/>
            <w:tcMar>
              <w:bottom w:w="28" w:type="dxa"/>
            </w:tcM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Amount</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bottom w:val="single" w:sz="12" w:space="0" w:color="646464"/>
            </w:tcBorders>
            <w:shd w:fill="auto" w:val="clear"/>
            <w:tcMar>
              <w:bottom w:w="28" w:type="dxa"/>
            </w:tcM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199" w:type="dxa"/>
            <w:gridSpan w:val="2"/>
            <w:tcBorders>
              <w:bottom w:val="single" w:sz="12" w:space="0" w:color="646464"/>
            </w:tcBorders>
            <w:shd w:fill="auto" w:val="clear"/>
            <w:tcMar>
              <w:bottom w:w="28" w:type="dxa"/>
            </w:tcM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Amount</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bottom w:val="single" w:sz="12" w:space="0" w:color="646464"/>
            </w:tcBorders>
            <w:shd w:fill="auto" w:val="clear"/>
            <w:tcMar>
              <w:bottom w:w="28" w:type="dxa"/>
            </w:tcM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199" w:type="dxa"/>
            <w:gridSpan w:val="2"/>
            <w:tcBorders>
              <w:bottom w:val="single" w:sz="12" w:space="0" w:color="646464"/>
            </w:tcBorders>
            <w:shd w:fill="auto" w:val="clear"/>
            <w:tcMar>
              <w:bottom w:w="28" w:type="dxa"/>
            </w:tcM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Amount</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bottom w:val="single" w:sz="12" w:space="0" w:color="646464"/>
            </w:tcBorders>
            <w:shd w:fill="auto" w:val="clear"/>
            <w:tcMar>
              <w:bottom w:w="28" w:type="dxa"/>
            </w:tcM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w:t>
            </w:r>
          </w:p>
        </w:tc>
        <w:tc>
          <w:tcPr>
            <w:tcW w:w="195" w:type="dxa"/>
            <w:tcBorders/>
            <w:shd w:fill="auto" w:val="clear"/>
            <w:vAlign w:val="bottom"/>
          </w:tcPr>
          <w:p>
            <w:pPr>
              <w:pStyle w:val="TableContents"/>
              <w:spacing w:before="0" w:after="283"/>
              <w:jc w:val="left"/>
              <w:rPr/>
            </w:pPr>
            <w:r>
              <w:rPr/>
              <w:t> </w:t>
            </w:r>
          </w:p>
        </w:tc>
      </w:tr>
      <w:tr>
        <w:trPr/>
        <w:tc>
          <w:tcPr>
            <w:tcW w:w="1838" w:type="dxa"/>
            <w:tcBorders/>
            <w:shd w:fill="auto" w:val="clear"/>
            <w:vAlign w:val="bottom"/>
          </w:tcPr>
          <w:p>
            <w:pPr>
              <w:pStyle w:val="TableContents"/>
              <w:spacing w:before="0" w:after="0"/>
              <w:rPr>
                <w:rFonts w:ascii="'Times New Roman', ;Times;serif', 'FONT-WEIGHT: bold', 'COLOR: #000000', 'TEXT-ALIGN: left'" w:hAnsi="'Times New Roman', ;Times;serif', 'FONT-WEIGHT: bold', 'COLOR: #000000', 'TEXT-ALIGN: left'"/>
                <w:sz w:val="20"/>
              </w:rPr>
            </w:pPr>
            <w:r>
              <w:rPr>
                <w:rFonts w:ascii="'Times New Roman', ;Times;serif', 'FONT-WEIGHT: bold', 'COLOR: #000000', 'TEXT-ALIGN: left'" w:hAnsi="'Times New Roman', ;Times;serif', 'FONT-WEIGHT: bold', 'COLOR: #000000', 'TEXT-ALIGN: left'"/>
                <w:sz w:val="20"/>
              </w:rPr>
              <w:t>Net sales:</w:t>
            </w:r>
          </w:p>
        </w:tc>
        <w:tc>
          <w:tcPr>
            <w:tcW w:w="74" w:type="dxa"/>
            <w:tcBorders/>
            <w:shd w:fill="auto" w:val="clear"/>
            <w:vAlign w:val="bottom"/>
          </w:tcPr>
          <w:p>
            <w:pPr>
              <w:pStyle w:val="TableContents"/>
              <w:spacing w:before="0" w:after="283"/>
              <w:rPr/>
            </w:pPr>
            <w:r>
              <w:rPr/>
              <w:t> </w:t>
            </w:r>
          </w:p>
        </w:tc>
        <w:tc>
          <w:tcPr>
            <w:tcW w:w="1013" w:type="dxa"/>
            <w:gridSpan w:val="2"/>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013" w:type="dxa"/>
            <w:gridSpan w:val="2"/>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199" w:type="dxa"/>
            <w:gridSpan w:val="2"/>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199" w:type="dxa"/>
            <w:gridSpan w:val="2"/>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jc w:val="left"/>
              <w:rPr/>
            </w:pPr>
            <w:r>
              <w:rPr/>
              <w:t> </w:t>
            </w:r>
          </w:p>
        </w:tc>
      </w:tr>
      <w:tr>
        <w:trPr/>
        <w:tc>
          <w:tcPr>
            <w:tcW w:w="1838"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Industrial Technology</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85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205,688</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85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200,684</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10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607,503</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10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580,466</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jc w:val="left"/>
              <w:rPr/>
            </w:pPr>
            <w:r>
              <w:rPr/>
              <w:t> </w:t>
            </w:r>
          </w:p>
        </w:tc>
      </w:tr>
      <w:tr>
        <w:trPr/>
        <w:tc>
          <w:tcPr>
            <w:tcW w:w="1838"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Energy Systems &amp; Controls</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170,765</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155,058</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491,804</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456,031</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jc w:val="left"/>
              <w:rPr/>
            </w:pPr>
            <w:r>
              <w:rPr/>
              <w:t> </w:t>
            </w:r>
          </w:p>
        </w:tc>
      </w:tr>
      <w:tr>
        <w:trPr/>
        <w:tc>
          <w:tcPr>
            <w:tcW w:w="1838"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Medical &amp; Scientific Imaging</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268,809</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237,338</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793,899</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645,739</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jc w:val="left"/>
              <w:rPr/>
            </w:pPr>
            <w:r>
              <w:rPr/>
              <w:t> </w:t>
            </w:r>
          </w:p>
        </w:tc>
      </w:tr>
      <w:tr>
        <w:trPr/>
        <w:tc>
          <w:tcPr>
            <w:tcW w:w="1838"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RF Technology</w:t>
            </w:r>
          </w:p>
        </w:tc>
        <w:tc>
          <w:tcPr>
            <w:tcW w:w="74" w:type="dxa"/>
            <w:tcBorders/>
            <w:shd w:fill="auto" w:val="clear"/>
            <w:vAlign w:val="bottom"/>
          </w:tcPr>
          <w:p>
            <w:pPr>
              <w:pStyle w:val="TableContents"/>
              <w:spacing w:before="0" w:after="283"/>
              <w:rPr/>
            </w:pPr>
            <w:r>
              <w:rPr/>
              <w:t> </w:t>
            </w:r>
          </w:p>
        </w:tc>
        <w:tc>
          <w:tcPr>
            <w:tcW w:w="15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59"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238,860</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59"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234,730</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710,143</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666,719</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jc w:val="left"/>
              <w:rPr/>
            </w:pPr>
            <w:r>
              <w:rPr/>
              <w:t> </w:t>
            </w:r>
          </w:p>
        </w:tc>
      </w:tr>
      <w:tr>
        <w:trPr/>
        <w:tc>
          <w:tcPr>
            <w:tcW w:w="1838"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Total</w:t>
            </w:r>
          </w:p>
        </w:tc>
        <w:tc>
          <w:tcPr>
            <w:tcW w:w="74" w:type="dxa"/>
            <w:tcBorders/>
            <w:shd w:fill="auto" w:val="clear"/>
            <w:vAlign w:val="bottom"/>
          </w:tcPr>
          <w:p>
            <w:pPr>
              <w:pStyle w:val="TableContents"/>
              <w:spacing w:before="0" w:after="283"/>
              <w:rPr/>
            </w:pPr>
            <w:r>
              <w:rPr/>
              <w:t> </w:t>
            </w:r>
          </w:p>
        </w:tc>
        <w:tc>
          <w:tcPr>
            <w:tcW w:w="154"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859"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884,122</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859"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827,810</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1045"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2,603,349</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1045"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2,348,955</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jc w:val="left"/>
              <w:rPr/>
            </w:pPr>
            <w:r>
              <w:rPr/>
              <w:t> </w:t>
            </w:r>
          </w:p>
        </w:tc>
      </w:tr>
      <w:tr>
        <w:trPr/>
        <w:tc>
          <w:tcPr>
            <w:tcW w:w="183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jc w:val="left"/>
              <w:rPr/>
            </w:pPr>
            <w:r>
              <w:rPr/>
              <w:t> </w:t>
            </w:r>
          </w:p>
        </w:tc>
      </w:tr>
      <w:tr>
        <w:trPr/>
        <w:tc>
          <w:tcPr>
            <w:tcW w:w="183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jc w:val="left"/>
              <w:rPr/>
            </w:pPr>
            <w:r>
              <w:rPr/>
              <w:t> </w:t>
            </w:r>
          </w:p>
        </w:tc>
      </w:tr>
      <w:tr>
        <w:trPr/>
        <w:tc>
          <w:tcPr>
            <w:tcW w:w="1838" w:type="dxa"/>
            <w:tcBorders/>
            <w:shd w:fill="auto" w:val="clear"/>
            <w:vAlign w:val="bottom"/>
          </w:tcPr>
          <w:p>
            <w:pPr>
              <w:pStyle w:val="TableContents"/>
              <w:spacing w:before="0" w:after="0"/>
              <w:rPr>
                <w:rFonts w:ascii="'Times New Roman', ;Times;serif', 'FONT-WEIGHT: bold', 'COLOR: #000000', 'TEXT-ALIGN: left'" w:hAnsi="'Times New Roman', ;Times;serif', 'FONT-WEIGHT: bold', 'COLOR: #000000', 'TEXT-ALIGN: left'"/>
                <w:sz w:val="20"/>
              </w:rPr>
            </w:pPr>
            <w:r>
              <w:rPr>
                <w:rFonts w:ascii="'Times New Roman', ;Times;serif', 'FONT-WEIGHT: bold', 'COLOR: #000000', 'TEXT-ALIGN: left'" w:hAnsi="'Times New Roman', ;Times;serif', 'FONT-WEIGHT: bold', 'COLOR: #000000', 'TEXT-ALIGN: left'"/>
                <w:sz w:val="20"/>
              </w:rPr>
              <w:t>Gross profit:</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544" w:type="dxa"/>
            <w:gridSpan w:val="2"/>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jc w:val="left"/>
              <w:rPr/>
            </w:pPr>
            <w:r>
              <w:rPr/>
              <w:t> </w:t>
            </w:r>
          </w:p>
        </w:tc>
      </w:tr>
      <w:tr>
        <w:trPr/>
        <w:tc>
          <w:tcPr>
            <w:tcW w:w="1838"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Industrial Technology</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85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104,012</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50.6</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85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101,259</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50.5</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10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306,464</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50.4</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10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296,414</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51.1</w:t>
            </w:r>
          </w:p>
        </w:tc>
        <w:tc>
          <w:tcPr>
            <w:tcW w:w="19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r>
      <w:tr>
        <w:trPr/>
        <w:tc>
          <w:tcPr>
            <w:tcW w:w="1838"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Energy Systems &amp; Controls</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99,233</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58.1</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88,104</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56.8</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281,055</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57.1</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256,431</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56.2</w:t>
            </w:r>
          </w:p>
        </w:tc>
        <w:tc>
          <w:tcPr>
            <w:tcW w:w="19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r>
      <w:tr>
        <w:trPr/>
        <w:tc>
          <w:tcPr>
            <w:tcW w:w="1838"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Medical &amp; Scientific Imaging</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193,132</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71.8</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167,433</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70.5</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572,738</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72.1</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440,718</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68.3</w:t>
            </w:r>
          </w:p>
        </w:tc>
        <w:tc>
          <w:tcPr>
            <w:tcW w:w="19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r>
      <w:tr>
        <w:trPr/>
        <w:tc>
          <w:tcPr>
            <w:tcW w:w="1838"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RF Technology</w:t>
            </w:r>
          </w:p>
        </w:tc>
        <w:tc>
          <w:tcPr>
            <w:tcW w:w="74" w:type="dxa"/>
            <w:tcBorders/>
            <w:shd w:fill="auto" w:val="clear"/>
            <w:vAlign w:val="bottom"/>
          </w:tcPr>
          <w:p>
            <w:pPr>
              <w:pStyle w:val="TableContents"/>
              <w:spacing w:before="0" w:after="283"/>
              <w:rPr/>
            </w:pPr>
            <w:r>
              <w:rPr/>
              <w:t> </w:t>
            </w:r>
          </w:p>
        </w:tc>
        <w:tc>
          <w:tcPr>
            <w:tcW w:w="15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59"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127,663</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70"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53.4</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59"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125,829</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70"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53.6</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375,901</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70"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52.9</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356,145</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70"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53.4</w:t>
            </w:r>
          </w:p>
        </w:tc>
        <w:tc>
          <w:tcPr>
            <w:tcW w:w="19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r>
      <w:tr>
        <w:trPr/>
        <w:tc>
          <w:tcPr>
            <w:tcW w:w="1838"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Total</w:t>
            </w:r>
          </w:p>
        </w:tc>
        <w:tc>
          <w:tcPr>
            <w:tcW w:w="74" w:type="dxa"/>
            <w:tcBorders/>
            <w:shd w:fill="auto" w:val="clear"/>
            <w:vAlign w:val="bottom"/>
          </w:tcPr>
          <w:p>
            <w:pPr>
              <w:pStyle w:val="TableContents"/>
              <w:spacing w:before="0" w:after="283"/>
              <w:rPr/>
            </w:pPr>
            <w:r>
              <w:rPr/>
              <w:t> </w:t>
            </w:r>
          </w:p>
        </w:tc>
        <w:tc>
          <w:tcPr>
            <w:tcW w:w="154"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859"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524,040</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470"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59.3</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859"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482,625</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470"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58.3</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1045"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1,536,158</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470"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59.0</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1045"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1,349,708</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470"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57.5</w:t>
            </w:r>
          </w:p>
        </w:tc>
        <w:tc>
          <w:tcPr>
            <w:tcW w:w="19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r>
      <w:tr>
        <w:trPr/>
        <w:tc>
          <w:tcPr>
            <w:tcW w:w="183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jc w:val="left"/>
              <w:rPr/>
            </w:pPr>
            <w:r>
              <w:rPr/>
              <w:t> </w:t>
            </w:r>
          </w:p>
        </w:tc>
      </w:tr>
      <w:tr>
        <w:trPr/>
        <w:tc>
          <w:tcPr>
            <w:tcW w:w="183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jc w:val="left"/>
              <w:rPr/>
            </w:pPr>
            <w:r>
              <w:rPr/>
              <w:t> </w:t>
            </w:r>
          </w:p>
        </w:tc>
      </w:tr>
      <w:tr>
        <w:trPr/>
        <w:tc>
          <w:tcPr>
            <w:tcW w:w="1838" w:type="dxa"/>
            <w:tcBorders/>
            <w:shd w:fill="auto" w:val="clear"/>
            <w:vAlign w:val="bottom"/>
          </w:tcPr>
          <w:p>
            <w:pPr>
              <w:pStyle w:val="TableContents"/>
              <w:spacing w:before="0" w:after="0"/>
              <w:rPr>
                <w:rFonts w:ascii="'Times New Roman', ;Times;serif', 'FONT-WEIGHT: bold', 'COLOR: #000000', 'TEXT-ALIGN: left'" w:hAnsi="'Times New Roman', ;Times;serif', 'FONT-WEIGHT: bold', 'COLOR: #000000', 'TEXT-ALIGN: left'"/>
                <w:sz w:val="20"/>
              </w:rPr>
            </w:pPr>
            <w:r>
              <w:rPr>
                <w:rFonts w:ascii="'Times New Roman', ;Times;serif', 'FONT-WEIGHT: bold', 'COLOR: #000000', 'TEXT-ALIGN: left'" w:hAnsi="'Times New Roman', ;Times;serif', 'FONT-WEIGHT: bold', 'COLOR: #000000', 'TEXT-ALIGN: left'"/>
                <w:sz w:val="20"/>
              </w:rPr>
              <w:t>Operating profit*:</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jc w:val="left"/>
              <w:rPr/>
            </w:pPr>
            <w:r>
              <w:rPr/>
              <w:t> </w:t>
            </w:r>
          </w:p>
        </w:tc>
      </w:tr>
      <w:tr>
        <w:trPr/>
        <w:tc>
          <w:tcPr>
            <w:tcW w:w="1838"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Industrial Technology</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85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62,046</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30.2</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85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60,753</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30.3</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10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178,540</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29.4</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10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164,278</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28.3</w:t>
            </w:r>
          </w:p>
        </w:tc>
        <w:tc>
          <w:tcPr>
            <w:tcW w:w="19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r>
      <w:tr>
        <w:trPr/>
        <w:tc>
          <w:tcPr>
            <w:tcW w:w="1838"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Energy Systems &amp; Controls</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49,033</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28.7</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41,076</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26.5</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130,844</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26.6</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118,432</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26.0</w:t>
            </w:r>
          </w:p>
        </w:tc>
        <w:tc>
          <w:tcPr>
            <w:tcW w:w="19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r>
      <w:tr>
        <w:trPr/>
        <w:tc>
          <w:tcPr>
            <w:tcW w:w="1838"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Medical &amp; Scientific Imaging</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91,227</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33.9</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71,968</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30.3</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275,379</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34.7</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179,433</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27.8</w:t>
            </w:r>
          </w:p>
        </w:tc>
        <w:tc>
          <w:tcPr>
            <w:tcW w:w="19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r>
      <w:tr>
        <w:trPr/>
        <w:tc>
          <w:tcPr>
            <w:tcW w:w="1838"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RF Technology</w:t>
            </w:r>
          </w:p>
        </w:tc>
        <w:tc>
          <w:tcPr>
            <w:tcW w:w="74" w:type="dxa"/>
            <w:tcBorders/>
            <w:shd w:fill="auto" w:val="clear"/>
            <w:vAlign w:val="bottom"/>
          </w:tcPr>
          <w:p>
            <w:pPr>
              <w:pStyle w:val="TableContents"/>
              <w:spacing w:before="0" w:after="283"/>
              <w:rPr/>
            </w:pPr>
            <w:r>
              <w:rPr/>
              <w:t> </w:t>
            </w:r>
          </w:p>
        </w:tc>
        <w:tc>
          <w:tcPr>
            <w:tcW w:w="15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59"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69,351</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70"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29.0</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59"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66,469</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70"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28.3</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203,183</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70"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28.6</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183,828</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70"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27.6</w:t>
            </w:r>
          </w:p>
        </w:tc>
        <w:tc>
          <w:tcPr>
            <w:tcW w:w="19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r>
      <w:tr>
        <w:trPr/>
        <w:tc>
          <w:tcPr>
            <w:tcW w:w="1838"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Total</w:t>
            </w:r>
          </w:p>
        </w:tc>
        <w:tc>
          <w:tcPr>
            <w:tcW w:w="74" w:type="dxa"/>
            <w:tcBorders/>
            <w:shd w:fill="auto" w:val="clear"/>
            <w:vAlign w:val="bottom"/>
          </w:tcPr>
          <w:p>
            <w:pPr>
              <w:pStyle w:val="TableContents"/>
              <w:spacing w:before="0" w:after="283"/>
              <w:rPr/>
            </w:pPr>
            <w:r>
              <w:rPr/>
              <w:t> </w:t>
            </w:r>
          </w:p>
        </w:tc>
        <w:tc>
          <w:tcPr>
            <w:tcW w:w="154"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859"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271,657</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470"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30.7</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859"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240,266</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470"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29.0</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1045"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787,946</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470"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30.3</w:t>
            </w:r>
          </w:p>
        </w:tc>
        <w:tc>
          <w:tcPr>
            <w:tcW w:w="228"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4" w:type="dxa"/>
            <w:tcBorders/>
            <w:shd w:fill="auto" w:val="clear"/>
            <w:vAlign w:val="bottom"/>
          </w:tcPr>
          <w:p>
            <w:pPr>
              <w:pStyle w:val="TableContents"/>
              <w:spacing w:before="0" w:after="283"/>
              <w:rPr/>
            </w:pPr>
            <w:r>
              <w:rPr/>
              <w:t> </w:t>
            </w:r>
          </w:p>
        </w:tc>
        <w:tc>
          <w:tcPr>
            <w:tcW w:w="154"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1045"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645,971</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470"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27.5</w:t>
            </w:r>
          </w:p>
        </w:tc>
        <w:tc>
          <w:tcPr>
            <w:tcW w:w="19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r>
      <w:tr>
        <w:trPr/>
        <w:tc>
          <w:tcPr>
            <w:tcW w:w="183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jc w:val="left"/>
              <w:rPr/>
            </w:pPr>
            <w:r>
              <w:rPr/>
              <w:t> </w:t>
            </w:r>
          </w:p>
        </w:tc>
      </w:tr>
      <w:tr>
        <w:trPr/>
        <w:tc>
          <w:tcPr>
            <w:tcW w:w="183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jc w:val="left"/>
              <w:rPr/>
            </w:pPr>
            <w:r>
              <w:rPr/>
              <w:t> </w:t>
            </w:r>
          </w:p>
        </w:tc>
      </w:tr>
      <w:tr>
        <w:trPr/>
        <w:tc>
          <w:tcPr>
            <w:tcW w:w="1838" w:type="dxa"/>
            <w:tcBorders/>
            <w:shd w:fill="auto" w:val="clear"/>
            <w:vAlign w:val="bottom"/>
          </w:tcPr>
          <w:p>
            <w:pPr>
              <w:pStyle w:val="TableContents"/>
              <w:spacing w:before="0" w:after="0"/>
              <w:rPr>
                <w:rFonts w:ascii="'Times New Roman', ;Times;serif', 'FONT-WEIGHT: bold', 'COLOR: #000000', 'TEXT-ALIGN: left'" w:hAnsi="'Times New Roman', ;Times;serif', 'FONT-WEIGHT: bold', 'COLOR: #000000', 'TEXT-ALIGN: left'"/>
                <w:sz w:val="20"/>
              </w:rPr>
            </w:pPr>
            <w:r>
              <w:rPr>
                <w:rFonts w:ascii="'Times New Roman', ;Times;serif', 'FONT-WEIGHT: bold', 'COLOR: #000000', 'TEXT-ALIGN: left'" w:hAnsi="'Times New Roman', ;Times;serif', 'FONT-WEIGHT: bold', 'COLOR: #000000', 'TEXT-ALIGN: left'"/>
                <w:sz w:val="20"/>
              </w:rPr>
              <w:t>Net Orders:</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jc w:val="left"/>
              <w:rPr/>
            </w:pPr>
            <w:r>
              <w:rPr/>
              <w:t> </w:t>
            </w:r>
          </w:p>
        </w:tc>
      </w:tr>
      <w:tr>
        <w:trPr/>
        <w:tc>
          <w:tcPr>
            <w:tcW w:w="1838"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Industrial Technology</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85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205,945</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85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197,549</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10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611,074</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10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581,862</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jc w:val="left"/>
              <w:rPr/>
            </w:pPr>
            <w:r>
              <w:rPr/>
              <w:t> </w:t>
            </w:r>
          </w:p>
        </w:tc>
      </w:tr>
      <w:tr>
        <w:trPr/>
        <w:tc>
          <w:tcPr>
            <w:tcW w:w="1838"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Energy Systems &amp; Controls</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173,172</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148,922</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490,106</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466,414</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jc w:val="left"/>
              <w:rPr/>
            </w:pPr>
            <w:r>
              <w:rPr/>
              <w:t> </w:t>
            </w:r>
          </w:p>
        </w:tc>
      </w:tr>
      <w:tr>
        <w:trPr/>
        <w:tc>
          <w:tcPr>
            <w:tcW w:w="1838"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Medical &amp; Scientific Imaging</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270,881</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262,320</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799,021</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688,673</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jc w:val="left"/>
              <w:rPr/>
            </w:pPr>
            <w:r>
              <w:rPr/>
              <w:t> </w:t>
            </w:r>
          </w:p>
        </w:tc>
      </w:tr>
      <w:tr>
        <w:trPr/>
        <w:tc>
          <w:tcPr>
            <w:tcW w:w="1838"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RF Technology</w:t>
            </w:r>
          </w:p>
        </w:tc>
        <w:tc>
          <w:tcPr>
            <w:tcW w:w="74" w:type="dxa"/>
            <w:tcBorders/>
            <w:shd w:fill="auto" w:val="clear"/>
            <w:vAlign w:val="bottom"/>
          </w:tcPr>
          <w:p>
            <w:pPr>
              <w:pStyle w:val="TableContents"/>
              <w:spacing w:before="0" w:after="283"/>
              <w:rPr/>
            </w:pPr>
            <w:r>
              <w:rPr/>
              <w:t> </w:t>
            </w:r>
          </w:p>
        </w:tc>
        <w:tc>
          <w:tcPr>
            <w:tcW w:w="15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59"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243,363</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59"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229,484</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713,536</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711,419</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r>
      <w:tr>
        <w:trPr/>
        <w:tc>
          <w:tcPr>
            <w:tcW w:w="1838"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Total</w:t>
            </w:r>
          </w:p>
        </w:tc>
        <w:tc>
          <w:tcPr>
            <w:tcW w:w="74" w:type="dxa"/>
            <w:tcBorders/>
            <w:shd w:fill="auto" w:val="clear"/>
            <w:vAlign w:val="bottom"/>
          </w:tcPr>
          <w:p>
            <w:pPr>
              <w:pStyle w:val="TableContents"/>
              <w:spacing w:before="0" w:after="283"/>
              <w:rPr/>
            </w:pPr>
            <w:r>
              <w:rPr/>
              <w:t> </w:t>
            </w:r>
          </w:p>
        </w:tc>
        <w:tc>
          <w:tcPr>
            <w:tcW w:w="154"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859"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893,361</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859"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838,275</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1045"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2,613,737</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bottom w:val="double" w:sz="8" w:space="0" w:color="000000"/>
            </w:tcBorders>
            <w:shd w:fill="auto" w:val="clear"/>
            <w:tcMar>
              <w:bottom w:w="28" w:type="dxa"/>
            </w:tcM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1045" w:type="dxa"/>
            <w:tcBorders>
              <w:bottom w:val="double" w:sz="8" w:space="0" w:color="000000"/>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2,448,368</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r>
      <w:tr>
        <w:trPr/>
        <w:tc>
          <w:tcPr>
            <w:tcW w:w="183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70" w:type="dxa"/>
            <w:tcBorders/>
            <w:shd w:fill="auto" w:val="cle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jc w:val="left"/>
              <w:rPr/>
            </w:pPr>
            <w:r>
              <w:rPr/>
              <w:t> </w:t>
            </w:r>
          </w:p>
        </w:tc>
      </w:tr>
      <w:tr>
        <w:trPr/>
        <w:tc>
          <w:tcPr>
            <w:tcW w:w="183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04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04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r>
      <w:tr>
        <w:trPr/>
        <w:tc>
          <w:tcPr>
            <w:tcW w:w="183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04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04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r>
      <w:tr>
        <w:trPr/>
        <w:tc>
          <w:tcPr>
            <w:tcW w:w="10010" w:type="dxa"/>
            <w:gridSpan w:val="32"/>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 Operating profit is before unallocated corporate general and administrative expenses. These expenses were $25,999 and $20,917 for the three months ended September 30, 2014 and 2013, respectively and $72,222 and $61,699 for the nine months ended September 30, 2014 and 2013, respectively.</w:t>
            </w:r>
          </w:p>
        </w:tc>
        <w:tc>
          <w:tcPr>
            <w:tcW w:w="195" w:type="dxa"/>
            <w:tcBorders/>
            <w:shd w:fill="auto" w:val="clear"/>
            <w:vAlign w:val="bottom"/>
          </w:tcPr>
          <w:p>
            <w:pPr>
              <w:pStyle w:val="TableContents"/>
              <w:spacing w:before="0" w:after="283"/>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HorizontalLine"/>
        <w:pBdr>
          <w:bottom w:val="single" w:sz="20" w:space="0" w:color="808080"/>
        </w:pBdr>
        <w:spacing w:before="200" w:after="200"/>
        <w:rPr/>
      </w:pPr>
      <w:r>
        <w:rPr/>
      </w:r>
      <w:bookmarkStart w:id="34" w:name="DSPFPageBreak4"/>
      <w:bookmarkStart w:id="35" w:name="DSPFPageBreakArea3"/>
      <w:bookmarkStart w:id="36" w:name="DSPFPageBreak4"/>
      <w:bookmarkStart w:id="37" w:name="DSPFPageBreakArea3"/>
      <w:bookmarkEnd w:id="36"/>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38" w:name="2e8168befa034009880108f7535cb78d"/>
      <w:bookmarkStart w:id="39" w:name="2e8168befa034009880108f7535cb78d"/>
      <w:bookmarkEnd w:id="39"/>
    </w:p>
    <w:tbl>
      <w:tblPr>
        <w:tblW w:w="6457" w:type="dxa"/>
        <w:jc w:val="center"/>
        <w:tblInd w:w="0" w:type="dxa"/>
        <w:tblCellMar>
          <w:top w:w="0" w:type="dxa"/>
          <w:left w:w="0" w:type="dxa"/>
          <w:bottom w:w="0" w:type="dxa"/>
          <w:right w:w="0" w:type="dxa"/>
        </w:tblCellMar>
      </w:tblPr>
      <w:tblGrid>
        <w:gridCol w:w="4211"/>
        <w:gridCol w:w="62"/>
        <w:gridCol w:w="130"/>
        <w:gridCol w:w="789"/>
        <w:gridCol w:w="80"/>
        <w:gridCol w:w="60"/>
        <w:gridCol w:w="125"/>
        <w:gridCol w:w="905"/>
        <w:gridCol w:w="95"/>
      </w:tblGrid>
      <w:tr>
        <w:trPr/>
        <w:tc>
          <w:tcPr>
            <w:tcW w:w="4211" w:type="dxa"/>
            <w:tcBorders/>
            <w:shd w:fill="auto" w:val="clear"/>
            <w:vAlign w:val="bottom"/>
          </w:tcPr>
          <w:p>
            <w:pPr>
              <w:pStyle w:val="TableContents"/>
              <w:spacing w:before="0" w:after="0"/>
              <w:rPr>
                <w:rFonts w:ascii="'Times New Roman', ;Times;serif', 'FONT-WEIGHT: bold', 'COLOR: #000000', 'TEXT-ALIGN: left'" w:hAnsi="'Times New Roman', ;Times;serif', 'FONT-WEIGHT: bold', 'COLOR: #000000', 'TEXT-ALIGN: left'"/>
                <w:sz w:val="20"/>
              </w:rPr>
            </w:pPr>
            <w:r>
              <w:rPr>
                <w:rFonts w:ascii="'Times New Roman', ;Times;serif', 'FONT-WEIGHT: bold', 'COLOR: #000000', 'TEXT-ALIGN: left'" w:hAnsi="'Times New Roman', ;Times;serif', 'FONT-WEIGHT: bold', 'COLOR: #000000', 'TEXT-ALIGN: left'"/>
                <w:sz w:val="20"/>
              </w:rPr>
              <w:t>Roper Industries, Inc. and Subsidiaries</w:t>
            </w:r>
          </w:p>
        </w:tc>
        <w:tc>
          <w:tcPr>
            <w:tcW w:w="62" w:type="dxa"/>
            <w:tcBorders/>
            <w:shd w:fill="auto" w:val="clear"/>
            <w:vAlign w:val="bottom"/>
          </w:tcPr>
          <w:p>
            <w:pPr>
              <w:pStyle w:val="TableContents"/>
              <w:spacing w:before="0" w:after="283"/>
              <w:rPr/>
            </w:pPr>
            <w:r>
              <w:rPr/>
              <w:t> </w:t>
            </w:r>
          </w:p>
        </w:tc>
        <w:tc>
          <w:tcPr>
            <w:tcW w:w="919" w:type="dxa"/>
            <w:gridSpan w:val="2"/>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jc w:val="left"/>
              <w:rPr/>
            </w:pPr>
            <w:r>
              <w:rPr/>
              <w:t> </w:t>
            </w:r>
          </w:p>
        </w:tc>
      </w:tr>
      <w:tr>
        <w:trPr/>
        <w:tc>
          <w:tcPr>
            <w:tcW w:w="5192" w:type="dxa"/>
            <w:gridSpan w:val="4"/>
            <w:tcBorders/>
            <w:shd w:fill="auto" w:val="clear"/>
            <w:vAlign w:val="bottom"/>
          </w:tcPr>
          <w:p>
            <w:pPr>
              <w:pStyle w:val="TableContents"/>
              <w:spacing w:before="0" w:after="0"/>
              <w:rPr>
                <w:rFonts w:ascii="'Times New Roman', ;Times;serif', 'FONT-WEIGHT: bold', 'COLOR: #000000', 'TEXT-ALIGN: left'" w:hAnsi="'Times New Roman', ;Times;serif', 'FONT-WEIGHT: bold', 'COLOR: #000000', 'TEXT-ALIGN: left'"/>
                <w:sz w:val="20"/>
              </w:rPr>
            </w:pPr>
            <w:r>
              <w:rPr>
                <w:rFonts w:ascii="'Times New Roman', ;Times;serif', 'FONT-WEIGHT: bold', 'COLOR: #000000', 'TEXT-ALIGN: left'" w:hAnsi="'Times New Roman', ;Times;serif', 'FONT-WEIGHT: bold', 'COLOR: #000000', 'TEXT-ALIGN: left'"/>
                <w:sz w:val="20"/>
              </w:rPr>
              <w:t>Condensed Consolidated Statements of Cash Flows (unaudited)</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0"/>
              <w:rPr>
                <w:rFonts w:ascii="'Times New Roman', ;Times;serif', 'FONT-WEIGHT: bold', 'COLOR: #000000', 'TEXT-ALIGN: left'" w:hAnsi="'Times New Roman', ;Times;serif', 'FONT-WEIGHT: bold', 'COLOR: #000000', 'TEXT-ALIGN: left'"/>
                <w:sz w:val="20"/>
              </w:rPr>
            </w:pPr>
            <w:r>
              <w:rPr>
                <w:rFonts w:ascii="'Times New Roman', ;Times;serif', 'FONT-WEIGHT: bold', 'COLOR: #000000', 'TEXT-ALIGN: left'" w:hAnsi="'Times New Roman', ;Times;serif', 'FONT-WEIGHT: bold', 'COLOR: #000000', 'TEXT-ALIGN: left'"/>
                <w:sz w:val="20"/>
              </w:rPr>
              <w:t>(Amounts in thousands)</w:t>
            </w:r>
          </w:p>
        </w:tc>
        <w:tc>
          <w:tcPr>
            <w:tcW w:w="62" w:type="dxa"/>
            <w:tcBorders/>
            <w:shd w:fill="auto" w:val="clear"/>
            <w:vAlign w:val="bottom"/>
          </w:tcPr>
          <w:p>
            <w:pPr>
              <w:pStyle w:val="TableContents"/>
              <w:spacing w:before="0" w:after="283"/>
              <w:rPr/>
            </w:pPr>
            <w:r>
              <w:rPr/>
              <w:t> </w:t>
            </w:r>
          </w:p>
        </w:tc>
        <w:tc>
          <w:tcPr>
            <w:tcW w:w="919" w:type="dxa"/>
            <w:gridSpan w:val="2"/>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919" w:type="dxa"/>
            <w:gridSpan w:val="2"/>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919" w:type="dxa"/>
            <w:gridSpan w:val="2"/>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2089" w:type="dxa"/>
            <w:gridSpan w:val="6"/>
            <w:tcBorders/>
            <w:shd w:fill="auto" w:val="cle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Nine months ended</w:t>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2089" w:type="dxa"/>
            <w:gridSpan w:val="6"/>
            <w:tcBorders>
              <w:bottom w:val="single" w:sz="12" w:space="0" w:color="646464"/>
            </w:tcBorders>
            <w:shd w:fill="auto" w:val="clear"/>
            <w:tcMar>
              <w:bottom w:w="28" w:type="dxa"/>
            </w:tcM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September 30,</w:t>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919" w:type="dxa"/>
            <w:gridSpan w:val="2"/>
            <w:tcBorders>
              <w:bottom w:val="single" w:sz="12" w:space="0" w:color="646464"/>
            </w:tcBorders>
            <w:shd w:fill="auto" w:val="clear"/>
            <w:tcMar>
              <w:bottom w:w="28" w:type="dxa"/>
            </w:tcM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2014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bottom w:val="single" w:sz="12" w:space="0" w:color="646464"/>
            </w:tcBorders>
            <w:shd w:fill="auto" w:val="clear"/>
            <w:tcMar>
              <w:bottom w:w="28" w:type="dxa"/>
            </w:tcMar>
            <w:vAlign w:val="bottom"/>
          </w:tcPr>
          <w:p>
            <w:pPr>
              <w:pStyle w:val="TableContents"/>
              <w:spacing w:before="0" w:after="0"/>
              <w:rPr>
                <w:rFonts w:ascii="'Times New Roman', ;Times;serif', 'FONT-WEIGHT: bold', 'COLOR: #000000', 'TEXT-ALIGN: center'" w:hAnsi="'Times New Roman', ;Times;serif', 'FONT-WEIGHT: bold', 'COLOR: #000000', 'TEXT-ALIGN: center'"/>
                <w:sz w:val="20"/>
              </w:rPr>
            </w:pPr>
            <w:r>
              <w:rPr>
                <w:rFonts w:ascii="'Times New Roman', ;Times;serif', 'FONT-WEIGHT: bold', 'COLOR: #000000', 'TEXT-ALIGN: center'" w:hAnsi="'Times New Roman', ;Times;serif', 'FONT-WEIGHT: bold', 'COLOR: #000000', 'TEXT-ALIGN: center'"/>
                <w:sz w:val="20"/>
              </w:rPr>
              <w:t>2013</w:t>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919" w:type="dxa"/>
            <w:gridSpan w:val="2"/>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Net earnings</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8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460,097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90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372,590</w:t>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Non-cash items:</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Depreciation</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30,442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28,269</w:t>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Amortization</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117,179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111,210</w:t>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Stock-based compensation expense</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47,011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40,040</w:t>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Income taxes</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(54,178</w:t>
            </w:r>
          </w:p>
        </w:tc>
        <w:tc>
          <w:tcPr>
            <w:tcW w:w="80"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(12,643</w:t>
            </w:r>
          </w:p>
        </w:tc>
        <w:tc>
          <w:tcPr>
            <w:tcW w:w="9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Changes in assets and liabilities:</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Receivables</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(21,840</w:t>
            </w:r>
          </w:p>
        </w:tc>
        <w:tc>
          <w:tcPr>
            <w:tcW w:w="80"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29,844</w:t>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Inventory</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(8,833</w:t>
            </w:r>
          </w:p>
        </w:tc>
        <w:tc>
          <w:tcPr>
            <w:tcW w:w="80"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(15,202</w:t>
            </w:r>
          </w:p>
        </w:tc>
        <w:tc>
          <w:tcPr>
            <w:tcW w:w="9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Accounts payable</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(4,969</w:t>
            </w:r>
          </w:p>
        </w:tc>
        <w:tc>
          <w:tcPr>
            <w:tcW w:w="80"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3,557</w:t>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Accrued liabilities</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15,311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9,498</w:t>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Other, net</w:t>
            </w:r>
          </w:p>
        </w:tc>
        <w:tc>
          <w:tcPr>
            <w:tcW w:w="62" w:type="dxa"/>
            <w:tcBorders/>
            <w:shd w:fill="auto" w:val="clear"/>
            <w:vAlign w:val="bottom"/>
          </w:tcPr>
          <w:p>
            <w:pPr>
              <w:pStyle w:val="TableContents"/>
              <w:spacing w:before="0" w:after="283"/>
              <w:rPr/>
            </w:pPr>
            <w:r>
              <w:rPr/>
              <w:t> </w:t>
            </w:r>
          </w:p>
        </w:tc>
        <w:tc>
          <w:tcPr>
            <w:tcW w:w="130" w:type="dxa"/>
            <w:tcBorders>
              <w:bottom w:val="single" w:sz="12" w:space="0" w:color="646464"/>
            </w:tcBorders>
            <w:shd w:fill="auto" w:val="clear"/>
            <w:tcMar>
              <w:bottom w:w="28" w:type="dxa"/>
            </w:tcMar>
            <w:vAlign w:val="bottom"/>
          </w:tcPr>
          <w:p>
            <w:pPr>
              <w:pStyle w:val="TableContents"/>
              <w:spacing w:before="0" w:after="283"/>
              <w:jc w:val="left"/>
              <w:rPr/>
            </w:pPr>
            <w:r>
              <w:rPr/>
              <w:t> </w:t>
            </w:r>
          </w:p>
        </w:tc>
        <w:tc>
          <w:tcPr>
            <w:tcW w:w="789" w:type="dxa"/>
            <w:tcBorders>
              <w:bottom w:val="single" w:sz="12"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(988</w:t>
            </w:r>
          </w:p>
        </w:tc>
        <w:tc>
          <w:tcPr>
            <w:tcW w:w="80"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60" w:type="dxa"/>
            <w:tcBorders/>
            <w:shd w:fill="auto" w:val="clear"/>
            <w:vAlign w:val="bottom"/>
          </w:tcPr>
          <w:p>
            <w:pPr>
              <w:pStyle w:val="TableContents"/>
              <w:spacing w:before="0" w:after="283"/>
              <w:rPr/>
            </w:pPr>
            <w:r>
              <w:rPr/>
              <w:t> </w:t>
            </w:r>
          </w:p>
        </w:tc>
        <w:tc>
          <w:tcPr>
            <w:tcW w:w="125" w:type="dxa"/>
            <w:tcBorders>
              <w:bottom w:val="single" w:sz="12" w:space="0" w:color="646464"/>
            </w:tcBorders>
            <w:shd w:fill="auto" w:val="clear"/>
            <w:tcMar>
              <w:bottom w:w="28" w:type="dxa"/>
            </w:tcMar>
            <w:vAlign w:val="bottom"/>
          </w:tcPr>
          <w:p>
            <w:pPr>
              <w:pStyle w:val="TableContents"/>
              <w:spacing w:before="0" w:after="283"/>
              <w:jc w:val="left"/>
              <w:rPr/>
            </w:pPr>
            <w:r>
              <w:rPr/>
              <w:t> </w:t>
            </w:r>
          </w:p>
        </w:tc>
        <w:tc>
          <w:tcPr>
            <w:tcW w:w="905" w:type="dxa"/>
            <w:tcBorders>
              <w:bottom w:val="single" w:sz="12"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(390</w:t>
            </w:r>
          </w:p>
        </w:tc>
        <w:tc>
          <w:tcPr>
            <w:tcW w:w="9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r>
      <w:tr>
        <w:trPr/>
        <w:tc>
          <w:tcPr>
            <w:tcW w:w="4211"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Cash provided by operating activities</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579,232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566,773</w:t>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Business acquisitions, net of cash acquired</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(305,254</w:t>
            </w:r>
          </w:p>
        </w:tc>
        <w:tc>
          <w:tcPr>
            <w:tcW w:w="80"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(1,014,952</w:t>
            </w:r>
          </w:p>
        </w:tc>
        <w:tc>
          <w:tcPr>
            <w:tcW w:w="9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Capital expenditures</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(29,835</w:t>
            </w:r>
          </w:p>
        </w:tc>
        <w:tc>
          <w:tcPr>
            <w:tcW w:w="80"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(33,349</w:t>
            </w:r>
          </w:p>
        </w:tc>
        <w:tc>
          <w:tcPr>
            <w:tcW w:w="9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Other, net</w:t>
            </w:r>
          </w:p>
        </w:tc>
        <w:tc>
          <w:tcPr>
            <w:tcW w:w="62" w:type="dxa"/>
            <w:tcBorders/>
            <w:shd w:fill="auto" w:val="clear"/>
            <w:vAlign w:val="bottom"/>
          </w:tcPr>
          <w:p>
            <w:pPr>
              <w:pStyle w:val="TableContents"/>
              <w:spacing w:before="0" w:after="283"/>
              <w:rPr/>
            </w:pPr>
            <w:r>
              <w:rPr/>
              <w:t> </w:t>
            </w:r>
          </w:p>
        </w:tc>
        <w:tc>
          <w:tcPr>
            <w:tcW w:w="130" w:type="dxa"/>
            <w:tcBorders>
              <w:bottom w:val="single" w:sz="12" w:space="0" w:color="646464"/>
            </w:tcBorders>
            <w:shd w:fill="auto" w:val="clear"/>
            <w:tcMar>
              <w:bottom w:w="28" w:type="dxa"/>
            </w:tcMar>
            <w:vAlign w:val="bottom"/>
          </w:tcPr>
          <w:p>
            <w:pPr>
              <w:pStyle w:val="TableContents"/>
              <w:spacing w:before="0" w:after="283"/>
              <w:jc w:val="left"/>
              <w:rPr/>
            </w:pPr>
            <w:r>
              <w:rPr/>
              <w:t> </w:t>
            </w:r>
          </w:p>
        </w:tc>
        <w:tc>
          <w:tcPr>
            <w:tcW w:w="789" w:type="dxa"/>
            <w:tcBorders>
              <w:bottom w:val="single" w:sz="12"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(5,304</w:t>
            </w:r>
          </w:p>
        </w:tc>
        <w:tc>
          <w:tcPr>
            <w:tcW w:w="80"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60" w:type="dxa"/>
            <w:tcBorders/>
            <w:shd w:fill="auto" w:val="clear"/>
            <w:vAlign w:val="bottom"/>
          </w:tcPr>
          <w:p>
            <w:pPr>
              <w:pStyle w:val="TableContents"/>
              <w:spacing w:before="0" w:after="283"/>
              <w:rPr/>
            </w:pPr>
            <w:r>
              <w:rPr/>
              <w:t> </w:t>
            </w:r>
          </w:p>
        </w:tc>
        <w:tc>
          <w:tcPr>
            <w:tcW w:w="125" w:type="dxa"/>
            <w:tcBorders>
              <w:bottom w:val="single" w:sz="12" w:space="0" w:color="646464"/>
            </w:tcBorders>
            <w:shd w:fill="auto" w:val="clear"/>
            <w:tcMar>
              <w:bottom w:w="28" w:type="dxa"/>
            </w:tcMar>
            <w:vAlign w:val="bottom"/>
          </w:tcPr>
          <w:p>
            <w:pPr>
              <w:pStyle w:val="TableContents"/>
              <w:spacing w:before="0" w:after="283"/>
              <w:jc w:val="left"/>
              <w:rPr/>
            </w:pPr>
            <w:r>
              <w:rPr/>
              <w:t> </w:t>
            </w:r>
          </w:p>
        </w:tc>
        <w:tc>
          <w:tcPr>
            <w:tcW w:w="905" w:type="dxa"/>
            <w:tcBorders>
              <w:bottom w:val="single" w:sz="12"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1,596</w:t>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Cash used by investing activities</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(340,393</w:t>
            </w:r>
          </w:p>
        </w:tc>
        <w:tc>
          <w:tcPr>
            <w:tcW w:w="80"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(1,046,705</w:t>
            </w:r>
          </w:p>
        </w:tc>
        <w:tc>
          <w:tcPr>
            <w:tcW w:w="9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r>
      <w:tr>
        <w:trPr/>
        <w:tc>
          <w:tcPr>
            <w:tcW w:w="421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Principal debt borrowings</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800,000</w:t>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Principal debt payments</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(561</w:t>
            </w:r>
          </w:p>
        </w:tc>
        <w:tc>
          <w:tcPr>
            <w:tcW w:w="80"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(502,115</w:t>
            </w:r>
          </w:p>
        </w:tc>
        <w:tc>
          <w:tcPr>
            <w:tcW w:w="9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Revolver payments, net</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(95,000</w:t>
            </w:r>
          </w:p>
        </w:tc>
        <w:tc>
          <w:tcPr>
            <w:tcW w:w="80"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290,000</w:t>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Debt issuance costs</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(7,717</w:t>
            </w:r>
          </w:p>
        </w:tc>
        <w:tc>
          <w:tcPr>
            <w:tcW w:w="9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Dividends</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(59,827</w:t>
            </w:r>
          </w:p>
        </w:tc>
        <w:tc>
          <w:tcPr>
            <w:tcW w:w="80"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(32,706</w:t>
            </w:r>
          </w:p>
        </w:tc>
        <w:tc>
          <w:tcPr>
            <w:tcW w:w="9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Excess tax benefit from share-based payment</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14,892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7,763</w:t>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Proceeds from stock-based compensation, net</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26,424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16,839</w:t>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Premium on convertible debt conversions</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(1,518</w:t>
            </w:r>
          </w:p>
        </w:tc>
        <w:tc>
          <w:tcPr>
            <w:tcW w:w="80"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(5,100</w:t>
            </w:r>
          </w:p>
        </w:tc>
        <w:tc>
          <w:tcPr>
            <w:tcW w:w="9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Other, net</w:t>
            </w:r>
          </w:p>
        </w:tc>
        <w:tc>
          <w:tcPr>
            <w:tcW w:w="62" w:type="dxa"/>
            <w:tcBorders/>
            <w:shd w:fill="auto" w:val="clear"/>
            <w:vAlign w:val="bottom"/>
          </w:tcPr>
          <w:p>
            <w:pPr>
              <w:pStyle w:val="TableContents"/>
              <w:spacing w:before="0" w:after="283"/>
              <w:rPr/>
            </w:pPr>
            <w:r>
              <w:rPr/>
              <w:t> </w:t>
            </w:r>
          </w:p>
        </w:tc>
        <w:tc>
          <w:tcPr>
            <w:tcW w:w="130" w:type="dxa"/>
            <w:tcBorders>
              <w:bottom w:val="single" w:sz="12" w:space="0" w:color="646464"/>
            </w:tcBorders>
            <w:shd w:fill="auto" w:val="clear"/>
            <w:tcMar>
              <w:bottom w:w="28" w:type="dxa"/>
            </w:tcMar>
            <w:vAlign w:val="bottom"/>
          </w:tcPr>
          <w:p>
            <w:pPr>
              <w:pStyle w:val="TableContents"/>
              <w:spacing w:before="0" w:after="283"/>
              <w:jc w:val="left"/>
              <w:rPr/>
            </w:pPr>
            <w:r>
              <w:rPr/>
              <w:t> </w:t>
            </w:r>
          </w:p>
        </w:tc>
        <w:tc>
          <w:tcPr>
            <w:tcW w:w="789" w:type="dxa"/>
            <w:tcBorders>
              <w:bottom w:val="single" w:sz="12"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2,118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646464"/>
            </w:tcBorders>
            <w:shd w:fill="auto" w:val="clear"/>
            <w:tcMar>
              <w:bottom w:w="28" w:type="dxa"/>
            </w:tcMar>
            <w:vAlign w:val="bottom"/>
          </w:tcPr>
          <w:p>
            <w:pPr>
              <w:pStyle w:val="TableContents"/>
              <w:spacing w:before="0" w:after="283"/>
              <w:jc w:val="left"/>
              <w:rPr/>
            </w:pPr>
            <w:r>
              <w:rPr/>
              <w:t> </w:t>
            </w:r>
          </w:p>
        </w:tc>
        <w:tc>
          <w:tcPr>
            <w:tcW w:w="905" w:type="dxa"/>
            <w:tcBorders>
              <w:bottom w:val="single" w:sz="12"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2,556</w:t>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0"/>
              <w:rPr/>
            </w:pPr>
            <w:r>
              <w:rPr/>
              <w:t>  </w:t>
            </w:r>
            <w:r>
              <w:rPr>
                <w:rFonts w:ascii="'Times New Roman', ;Times;serif', 'COLOR: #000000', 'TEXT-ALIGN: left'" w:hAnsi="'Times New Roman', ;Times;serif', 'COLOR: #000000', 'TEXT-ALIGN: left'"/>
                <w:sz w:val="20"/>
              </w:rPr>
              <w:t>Cash provided by/(used by) financing activities</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(113,472</w:t>
            </w:r>
          </w:p>
        </w:tc>
        <w:tc>
          <w:tcPr>
            <w:tcW w:w="80"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569,520</w:t>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Effect of exchange rate changes on cash</w:t>
            </w:r>
          </w:p>
        </w:tc>
        <w:tc>
          <w:tcPr>
            <w:tcW w:w="62" w:type="dxa"/>
            <w:tcBorders/>
            <w:shd w:fill="auto" w:val="clear"/>
            <w:vAlign w:val="bottom"/>
          </w:tcPr>
          <w:p>
            <w:pPr>
              <w:pStyle w:val="TableContents"/>
              <w:spacing w:before="0" w:after="283"/>
              <w:rPr/>
            </w:pPr>
            <w:r>
              <w:rPr/>
              <w:t> </w:t>
            </w:r>
          </w:p>
        </w:tc>
        <w:tc>
          <w:tcPr>
            <w:tcW w:w="130" w:type="dxa"/>
            <w:tcBorders>
              <w:bottom w:val="single" w:sz="12" w:space="0" w:color="646464"/>
            </w:tcBorders>
            <w:shd w:fill="auto" w:val="clear"/>
            <w:tcMar>
              <w:bottom w:w="28" w:type="dxa"/>
            </w:tcMar>
            <w:vAlign w:val="bottom"/>
          </w:tcPr>
          <w:p>
            <w:pPr>
              <w:pStyle w:val="TableContents"/>
              <w:spacing w:before="0" w:after="283"/>
              <w:jc w:val="left"/>
              <w:rPr/>
            </w:pPr>
            <w:r>
              <w:rPr/>
              <w:t> </w:t>
            </w:r>
          </w:p>
        </w:tc>
        <w:tc>
          <w:tcPr>
            <w:tcW w:w="789" w:type="dxa"/>
            <w:tcBorders>
              <w:bottom w:val="single" w:sz="12"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(20,975</w:t>
            </w:r>
          </w:p>
        </w:tc>
        <w:tc>
          <w:tcPr>
            <w:tcW w:w="80"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60" w:type="dxa"/>
            <w:tcBorders/>
            <w:shd w:fill="auto" w:val="clear"/>
            <w:vAlign w:val="bottom"/>
          </w:tcPr>
          <w:p>
            <w:pPr>
              <w:pStyle w:val="TableContents"/>
              <w:spacing w:before="0" w:after="283"/>
              <w:rPr/>
            </w:pPr>
            <w:r>
              <w:rPr/>
              <w:t> </w:t>
            </w:r>
          </w:p>
        </w:tc>
        <w:tc>
          <w:tcPr>
            <w:tcW w:w="125" w:type="dxa"/>
            <w:tcBorders>
              <w:bottom w:val="single" w:sz="12" w:space="0" w:color="646464"/>
            </w:tcBorders>
            <w:shd w:fill="auto" w:val="clear"/>
            <w:tcMar>
              <w:bottom w:w="28" w:type="dxa"/>
            </w:tcMar>
            <w:vAlign w:val="bottom"/>
          </w:tcPr>
          <w:p>
            <w:pPr>
              <w:pStyle w:val="TableContents"/>
              <w:spacing w:before="0" w:after="283"/>
              <w:jc w:val="left"/>
              <w:rPr/>
            </w:pPr>
            <w:r>
              <w:rPr/>
              <w:t> </w:t>
            </w:r>
          </w:p>
        </w:tc>
        <w:tc>
          <w:tcPr>
            <w:tcW w:w="905" w:type="dxa"/>
            <w:tcBorders>
              <w:bottom w:val="single" w:sz="12"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(198</w:t>
            </w:r>
          </w:p>
        </w:tc>
        <w:tc>
          <w:tcPr>
            <w:tcW w:w="95" w:type="dxa"/>
            <w:tcBorders/>
            <w:shd w:fill="auto" w:val="cle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r>
      <w:tr>
        <w:trPr/>
        <w:tc>
          <w:tcPr>
            <w:tcW w:w="421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Net increase in cash and equivalents</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104,392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89,390</w:t>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Cash and equivalents, beginning of period</w:t>
            </w:r>
          </w:p>
        </w:tc>
        <w:tc>
          <w:tcPr>
            <w:tcW w:w="62" w:type="dxa"/>
            <w:tcBorders/>
            <w:shd w:fill="auto" w:val="clear"/>
            <w:vAlign w:val="bottom"/>
          </w:tcPr>
          <w:p>
            <w:pPr>
              <w:pStyle w:val="TableContents"/>
              <w:spacing w:before="0" w:after="283"/>
              <w:rPr/>
            </w:pPr>
            <w:r>
              <w:rPr/>
              <w:t> </w:t>
            </w:r>
          </w:p>
        </w:tc>
        <w:tc>
          <w:tcPr>
            <w:tcW w:w="130" w:type="dxa"/>
            <w:tcBorders>
              <w:bottom w:val="single" w:sz="12" w:space="0" w:color="646464"/>
            </w:tcBorders>
            <w:shd w:fill="auto" w:val="clear"/>
            <w:tcMar>
              <w:bottom w:w="28" w:type="dxa"/>
            </w:tcMar>
            <w:vAlign w:val="bottom"/>
          </w:tcPr>
          <w:p>
            <w:pPr>
              <w:pStyle w:val="TableContents"/>
              <w:spacing w:before="0" w:after="283"/>
              <w:jc w:val="left"/>
              <w:rPr/>
            </w:pPr>
            <w:r>
              <w:rPr/>
              <w:t> </w:t>
            </w:r>
          </w:p>
        </w:tc>
        <w:tc>
          <w:tcPr>
            <w:tcW w:w="789" w:type="dxa"/>
            <w:tcBorders>
              <w:bottom w:val="single" w:sz="12"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459,720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646464"/>
            </w:tcBorders>
            <w:shd w:fill="auto" w:val="clear"/>
            <w:tcMar>
              <w:bottom w:w="28" w:type="dxa"/>
            </w:tcMar>
            <w:vAlign w:val="bottom"/>
          </w:tcPr>
          <w:p>
            <w:pPr>
              <w:pStyle w:val="TableContents"/>
              <w:spacing w:before="0" w:after="283"/>
              <w:jc w:val="left"/>
              <w:rPr/>
            </w:pPr>
            <w:r>
              <w:rPr/>
              <w:t> </w:t>
            </w:r>
          </w:p>
        </w:tc>
        <w:tc>
          <w:tcPr>
            <w:tcW w:w="905" w:type="dxa"/>
            <w:tcBorders>
              <w:bottom w:val="single" w:sz="12"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370,590</w:t>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211" w:type="dxa"/>
            <w:tcBorders/>
            <w:shd w:fill="auto" w:val="clear"/>
            <w:vAlign w:val="bottom"/>
          </w:tcPr>
          <w:p>
            <w:pPr>
              <w:pStyle w:val="TableContents"/>
              <w:spacing w:before="0" w:after="0"/>
              <w:rPr>
                <w:rFonts w:ascii="'Times New Roman', ;Times;serif', 'COLOR: #000000', 'TEXT-ALIGN: left'" w:hAnsi="'Times New Roman', ;Times;serif', 'COLOR: #000000', 'TEXT-ALIGN: left'"/>
                <w:sz w:val="20"/>
              </w:rPr>
            </w:pPr>
            <w:r>
              <w:rPr>
                <w:rFonts w:ascii="'Times New Roman', ;Times;serif', 'COLOR: #000000', 'TEXT-ALIGN: left'" w:hAnsi="'Times New Roman', ;Times;serif', 'COLOR: #000000', 'TEXT-ALIGN: left'"/>
                <w:sz w:val="20"/>
              </w:rPr>
              <w:t>Cash and equivalents, end of period</w:t>
            </w:r>
          </w:p>
        </w:tc>
        <w:tc>
          <w:tcPr>
            <w:tcW w:w="62" w:type="dxa"/>
            <w:tcBorders/>
            <w:shd w:fill="auto" w:val="clear"/>
            <w:vAlign w:val="bottom"/>
          </w:tcPr>
          <w:p>
            <w:pPr>
              <w:pStyle w:val="TableContents"/>
              <w:spacing w:before="0" w:after="283"/>
              <w:rPr/>
            </w:pPr>
            <w:r>
              <w:rPr/>
              <w:t> </w:t>
            </w:r>
          </w:p>
        </w:tc>
        <w:tc>
          <w:tcPr>
            <w:tcW w:w="130" w:type="dxa"/>
            <w:tcBorders>
              <w:bottom w:val="double" w:sz="8" w:space="0" w:color="646464"/>
            </w:tcBorders>
            <w:shd w:fill="auto" w:val="clear"/>
            <w:tcMar>
              <w:bottom w:w="28" w:type="dxa"/>
            </w:tcM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789" w:type="dxa"/>
            <w:tcBorders>
              <w:bottom w:val="double" w:sz="8"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564,112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646464"/>
            </w:tcBorders>
            <w:shd w:fill="auto" w:val="clear"/>
            <w:tcMar>
              <w:bottom w:w="28" w:type="dxa"/>
            </w:tcMar>
            <w:vAlign w:val="bottom"/>
          </w:tcPr>
          <w:p>
            <w:pPr>
              <w:pStyle w:val="TableContents"/>
              <w:spacing w:before="0" w:after="0"/>
              <w:jc w:val="left"/>
              <w:rPr>
                <w:rFonts w:ascii="'Times New Roman', ;Times;serif', 'COLOR: #000000'" w:hAnsi="'Times New Roman', ;Times;serif', 'COLOR: #000000'"/>
                <w:sz w:val="20"/>
              </w:rPr>
            </w:pPr>
            <w:r>
              <w:rPr>
                <w:rFonts w:ascii="'Times New Roman', ;Times;serif', 'COLOR: #000000'" w:hAnsi="'Times New Roman', ;Times;serif', 'COLOR: #000000'"/>
                <w:sz w:val="20"/>
              </w:rPr>
              <w:t>$</w:t>
            </w:r>
          </w:p>
        </w:tc>
        <w:tc>
          <w:tcPr>
            <w:tcW w:w="905" w:type="dxa"/>
            <w:tcBorders>
              <w:bottom w:val="double" w:sz="8" w:space="0" w:color="646464"/>
            </w:tcBorders>
            <w:shd w:fill="auto" w:val="clear"/>
            <w:tcMar>
              <w:bottom w:w="28" w:type="dxa"/>
            </w:tcMar>
            <w:vAlign w:val="bottom"/>
          </w:tcPr>
          <w:p>
            <w:pPr>
              <w:pStyle w:val="TableContents"/>
              <w:spacing w:before="0" w:after="0"/>
              <w:jc w:val="right"/>
              <w:rPr>
                <w:rFonts w:ascii="'Times New Roman', ;Times;serif', 'COLOR: #000000'" w:hAnsi="'Times New Roman', ;Times;serif', 'COLOR: #000000'"/>
                <w:sz w:val="20"/>
              </w:rPr>
            </w:pPr>
            <w:r>
              <w:rPr>
                <w:rFonts w:ascii="'Times New Roman', ;Times;serif', 'COLOR: #000000'" w:hAnsi="'Times New Roman', ;Times;serif', 'COLOR: #000000'"/>
                <w:sz w:val="20"/>
              </w:rPr>
              <w:t>459,980</w:t>
            </w:r>
          </w:p>
        </w:tc>
        <w:tc>
          <w:tcPr>
            <w:tcW w:w="95" w:type="dxa"/>
            <w:tcBorders/>
            <w:shd w:fill="auto" w:val="clear"/>
            <w:vAlign w:val="bottom"/>
          </w:tcPr>
          <w:p>
            <w:pPr>
              <w:pStyle w:val="TableContents"/>
              <w:spacing w:before="0" w:after="283"/>
              <w:jc w:val="left"/>
              <w:rPr/>
            </w:pPr>
            <w:r>
              <w:rPr/>
              <w:t> </w:t>
            </w:r>
          </w:p>
        </w:tc>
      </w:tr>
    </w:tbl>
    <w:p>
      <w:pPr>
        <w:pStyle w:val="TextBody"/>
        <w:spacing w:before="0" w:after="283"/>
        <w:rPr/>
      </w:pPr>
      <w:r>
        <w:br w:type="page"/>
      </w: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altName w:val="serif"/>
    <w:charset w:val="00"/>
    <w:family w:val="auto"/>
    <w:pitch w:val="default"/>
  </w:font>
  <w:font w:name="Times New Roman">
    <w:altName w:val="Times"/>
    <w:charset w:val="00"/>
    <w:family w:val="auto"/>
    <w:pitch w:val="default"/>
  </w:font>
  <w:font w:name="Times New Roman">
    <w:charset w:val="00"/>
    <w:family w:val="auto"/>
    <w:pitch w:val="default"/>
  </w:font>
  <w:font w:name="Times New Roman">
    <w:altName w:val="Serif"/>
    <w:charset w:val="00"/>
    <w:family w:val="auto"/>
    <w:pitch w:val="default"/>
  </w:font>
  <w:font w:name="times new roman">
    <w:altName w:val="times"/>
    <w:charset w:val="00"/>
    <w:family w:val="auto"/>
    <w:pitch w:val="default"/>
  </w:font>
  <w:font w:name="'Times New Roman'">
    <w:altName w:val=" "/>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3295</Words>
  <CharactersWithSpaces>23726</CharactersWithSpaces>
  <Paragraphs>3335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