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17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ANNUAL REPORT PURSUANT TO SECTION 15(d) OF THE SECURITIES EXCHANGE ACT OF 1934.</w:t>
      </w:r>
    </w:p>
    <w:p>
      <w:pPr>
        <w:spacing w:after="0" w:line="213" w:lineRule="exact"/>
        <w:rPr>
          <w:rFonts w:ascii="MS PGothic" w:cs="MS PGothic" w:eastAsia="MS PGothic" w:hAnsi="MS PGothic"/>
          <w:sz w:val="22"/>
          <w:szCs w:val="22"/>
          <w:color w:val="auto"/>
        </w:rPr>
      </w:pPr>
    </w:p>
    <w:p>
      <w:pPr>
        <w:ind w:left="6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fiscal year ended December 31, 2019</w:t>
      </w:r>
    </w:p>
    <w:p>
      <w:pPr>
        <w:spacing w:after="0" w:line="239"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pacing w:after="0" w:line="248" w:lineRule="exact"/>
        <w:rPr>
          <w:sz w:val="24"/>
          <w:szCs w:val="24"/>
          <w:color w:val="auto"/>
        </w:rPr>
      </w:pPr>
    </w:p>
    <w:p>
      <w:pPr>
        <w:ind w:left="660"/>
        <w:spacing w:after="0"/>
        <w:tabs>
          <w:tab w:leader="none" w:pos="4460" w:val="left"/>
          <w:tab w:leader="none" w:pos="55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2"/>
          <w:szCs w:val="22"/>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2258060</wp:posOffset>
            </wp:positionH>
            <wp:positionV relativeFrom="paragraph">
              <wp:posOffset>-13970</wp:posOffset>
            </wp:positionV>
            <wp:extent cx="1245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165"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Commission File Number  1-12273</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22"/>
          <w:szCs w:val="22"/>
          <w:color w:val="auto"/>
        </w:rPr>
        <w:t>A. Full title of the plan and the address of the plan, if different from that of the issuer named below:</w:t>
      </w:r>
    </w:p>
    <w:p>
      <w:pPr>
        <w:spacing w:after="0" w:line="2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ROPER Technologies, Inc.</w:t>
      </w:r>
    </w:p>
    <w:p>
      <w:pPr>
        <w:spacing w:after="0" w:line="1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EMPLOYEE’S Retirement Savings 004 Plan</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B. Name of the issuer of the securities held pursuant to the plan and the address of its principal executive office:</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Roper Technologies, Inc.</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6901 Professional Parkway East</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Suite 200</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Sarasota, FL 34240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80"/>
          </w:cols>
          <w:pgMar w:left="320" w:top="1440" w:right="4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004 PLAN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Financial Statements, Supplemental Schedules and Exhibits</w:t>
      </w:r>
    </w:p>
    <w:p>
      <w:pPr>
        <w:spacing w:after="0" w:line="18"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7620" w:type="dxa"/>
            <w:vAlign w:val="bottom"/>
          </w:tcPr>
          <w:p>
            <w:pPr>
              <w:spacing w:after="0"/>
              <w:rPr>
                <w:sz w:val="22"/>
                <w:szCs w:val="22"/>
                <w:color w:val="auto"/>
              </w:rPr>
            </w:pPr>
          </w:p>
        </w:tc>
        <w:tc>
          <w:tcPr>
            <w:tcW w:w="3580" w:type="dxa"/>
            <w:vAlign w:val="bottom"/>
          </w:tcPr>
          <w:p>
            <w:pPr>
              <w:jc w:val="right"/>
              <w:ind w:right="861"/>
              <w:spacing w:after="0"/>
              <w:rPr>
                <w:sz w:val="20"/>
                <w:szCs w:val="20"/>
                <w:color w:val="auto"/>
              </w:rPr>
            </w:pPr>
            <w:r>
              <w:rPr>
                <w:rFonts w:ascii="Arial" w:cs="Arial" w:eastAsia="Arial" w:hAnsi="Arial"/>
                <w:sz w:val="20"/>
                <w:szCs w:val="20"/>
                <w:b w:val="1"/>
                <w:bCs w:val="1"/>
                <w:color w:val="auto"/>
              </w:rPr>
              <w:t>Contents</w:t>
            </w:r>
          </w:p>
        </w:tc>
      </w:tr>
      <w:tr>
        <w:trPr>
          <w:trHeight w:val="284"/>
        </w:trPr>
        <w:tc>
          <w:tcPr>
            <w:tcW w:w="762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3580" w:type="dxa"/>
            <w:vAlign w:val="bottom"/>
          </w:tcPr>
          <w:p>
            <w:pPr>
              <w:jc w:val="right"/>
              <w:spacing w:after="0"/>
              <w:rPr>
                <w:rFonts w:ascii="Arial" w:cs="Arial" w:eastAsia="Arial" w:hAnsi="Arial"/>
                <w:sz w:val="20"/>
                <w:szCs w:val="20"/>
                <w:color w:val="0000FF"/>
              </w:rPr>
            </w:pPr>
            <w:hyperlink w:anchor="page2">
              <w:r>
                <w:rPr>
                  <w:rFonts w:ascii="Arial" w:cs="Arial" w:eastAsia="Arial" w:hAnsi="Arial"/>
                  <w:sz w:val="20"/>
                  <w:szCs w:val="20"/>
                  <w:color w:val="0000FF"/>
                </w:rPr>
                <w:t>3</w:t>
              </w:r>
            </w:hyperlink>
          </w:p>
        </w:tc>
      </w:tr>
      <w:tr>
        <w:trPr>
          <w:trHeight w:val="540"/>
        </w:trPr>
        <w:tc>
          <w:tcPr>
            <w:tcW w:w="7620" w:type="dxa"/>
            <w:vAlign w:val="bottom"/>
          </w:tcPr>
          <w:p>
            <w:pPr>
              <w:spacing w:after="0"/>
              <w:rPr>
                <w:sz w:val="20"/>
                <w:szCs w:val="20"/>
                <w:color w:val="auto"/>
              </w:rPr>
            </w:pPr>
            <w:r>
              <w:rPr>
                <w:rFonts w:ascii="Arial" w:cs="Arial" w:eastAsia="Arial" w:hAnsi="Arial"/>
                <w:sz w:val="20"/>
                <w:szCs w:val="20"/>
                <w:color w:val="auto"/>
              </w:rPr>
              <w:t>Statements of Net Assets Available for Benefits</w:t>
            </w:r>
          </w:p>
        </w:tc>
        <w:tc>
          <w:tcPr>
            <w:tcW w:w="3580" w:type="dxa"/>
            <w:vAlign w:val="bottom"/>
          </w:tcPr>
          <w:p>
            <w:pPr>
              <w:jc w:val="right"/>
              <w:spacing w:after="0"/>
              <w:rPr>
                <w:rFonts w:ascii="Arial" w:cs="Arial" w:eastAsia="Arial" w:hAnsi="Arial"/>
                <w:sz w:val="20"/>
                <w:szCs w:val="20"/>
                <w:color w:val="0000FF"/>
              </w:rPr>
            </w:pPr>
            <w:hyperlink w:anchor="page4">
              <w:r>
                <w:rPr>
                  <w:rFonts w:ascii="Arial" w:cs="Arial" w:eastAsia="Arial" w:hAnsi="Arial"/>
                  <w:sz w:val="20"/>
                  <w:szCs w:val="20"/>
                  <w:color w:val="0000FF"/>
                </w:rPr>
                <w:t>5</w:t>
              </w:r>
            </w:hyperlink>
          </w:p>
        </w:tc>
      </w:tr>
      <w:tr>
        <w:trPr>
          <w:trHeight w:val="540"/>
        </w:trPr>
        <w:tc>
          <w:tcPr>
            <w:tcW w:w="7620" w:type="dxa"/>
            <w:vAlign w:val="bottom"/>
          </w:tcPr>
          <w:p>
            <w:pPr>
              <w:spacing w:after="0"/>
              <w:rPr>
                <w:sz w:val="20"/>
                <w:szCs w:val="20"/>
                <w:color w:val="auto"/>
              </w:rPr>
            </w:pPr>
            <w:r>
              <w:rPr>
                <w:rFonts w:ascii="Arial" w:cs="Arial" w:eastAsia="Arial" w:hAnsi="Arial"/>
                <w:sz w:val="20"/>
                <w:szCs w:val="20"/>
                <w:color w:val="auto"/>
              </w:rPr>
              <w:t>Statement of Changes in Net Assets Available for Benefits</w:t>
            </w:r>
          </w:p>
        </w:tc>
        <w:tc>
          <w:tcPr>
            <w:tcW w:w="3580" w:type="dxa"/>
            <w:vAlign w:val="bottom"/>
          </w:tcPr>
          <w:p>
            <w:pPr>
              <w:jc w:val="right"/>
              <w:spacing w:after="0"/>
              <w:rPr>
                <w:rFonts w:ascii="Arial" w:cs="Arial" w:eastAsia="Arial" w:hAnsi="Arial"/>
                <w:sz w:val="20"/>
                <w:szCs w:val="20"/>
                <w:color w:val="0000FF"/>
              </w:rPr>
            </w:pPr>
            <w:hyperlink w:anchor="page5">
              <w:r>
                <w:rPr>
                  <w:rFonts w:ascii="Arial" w:cs="Arial" w:eastAsia="Arial" w:hAnsi="Arial"/>
                  <w:sz w:val="20"/>
                  <w:szCs w:val="20"/>
                  <w:color w:val="0000FF"/>
                </w:rPr>
                <w:t>6</w:t>
              </w:r>
            </w:hyperlink>
          </w:p>
        </w:tc>
      </w:tr>
      <w:tr>
        <w:trPr>
          <w:trHeight w:val="540"/>
        </w:trPr>
        <w:tc>
          <w:tcPr>
            <w:tcW w:w="7620" w:type="dxa"/>
            <w:vAlign w:val="bottom"/>
          </w:tcPr>
          <w:p>
            <w:pPr>
              <w:spacing w:after="0"/>
              <w:rPr>
                <w:sz w:val="20"/>
                <w:szCs w:val="20"/>
                <w:color w:val="auto"/>
              </w:rPr>
            </w:pPr>
            <w:r>
              <w:rPr>
                <w:rFonts w:ascii="Arial" w:cs="Arial" w:eastAsia="Arial" w:hAnsi="Arial"/>
                <w:sz w:val="20"/>
                <w:szCs w:val="20"/>
                <w:color w:val="auto"/>
              </w:rPr>
              <w:t>Notes to the Financial Statements</w:t>
            </w:r>
          </w:p>
        </w:tc>
        <w:tc>
          <w:tcPr>
            <w:tcW w:w="3580" w:type="dxa"/>
            <w:vAlign w:val="bottom"/>
          </w:tcPr>
          <w:p>
            <w:pPr>
              <w:jc w:val="right"/>
              <w:spacing w:after="0"/>
              <w:rPr>
                <w:rFonts w:ascii="Arial" w:cs="Arial" w:eastAsia="Arial" w:hAnsi="Arial"/>
                <w:sz w:val="20"/>
                <w:szCs w:val="20"/>
                <w:color w:val="0000FF"/>
              </w:rPr>
            </w:pPr>
            <w:hyperlink w:anchor="page6">
              <w:r>
                <w:rPr>
                  <w:rFonts w:ascii="Arial" w:cs="Arial" w:eastAsia="Arial" w:hAnsi="Arial"/>
                  <w:sz w:val="20"/>
                  <w:szCs w:val="20"/>
                  <w:color w:val="0000FF"/>
                </w:rPr>
                <w:t>7</w:t>
              </w:r>
            </w:hyperlink>
          </w:p>
        </w:tc>
      </w:tr>
      <w:tr>
        <w:trPr>
          <w:trHeight w:val="567"/>
        </w:trPr>
        <w:tc>
          <w:tcPr>
            <w:tcW w:w="7620" w:type="dxa"/>
            <w:vAlign w:val="bottom"/>
          </w:tcPr>
          <w:p>
            <w:pPr>
              <w:spacing w:after="0"/>
              <w:rPr>
                <w:sz w:val="20"/>
                <w:szCs w:val="20"/>
                <w:color w:val="auto"/>
              </w:rPr>
            </w:pPr>
            <w:r>
              <w:rPr>
                <w:rFonts w:ascii="Arial" w:cs="Arial" w:eastAsia="Arial" w:hAnsi="Arial"/>
                <w:sz w:val="20"/>
                <w:szCs w:val="20"/>
                <w:color w:val="auto"/>
              </w:rPr>
              <w:t>Schedule H, Line 4(a), Schedule of Delinquent Participant Contributions</w:t>
            </w:r>
          </w:p>
        </w:tc>
        <w:tc>
          <w:tcPr>
            <w:tcW w:w="3580" w:type="dxa"/>
            <w:vAlign w:val="bottom"/>
          </w:tcPr>
          <w:p>
            <w:pPr>
              <w:jc w:val="right"/>
              <w:spacing w:after="0"/>
              <w:rPr>
                <w:rFonts w:ascii="Arial" w:cs="Arial" w:eastAsia="Arial" w:hAnsi="Arial"/>
                <w:sz w:val="20"/>
                <w:szCs w:val="20"/>
                <w:u w:val="single" w:color="auto"/>
                <w:color w:val="0000FF"/>
              </w:rPr>
            </w:pPr>
            <w:hyperlink w:anchor="page10">
              <w:r>
                <w:rPr>
                  <w:rFonts w:ascii="Arial" w:cs="Arial" w:eastAsia="Arial" w:hAnsi="Arial"/>
                  <w:sz w:val="20"/>
                  <w:szCs w:val="20"/>
                  <w:u w:val="single" w:color="auto"/>
                  <w:color w:val="0000FF"/>
                </w:rPr>
                <w:t>14</w:t>
              </w:r>
            </w:hyperlink>
          </w:p>
        </w:tc>
      </w:tr>
      <w:tr>
        <w:trPr>
          <w:trHeight w:val="513"/>
        </w:trPr>
        <w:tc>
          <w:tcPr>
            <w:tcW w:w="7620" w:type="dxa"/>
            <w:vAlign w:val="bottom"/>
          </w:tcPr>
          <w:p>
            <w:pPr>
              <w:spacing w:after="0"/>
              <w:rPr>
                <w:sz w:val="20"/>
                <w:szCs w:val="20"/>
                <w:color w:val="auto"/>
              </w:rPr>
            </w:pPr>
            <w:r>
              <w:rPr>
                <w:rFonts w:ascii="Arial" w:cs="Arial" w:eastAsia="Arial" w:hAnsi="Arial"/>
                <w:sz w:val="20"/>
                <w:szCs w:val="20"/>
                <w:color w:val="auto"/>
              </w:rPr>
              <w:t>Schedule H, Line 4(i) – Schedule of Assets (Held at End of Year)</w:t>
            </w:r>
          </w:p>
        </w:tc>
        <w:tc>
          <w:tcPr>
            <w:tcW w:w="3580" w:type="dxa"/>
            <w:vAlign w:val="bottom"/>
          </w:tcPr>
          <w:p>
            <w:pPr>
              <w:jc w:val="right"/>
              <w:spacing w:after="0"/>
              <w:rPr>
                <w:rFonts w:ascii="Arial" w:cs="Arial" w:eastAsia="Arial" w:hAnsi="Arial"/>
                <w:sz w:val="20"/>
                <w:szCs w:val="20"/>
                <w:color w:val="0000FF"/>
              </w:rPr>
            </w:pPr>
            <w:hyperlink w:anchor="page11">
              <w:r>
                <w:rPr>
                  <w:rFonts w:ascii="Arial" w:cs="Arial" w:eastAsia="Arial" w:hAnsi="Arial"/>
                  <w:sz w:val="20"/>
                  <w:szCs w:val="20"/>
                  <w:color w:val="0000FF"/>
                </w:rPr>
                <w:t>15</w:t>
              </w:r>
            </w:hyperlink>
          </w:p>
        </w:tc>
      </w:tr>
      <w:tr>
        <w:trPr>
          <w:trHeight w:val="540"/>
        </w:trPr>
        <w:tc>
          <w:tcPr>
            <w:tcW w:w="7620" w:type="dxa"/>
            <w:vAlign w:val="bottom"/>
          </w:tcPr>
          <w:p>
            <w:pPr>
              <w:spacing w:after="0"/>
              <w:rPr>
                <w:sz w:val="20"/>
                <w:szCs w:val="20"/>
                <w:color w:val="auto"/>
              </w:rPr>
            </w:pPr>
            <w:r>
              <w:rPr>
                <w:rFonts w:ascii="Arial" w:cs="Arial" w:eastAsia="Arial" w:hAnsi="Arial"/>
                <w:sz w:val="20"/>
                <w:szCs w:val="20"/>
                <w:color w:val="auto"/>
              </w:rPr>
              <w:t>Signatures</w:t>
            </w:r>
          </w:p>
        </w:tc>
        <w:tc>
          <w:tcPr>
            <w:tcW w:w="3580" w:type="dxa"/>
            <w:vAlign w:val="bottom"/>
          </w:tcPr>
          <w:p>
            <w:pPr>
              <w:jc w:val="right"/>
              <w:spacing w:after="0"/>
              <w:rPr>
                <w:rFonts w:ascii="Arial" w:cs="Arial" w:eastAsia="Arial" w:hAnsi="Arial"/>
                <w:sz w:val="20"/>
                <w:szCs w:val="20"/>
                <w:color w:val="0000FF"/>
              </w:rPr>
            </w:pPr>
            <w:hyperlink w:anchor="page12">
              <w:r>
                <w:rPr>
                  <w:rFonts w:ascii="Arial" w:cs="Arial" w:eastAsia="Arial" w:hAnsi="Arial"/>
                  <w:sz w:val="20"/>
                  <w:szCs w:val="20"/>
                  <w:color w:val="0000FF"/>
                </w:rPr>
                <w:t>16</w:t>
              </w:r>
            </w:hyperlink>
          </w:p>
        </w:tc>
      </w:tr>
      <w:tr>
        <w:trPr>
          <w:trHeight w:val="540"/>
        </w:trPr>
        <w:tc>
          <w:tcPr>
            <w:tcW w:w="7620" w:type="dxa"/>
            <w:vAlign w:val="bottom"/>
          </w:tcPr>
          <w:p>
            <w:pPr>
              <w:spacing w:after="0"/>
              <w:rPr>
                <w:sz w:val="20"/>
                <w:szCs w:val="20"/>
                <w:color w:val="auto"/>
              </w:rPr>
            </w:pPr>
            <w:r>
              <w:rPr>
                <w:rFonts w:ascii="Arial" w:cs="Arial" w:eastAsia="Arial" w:hAnsi="Arial"/>
                <w:sz w:val="20"/>
                <w:szCs w:val="20"/>
                <w:color w:val="auto"/>
              </w:rPr>
              <w:t>Exhibits</w:t>
            </w:r>
          </w:p>
        </w:tc>
        <w:tc>
          <w:tcPr>
            <w:tcW w:w="3580" w:type="dxa"/>
            <w:vAlign w:val="bottom"/>
          </w:tcPr>
          <w:p>
            <w:pPr>
              <w:jc w:val="right"/>
              <w:spacing w:after="0"/>
              <w:rPr>
                <w:rFonts w:ascii="Arial" w:cs="Arial" w:eastAsia="Arial" w:hAnsi="Arial"/>
                <w:sz w:val="20"/>
                <w:szCs w:val="20"/>
                <w:color w:val="0000FF"/>
              </w:rPr>
            </w:pPr>
            <w:hyperlink w:anchor="page13">
              <w:r>
                <w:rPr>
                  <w:rFonts w:ascii="Arial" w:cs="Arial" w:eastAsia="Arial" w:hAnsi="Arial"/>
                  <w:sz w:val="20"/>
                  <w:szCs w:val="20"/>
                  <w:color w:val="0000FF"/>
                </w:rPr>
                <w:t>17</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13"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the Roper Technologies, Inc. Employees’ Retirement Savings 004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have audited the accompanying statements of net assets available for benefits of the Roper Technologies, Inc. Employees’ Retirement Savings 004 Plan (the Plan) as of December 31, 2019 and 2018, and the related statement of changes in net assets available for benefits for the year ended December 31, 2019, and the related notes and schedules (collectively referred to as the financial statements). In our opinion, the financial statements present fairly, in all material respects, the net assets available for benefits of the Plan as of December 31, 2019 and 2018, and the changes in net assets available for benefits for the year ended December 31, 2019, in conformity with accounting principles generally accepted in the United States of America.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235" w:lineRule="exact"/>
        <w:rPr>
          <w:sz w:val="20"/>
          <w:szCs w:val="20"/>
          <w:color w:val="auto"/>
        </w:rPr>
      </w:pPr>
    </w:p>
    <w:p>
      <w:pPr>
        <w:jc w:val="both"/>
        <w:spacing w:after="0" w:line="229" w:lineRule="auto"/>
        <w:rPr>
          <w:sz w:val="20"/>
          <w:szCs w:val="20"/>
          <w:color w:val="auto"/>
        </w:rPr>
      </w:pPr>
      <w:r>
        <w:rPr>
          <w:rFonts w:ascii="Arial" w:cs="Arial" w:eastAsia="Arial" w:hAnsi="Arial"/>
          <w:sz w:val="20"/>
          <w:szCs w:val="20"/>
          <w:color w:val="auto"/>
        </w:rPr>
        <w:t>The supplemental information contained in Schedule of Delinquent Participant Contributions and Schedule of Assets (Held at End of Year) have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supplemental information is fairly stated, in all material respects, in relation to the financial statements as a whole.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 Warren Averett,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Atlanta, Georgia June 24, 2020</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19" w:right="1440"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004 PLAN</w:t>
      </w:r>
    </w:p>
    <w:p>
      <w:pPr>
        <w:spacing w:after="0" w:line="226" w:lineRule="auto"/>
        <w:rPr>
          <w:sz w:val="20"/>
          <w:szCs w:val="20"/>
          <w:color w:val="auto"/>
        </w:rPr>
      </w:pPr>
      <w:r>
        <w:rPr>
          <w:rFonts w:ascii="Arial" w:cs="Arial" w:eastAsia="Arial" w:hAnsi="Arial"/>
          <w:sz w:val="20"/>
          <w:szCs w:val="20"/>
          <w:b w:val="1"/>
          <w:bCs w:val="1"/>
          <w:color w:val="auto"/>
        </w:rPr>
        <w:t>STATEMENTS OF NET ASSETS AVAILABLE FOR BENEFITS</w:t>
      </w:r>
    </w:p>
    <w:p>
      <w:pPr>
        <w:spacing w:after="0"/>
        <w:rPr>
          <w:sz w:val="20"/>
          <w:szCs w:val="20"/>
          <w:color w:val="auto"/>
        </w:rPr>
      </w:pPr>
      <w:r>
        <w:rPr>
          <w:rFonts w:ascii="Arial" w:cs="Arial" w:eastAsia="Arial" w:hAnsi="Arial"/>
          <w:sz w:val="20"/>
          <w:szCs w:val="20"/>
          <w:b w:val="1"/>
          <w:bCs w:val="1"/>
          <w:color w:val="auto"/>
        </w:rPr>
        <w:t>(IN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320" w:type="dxa"/>
            <w:vAlign w:val="bottom"/>
            <w:gridSpan w:val="2"/>
          </w:tcPr>
          <w:p>
            <w:pPr>
              <w:ind w:left="140"/>
              <w:spacing w:after="0"/>
              <w:rPr>
                <w:sz w:val="20"/>
                <w:szCs w:val="20"/>
                <w:color w:val="auto"/>
              </w:rPr>
            </w:pPr>
            <w:r>
              <w:rPr>
                <w:rFonts w:ascii="Arial" w:cs="Arial" w:eastAsia="Arial" w:hAnsi="Arial"/>
                <w:sz w:val="20"/>
                <w:szCs w:val="20"/>
                <w:b w:val="1"/>
                <w:bCs w:val="1"/>
                <w:color w:val="auto"/>
              </w:rPr>
              <w:t>December 31, 2019</w:t>
            </w:r>
          </w:p>
        </w:tc>
        <w:tc>
          <w:tcPr>
            <w:tcW w:w="260" w:type="dxa"/>
            <w:vAlign w:val="bottom"/>
          </w:tcPr>
          <w:p>
            <w:pPr>
              <w:spacing w:after="0"/>
              <w:rPr>
                <w:sz w:val="22"/>
                <w:szCs w:val="22"/>
                <w:color w:val="auto"/>
              </w:rPr>
            </w:pPr>
          </w:p>
        </w:tc>
        <w:tc>
          <w:tcPr>
            <w:tcW w:w="2160" w:type="dxa"/>
            <w:vAlign w:val="bottom"/>
          </w:tcPr>
          <w:p>
            <w:pPr>
              <w:jc w:val="right"/>
              <w:ind w:right="301"/>
              <w:spacing w:after="0"/>
              <w:rPr>
                <w:sz w:val="20"/>
                <w:szCs w:val="20"/>
                <w:color w:val="auto"/>
              </w:rPr>
            </w:pPr>
            <w:r>
              <w:rPr>
                <w:rFonts w:ascii="Arial" w:cs="Arial" w:eastAsia="Arial" w:hAnsi="Arial"/>
                <w:sz w:val="20"/>
                <w:szCs w:val="20"/>
                <w:b w:val="1"/>
                <w:bCs w:val="1"/>
                <w:color w:val="auto"/>
                <w:w w:val="96"/>
              </w:rPr>
              <w:t>December 31, 2018</w:t>
            </w:r>
          </w:p>
        </w:tc>
      </w:tr>
      <w:tr>
        <w:trPr>
          <w:trHeight w:val="23"/>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61"/>
        </w:trPr>
        <w:tc>
          <w:tcPr>
            <w:tcW w:w="6220" w:type="dxa"/>
            <w:vAlign w:val="bottom"/>
          </w:tcPr>
          <w:p>
            <w:pPr>
              <w:ind w:left="120"/>
              <w:spacing w:after="0"/>
              <w:rPr>
                <w:sz w:val="20"/>
                <w:szCs w:val="20"/>
                <w:color w:val="auto"/>
              </w:rPr>
            </w:pPr>
            <w:r>
              <w:rPr>
                <w:rFonts w:ascii="Arial" w:cs="Arial" w:eastAsia="Arial" w:hAnsi="Arial"/>
                <w:sz w:val="20"/>
                <w:szCs w:val="20"/>
                <w:color w:val="auto"/>
              </w:rPr>
              <w:t>Investments, at fair value:</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3"/>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Mutual funds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197,693</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137,878</w:t>
            </w:r>
          </w:p>
        </w:tc>
      </w:tr>
      <w:tr>
        <w:trPr>
          <w:trHeight w:val="261"/>
        </w:trPr>
        <w:tc>
          <w:tcPr>
            <w:tcW w:w="6220" w:type="dxa"/>
            <w:vAlign w:val="bottom"/>
          </w:tcPr>
          <w:p>
            <w:pPr>
              <w:ind w:left="220"/>
              <w:spacing w:after="0"/>
              <w:rPr>
                <w:sz w:val="20"/>
                <w:szCs w:val="20"/>
                <w:color w:val="auto"/>
              </w:rPr>
            </w:pPr>
            <w:r>
              <w:rPr>
                <w:rFonts w:ascii="Arial" w:cs="Arial" w:eastAsia="Arial" w:hAnsi="Arial"/>
                <w:sz w:val="20"/>
                <w:szCs w:val="20"/>
                <w:color w:val="auto"/>
              </w:rPr>
              <w:t>Common/collective trust funds</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671,756</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jc w:val="right"/>
              <w:ind w:right="61"/>
              <w:spacing w:after="0"/>
              <w:rPr>
                <w:sz w:val="20"/>
                <w:szCs w:val="20"/>
                <w:color w:val="auto"/>
              </w:rPr>
            </w:pPr>
            <w:r>
              <w:rPr>
                <w:rFonts w:ascii="Arial" w:cs="Arial" w:eastAsia="Arial" w:hAnsi="Arial"/>
                <w:sz w:val="20"/>
                <w:szCs w:val="20"/>
                <w:color w:val="auto"/>
              </w:rPr>
              <w:t>527,717</w:t>
            </w:r>
          </w:p>
        </w:tc>
      </w:tr>
      <w:tr>
        <w:trPr>
          <w:trHeight w:val="2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83"/>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Roper Technologies, Inc. common stock</w:t>
            </w:r>
          </w:p>
        </w:tc>
        <w:tc>
          <w:tcPr>
            <w:tcW w:w="2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27,925</w:t>
            </w: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20,874</w:t>
            </w:r>
          </w:p>
        </w:tc>
      </w:tr>
      <w:tr>
        <w:trPr>
          <w:trHeight w:val="254"/>
        </w:trPr>
        <w:tc>
          <w:tcPr>
            <w:tcW w:w="6220" w:type="dxa"/>
            <w:vAlign w:val="bottom"/>
          </w:tcPr>
          <w:p>
            <w:pPr>
              <w:ind w:left="340"/>
              <w:spacing w:after="0"/>
              <w:rPr>
                <w:sz w:val="20"/>
                <w:szCs w:val="20"/>
                <w:color w:val="auto"/>
              </w:rPr>
            </w:pPr>
            <w:r>
              <w:rPr>
                <w:rFonts w:ascii="Arial" w:cs="Arial" w:eastAsia="Arial" w:hAnsi="Arial"/>
                <w:sz w:val="20"/>
                <w:szCs w:val="20"/>
                <w:color w:val="auto"/>
              </w:rPr>
              <w:t>Total investments, at fair value</w:t>
            </w:r>
          </w:p>
        </w:tc>
        <w:tc>
          <w:tcPr>
            <w:tcW w:w="26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897,374</w:t>
            </w:r>
          </w:p>
        </w:tc>
        <w:tc>
          <w:tcPr>
            <w:tcW w:w="1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16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686,469</w:t>
            </w:r>
          </w:p>
        </w:tc>
      </w:tr>
      <w:tr>
        <w:trPr>
          <w:trHeight w:val="23"/>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90"/>
        </w:trPr>
        <w:tc>
          <w:tcPr>
            <w:tcW w:w="6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61"/>
        </w:trPr>
        <w:tc>
          <w:tcPr>
            <w:tcW w:w="6220" w:type="dxa"/>
            <w:vAlign w:val="bottom"/>
          </w:tcPr>
          <w:p>
            <w:pPr>
              <w:ind w:left="120"/>
              <w:spacing w:after="0"/>
              <w:rPr>
                <w:sz w:val="20"/>
                <w:szCs w:val="20"/>
                <w:color w:val="auto"/>
              </w:rPr>
            </w:pPr>
            <w:r>
              <w:rPr>
                <w:rFonts w:ascii="Arial" w:cs="Arial" w:eastAsia="Arial" w:hAnsi="Arial"/>
                <w:sz w:val="20"/>
                <w:szCs w:val="20"/>
                <w:color w:val="auto"/>
              </w:rPr>
              <w:t>Receivables:</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spacing w:after="0"/>
              <w:rPr>
                <w:sz w:val="22"/>
                <w:szCs w:val="22"/>
                <w:color w:val="auto"/>
              </w:rPr>
            </w:pPr>
          </w:p>
        </w:tc>
      </w:tr>
      <w:tr>
        <w:trPr>
          <w:trHeight w:val="2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64"/>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Participant contributions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2,097</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613</w:t>
            </w:r>
          </w:p>
        </w:tc>
      </w:tr>
      <w:tr>
        <w:trPr>
          <w:trHeight w:val="261"/>
        </w:trPr>
        <w:tc>
          <w:tcPr>
            <w:tcW w:w="6220" w:type="dxa"/>
            <w:vAlign w:val="bottom"/>
          </w:tcPr>
          <w:p>
            <w:pPr>
              <w:ind w:left="220"/>
              <w:spacing w:after="0"/>
              <w:rPr>
                <w:sz w:val="20"/>
                <w:szCs w:val="20"/>
                <w:color w:val="auto"/>
              </w:rPr>
            </w:pPr>
            <w:r>
              <w:rPr>
                <w:rFonts w:ascii="Arial" w:cs="Arial" w:eastAsia="Arial" w:hAnsi="Arial"/>
                <w:sz w:val="20"/>
                <w:szCs w:val="20"/>
                <w:color w:val="auto"/>
              </w:rPr>
              <w:t>Employer contributions</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1,480</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60" w:type="dxa"/>
            <w:vAlign w:val="bottom"/>
          </w:tcPr>
          <w:p>
            <w:pPr>
              <w:jc w:val="right"/>
              <w:ind w:right="61"/>
              <w:spacing w:after="0"/>
              <w:rPr>
                <w:sz w:val="20"/>
                <w:szCs w:val="20"/>
                <w:color w:val="auto"/>
              </w:rPr>
            </w:pPr>
            <w:r>
              <w:rPr>
                <w:rFonts w:ascii="Arial" w:cs="Arial" w:eastAsia="Arial" w:hAnsi="Arial"/>
                <w:sz w:val="20"/>
                <w:szCs w:val="20"/>
                <w:color w:val="auto"/>
              </w:rPr>
              <w:t>329</w:t>
            </w:r>
          </w:p>
        </w:tc>
      </w:tr>
      <w:tr>
        <w:trPr>
          <w:trHeight w:val="23"/>
        </w:trPr>
        <w:tc>
          <w:tcPr>
            <w:tcW w:w="6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83"/>
        </w:trPr>
        <w:tc>
          <w:tcPr>
            <w:tcW w:w="6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Notes receivable from participants</w:t>
            </w:r>
          </w:p>
        </w:tc>
        <w:tc>
          <w:tcPr>
            <w:tcW w:w="2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9,335</w:t>
            </w:r>
          </w:p>
        </w:tc>
        <w:tc>
          <w:tcPr>
            <w:tcW w:w="1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21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8,183</w:t>
            </w:r>
          </w:p>
        </w:tc>
      </w:tr>
      <w:tr>
        <w:trPr>
          <w:trHeight w:val="254"/>
        </w:trPr>
        <w:tc>
          <w:tcPr>
            <w:tcW w:w="6220" w:type="dxa"/>
            <w:vAlign w:val="bottom"/>
          </w:tcPr>
          <w:p>
            <w:pPr>
              <w:ind w:left="340"/>
              <w:spacing w:after="0"/>
              <w:rPr>
                <w:sz w:val="20"/>
                <w:szCs w:val="20"/>
                <w:color w:val="auto"/>
              </w:rPr>
            </w:pPr>
            <w:r>
              <w:rPr>
                <w:rFonts w:ascii="Arial" w:cs="Arial" w:eastAsia="Arial" w:hAnsi="Arial"/>
                <w:sz w:val="20"/>
                <w:szCs w:val="20"/>
                <w:color w:val="auto"/>
              </w:rPr>
              <w:t>Total receivables</w:t>
            </w:r>
          </w:p>
        </w:tc>
        <w:tc>
          <w:tcPr>
            <w:tcW w:w="26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12,912</w:t>
            </w:r>
          </w:p>
        </w:tc>
        <w:tc>
          <w:tcPr>
            <w:tcW w:w="18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216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9,125</w:t>
            </w:r>
          </w:p>
        </w:tc>
      </w:tr>
      <w:tr>
        <w:trPr>
          <w:trHeight w:val="23"/>
        </w:trPr>
        <w:tc>
          <w:tcPr>
            <w:tcW w:w="6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91"/>
        </w:trPr>
        <w:tc>
          <w:tcPr>
            <w:tcW w:w="6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83"/>
        </w:trPr>
        <w:tc>
          <w:tcPr>
            <w:tcW w:w="622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214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910,286</w:t>
            </w:r>
          </w:p>
        </w:tc>
        <w:tc>
          <w:tcPr>
            <w:tcW w:w="180" w:type="dxa"/>
            <w:vAlign w:val="bottom"/>
          </w:tcPr>
          <w:p>
            <w:pPr>
              <w:spacing w:after="0"/>
              <w:rPr>
                <w:sz w:val="24"/>
                <w:szCs w:val="24"/>
                <w:color w:val="auto"/>
              </w:rPr>
            </w:pP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2160" w:type="dxa"/>
            <w:vAlign w:val="bottom"/>
            <w:tcBorders>
              <w:bottom w:val="single" w:sz="8" w:color="auto"/>
            </w:tcBorders>
          </w:tcPr>
          <w:p>
            <w:pPr>
              <w:jc w:val="right"/>
              <w:ind w:right="61"/>
              <w:spacing w:after="0"/>
              <w:rPr>
                <w:sz w:val="20"/>
                <w:szCs w:val="20"/>
                <w:color w:val="auto"/>
              </w:rPr>
            </w:pPr>
            <w:r>
              <w:rPr>
                <w:rFonts w:ascii="Arial" w:cs="Arial" w:eastAsia="Arial" w:hAnsi="Arial"/>
                <w:sz w:val="20"/>
                <w:szCs w:val="20"/>
                <w:color w:val="auto"/>
              </w:rPr>
              <w:t>695,594</w:t>
            </w:r>
          </w:p>
        </w:tc>
      </w:tr>
      <w:tr>
        <w:trPr>
          <w:trHeight w:val="20"/>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13"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004 PLAN</w:t>
      </w:r>
    </w:p>
    <w:p>
      <w:pPr>
        <w:spacing w:after="0" w:line="1" w:lineRule="exact"/>
        <w:rPr>
          <w:sz w:val="20"/>
          <w:szCs w:val="20"/>
          <w:color w:val="auto"/>
        </w:rPr>
      </w:pPr>
    </w:p>
    <w:p>
      <w:pPr>
        <w:ind w:right="4480"/>
        <w:spacing w:after="0" w:line="234" w:lineRule="auto"/>
        <w:rPr>
          <w:sz w:val="20"/>
          <w:szCs w:val="20"/>
          <w:color w:val="auto"/>
        </w:rPr>
      </w:pPr>
      <w:r>
        <w:rPr>
          <w:rFonts w:ascii="Arial" w:cs="Arial" w:eastAsia="Arial" w:hAnsi="Arial"/>
          <w:sz w:val="20"/>
          <w:szCs w:val="20"/>
          <w:b w:val="1"/>
          <w:bCs w:val="1"/>
          <w:color w:val="auto"/>
        </w:rPr>
        <w:t>STATEMENT OF CHANGES IN NET ASSETS AVAILABLE FOR BENEFITS (IN THOUSANDS)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40" w:type="dxa"/>
            <w:vAlign w:val="bottom"/>
          </w:tcPr>
          <w:p>
            <w:pPr>
              <w:jc w:val="right"/>
              <w:ind w:right="601"/>
              <w:spacing w:after="0"/>
              <w:rPr>
                <w:sz w:val="20"/>
                <w:szCs w:val="20"/>
                <w:color w:val="auto"/>
              </w:rPr>
            </w:pPr>
            <w:r>
              <w:rPr>
                <w:rFonts w:ascii="Arial" w:cs="Arial" w:eastAsia="Arial" w:hAnsi="Arial"/>
                <w:sz w:val="20"/>
                <w:szCs w:val="20"/>
                <w:b w:val="1"/>
                <w:bCs w:val="1"/>
                <w:color w:val="auto"/>
              </w:rPr>
              <w:t>Year Ended</w:t>
            </w:r>
          </w:p>
        </w:tc>
      </w:tr>
      <w:tr>
        <w:trPr>
          <w:trHeight w:val="256"/>
        </w:trPr>
        <w:tc>
          <w:tcPr>
            <w:tcW w:w="88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40" w:type="dxa"/>
            <w:vAlign w:val="bottom"/>
          </w:tcPr>
          <w:p>
            <w:pPr>
              <w:jc w:val="right"/>
              <w:ind w:right="301"/>
              <w:spacing w:after="0"/>
              <w:rPr>
                <w:sz w:val="20"/>
                <w:szCs w:val="20"/>
                <w:color w:val="auto"/>
              </w:rPr>
            </w:pPr>
            <w:r>
              <w:rPr>
                <w:rFonts w:ascii="Arial" w:cs="Arial" w:eastAsia="Arial" w:hAnsi="Arial"/>
                <w:sz w:val="20"/>
                <w:szCs w:val="20"/>
                <w:b w:val="1"/>
                <w:bCs w:val="1"/>
                <w:color w:val="auto"/>
                <w:w w:val="95"/>
              </w:rPr>
              <w:t>December 31, 2019</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3"/>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ADDITIONS:</w:t>
            </w:r>
          </w:p>
        </w:tc>
        <w:tc>
          <w:tcPr>
            <w:tcW w:w="26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shd w:val="clear" w:color="auto" w:fill="CCEEFF"/>
          </w:tcPr>
          <w:p>
            <w:pPr>
              <w:spacing w:after="0"/>
              <w:rPr>
                <w:sz w:val="21"/>
                <w:szCs w:val="21"/>
                <w:color w:val="auto"/>
              </w:rPr>
            </w:pPr>
          </w:p>
        </w:tc>
      </w:tr>
      <w:tr>
        <w:trPr>
          <w:trHeight w:val="261"/>
        </w:trPr>
        <w:tc>
          <w:tcPr>
            <w:tcW w:w="8840" w:type="dxa"/>
            <w:vAlign w:val="bottom"/>
          </w:tcPr>
          <w:p>
            <w:pPr>
              <w:ind w:left="120"/>
              <w:spacing w:after="0"/>
              <w:rPr>
                <w:sz w:val="20"/>
                <w:szCs w:val="20"/>
                <w:color w:val="auto"/>
              </w:rPr>
            </w:pPr>
            <w:r>
              <w:rPr>
                <w:rFonts w:ascii="Arial" w:cs="Arial" w:eastAsia="Arial" w:hAnsi="Arial"/>
                <w:sz w:val="20"/>
                <w:szCs w:val="20"/>
                <w:color w:val="auto"/>
              </w:rPr>
              <w:t>Investment income:</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3"/>
        </w:trPr>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63"/>
        </w:trPr>
        <w:tc>
          <w:tcPr>
            <w:tcW w:w="8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Net appreciation in fair value of investments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151,379</w:t>
            </w:r>
          </w:p>
        </w:tc>
      </w:tr>
      <w:tr>
        <w:trPr>
          <w:trHeight w:val="261"/>
        </w:trPr>
        <w:tc>
          <w:tcPr>
            <w:tcW w:w="8840" w:type="dxa"/>
            <w:vAlign w:val="bottom"/>
          </w:tcPr>
          <w:p>
            <w:pPr>
              <w:ind w:left="220"/>
              <w:spacing w:after="0"/>
              <w:rPr>
                <w:sz w:val="20"/>
                <w:szCs w:val="20"/>
                <w:color w:val="auto"/>
              </w:rPr>
            </w:pPr>
            <w:r>
              <w:rPr>
                <w:rFonts w:ascii="Arial" w:cs="Arial" w:eastAsia="Arial" w:hAnsi="Arial"/>
                <w:sz w:val="20"/>
                <w:szCs w:val="20"/>
                <w:color w:val="auto"/>
              </w:rPr>
              <w:t>Interest and dividend income</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5,484</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Total investment income</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156,863</w:t>
            </w:r>
          </w:p>
        </w:tc>
      </w:tr>
      <w:tr>
        <w:trPr>
          <w:trHeight w:val="261"/>
        </w:trPr>
        <w:tc>
          <w:tcPr>
            <w:tcW w:w="8840" w:type="dxa"/>
            <w:vAlign w:val="bottom"/>
          </w:tcPr>
          <w:p>
            <w:pPr>
              <w:ind w:left="120"/>
              <w:spacing w:after="0"/>
              <w:rPr>
                <w:sz w:val="20"/>
                <w:szCs w:val="20"/>
                <w:color w:val="auto"/>
              </w:rPr>
            </w:pPr>
            <w:r>
              <w:rPr>
                <w:rFonts w:ascii="Arial" w:cs="Arial" w:eastAsia="Arial" w:hAnsi="Arial"/>
                <w:sz w:val="20"/>
                <w:szCs w:val="20"/>
                <w:color w:val="auto"/>
              </w:rPr>
              <w:t>Interest on notes receivable from participants</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452</w:t>
            </w:r>
          </w:p>
        </w:tc>
      </w:tr>
      <w:tr>
        <w:trPr>
          <w:trHeight w:val="23"/>
        </w:trPr>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63"/>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Contributions: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spacing w:after="0"/>
              <w:rPr>
                <w:sz w:val="22"/>
                <w:szCs w:val="22"/>
                <w:color w:val="auto"/>
              </w:rPr>
            </w:pPr>
          </w:p>
        </w:tc>
      </w:tr>
      <w:tr>
        <w:trPr>
          <w:trHeight w:val="261"/>
        </w:trPr>
        <w:tc>
          <w:tcPr>
            <w:tcW w:w="8840" w:type="dxa"/>
            <w:vAlign w:val="bottom"/>
          </w:tcPr>
          <w:p>
            <w:pPr>
              <w:ind w:left="220"/>
              <w:spacing w:after="0"/>
              <w:rPr>
                <w:sz w:val="20"/>
                <w:szCs w:val="20"/>
                <w:color w:val="auto"/>
              </w:rPr>
            </w:pPr>
            <w:r>
              <w:rPr>
                <w:rFonts w:ascii="Arial" w:cs="Arial" w:eastAsia="Arial" w:hAnsi="Arial"/>
                <w:sz w:val="20"/>
                <w:szCs w:val="20"/>
                <w:color w:val="auto"/>
              </w:rPr>
              <w:t>Participant</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72,747</w:t>
            </w:r>
          </w:p>
        </w:tc>
      </w:tr>
      <w:tr>
        <w:trPr>
          <w:trHeight w:val="23"/>
        </w:trPr>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64"/>
        </w:trPr>
        <w:tc>
          <w:tcPr>
            <w:tcW w:w="88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20"/>
                <w:szCs w:val="20"/>
                <w:color w:val="auto"/>
              </w:rPr>
              <w:t>Employer contributions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22,353</w:t>
            </w:r>
          </w:p>
        </w:tc>
      </w:tr>
      <w:tr>
        <w:trPr>
          <w:trHeight w:val="261"/>
        </w:trPr>
        <w:tc>
          <w:tcPr>
            <w:tcW w:w="8840" w:type="dxa"/>
            <w:vAlign w:val="bottom"/>
          </w:tcPr>
          <w:p>
            <w:pPr>
              <w:ind w:left="220"/>
              <w:spacing w:after="0"/>
              <w:rPr>
                <w:sz w:val="20"/>
                <w:szCs w:val="20"/>
                <w:color w:val="auto"/>
              </w:rPr>
            </w:pPr>
            <w:r>
              <w:rPr>
                <w:rFonts w:ascii="Arial" w:cs="Arial" w:eastAsia="Arial" w:hAnsi="Arial"/>
                <w:sz w:val="20"/>
                <w:szCs w:val="20"/>
                <w:color w:val="auto"/>
              </w:rPr>
              <w:t>Rollover contributions</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27,662</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77"/>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Total contributions</w:t>
            </w:r>
          </w:p>
        </w:tc>
        <w:tc>
          <w:tcPr>
            <w:tcW w:w="2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122,762</w:t>
            </w:r>
          </w:p>
        </w:tc>
      </w:tr>
      <w:tr>
        <w:trPr>
          <w:trHeight w:val="254"/>
        </w:trPr>
        <w:tc>
          <w:tcPr>
            <w:tcW w:w="8840" w:type="dxa"/>
            <w:vAlign w:val="bottom"/>
          </w:tcPr>
          <w:p>
            <w:pPr>
              <w:ind w:left="120"/>
              <w:spacing w:after="0"/>
              <w:rPr>
                <w:sz w:val="20"/>
                <w:szCs w:val="20"/>
                <w:color w:val="auto"/>
              </w:rPr>
            </w:pPr>
            <w:r>
              <w:rPr>
                <w:rFonts w:ascii="Arial" w:cs="Arial" w:eastAsia="Arial" w:hAnsi="Arial"/>
                <w:sz w:val="20"/>
                <w:szCs w:val="20"/>
                <w:color w:val="auto"/>
              </w:rPr>
              <w:t>Total additions</w:t>
            </w:r>
          </w:p>
        </w:tc>
        <w:tc>
          <w:tcPr>
            <w:tcW w:w="260" w:type="dxa"/>
            <w:vAlign w:val="bottom"/>
            <w:tcBorders>
              <w:top w:val="single" w:sz="8" w:color="auto"/>
            </w:tcBorders>
          </w:tcPr>
          <w:p>
            <w:pPr>
              <w:spacing w:after="0"/>
              <w:rPr>
                <w:sz w:val="22"/>
                <w:szCs w:val="22"/>
                <w:color w:val="auto"/>
              </w:rPr>
            </w:pPr>
          </w:p>
        </w:tc>
        <w:tc>
          <w:tcPr>
            <w:tcW w:w="21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280,077</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91"/>
        </w:trPr>
        <w:tc>
          <w:tcPr>
            <w:tcW w:w="88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r>
      <w:tr>
        <w:trPr>
          <w:trHeight w:val="260"/>
        </w:trPr>
        <w:tc>
          <w:tcPr>
            <w:tcW w:w="8840" w:type="dxa"/>
            <w:vAlign w:val="bottom"/>
          </w:tcPr>
          <w:p>
            <w:pPr>
              <w:ind w:left="20"/>
              <w:spacing w:after="0"/>
              <w:rPr>
                <w:sz w:val="20"/>
                <w:szCs w:val="20"/>
                <w:color w:val="auto"/>
              </w:rPr>
            </w:pPr>
            <w:r>
              <w:rPr>
                <w:rFonts w:ascii="Arial" w:cs="Arial" w:eastAsia="Arial" w:hAnsi="Arial"/>
                <w:sz w:val="20"/>
                <w:szCs w:val="20"/>
                <w:b w:val="1"/>
                <w:bCs w:val="1"/>
                <w:color w:val="auto"/>
              </w:rPr>
              <w:t>DEDUCTIONS:</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3"/>
        </w:trPr>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64"/>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Benefits paid to participants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65,068</w:t>
            </w:r>
          </w:p>
        </w:tc>
      </w:tr>
      <w:tr>
        <w:trPr>
          <w:trHeight w:val="260"/>
        </w:trPr>
        <w:tc>
          <w:tcPr>
            <w:tcW w:w="8840" w:type="dxa"/>
            <w:vAlign w:val="bottom"/>
          </w:tcPr>
          <w:p>
            <w:pPr>
              <w:ind w:left="120"/>
              <w:spacing w:after="0"/>
              <w:rPr>
                <w:sz w:val="20"/>
                <w:szCs w:val="20"/>
                <w:color w:val="auto"/>
              </w:rPr>
            </w:pPr>
            <w:r>
              <w:rPr>
                <w:rFonts w:ascii="Arial" w:cs="Arial" w:eastAsia="Arial" w:hAnsi="Arial"/>
                <w:sz w:val="20"/>
                <w:szCs w:val="20"/>
                <w:color w:val="auto"/>
              </w:rPr>
              <w:t>Administrative expenses</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691</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77"/>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Total deductions</w:t>
            </w:r>
          </w:p>
        </w:tc>
        <w:tc>
          <w:tcPr>
            <w:tcW w:w="2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65,759</w:t>
            </w:r>
          </w:p>
        </w:tc>
      </w:tr>
      <w:tr>
        <w:trPr>
          <w:trHeight w:val="290"/>
        </w:trPr>
        <w:tc>
          <w:tcPr>
            <w:tcW w:w="88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140" w:type="dxa"/>
            <w:vAlign w:val="bottom"/>
            <w:tcBorders>
              <w:top w:val="single" w:sz="8" w:color="auto"/>
            </w:tcBorders>
          </w:tcPr>
          <w:p>
            <w:pPr>
              <w:spacing w:after="0"/>
              <w:rPr>
                <w:sz w:val="24"/>
                <w:szCs w:val="24"/>
                <w:color w:val="auto"/>
              </w:rPr>
            </w:pPr>
          </w:p>
        </w:tc>
      </w:tr>
      <w:tr>
        <w:trPr>
          <w:trHeight w:val="263"/>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INCREASE PRIOR TO PLAN TRANSFERS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214,318</w:t>
            </w:r>
          </w:p>
        </w:tc>
      </w:tr>
      <w:tr>
        <w:trPr>
          <w:trHeight w:val="260"/>
        </w:trPr>
        <w:tc>
          <w:tcPr>
            <w:tcW w:w="8840" w:type="dxa"/>
            <w:vAlign w:val="bottom"/>
          </w:tcPr>
          <w:p>
            <w:pPr>
              <w:ind w:left="20"/>
              <w:spacing w:after="0"/>
              <w:rPr>
                <w:sz w:val="20"/>
                <w:szCs w:val="20"/>
                <w:color w:val="auto"/>
              </w:rPr>
            </w:pPr>
            <w:r>
              <w:rPr>
                <w:rFonts w:ascii="Arial" w:cs="Arial" w:eastAsia="Arial" w:hAnsi="Arial"/>
                <w:sz w:val="20"/>
                <w:szCs w:val="20"/>
                <w:b w:val="1"/>
                <w:bCs w:val="1"/>
                <w:color w:val="auto"/>
              </w:rPr>
              <w:t>NET TRANSFER FROM AFFILIATED PLAN</w:t>
            </w:r>
          </w:p>
        </w:tc>
        <w:tc>
          <w:tcPr>
            <w:tcW w:w="260" w:type="dxa"/>
            <w:vAlign w:val="bottom"/>
          </w:tcPr>
          <w:p>
            <w:pPr>
              <w:spacing w:after="0"/>
              <w:rPr>
                <w:sz w:val="22"/>
                <w:szCs w:val="22"/>
                <w:color w:val="auto"/>
              </w:rPr>
            </w:pPr>
          </w:p>
        </w:tc>
        <w:tc>
          <w:tcPr>
            <w:tcW w:w="2140" w:type="dxa"/>
            <w:vAlign w:val="bottom"/>
          </w:tcPr>
          <w:p>
            <w:pPr>
              <w:jc w:val="right"/>
              <w:ind w:right="61"/>
              <w:spacing w:after="0"/>
              <w:rPr>
                <w:sz w:val="20"/>
                <w:szCs w:val="20"/>
                <w:color w:val="auto"/>
              </w:rPr>
            </w:pPr>
            <w:r>
              <w:rPr>
                <w:rFonts w:ascii="Arial" w:cs="Arial" w:eastAsia="Arial" w:hAnsi="Arial"/>
                <w:sz w:val="20"/>
                <w:szCs w:val="20"/>
                <w:color w:val="auto"/>
              </w:rPr>
              <w:t>374</w:t>
            </w:r>
          </w:p>
        </w:tc>
      </w:tr>
      <w:tr>
        <w:trPr>
          <w:trHeight w:val="23"/>
        </w:trPr>
        <w:tc>
          <w:tcPr>
            <w:tcW w:w="8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b w:val="1"/>
                <w:bCs w:val="1"/>
                <w:color w:val="auto"/>
              </w:rPr>
              <w:t>NET INCREASE IN NET ASSETS</w:t>
            </w:r>
          </w:p>
        </w:tc>
        <w:tc>
          <w:tcPr>
            <w:tcW w:w="260" w:type="dxa"/>
            <w:vAlign w:val="bottom"/>
            <w:tcBorders>
              <w:bottom w:val="single" w:sz="8" w:color="CCEEFF"/>
            </w:tcBorders>
            <w:shd w:val="clear" w:color="auto" w:fill="CCEEFF"/>
          </w:tcPr>
          <w:p>
            <w:pPr>
              <w:spacing w:after="0"/>
              <w:rPr>
                <w:sz w:val="22"/>
                <w:szCs w:val="22"/>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214,692</w:t>
            </w:r>
          </w:p>
        </w:tc>
      </w:tr>
      <w:tr>
        <w:trPr>
          <w:trHeight w:val="260"/>
        </w:trPr>
        <w:tc>
          <w:tcPr>
            <w:tcW w:w="884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 AT</w:t>
            </w:r>
          </w:p>
        </w:tc>
        <w:tc>
          <w:tcPr>
            <w:tcW w:w="260" w:type="dxa"/>
            <w:vAlign w:val="bottom"/>
          </w:tcPr>
          <w:p>
            <w:pPr>
              <w:spacing w:after="0"/>
              <w:rPr>
                <w:sz w:val="22"/>
                <w:szCs w:val="22"/>
                <w:color w:val="auto"/>
              </w:rPr>
            </w:pPr>
          </w:p>
        </w:tc>
        <w:tc>
          <w:tcPr>
            <w:tcW w:w="2140" w:type="dxa"/>
            <w:vAlign w:val="bottom"/>
          </w:tcPr>
          <w:p>
            <w:pPr>
              <w:spacing w:after="0"/>
              <w:rPr>
                <w:sz w:val="22"/>
                <w:szCs w:val="22"/>
                <w:color w:val="auto"/>
              </w:rPr>
            </w:pPr>
          </w:p>
        </w:tc>
      </w:tr>
      <w:tr>
        <w:trPr>
          <w:trHeight w:val="23"/>
        </w:trPr>
        <w:tc>
          <w:tcPr>
            <w:tcW w:w="8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83"/>
        </w:trPr>
        <w:tc>
          <w:tcPr>
            <w:tcW w:w="88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Beginning of year</w:t>
            </w:r>
          </w:p>
        </w:tc>
        <w:tc>
          <w:tcPr>
            <w:tcW w:w="260" w:type="dxa"/>
            <w:vAlign w:val="bottom"/>
            <w:tcBorders>
              <w:bottom w:val="single" w:sz="8" w:color="CCEEFF"/>
            </w:tcBorders>
            <w:shd w:val="clear" w:color="auto" w:fill="CCEEFF"/>
          </w:tcPr>
          <w:p>
            <w:pPr>
              <w:spacing w:after="0"/>
              <w:rPr>
                <w:sz w:val="24"/>
                <w:szCs w:val="24"/>
                <w:color w:val="auto"/>
              </w:rPr>
            </w:pPr>
          </w:p>
        </w:tc>
        <w:tc>
          <w:tcPr>
            <w:tcW w:w="21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695,594</w:t>
            </w:r>
          </w:p>
        </w:tc>
      </w:tr>
      <w:tr>
        <w:trPr>
          <w:trHeight w:val="277"/>
        </w:trPr>
        <w:tc>
          <w:tcPr>
            <w:tcW w:w="8840" w:type="dxa"/>
            <w:vAlign w:val="bottom"/>
          </w:tcPr>
          <w:p>
            <w:pPr>
              <w:ind w:left="120"/>
              <w:spacing w:after="0"/>
              <w:rPr>
                <w:sz w:val="20"/>
                <w:szCs w:val="20"/>
                <w:color w:val="auto"/>
              </w:rPr>
            </w:pPr>
            <w:r>
              <w:rPr>
                <w:rFonts w:ascii="Arial" w:cs="Arial" w:eastAsia="Arial" w:hAnsi="Arial"/>
                <w:sz w:val="20"/>
                <w:szCs w:val="20"/>
                <w:color w:val="auto"/>
              </w:rPr>
              <w:t>End of year</w:t>
            </w:r>
          </w:p>
        </w:tc>
        <w:tc>
          <w:tcPr>
            <w:tcW w:w="2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214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910,286</w:t>
            </w:r>
          </w:p>
        </w:tc>
      </w:tr>
      <w:tr>
        <w:trPr>
          <w:trHeight w:val="20"/>
        </w:trPr>
        <w:tc>
          <w:tcPr>
            <w:tcW w:w="8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004 PLAN</w:t>
      </w:r>
    </w:p>
    <w:p>
      <w:pPr>
        <w:spacing w:after="0"/>
        <w:rPr>
          <w:sz w:val="20"/>
          <w:szCs w:val="20"/>
          <w:color w:val="auto"/>
        </w:rPr>
      </w:pPr>
      <w:r>
        <w:rPr>
          <w:rFonts w:ascii="Arial" w:cs="Arial" w:eastAsia="Arial" w:hAnsi="Arial"/>
          <w:sz w:val="20"/>
          <w:szCs w:val="20"/>
          <w:b w:val="1"/>
          <w:bCs w:val="1"/>
          <w:color w:val="auto"/>
        </w:rPr>
        <w:t>Notes to Financial Statements</w:t>
      </w:r>
    </w:p>
    <w:p>
      <w:pPr>
        <w:spacing w:after="0"/>
        <w:rPr>
          <w:sz w:val="20"/>
          <w:szCs w:val="20"/>
          <w:color w:val="auto"/>
        </w:rPr>
      </w:pPr>
      <w:r>
        <w:rPr>
          <w:rFonts w:ascii="Arial" w:cs="Arial" w:eastAsia="Arial" w:hAnsi="Arial"/>
          <w:sz w:val="20"/>
          <w:szCs w:val="20"/>
          <w:b w:val="1"/>
          <w:bCs w:val="1"/>
          <w:color w:val="auto"/>
        </w:rPr>
        <w:t>December 31, 2019 and 2018</w:t>
      </w:r>
    </w:p>
    <w:p>
      <w:pPr>
        <w:spacing w:after="0" w:line="221" w:lineRule="exact"/>
        <w:rPr>
          <w:sz w:val="20"/>
          <w:szCs w:val="20"/>
          <w:color w:val="auto"/>
        </w:rPr>
      </w:pPr>
    </w:p>
    <w:p>
      <w:pPr>
        <w:ind w:right="8740" w:firstLine="8"/>
        <w:spacing w:after="0" w:line="482" w:lineRule="auto"/>
        <w:tabs>
          <w:tab w:leader="none" w:pos="198"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DESCRIPTION OF PLAN General</w:t>
      </w:r>
    </w:p>
    <w:p>
      <w:pPr>
        <w:jc w:val="both"/>
        <w:spacing w:after="0" w:line="246" w:lineRule="auto"/>
        <w:rPr>
          <w:sz w:val="20"/>
          <w:szCs w:val="20"/>
          <w:color w:val="auto"/>
        </w:rPr>
      </w:pPr>
      <w:r>
        <w:rPr>
          <w:rFonts w:ascii="Arial" w:cs="Arial" w:eastAsia="Arial" w:hAnsi="Arial"/>
          <w:sz w:val="20"/>
          <w:szCs w:val="20"/>
          <w:color w:val="auto"/>
        </w:rPr>
        <w:t>The following description of the Roper Technologies, Inc. Employees' Retirement Savings 004 Plan (the Plan) provides only general information. Participants should refer to the Plan agreement for a more complete description of the Plan's provisions.</w:t>
      </w:r>
    </w:p>
    <w:p>
      <w:pPr>
        <w:spacing w:after="0" w:line="20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Plan is a defined contribution plan covering substantially all employees of certain subsidiaries of Roper Technologies, Inc. (the Company), who are age 18 or older. Eligible employees are able to enroll immediately upon their date of hire following meeting the eligibility requirements, as defined in the Plan document. Certain participants who become employees of the Company as a result of mergers or acquisitions are given credit for their prior service for purposes of determining eligibility and vesting. The Plan is subject to the provisions of the Employee Retirement Income Security Act of 1974 (ERISA), as amended. The Company’s Investment Committee determines the appropriateness of the Plan's investment offerings and monitors investment performance, as delegated by the Company's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Company serves as the Plan Administrator. The Plan Administrator has the responsibility to administer the Plan for the exclusive benefit of the participants and their beneficiaries. These duties include, but are not limited to, establishing procedures, maintaining records, interpreting provisions of the Plan, and making determinations regarding questions which may affect eligibility for benefits.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Contributions</w:t>
      </w:r>
    </w:p>
    <w:p>
      <w:pPr>
        <w:spacing w:after="0" w:line="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Each year, participants may contribute up to 50% of their eligible compensation in the form of (i) pre-tax contributions, (ii) after-tax contributions, or (iii) a combination of pre-tax and after-tax contributions. Participants may also contribute amounts representing distributions from other qualified defined benefit or defined contribution plans. Participants who are age 50 or older and make the maximum pre-tax contribution for the year may make an additional catch-up contribution up to a maximum dollar amount per year in accordance with the Internal Revenue Code (IRC), as amended. Participants who do not elect a contribution percentage or do not elect to opt out of the Plan are automatically enrolled for pre-tax contributions at a rate of 5% of eligible earnings with annual 1% increases in deferral rates, not to exceed a maximum of 10% of eligible earnings. Contributions are subject to certain limitations. Effective April 3, 2018, the Plan was amended to increase the maximum automatic deferral to 15%. The automatic deferral increase will occur the first day of each Plan year unless automatically enrolled within the last six months.</w:t>
      </w:r>
    </w:p>
    <w:p>
      <w:pPr>
        <w:spacing w:after="0" w:line="21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For the year ended December 31, 2019, the Company contributed a match of between 50% and 100% of the first 4% to 8% of base compensation that a participant contributed to the Plan never to exceed a total match of 5%, depending on which subsidiary the participant was employed by. In no case are participant deferrals, in excess of 8% of compensation, taken into account for matching purposes. Participants direct the investment of their contributions into various investment options offered by the Plan.</w:t>
      </w:r>
    </w:p>
    <w:p>
      <w:pPr>
        <w:spacing w:after="0" w:line="204"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 Plan currently offers common/collective trust (CCT) funds, mutual funds, and Roper Technologies, Inc., common stock as investment options for participants. Participants may change their investment options daily.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 Accounts</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Each participant's account is credited with the participant's contributions, an allocation of the Company's contributions, and Plan earnings, and an allocation of administrative expenses. Allocations are based on participant earnings or account balances, as defined. The benefit to which a participant is entitled is the benefit that can be provided from the participant's vested account.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p>
    <w:p>
      <w:pPr>
        <w:spacing w:after="0" w:line="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Participants are immediately vested in their contributions plus actual earnings thereon. Vesting in the Company's contribution portion of their accounts is based on years of continuous service. Participants vest over a five-year period beginning with 20% after one year of service and 20% each year thereafter, and are 100% vested after five years. Participants will become fully vested if the participant attains age 65, the participant incurs a disability, or upon the death of a participant.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Receivable from Participants</w:t>
      </w:r>
    </w:p>
    <w:p>
      <w:pPr>
        <w:spacing w:after="0" w:line="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Participants may borrow from their accounts a minimum of $1,000 up to a maximum equal to the lesser of $50,000 or 50% of their vested account balance, for a period not to exceed five years unless the note is for the purchase of a principal residence, in which case the period is not to exceed ten years. The notes are secured by the balance in the participant's account and bear interest at rates which are commensurate with local prevailing rates as determined by the Plan Administrator. Principal and interest are paid ratably through payroll deductions.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Benefits</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Upon termination of service due to death, disability, retirement, or separation from service, a participant will generally receive their benefits as a lump-sum amount equal to the value of the participant's vested interest in his or her account. Participants who attain age 59½ are eligible to receive in-service distributions in accordance with provisions specified in the Plan.</w:t>
      </w:r>
    </w:p>
    <w:p>
      <w:pPr>
        <w:sectPr>
          <w:pgSz w:w="11900" w:h="16838" w:orient="portrait"/>
          <w:cols w:equalWidth="0" w:num="1">
            <w:col w:w="11240"/>
          </w:cols>
          <w:pgMar w:left="320" w:top="1413" w:right="339" w:bottom="162" w:gutter="0" w:footer="0" w:header="0"/>
        </w:sectPr>
      </w:pPr>
    </w:p>
    <w:bookmarkStart w:id="7" w:name="page8"/>
    <w:bookmarkEnd w:id="7"/>
    <w:p>
      <w:pPr>
        <w:spacing w:after="0" w:line="11"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Participants can elect to receive shares of the Company's common stock if their total balance exceeds $5,000. Withdrawals from the Plan may also be made upon circumstances of financial hardship in accordance with provisions specified in the Plan.</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Forfeitures</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Forfeitures of the non-vested portion of participants' accounts are used to reduce future Company contributions. Forfeiture balances were $479,637 and $753,238 as of December 31, 2019 and 2018, respectively, and forfeitures used to reduce Company contributions were approximately $1,800,000 for the year ended December 31, 2019.</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Administrative Expenses</w:t>
      </w:r>
    </w:p>
    <w:p>
      <w:pPr>
        <w:spacing w:after="0" w:line="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Certain expenses of maintaining the Plan are paid directly by the Company and are excluded from these financial statements. The Company reserves the right to elect to pay, or have the Plan pay, administrative costs in the future. Fees related to the administration of notes receivable from participants are charged directly to the participant's account and are included in administrative expenses. Investment related expenses are included in net appreciation of fair value of investments.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Management fees and other operating expenses charged to the Plan for investments are deducted from income earned on a daily basis and are not separately reflected. Consequently, management fees and operating expenses are reflected as a reduction of investment return for such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Net Transfers from Affiliated Plans</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Net transfers from affiliated plans represent the transfer of participant balances to/from this Plan to/from an affiliated plan of the Company due to the participant no longer meeting the plan’s eligibility requirements as the participant’s employment status has changed (e.g., from union to non-union).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financial statements of the Plan are prepared under the accrual method of accounting in accordance with accounting principles generally accepted in the United States of America (U.S. GAAP).</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 and Risks and Uncertainties</w:t>
      </w:r>
    </w:p>
    <w:p>
      <w:pPr>
        <w:spacing w:after="0" w:line="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preparation of financial statements in conformity with U.S. GAAP requires Plan management to make estimates and assumptions that affect the reported amounts of assets, liabilities, and changes therein and disclosure of contingent assets and liabilities. Actual results could differ from those estimates. 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Valuation and Income Recognition</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Investments are reported at fair value. Fair value is the price that would be received to sell an asset or paid to transfer a liability in an orderly transaction between market participants at the measurement date. The Company reviews the Plan's valuation policies utilizing information provided by the investment advisers and Vanguard Fiduciary Trust Company (the trustee).</w:t>
      </w:r>
    </w:p>
    <w:p>
      <w:pPr>
        <w:spacing w:after="0" w:line="211"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Purchases and sales of investments are recorded on a trade-date basis. Interest income is accrued when earned. Dividend income is recorded on the ex-dividend date.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Benefits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Receivable from Participants</w:t>
      </w:r>
    </w:p>
    <w:p>
      <w:pPr>
        <w:spacing w:after="0" w:line="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Interest income is recorded on the accrual basis. Related fees are recorded as administrative expenses and are expensed when they are incurred. No allowance for credit losses has been recorded as of December 31, 2019 and 2018. If a participant ceases to make note repayments and the Plan Administrator deems the participant note to be in default, the participant note balance is reduced and a benefit payment is recorded.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Administrative Expenses</w:t>
      </w:r>
    </w:p>
    <w:p>
      <w:pPr>
        <w:spacing w:after="0" w:line="8"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All expenses incurred to administer the Plan are paid through forfeitures of nonvested accounts or by the Company with the exception of recordkeeping fees, which are paid by the Plan.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MEASUREMENTS</w:t>
      </w:r>
    </w:p>
    <w:p>
      <w:pPr>
        <w:spacing w:after="0" w:line="235"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The framework for measuring fair value provides a fair value hierarchy that prioritizes the inputs to valuation techniques used to measure fair value. The hierarchy gives the highest priority to unadjusted</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 xml:space="preserve">quoted prices in active markets for identical assets or liabilities (Level 1) and the lowest priority to unobservable inputs (Level 3). The three levels of the fair value hierarchy under Financial Accounting Standards Board (FASB) Accounting Standards Codification (ASC) 820, </w:t>
      </w:r>
      <w:r>
        <w:rPr>
          <w:rFonts w:ascii="Arial" w:cs="Arial" w:eastAsia="Arial" w:hAnsi="Arial"/>
          <w:sz w:val="20"/>
          <w:szCs w:val="20"/>
          <w:i w:val="1"/>
          <w:iCs w:val="1"/>
          <w:color w:val="auto"/>
        </w:rPr>
        <w:t>Fair</w:t>
      </w:r>
      <w:r>
        <w:rPr>
          <w:rFonts w:ascii="Arial" w:cs="Arial" w:eastAsia="Arial" w:hAnsi="Arial"/>
          <w:sz w:val="20"/>
          <w:szCs w:val="20"/>
          <w:color w:val="auto"/>
        </w:rPr>
        <w:t xml:space="preserve"> </w:t>
      </w:r>
      <w:r>
        <w:rPr>
          <w:rFonts w:ascii="Arial" w:cs="Arial" w:eastAsia="Arial" w:hAnsi="Arial"/>
          <w:sz w:val="20"/>
          <w:szCs w:val="20"/>
          <w:i w:val="1"/>
          <w:iCs w:val="1"/>
          <w:color w:val="auto"/>
        </w:rPr>
        <w:t>Value Measurement</w:t>
      </w:r>
      <w:r>
        <w:rPr>
          <w:rFonts w:ascii="Arial" w:cs="Arial" w:eastAsia="Arial" w:hAnsi="Arial"/>
          <w:sz w:val="20"/>
          <w:szCs w:val="20"/>
          <w:color w:val="auto"/>
        </w:rPr>
        <w:t>, are described as follows:</w:t>
      </w:r>
    </w:p>
    <w:p>
      <w:pPr>
        <w:spacing w:after="0" w:line="211" w:lineRule="exact"/>
        <w:rPr>
          <w:sz w:val="20"/>
          <w:szCs w:val="20"/>
          <w:color w:val="auto"/>
        </w:rPr>
      </w:pPr>
    </w:p>
    <w:p>
      <w:pPr>
        <w:ind w:left="660" w:hanging="328"/>
        <w:spacing w:after="0" w:line="233"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1" w:lineRule="exact"/>
        <w:rPr>
          <w:rFonts w:ascii="Arial" w:cs="Arial" w:eastAsia="Arial" w:hAnsi="Arial"/>
          <w:sz w:val="20"/>
          <w:szCs w:val="20"/>
          <w:color w:val="auto"/>
        </w:rPr>
      </w:pPr>
    </w:p>
    <w:p>
      <w:pPr>
        <w:jc w:val="both"/>
        <w:ind w:left="660" w:hanging="328"/>
        <w:spacing w:after="0" w:line="266" w:lineRule="auto"/>
        <w:tabs>
          <w:tab w:leader="none" w:pos="648"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Inputs to the valuation methodology include: Quoted prices for similar assets or liabilities in active markets; quoted prices for identical or similar assets or liabilities in inactive markets; inputs other than quoted prices that are observable for the asset or liability; inputs that are derived principally from or corroborated by observable market data by correlation or other means. If the asset</w:t>
      </w:r>
    </w:p>
    <w:p>
      <w:pPr>
        <w:sectPr>
          <w:pgSz w:w="11900" w:h="16849" w:orient="portrait"/>
          <w:cols w:equalWidth="0" w:num="1">
            <w:col w:w="11240"/>
          </w:cols>
          <w:pgMar w:left="320" w:top="121" w:right="339" w:bottom="0" w:gutter="0" w:footer="0" w:header="0"/>
        </w:sectPr>
      </w:pPr>
    </w:p>
    <w:bookmarkStart w:id="8" w:name="page9"/>
    <w:bookmarkEnd w:id="8"/>
    <w:p>
      <w:pPr>
        <w:ind w:left="660"/>
        <w:spacing w:after="0" w:line="234" w:lineRule="auto"/>
        <w:rPr>
          <w:sz w:val="20"/>
          <w:szCs w:val="20"/>
          <w:color w:val="auto"/>
        </w:rPr>
      </w:pPr>
      <w:r>
        <w:rPr>
          <w:rFonts w:ascii="Arial" w:cs="Arial" w:eastAsia="Arial" w:hAnsi="Arial"/>
          <w:sz w:val="20"/>
          <w:szCs w:val="20"/>
          <w:color w:val="auto"/>
        </w:rPr>
        <w:t>or liability has a specified (contractual) term, the Level 2 input must be observable for substantially the full term of the asset or liability.</w:t>
      </w:r>
    </w:p>
    <w:p>
      <w:pPr>
        <w:spacing w:after="0" w:line="1"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pacing w:after="0" w:line="213"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1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is a description of the valuation methodologies used for assets and liabilities measured at fair value. There have been no significant changes in the methodologies used at December 31, 2019 and 2018.</w:t>
      </w:r>
    </w:p>
    <w:p>
      <w:pPr>
        <w:spacing w:after="0" w:line="2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Mutual Funds </w:t>
      </w:r>
      <w:r>
        <w:rPr>
          <w:rFonts w:ascii="Arial" w:cs="Arial" w:eastAsia="Arial" w:hAnsi="Arial"/>
          <w:sz w:val="20"/>
          <w:szCs w:val="20"/>
          <w:color w:val="auto"/>
        </w:rPr>
        <w:t>– Valued based on the daily closing price as reported by the fund by obtaining quoted prices on nationally recognized</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exchanges. The mutual funds held by the Plan are deemed to be actively traded.</w:t>
      </w:r>
    </w:p>
    <w:p>
      <w:pPr>
        <w:spacing w:after="0" w:line="2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Shares of Roper Technologies, Inc. Common Stock </w:t>
      </w:r>
      <w:r>
        <w:rPr>
          <w:rFonts w:ascii="Arial" w:cs="Arial" w:eastAsia="Arial" w:hAnsi="Arial"/>
          <w:sz w:val="20"/>
          <w:szCs w:val="20"/>
          <w:color w:val="auto"/>
        </w:rPr>
        <w:t>– Valued at the net asset value (NAV) of shares held by the Plan at year end by</w:t>
      </w:r>
      <w:r>
        <w:rPr>
          <w:rFonts w:ascii="Arial" w:cs="Arial" w:eastAsia="Arial" w:hAnsi="Arial"/>
          <w:sz w:val="20"/>
          <w:szCs w:val="20"/>
          <w:i w:val="1"/>
          <w:iCs w:val="1"/>
          <w:color w:val="auto"/>
        </w:rPr>
        <w:t xml:space="preserve"> </w:t>
      </w:r>
      <w:r>
        <w:rPr>
          <w:rFonts w:ascii="Arial" w:cs="Arial" w:eastAsia="Arial" w:hAnsi="Arial"/>
          <w:sz w:val="20"/>
          <w:szCs w:val="20"/>
          <w:color w:val="auto"/>
        </w:rPr>
        <w:t>obtaining quoted prices on nationally recognized securities exchanges.</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CCTs – </w:t>
      </w:r>
      <w:r>
        <w:rPr>
          <w:rFonts w:ascii="Arial" w:cs="Arial" w:eastAsia="Arial" w:hAnsi="Arial"/>
          <w:sz w:val="18"/>
          <w:szCs w:val="18"/>
          <w:color w:val="auto"/>
        </w:rPr>
        <w:t>Valued at the NAV provided by the fund's trustee as a practical expedient to estimate fair value. The NAV is based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underlying investments held by the fund less its liabilities. This practical expedient would not be used when it is determined to be probable that the fund will sell the investment for an amount different than the reported NAV. Participant transactions (purchases and sales) may occur daily. If the Plan initiates a full redemption of the collective trust, the investment advisor reserves the right to temporarily delay withdrawal from the trust in order to ensure that securities liquidations will be carried out in an orderly business manner.</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methodologies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by level, within the fair value hierarchy, the Plan's assets at fair value as of December 31, 2019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b w:val="1"/>
                <w:bCs w:val="1"/>
                <w:color w:val="auto"/>
              </w:rPr>
              <w:t>Level 1</w:t>
            </w: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tcPr>
          <w:p>
            <w:pPr>
              <w:jc w:val="right"/>
              <w:ind w:right="90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Mutual funds</w:t>
            </w:r>
          </w:p>
        </w:tc>
        <w:tc>
          <w:tcPr>
            <w:tcW w:w="1560" w:type="dxa"/>
            <w:vAlign w:val="bottom"/>
            <w:tcBorders>
              <w:bottom w:val="single" w:sz="8" w:color="CCEEFF"/>
            </w:tcBorders>
            <w:shd w:val="clear" w:color="auto" w:fill="CCEEFF"/>
          </w:tcPr>
          <w:p>
            <w:pPr>
              <w:jc w:val="right"/>
              <w:ind w:right="134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94"/>
              </w:rPr>
              <w:t>197,693</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197,693</w:t>
            </w:r>
          </w:p>
        </w:tc>
        <w:tc>
          <w:tcPr>
            <w:tcW w:w="0" w:type="dxa"/>
            <w:vAlign w:val="bottom"/>
          </w:tcPr>
          <w:p>
            <w:pPr>
              <w:spacing w:after="0"/>
              <w:rPr>
                <w:sz w:val="1"/>
                <w:szCs w:val="1"/>
                <w:color w:val="auto"/>
              </w:rPr>
            </w:pPr>
          </w:p>
        </w:tc>
      </w:tr>
      <w:tr>
        <w:trPr>
          <w:trHeight w:val="260"/>
        </w:trPr>
        <w:tc>
          <w:tcPr>
            <w:tcW w:w="6200" w:type="dxa"/>
            <w:vAlign w:val="bottom"/>
          </w:tcPr>
          <w:p>
            <w:pPr>
              <w:ind w:left="20"/>
              <w:spacing w:after="0"/>
              <w:rPr>
                <w:sz w:val="20"/>
                <w:szCs w:val="20"/>
                <w:color w:val="auto"/>
              </w:rPr>
            </w:pPr>
            <w:r>
              <w:rPr>
                <w:rFonts w:ascii="Arial" w:cs="Arial" w:eastAsia="Arial" w:hAnsi="Arial"/>
                <w:sz w:val="20"/>
                <w:szCs w:val="20"/>
                <w:color w:val="auto"/>
              </w:rPr>
              <w:t>Roper Technologies, Inc. common stock fund</w:t>
            </w:r>
          </w:p>
        </w:tc>
        <w:tc>
          <w:tcPr>
            <w:tcW w:w="1560" w:type="dxa"/>
            <w:vAlign w:val="bottom"/>
          </w:tcPr>
          <w:p>
            <w:pPr>
              <w:spacing w:after="0"/>
              <w:rPr>
                <w:sz w:val="22"/>
                <w:szCs w:val="22"/>
                <w:color w:val="auto"/>
              </w:rPr>
            </w:pPr>
          </w:p>
        </w:tc>
        <w:tc>
          <w:tcPr>
            <w:tcW w:w="840" w:type="dxa"/>
            <w:vAlign w:val="bottom"/>
          </w:tcPr>
          <w:p>
            <w:pPr>
              <w:jc w:val="right"/>
              <w:ind w:right="41"/>
              <w:spacing w:after="0"/>
              <w:rPr>
                <w:sz w:val="20"/>
                <w:szCs w:val="20"/>
                <w:color w:val="auto"/>
              </w:rPr>
            </w:pPr>
            <w:r>
              <w:rPr>
                <w:rFonts w:ascii="Arial" w:cs="Arial" w:eastAsia="Arial" w:hAnsi="Arial"/>
                <w:sz w:val="20"/>
                <w:szCs w:val="20"/>
                <w:color w:val="auto"/>
              </w:rPr>
              <w:t>27,925</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tcPr>
          <w:p>
            <w:pPr>
              <w:jc w:val="right"/>
              <w:ind w:right="61"/>
              <w:spacing w:after="0"/>
              <w:rPr>
                <w:sz w:val="20"/>
                <w:szCs w:val="20"/>
                <w:color w:val="auto"/>
              </w:rPr>
            </w:pPr>
            <w:r>
              <w:rPr>
                <w:rFonts w:ascii="Arial" w:cs="Arial" w:eastAsia="Arial" w:hAnsi="Arial"/>
                <w:sz w:val="20"/>
                <w:szCs w:val="20"/>
                <w:color w:val="auto"/>
              </w:rPr>
              <w:t>27,925</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Total assets in the fair value hierarchy</w:t>
            </w:r>
          </w:p>
        </w:tc>
        <w:tc>
          <w:tcPr>
            <w:tcW w:w="1560" w:type="dxa"/>
            <w:vAlign w:val="bottom"/>
            <w:tcBorders>
              <w:bottom w:val="single" w:sz="8" w:color="auto"/>
            </w:tcBorders>
            <w:shd w:val="clear" w:color="auto" w:fill="CCEEFF"/>
          </w:tcPr>
          <w:p>
            <w:pPr>
              <w:jc w:val="right"/>
              <w:ind w:right="134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94"/>
              </w:rPr>
              <w:t>225,618</w:t>
            </w: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225,618</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Investments measured at NAV</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CCTs*</w:t>
            </w:r>
          </w:p>
        </w:tc>
        <w:tc>
          <w:tcPr>
            <w:tcW w:w="15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671,756</w:t>
            </w:r>
          </w:p>
        </w:tc>
        <w:tc>
          <w:tcPr>
            <w:tcW w:w="0" w:type="dxa"/>
            <w:vAlign w:val="bottom"/>
          </w:tcPr>
          <w:p>
            <w:pPr>
              <w:spacing w:after="0"/>
              <w:rPr>
                <w:sz w:val="1"/>
                <w:szCs w:val="1"/>
                <w:color w:val="auto"/>
              </w:rPr>
            </w:pPr>
          </w:p>
        </w:tc>
      </w:tr>
      <w:tr>
        <w:trPr>
          <w:trHeight w:val="277"/>
        </w:trPr>
        <w:tc>
          <w:tcPr>
            <w:tcW w:w="620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897,374</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by level, within the fair value hierarchy, the Plan's assets at fair value as of December 31, 2018 (in thousands):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62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20"/>
                <w:szCs w:val="20"/>
                <w:b w:val="1"/>
                <w:bCs w:val="1"/>
                <w:color w:val="auto"/>
              </w:rPr>
              <w:t>Level 1</w:t>
            </w: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tcPr>
          <w:p>
            <w:pPr>
              <w:jc w:val="right"/>
              <w:ind w:right="90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Mutual funds</w:t>
            </w:r>
          </w:p>
        </w:tc>
        <w:tc>
          <w:tcPr>
            <w:tcW w:w="1560" w:type="dxa"/>
            <w:vAlign w:val="bottom"/>
            <w:tcBorders>
              <w:bottom w:val="single" w:sz="8" w:color="CCEEFF"/>
            </w:tcBorders>
            <w:shd w:val="clear" w:color="auto" w:fill="CCEEFF"/>
          </w:tcPr>
          <w:p>
            <w:pPr>
              <w:jc w:val="right"/>
              <w:ind w:right="134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94"/>
              </w:rPr>
              <w:t>137,878</w:t>
            </w:r>
          </w:p>
        </w:tc>
        <w:tc>
          <w:tcPr>
            <w:tcW w:w="2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137,878</w:t>
            </w:r>
          </w:p>
        </w:tc>
        <w:tc>
          <w:tcPr>
            <w:tcW w:w="0" w:type="dxa"/>
            <w:vAlign w:val="bottom"/>
          </w:tcPr>
          <w:p>
            <w:pPr>
              <w:spacing w:after="0"/>
              <w:rPr>
                <w:sz w:val="1"/>
                <w:szCs w:val="1"/>
                <w:color w:val="auto"/>
              </w:rPr>
            </w:pPr>
          </w:p>
        </w:tc>
      </w:tr>
      <w:tr>
        <w:trPr>
          <w:trHeight w:val="260"/>
        </w:trPr>
        <w:tc>
          <w:tcPr>
            <w:tcW w:w="6200" w:type="dxa"/>
            <w:vAlign w:val="bottom"/>
          </w:tcPr>
          <w:p>
            <w:pPr>
              <w:ind w:left="20"/>
              <w:spacing w:after="0"/>
              <w:rPr>
                <w:sz w:val="20"/>
                <w:szCs w:val="20"/>
                <w:color w:val="auto"/>
              </w:rPr>
            </w:pPr>
            <w:r>
              <w:rPr>
                <w:rFonts w:ascii="Arial" w:cs="Arial" w:eastAsia="Arial" w:hAnsi="Arial"/>
                <w:sz w:val="20"/>
                <w:szCs w:val="20"/>
                <w:color w:val="auto"/>
              </w:rPr>
              <w:t>Roper Technologies, Inc. common stock fund</w:t>
            </w:r>
          </w:p>
        </w:tc>
        <w:tc>
          <w:tcPr>
            <w:tcW w:w="1560" w:type="dxa"/>
            <w:vAlign w:val="bottom"/>
          </w:tcPr>
          <w:p>
            <w:pPr>
              <w:spacing w:after="0"/>
              <w:rPr>
                <w:sz w:val="22"/>
                <w:szCs w:val="22"/>
                <w:color w:val="auto"/>
              </w:rPr>
            </w:pPr>
          </w:p>
        </w:tc>
        <w:tc>
          <w:tcPr>
            <w:tcW w:w="840" w:type="dxa"/>
            <w:vAlign w:val="bottom"/>
          </w:tcPr>
          <w:p>
            <w:pPr>
              <w:jc w:val="right"/>
              <w:ind w:right="41"/>
              <w:spacing w:after="0"/>
              <w:rPr>
                <w:sz w:val="20"/>
                <w:szCs w:val="20"/>
                <w:color w:val="auto"/>
              </w:rPr>
            </w:pPr>
            <w:r>
              <w:rPr>
                <w:rFonts w:ascii="Arial" w:cs="Arial" w:eastAsia="Arial" w:hAnsi="Arial"/>
                <w:sz w:val="20"/>
                <w:szCs w:val="20"/>
                <w:color w:val="auto"/>
              </w:rPr>
              <w:t>20,874</w:t>
            </w: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60" w:type="dxa"/>
            <w:vAlign w:val="bottom"/>
          </w:tcPr>
          <w:p>
            <w:pPr>
              <w:jc w:val="right"/>
              <w:ind w:right="61"/>
              <w:spacing w:after="0"/>
              <w:rPr>
                <w:sz w:val="20"/>
                <w:szCs w:val="20"/>
                <w:color w:val="auto"/>
              </w:rPr>
            </w:pPr>
            <w:r>
              <w:rPr>
                <w:rFonts w:ascii="Arial" w:cs="Arial" w:eastAsia="Arial" w:hAnsi="Arial"/>
                <w:sz w:val="20"/>
                <w:szCs w:val="20"/>
                <w:color w:val="auto"/>
              </w:rPr>
              <w:t>20,874</w:t>
            </w:r>
          </w:p>
        </w:tc>
        <w:tc>
          <w:tcPr>
            <w:tcW w:w="0" w:type="dxa"/>
            <w:vAlign w:val="bottom"/>
          </w:tcPr>
          <w:p>
            <w:pPr>
              <w:spacing w:after="0"/>
              <w:rPr>
                <w:sz w:val="1"/>
                <w:szCs w:val="1"/>
                <w:color w:val="auto"/>
              </w:rPr>
            </w:pPr>
          </w:p>
        </w:tc>
      </w:tr>
      <w:tr>
        <w:trPr>
          <w:trHeight w:val="23"/>
        </w:trPr>
        <w:tc>
          <w:tcPr>
            <w:tcW w:w="62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Total assets in the fair value hierarchy</w:t>
            </w:r>
          </w:p>
        </w:tc>
        <w:tc>
          <w:tcPr>
            <w:tcW w:w="1560" w:type="dxa"/>
            <w:vAlign w:val="bottom"/>
            <w:tcBorders>
              <w:bottom w:val="single" w:sz="8" w:color="auto"/>
            </w:tcBorders>
            <w:shd w:val="clear" w:color="auto" w:fill="CCEEFF"/>
          </w:tcPr>
          <w:p>
            <w:pPr>
              <w:jc w:val="right"/>
              <w:ind w:right="1341"/>
              <w:spacing w:after="0"/>
              <w:rPr>
                <w:sz w:val="20"/>
                <w:szCs w:val="20"/>
                <w:color w:val="auto"/>
              </w:rPr>
            </w:pPr>
            <w:r>
              <w:rPr>
                <w:rFonts w:ascii="Arial" w:cs="Arial" w:eastAsia="Arial" w:hAnsi="Arial"/>
                <w:sz w:val="20"/>
                <w:szCs w:val="20"/>
                <w:color w:val="auto"/>
                <w:w w:val="89"/>
              </w:rPr>
              <w:t>$</w:t>
            </w:r>
          </w:p>
        </w:tc>
        <w:tc>
          <w:tcPr>
            <w:tcW w:w="84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20"/>
                <w:szCs w:val="20"/>
                <w:color w:val="auto"/>
                <w:w w:val="94"/>
              </w:rPr>
              <w:t>158,752</w:t>
            </w: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158,752</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Investments measured at NAV</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200" w:type="dxa"/>
            <w:vAlign w:val="bottom"/>
            <w:vMerge w:val="continue"/>
          </w:tcPr>
          <w:p>
            <w:pPr>
              <w:spacing w:after="0"/>
              <w:rPr>
                <w:sz w:val="18"/>
                <w:szCs w:val="18"/>
                <w:color w:val="auto"/>
              </w:rPr>
            </w:pPr>
          </w:p>
        </w:tc>
        <w:tc>
          <w:tcPr>
            <w:tcW w:w="15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62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20"/>
                <w:szCs w:val="20"/>
                <w:color w:val="auto"/>
              </w:rPr>
              <w:t>CCTs*</w:t>
            </w:r>
          </w:p>
        </w:tc>
        <w:tc>
          <w:tcPr>
            <w:tcW w:w="15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spacing w:after="0"/>
              <w:rPr>
                <w:sz w:val="24"/>
                <w:szCs w:val="24"/>
                <w:color w:val="auto"/>
              </w:rPr>
            </w:pP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527,717</w:t>
            </w:r>
          </w:p>
        </w:tc>
        <w:tc>
          <w:tcPr>
            <w:tcW w:w="0" w:type="dxa"/>
            <w:vAlign w:val="bottom"/>
          </w:tcPr>
          <w:p>
            <w:pPr>
              <w:spacing w:after="0"/>
              <w:rPr>
                <w:sz w:val="1"/>
                <w:szCs w:val="1"/>
                <w:color w:val="auto"/>
              </w:rPr>
            </w:pPr>
          </w:p>
        </w:tc>
      </w:tr>
      <w:tr>
        <w:trPr>
          <w:trHeight w:val="277"/>
        </w:trPr>
        <w:tc>
          <w:tcPr>
            <w:tcW w:w="620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1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auto"/>
              <w:bottom w:val="single" w:sz="8" w:color="auto"/>
            </w:tcBorders>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20"/>
                <w:szCs w:val="20"/>
                <w:color w:val="auto"/>
              </w:rPr>
              <w:t>686,469</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accordance with FASB ASC Subtopic 820-10, certain investments that were measured at NAV per share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21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There were no significant transfers between Level 1 and Level 2 investments or into or out of Level 3 investments during the years ended December 31, 2019 and 2018.</w:t>
      </w:r>
    </w:p>
    <w:p>
      <w:pPr>
        <w:spacing w:after="0" w:line="204"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tables summarize investments measured at fair value based on NAV per share as of December 31, 2019 and 2018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5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Redemption</w:t>
            </w:r>
          </w:p>
        </w:tc>
        <w:tc>
          <w:tcPr>
            <w:tcW w:w="1780" w:type="dxa"/>
            <w:vAlign w:val="bottom"/>
          </w:tcPr>
          <w:p>
            <w:pPr>
              <w:spacing w:after="0"/>
              <w:rPr>
                <w:sz w:val="22"/>
                <w:szCs w:val="22"/>
                <w:color w:val="auto"/>
              </w:rPr>
            </w:pPr>
          </w:p>
        </w:tc>
      </w:tr>
      <w:tr>
        <w:trPr>
          <w:trHeight w:val="283"/>
        </w:trPr>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Frequency</w:t>
            </w:r>
          </w:p>
        </w:tc>
        <w:tc>
          <w:tcPr>
            <w:tcW w:w="1780" w:type="dxa"/>
            <w:vAlign w:val="bottom"/>
          </w:tcPr>
          <w:p>
            <w:pPr>
              <w:ind w:left="20"/>
              <w:spacing w:after="0"/>
              <w:rPr>
                <w:sz w:val="20"/>
                <w:szCs w:val="20"/>
                <w:color w:val="auto"/>
              </w:rPr>
            </w:pPr>
            <w:r>
              <w:rPr>
                <w:rFonts w:ascii="Arial" w:cs="Arial" w:eastAsia="Arial" w:hAnsi="Arial"/>
                <w:sz w:val="20"/>
                <w:szCs w:val="20"/>
                <w:b w:val="1"/>
                <w:bCs w:val="1"/>
                <w:color w:val="auto"/>
              </w:rPr>
              <w:t>Redemption</w:t>
            </w:r>
          </w:p>
        </w:tc>
      </w:tr>
      <w:tr>
        <w:trPr>
          <w:trHeight w:val="284"/>
        </w:trPr>
        <w:tc>
          <w:tcPr>
            <w:tcW w:w="2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b w:val="1"/>
                <w:bCs w:val="1"/>
                <w:color w:val="auto"/>
              </w:rPr>
              <w:t>Unfunded</w:t>
            </w: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(if currently</w:t>
            </w:r>
          </w:p>
        </w:tc>
        <w:tc>
          <w:tcPr>
            <w:tcW w:w="1780" w:type="dxa"/>
            <w:vAlign w:val="bottom"/>
          </w:tcPr>
          <w:p>
            <w:pPr>
              <w:ind w:left="20"/>
              <w:spacing w:after="0"/>
              <w:rPr>
                <w:sz w:val="20"/>
                <w:szCs w:val="20"/>
                <w:color w:val="auto"/>
              </w:rPr>
            </w:pPr>
            <w:r>
              <w:rPr>
                <w:rFonts w:ascii="Arial" w:cs="Arial" w:eastAsia="Arial" w:hAnsi="Arial"/>
                <w:sz w:val="20"/>
                <w:szCs w:val="20"/>
                <w:b w:val="1"/>
                <w:bCs w:val="1"/>
                <w:color w:val="auto"/>
              </w:rPr>
              <w:t>Notice</w:t>
            </w:r>
          </w:p>
        </w:tc>
      </w:tr>
      <w:tr>
        <w:trPr>
          <w:trHeight w:val="283"/>
        </w:trPr>
        <w:tc>
          <w:tcPr>
            <w:tcW w:w="2540" w:type="dxa"/>
            <w:vAlign w:val="bottom"/>
          </w:tcPr>
          <w:p>
            <w:pPr>
              <w:ind w:left="20"/>
              <w:spacing w:after="0"/>
              <w:rPr>
                <w:sz w:val="20"/>
                <w:szCs w:val="20"/>
                <w:color w:val="auto"/>
              </w:rPr>
            </w:pPr>
            <w:r>
              <w:rPr>
                <w:rFonts w:ascii="Arial" w:cs="Arial" w:eastAsia="Arial" w:hAnsi="Arial"/>
                <w:sz w:val="20"/>
                <w:szCs w:val="20"/>
                <w:b w:val="1"/>
                <w:bCs w:val="1"/>
                <w:color w:val="auto"/>
              </w:rPr>
              <w:t>December 31, 2019</w:t>
            </w:r>
          </w:p>
        </w:tc>
        <w:tc>
          <w:tcPr>
            <w:tcW w:w="18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20"/>
                <w:szCs w:val="20"/>
                <w:b w:val="1"/>
                <w:bCs w:val="1"/>
                <w:color w:val="auto"/>
              </w:rPr>
              <w:t>Fair Value</w:t>
            </w: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2"/>
          </w:tcPr>
          <w:p>
            <w:pPr>
              <w:ind w:left="20"/>
              <w:spacing w:after="0"/>
              <w:rPr>
                <w:sz w:val="20"/>
                <w:szCs w:val="20"/>
                <w:color w:val="auto"/>
              </w:rPr>
            </w:pPr>
            <w:r>
              <w:rPr>
                <w:rFonts w:ascii="Arial" w:cs="Arial" w:eastAsia="Arial" w:hAnsi="Arial"/>
                <w:sz w:val="20"/>
                <w:szCs w:val="20"/>
                <w:b w:val="1"/>
                <w:bCs w:val="1"/>
                <w:color w:val="auto"/>
              </w:rPr>
              <w:t>Commitments</w:t>
            </w: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eligible)</w:t>
            </w:r>
          </w:p>
        </w:tc>
        <w:tc>
          <w:tcPr>
            <w:tcW w:w="1780" w:type="dxa"/>
            <w:vAlign w:val="bottom"/>
          </w:tcPr>
          <w:p>
            <w:pPr>
              <w:ind w:left="20"/>
              <w:spacing w:after="0"/>
              <w:rPr>
                <w:sz w:val="20"/>
                <w:szCs w:val="20"/>
                <w:color w:val="auto"/>
              </w:rPr>
            </w:pPr>
            <w:r>
              <w:rPr>
                <w:rFonts w:ascii="Arial" w:cs="Arial" w:eastAsia="Arial" w:hAnsi="Arial"/>
                <w:sz w:val="20"/>
                <w:szCs w:val="20"/>
                <w:b w:val="1"/>
                <w:bCs w:val="1"/>
                <w:color w:val="auto"/>
              </w:rPr>
              <w:t>Period</w:t>
            </w:r>
          </w:p>
        </w:tc>
      </w:tr>
      <w:tr>
        <w:trPr>
          <w:trHeight w:val="23"/>
        </w:trPr>
        <w:tc>
          <w:tcPr>
            <w:tcW w:w="2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57"/>
        </w:trPr>
        <w:tc>
          <w:tcPr>
            <w:tcW w:w="2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CCT Funds</w:t>
            </w:r>
          </w:p>
        </w:tc>
        <w:tc>
          <w:tcPr>
            <w:tcW w:w="1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rPr>
              <w:t>671,756</w:t>
            </w:r>
          </w:p>
        </w:tc>
        <w:tc>
          <w:tcPr>
            <w:tcW w:w="180" w:type="dxa"/>
            <w:vAlign w:val="bottom"/>
            <w:tcBorders>
              <w:bottom w:val="single" w:sz="8" w:color="CCEEFF"/>
            </w:tcBorders>
            <w:shd w:val="clear" w:color="auto" w:fill="CCEEFF"/>
          </w:tcPr>
          <w:p>
            <w:pPr>
              <w:spacing w:after="0"/>
              <w:rPr>
                <w:sz w:val="22"/>
                <w:szCs w:val="22"/>
                <w:color w:val="auto"/>
              </w:rPr>
            </w:pPr>
          </w:p>
        </w:tc>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N/A</w:t>
            </w:r>
          </w:p>
        </w:tc>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Daily</w:t>
            </w:r>
          </w:p>
        </w:tc>
        <w:tc>
          <w:tcPr>
            <w:tcW w:w="1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Daily</w:t>
            </w:r>
          </w:p>
        </w:tc>
      </w:tr>
      <w:tr>
        <w:trPr>
          <w:trHeight w:val="530"/>
        </w:trPr>
        <w:tc>
          <w:tcPr>
            <w:tcW w:w="2540" w:type="dxa"/>
            <w:vAlign w:val="bottom"/>
          </w:tcPr>
          <w:p>
            <w:pPr>
              <w:ind w:left="20"/>
              <w:spacing w:after="0"/>
              <w:rPr>
                <w:sz w:val="20"/>
                <w:szCs w:val="20"/>
                <w:color w:val="auto"/>
              </w:rPr>
            </w:pPr>
            <w:r>
              <w:rPr>
                <w:rFonts w:ascii="Arial" w:cs="Arial" w:eastAsia="Arial" w:hAnsi="Arial"/>
                <w:sz w:val="20"/>
                <w:szCs w:val="20"/>
                <w:b w:val="1"/>
                <w:bCs w:val="1"/>
                <w:color w:val="auto"/>
              </w:rPr>
              <w:t>December 31, 2018</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3"/>
        </w:trPr>
        <w:tc>
          <w:tcPr>
            <w:tcW w:w="25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r>
      <w:tr>
        <w:trPr>
          <w:trHeight w:val="254"/>
        </w:trPr>
        <w:tc>
          <w:tcPr>
            <w:tcW w:w="2540" w:type="dxa"/>
            <w:vAlign w:val="bottom"/>
            <w:shd w:val="clear" w:color="auto" w:fill="CCEEFF"/>
          </w:tcPr>
          <w:p>
            <w:pPr>
              <w:ind w:left="20"/>
              <w:spacing w:after="0"/>
              <w:rPr>
                <w:sz w:val="20"/>
                <w:szCs w:val="20"/>
                <w:color w:val="auto"/>
              </w:rPr>
            </w:pPr>
            <w:r>
              <w:rPr>
                <w:rFonts w:ascii="Arial" w:cs="Arial" w:eastAsia="Arial" w:hAnsi="Arial"/>
                <w:sz w:val="20"/>
                <w:szCs w:val="20"/>
                <w:color w:val="auto"/>
              </w:rPr>
              <w:t>CCT Funds</w:t>
            </w:r>
          </w:p>
        </w:tc>
        <w:tc>
          <w:tcPr>
            <w:tcW w:w="134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rPr>
              <w:t>527,717</w:t>
            </w:r>
          </w:p>
        </w:tc>
        <w:tc>
          <w:tcPr>
            <w:tcW w:w="180" w:type="dxa"/>
            <w:vAlign w:val="bottom"/>
            <w:shd w:val="clear" w:color="auto" w:fill="CCEEFF"/>
          </w:tcPr>
          <w:p>
            <w:pPr>
              <w:spacing w:after="0"/>
              <w:rPr>
                <w:sz w:val="22"/>
                <w:szCs w:val="22"/>
                <w:color w:val="auto"/>
              </w:rPr>
            </w:pPr>
          </w:p>
        </w:tc>
        <w:tc>
          <w:tcPr>
            <w:tcW w:w="238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N/A</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Daily</w:t>
            </w:r>
          </w:p>
        </w:tc>
        <w:tc>
          <w:tcPr>
            <w:tcW w:w="1780" w:type="dxa"/>
            <w:vAlign w:val="bottom"/>
            <w:shd w:val="clear" w:color="auto" w:fill="CCEEFF"/>
          </w:tcPr>
          <w:p>
            <w:pPr>
              <w:ind w:left="20"/>
              <w:spacing w:after="0"/>
              <w:rPr>
                <w:sz w:val="20"/>
                <w:szCs w:val="20"/>
                <w:color w:val="auto"/>
              </w:rPr>
            </w:pPr>
            <w:r>
              <w:rPr>
                <w:rFonts w:ascii="Arial" w:cs="Arial" w:eastAsia="Arial" w:hAnsi="Arial"/>
                <w:sz w:val="20"/>
                <w:szCs w:val="20"/>
                <w:color w:val="auto"/>
              </w:rPr>
              <w:t>Daily</w:t>
            </w:r>
          </w:p>
        </w:tc>
      </w:tr>
      <w:tr>
        <w:trPr>
          <w:trHeight w:val="23"/>
        </w:trPr>
        <w:tc>
          <w:tcPr>
            <w:tcW w:w="25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r>
    </w:tbl>
    <w:p>
      <w:pPr>
        <w:sectPr>
          <w:pgSz w:w="11900" w:h="16838" w:orient="portrait"/>
          <w:cols w:equalWidth="0" w:num="1">
            <w:col w:w="11240"/>
          </w:cols>
          <w:pgMar w:left="320" w:top="121" w:right="339" w:bottom="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4. RELATED PARTY TRANSACTIONS</w:t>
      </w:r>
    </w:p>
    <w:p>
      <w:pPr>
        <w:spacing w:after="0" w:line="23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Plan investments include shares of mutual funds and CCT funds managed by the trustee, therefore, these transactions qualify as party-in-interest, and are exempt from the prohibited transactions rule.</w:t>
      </w:r>
    </w:p>
    <w:p>
      <w:pPr>
        <w:spacing w:after="0" w:line="20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Plan offers Roper Technologies, Inc. common stock as an investment option for participants. The Company is the Plan sponsor as defined by the Plan; therefore, these transactions also qualify as party-in-interest transactions, and are exempt from the prohibited transactions rule.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PLAN TERMINATION</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Although it has not expressed any intent to do so, the Company has the right under the Plan to discontinue its contributions at any time and to terminate the Plan subject to the provisions of ERISA. In the event of Plan termination, participants would become 100% vested in their employer contributions.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TAX STATUS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underlying non-standardized prototype plan has received an opinion letter from the Internal Revenue Service (IRS) dated May 28, 2014, stating that the form of the Plan is qualified under Section 401(a) of the IRC, and therefore, the related trust is tax-exempt. The Plan Administrator has determined that it is eligible to and has chosen to rely on the current IRS non-standardized prototype plan opinion letter. Once qualified, the Plan is required to operate in conformity with the IRC to maintain its qualification. The Plan Administrator believes the Plan is in compliance with the applicable requirements of the IRC and therefore, believes that the Plan is qualified, and the related trust is tax-exempt.</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U.S. 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DELINQUENT PARTICIPANT CONTRIBUTIONS</w:t>
      </w:r>
    </w:p>
    <w:p>
      <w:pPr>
        <w:spacing w:after="0" w:line="235"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During the period ended December 31, 2019, the Company failed to timely remit certain employee contributions to the Plan. As soon as this was identified, the Company immediately corrected the contribution and restored the Plan for any lost earnings related to this remittance.</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8. SUBSEQUENT EVENTS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A novel strain of coronavirus (COVID-19) was first identified in December 2019, and subsequently declared a pandemic by the World Health Organization during the first quarter of 2020. The outbreak of COVID-19 has adversely impacted global commercial activity and contributed to significant declines and volatility in financial markets. The outbreak could have a continued material adverse impact on economic and market conditions and trigger a period of global economic slowdown. The rapid development and fluidity of this situation precludes any prediction as to the ultimate material adverse impact of COVID-19. Nevertheless, COVID-19s presents material uncertainty to the Plan, its performance, and its financial results.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Management has evaluated subsequent events through June 24, 2020, which is the date the financial statements were available to be issued, and have determined that there is are no subsequent events other than those noted above that require disclosure.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SUPPLEMENTARY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603" w:right="339" w:bottom="1440" w:gutter="0" w:footer="0" w:header="0"/>
        </w:sectPr>
      </w:pPr>
    </w:p>
    <w:bookmarkStart w:id="10" w:name="page11"/>
    <w:bookmarkEnd w:id="10"/>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ROPER INDUSTRIES, INC.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EMPLOYEES’ RETIREMENT SAVINGS 004 PLAN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SPONSOR’S EIN# 51-0263969</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PLAN NUMBER: 004</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H, LINE 4(a)</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OF DELINQUENT PARTICIPANT CONTRIBUTIONS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December 31, 2019</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3"/>
          </w:tcPr>
          <w:p>
            <w:pPr>
              <w:spacing w:after="0"/>
              <w:rPr>
                <w:sz w:val="20"/>
                <w:szCs w:val="20"/>
                <w:color w:val="auto"/>
              </w:rPr>
            </w:pPr>
            <w:r>
              <w:rPr>
                <w:rFonts w:ascii="Arial" w:cs="Arial" w:eastAsia="Arial" w:hAnsi="Arial"/>
                <w:sz w:val="20"/>
                <w:szCs w:val="20"/>
                <w:b w:val="1"/>
                <w:bCs w:val="1"/>
                <w:color w:val="auto"/>
              </w:rPr>
              <w:t>Participant</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20"/>
                <w:szCs w:val="20"/>
                <w:b w:val="1"/>
                <w:bCs w:val="1"/>
                <w:color w:val="auto"/>
              </w:rPr>
              <w:t>Total Fully</w:t>
            </w:r>
          </w:p>
        </w:tc>
      </w:tr>
      <w:tr>
        <w:trPr>
          <w:trHeight w:val="230"/>
        </w:trPr>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3"/>
          </w:tcPr>
          <w:p>
            <w:pPr>
              <w:spacing w:after="0"/>
              <w:rPr>
                <w:sz w:val="20"/>
                <w:szCs w:val="20"/>
                <w:color w:val="auto"/>
              </w:rPr>
            </w:pPr>
            <w:r>
              <w:rPr>
                <w:rFonts w:ascii="Arial" w:cs="Arial" w:eastAsia="Arial" w:hAnsi="Arial"/>
                <w:sz w:val="20"/>
                <w:szCs w:val="20"/>
                <w:b w:val="1"/>
                <w:bCs w:val="1"/>
                <w:color w:val="auto"/>
              </w:rPr>
              <w:t>Contribution</w:t>
            </w: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tcPr>
          <w:p>
            <w:pPr>
              <w:ind w:left="20"/>
              <w:spacing w:after="0"/>
              <w:rPr>
                <w:sz w:val="20"/>
                <w:szCs w:val="20"/>
                <w:color w:val="auto"/>
              </w:rPr>
            </w:pPr>
            <w:r>
              <w:rPr>
                <w:rFonts w:ascii="Arial" w:cs="Arial" w:eastAsia="Arial" w:hAnsi="Arial"/>
                <w:sz w:val="20"/>
                <w:szCs w:val="20"/>
                <w:b w:val="1"/>
                <w:bCs w:val="1"/>
                <w:color w:val="auto"/>
                <w:w w:val="96"/>
              </w:rPr>
              <w:t>Contributions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ind w:left="20"/>
              <w:spacing w:after="0"/>
              <w:rPr>
                <w:sz w:val="20"/>
                <w:szCs w:val="20"/>
                <w:color w:val="auto"/>
              </w:rPr>
            </w:pPr>
            <w:r>
              <w:rPr>
                <w:rFonts w:ascii="Arial" w:cs="Arial" w:eastAsia="Arial" w:hAnsi="Arial"/>
                <w:sz w:val="20"/>
                <w:szCs w:val="20"/>
                <w:b w:val="1"/>
                <w:bCs w:val="1"/>
                <w:color w:val="auto"/>
                <w:w w:val="94"/>
              </w:rPr>
              <w:t>Contributions</w:t>
            </w: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gridSpan w:val="2"/>
          </w:tcPr>
          <w:p>
            <w:pPr>
              <w:ind w:left="20"/>
              <w:spacing w:after="0"/>
              <w:rPr>
                <w:sz w:val="20"/>
                <w:szCs w:val="20"/>
                <w:color w:val="auto"/>
              </w:rPr>
            </w:pPr>
            <w:r>
              <w:rPr>
                <w:rFonts w:ascii="Arial" w:cs="Arial" w:eastAsia="Arial" w:hAnsi="Arial"/>
                <w:sz w:val="20"/>
                <w:szCs w:val="20"/>
                <w:b w:val="1"/>
                <w:bCs w:val="1"/>
                <w:color w:val="auto"/>
                <w:w w:val="97"/>
              </w:rPr>
              <w:t>Corrected under</w:t>
            </w:r>
          </w:p>
        </w:tc>
      </w:tr>
      <w:tr>
        <w:trPr>
          <w:trHeight w:val="229"/>
        </w:trPr>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3"/>
          </w:tcPr>
          <w:p>
            <w:pPr>
              <w:spacing w:after="0"/>
              <w:rPr>
                <w:sz w:val="20"/>
                <w:szCs w:val="20"/>
                <w:color w:val="auto"/>
              </w:rPr>
            </w:pPr>
            <w:r>
              <w:rPr>
                <w:rFonts w:ascii="Arial" w:cs="Arial" w:eastAsia="Arial" w:hAnsi="Arial"/>
                <w:sz w:val="20"/>
                <w:szCs w:val="20"/>
                <w:b w:val="1"/>
                <w:bCs w:val="1"/>
                <w:color w:val="auto"/>
              </w:rPr>
              <w:t>Transferred Late</w:t>
            </w:r>
          </w:p>
        </w:tc>
        <w:tc>
          <w:tcPr>
            <w:tcW w:w="2020" w:type="dxa"/>
            <w:vAlign w:val="bottom"/>
            <w:gridSpan w:val="3"/>
          </w:tcPr>
          <w:p>
            <w:pPr>
              <w:ind w:left="20"/>
              <w:spacing w:after="0"/>
              <w:rPr>
                <w:sz w:val="20"/>
                <w:szCs w:val="20"/>
                <w:color w:val="auto"/>
              </w:rPr>
            </w:pPr>
            <w:r>
              <w:rPr>
                <w:rFonts w:ascii="Arial" w:cs="Arial" w:eastAsia="Arial" w:hAnsi="Arial"/>
                <w:sz w:val="20"/>
                <w:szCs w:val="20"/>
                <w:b w:val="1"/>
                <w:bCs w:val="1"/>
                <w:color w:val="auto"/>
              </w:rPr>
              <w:t>Contributions Not</w:t>
            </w:r>
          </w:p>
        </w:tc>
        <w:tc>
          <w:tcPr>
            <w:tcW w:w="1980" w:type="dxa"/>
            <w:vAlign w:val="bottom"/>
            <w:gridSpan w:val="3"/>
          </w:tcPr>
          <w:p>
            <w:pPr>
              <w:ind w:left="20"/>
              <w:spacing w:after="0"/>
              <w:rPr>
                <w:sz w:val="20"/>
                <w:szCs w:val="20"/>
                <w:color w:val="auto"/>
              </w:rPr>
            </w:pPr>
            <w:r>
              <w:rPr>
                <w:rFonts w:ascii="Arial" w:cs="Arial" w:eastAsia="Arial" w:hAnsi="Arial"/>
                <w:sz w:val="20"/>
                <w:szCs w:val="20"/>
                <w:b w:val="1"/>
                <w:bCs w:val="1"/>
                <w:color w:val="auto"/>
              </w:rPr>
              <w:t>Corrected Outside</w:t>
            </w:r>
          </w:p>
        </w:tc>
        <w:tc>
          <w:tcPr>
            <w:tcW w:w="1960" w:type="dxa"/>
            <w:vAlign w:val="bottom"/>
            <w:gridSpan w:val="3"/>
          </w:tcPr>
          <w:p>
            <w:pPr>
              <w:ind w:left="20"/>
              <w:spacing w:after="0"/>
              <w:rPr>
                <w:sz w:val="20"/>
                <w:szCs w:val="20"/>
                <w:color w:val="auto"/>
              </w:rPr>
            </w:pPr>
            <w:r>
              <w:rPr>
                <w:rFonts w:ascii="Arial" w:cs="Arial" w:eastAsia="Arial" w:hAnsi="Arial"/>
                <w:sz w:val="20"/>
                <w:szCs w:val="20"/>
                <w:b w:val="1"/>
                <w:bCs w:val="1"/>
                <w:color w:val="auto"/>
              </w:rPr>
              <w:t>Pending Correction</w:t>
            </w:r>
          </w:p>
        </w:tc>
        <w:tc>
          <w:tcPr>
            <w:tcW w:w="1560" w:type="dxa"/>
            <w:vAlign w:val="bottom"/>
            <w:gridSpan w:val="2"/>
          </w:tcPr>
          <w:p>
            <w:pPr>
              <w:ind w:left="20"/>
              <w:spacing w:after="0"/>
              <w:rPr>
                <w:sz w:val="20"/>
                <w:szCs w:val="20"/>
                <w:color w:val="auto"/>
              </w:rPr>
            </w:pPr>
            <w:r>
              <w:rPr>
                <w:rFonts w:ascii="Arial" w:cs="Arial" w:eastAsia="Arial" w:hAnsi="Arial"/>
                <w:sz w:val="20"/>
                <w:szCs w:val="20"/>
                <w:b w:val="1"/>
                <w:bCs w:val="1"/>
                <w:color w:val="auto"/>
              </w:rPr>
              <w:t>VFCP and PTE</w:t>
            </w:r>
          </w:p>
        </w:tc>
      </w:tr>
      <w:tr>
        <w:trPr>
          <w:trHeight w:val="256"/>
        </w:trPr>
        <w:tc>
          <w:tcPr>
            <w:tcW w:w="1840" w:type="dxa"/>
            <w:vAlign w:val="bottom"/>
            <w:gridSpan w:val="2"/>
          </w:tcPr>
          <w:p>
            <w:pPr>
              <w:ind w:left="20"/>
              <w:spacing w:after="0"/>
              <w:rPr>
                <w:sz w:val="20"/>
                <w:szCs w:val="20"/>
                <w:color w:val="auto"/>
              </w:rPr>
            </w:pPr>
            <w:r>
              <w:rPr>
                <w:rFonts w:ascii="Arial" w:cs="Arial" w:eastAsia="Arial" w:hAnsi="Arial"/>
                <w:sz w:val="20"/>
                <w:szCs w:val="20"/>
                <w:b w:val="1"/>
                <w:bCs w:val="1"/>
                <w:color w:val="auto"/>
              </w:rPr>
              <w:t>Date</w:t>
            </w:r>
          </w:p>
        </w:tc>
        <w:tc>
          <w:tcPr>
            <w:tcW w:w="720" w:type="dxa"/>
            <w:vAlign w:val="bottom"/>
          </w:tcPr>
          <w:p>
            <w:pPr>
              <w:spacing w:after="0"/>
              <w:rPr>
                <w:sz w:val="20"/>
                <w:szCs w:val="20"/>
                <w:color w:val="auto"/>
              </w:rPr>
            </w:pPr>
            <w:r>
              <w:rPr>
                <w:rFonts w:ascii="Arial" w:cs="Arial" w:eastAsia="Arial" w:hAnsi="Arial"/>
                <w:sz w:val="20"/>
                <w:szCs w:val="20"/>
                <w:b w:val="1"/>
                <w:bCs w:val="1"/>
                <w:color w:val="auto"/>
              </w:rPr>
              <w:t>to Plan</w:t>
            </w: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ind w:left="20"/>
              <w:spacing w:after="0"/>
              <w:rPr>
                <w:sz w:val="20"/>
                <w:szCs w:val="20"/>
                <w:color w:val="auto"/>
              </w:rPr>
            </w:pPr>
            <w:r>
              <w:rPr>
                <w:rFonts w:ascii="Arial" w:cs="Arial" w:eastAsia="Arial" w:hAnsi="Arial"/>
                <w:sz w:val="20"/>
                <w:szCs w:val="20"/>
                <w:b w:val="1"/>
                <w:bCs w:val="1"/>
                <w:color w:val="auto"/>
              </w:rPr>
              <w:t>Corrected</w:t>
            </w:r>
          </w:p>
        </w:tc>
        <w:tc>
          <w:tcPr>
            <w:tcW w:w="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00" w:type="dxa"/>
            <w:vAlign w:val="bottom"/>
          </w:tcPr>
          <w:p>
            <w:pPr>
              <w:ind w:left="20"/>
              <w:spacing w:after="0"/>
              <w:rPr>
                <w:sz w:val="20"/>
                <w:szCs w:val="20"/>
                <w:color w:val="auto"/>
              </w:rPr>
            </w:pPr>
            <w:r>
              <w:rPr>
                <w:rFonts w:ascii="Arial" w:cs="Arial" w:eastAsia="Arial" w:hAnsi="Arial"/>
                <w:sz w:val="20"/>
                <w:szCs w:val="20"/>
                <w:b w:val="1"/>
                <w:bCs w:val="1"/>
                <w:color w:val="auto"/>
              </w:rPr>
              <w:t>VFCP</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ind w:left="20"/>
              <w:spacing w:after="0"/>
              <w:rPr>
                <w:sz w:val="20"/>
                <w:szCs w:val="20"/>
                <w:color w:val="auto"/>
              </w:rPr>
            </w:pPr>
            <w:r>
              <w:rPr>
                <w:rFonts w:ascii="Arial" w:cs="Arial" w:eastAsia="Arial" w:hAnsi="Arial"/>
                <w:sz w:val="20"/>
                <w:szCs w:val="20"/>
                <w:b w:val="1"/>
                <w:bCs w:val="1"/>
                <w:color w:val="auto"/>
              </w:rPr>
              <w:t>in VFCP</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20"/>
                <w:szCs w:val="20"/>
                <w:b w:val="1"/>
                <w:bCs w:val="1"/>
                <w:color w:val="auto"/>
                <w:w w:val="92"/>
              </w:rPr>
              <w:t>2002-51</w:t>
            </w:r>
          </w:p>
        </w:tc>
        <w:tc>
          <w:tcPr>
            <w:tcW w:w="840" w:type="dxa"/>
            <w:vAlign w:val="bottom"/>
          </w:tcPr>
          <w:p>
            <w:pPr>
              <w:spacing w:after="0"/>
              <w:rPr>
                <w:sz w:val="22"/>
                <w:szCs w:val="22"/>
                <w:color w:val="auto"/>
              </w:rPr>
            </w:pPr>
          </w:p>
        </w:tc>
      </w:tr>
      <w:tr>
        <w:trPr>
          <w:trHeight w:val="23"/>
        </w:trPr>
        <w:tc>
          <w:tcPr>
            <w:tcW w:w="15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42"/>
        </w:trPr>
        <w:tc>
          <w:tcPr>
            <w:tcW w:w="1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261"/>
        </w:trPr>
        <w:tc>
          <w:tcPr>
            <w:tcW w:w="184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June 2019</w:t>
            </w:r>
          </w:p>
        </w:tc>
        <w:tc>
          <w:tcPr>
            <w:tcW w:w="720" w:type="dxa"/>
            <w:vAlign w:val="bottom"/>
            <w:shd w:val="clear" w:color="auto" w:fill="CCEEFF"/>
          </w:tcPr>
          <w:p>
            <w:pPr>
              <w:spacing w:after="0"/>
              <w:rPr>
                <w:sz w:val="20"/>
                <w:szCs w:val="20"/>
                <w:color w:val="auto"/>
              </w:rPr>
            </w:pPr>
            <w:r>
              <w:rPr>
                <w:rFonts w:ascii="Arial" w:cs="Arial" w:eastAsia="Arial" w:hAnsi="Arial"/>
                <w:sz w:val="20"/>
                <w:szCs w:val="20"/>
                <w:color w:val="auto"/>
              </w:rPr>
              <w:t>$</w:t>
            </w:r>
          </w:p>
        </w:tc>
        <w:tc>
          <w:tcPr>
            <w:tcW w:w="92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rPr>
              <w:t>728,767</w:t>
            </w:r>
          </w:p>
        </w:tc>
        <w:tc>
          <w:tcPr>
            <w:tcW w:w="240" w:type="dxa"/>
            <w:vAlign w:val="bottom"/>
            <w:shd w:val="clear" w:color="auto" w:fill="CCEEFF"/>
          </w:tcPr>
          <w:p>
            <w:pPr>
              <w:spacing w:after="0"/>
              <w:rPr>
                <w:sz w:val="22"/>
                <w:szCs w:val="22"/>
                <w:color w:val="auto"/>
              </w:rPr>
            </w:pPr>
          </w:p>
        </w:tc>
        <w:tc>
          <w:tcPr>
            <w:tcW w:w="114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20"/>
                <w:szCs w:val="20"/>
                <w:color w:val="auto"/>
              </w:rPr>
              <w:t>—</w:t>
            </w:r>
          </w:p>
        </w:tc>
        <w:tc>
          <w:tcPr>
            <w:tcW w:w="130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w:t>
            </w:r>
          </w:p>
        </w:tc>
        <w:tc>
          <w:tcPr>
            <w:tcW w:w="128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680" w:type="dxa"/>
            <w:vAlign w:val="bottom"/>
            <w:gridSpan w:val="2"/>
            <w:shd w:val="clear" w:color="auto" w:fill="CCEEFF"/>
          </w:tcPr>
          <w:p>
            <w:pPr>
              <w:ind w:left="80"/>
              <w:spacing w:after="0"/>
              <w:rPr>
                <w:sz w:val="20"/>
                <w:szCs w:val="20"/>
                <w:color w:val="auto"/>
              </w:rPr>
            </w:pPr>
            <w:r>
              <w:rPr>
                <w:rFonts w:ascii="Arial" w:cs="Arial" w:eastAsia="Arial" w:hAnsi="Arial"/>
                <w:sz w:val="20"/>
                <w:szCs w:val="20"/>
                <w:color w:val="auto"/>
              </w:rPr>
              <w:t>—</w:t>
            </w:r>
          </w:p>
        </w:tc>
        <w:tc>
          <w:tcPr>
            <w:tcW w:w="720" w:type="dxa"/>
            <w:vAlign w:val="bottom"/>
            <w:shd w:val="clear" w:color="auto" w:fill="CCEEFF"/>
          </w:tcPr>
          <w:p>
            <w:pPr>
              <w:ind w:left="20"/>
              <w:spacing w:after="0"/>
              <w:rPr>
                <w:sz w:val="20"/>
                <w:szCs w:val="20"/>
                <w:color w:val="auto"/>
              </w:rPr>
            </w:pPr>
            <w:r>
              <w:rPr>
                <w:rFonts w:ascii="Arial" w:cs="Arial" w:eastAsia="Arial" w:hAnsi="Arial"/>
                <w:sz w:val="20"/>
                <w:szCs w:val="20"/>
                <w:color w:val="auto"/>
              </w:rPr>
              <w:t>$</w:t>
            </w:r>
          </w:p>
        </w:tc>
        <w:tc>
          <w:tcPr>
            <w:tcW w:w="840" w:type="dxa"/>
            <w:vAlign w:val="bottom"/>
            <w:shd w:val="clear" w:color="auto" w:fill="CCEEFF"/>
          </w:tcPr>
          <w:p>
            <w:pPr>
              <w:jc w:val="right"/>
              <w:ind w:right="61"/>
              <w:spacing w:after="0"/>
              <w:rPr>
                <w:sz w:val="20"/>
                <w:szCs w:val="20"/>
                <w:color w:val="auto"/>
              </w:rPr>
            </w:pPr>
            <w:r>
              <w:rPr>
                <w:rFonts w:ascii="Arial" w:cs="Arial" w:eastAsia="Arial" w:hAnsi="Arial"/>
                <w:sz w:val="20"/>
                <w:szCs w:val="20"/>
                <w:color w:val="auto"/>
                <w:w w:val="91"/>
              </w:rPr>
              <w:t>728,767</w:t>
            </w:r>
          </w:p>
        </w:tc>
      </w:tr>
      <w:tr>
        <w:trPr>
          <w:trHeight w:val="23"/>
        </w:trPr>
        <w:tc>
          <w:tcPr>
            <w:tcW w:w="15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ROPER INDUSTRIES, INC.</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EMPLOYEES’ RETIREMENT SAVINGS 004 PLAN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SPONSOR’S EIN# 51-0263969</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PLAN NUMBER: 004</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H, LINE 4(i)</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OF ASSETS (HELD AT END OF YEAR)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December 31, 2019</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b w:val="1"/>
                <w:bCs w:val="1"/>
                <w:color w:val="auto"/>
              </w:rPr>
              <w:t>(b)</w:t>
            </w:r>
          </w:p>
        </w:tc>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Description of investment including</w:t>
            </w:r>
          </w:p>
        </w:tc>
        <w:tc>
          <w:tcPr>
            <w:tcW w:w="340" w:type="dxa"/>
            <w:vAlign w:val="bottom"/>
          </w:tcPr>
          <w:p>
            <w:pPr>
              <w:ind w:left="20"/>
              <w:spacing w:after="0"/>
              <w:rPr>
                <w:sz w:val="20"/>
                <w:szCs w:val="20"/>
                <w:color w:val="auto"/>
              </w:rPr>
            </w:pPr>
            <w:r>
              <w:rPr>
                <w:rFonts w:ascii="Arial" w:cs="Arial" w:eastAsia="Arial" w:hAnsi="Arial"/>
                <w:sz w:val="20"/>
                <w:szCs w:val="20"/>
                <w:b w:val="1"/>
                <w:bCs w:val="1"/>
                <w:color w:val="auto"/>
              </w:rPr>
              <w:t>(e)</w:t>
            </w: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b w:val="1"/>
                <w:bCs w:val="1"/>
                <w:color w:val="auto"/>
              </w:rPr>
              <w:t>Identity of issuer, borrower</w:t>
            </w:r>
          </w:p>
        </w:tc>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maturity date, rate of interest,</w:t>
            </w: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rPr>
              <w:t>Current</w:t>
            </w:r>
          </w:p>
        </w:tc>
        <w:tc>
          <w:tcPr>
            <w:tcW w:w="0" w:type="dxa"/>
            <w:vAlign w:val="bottom"/>
          </w:tcPr>
          <w:p>
            <w:pPr>
              <w:spacing w:after="0"/>
              <w:rPr>
                <w:sz w:val="1"/>
                <w:szCs w:val="1"/>
                <w:color w:val="auto"/>
              </w:rPr>
            </w:pPr>
          </w:p>
        </w:tc>
      </w:tr>
      <w:tr>
        <w:trPr>
          <w:trHeight w:val="283"/>
        </w:trPr>
        <w:tc>
          <w:tcPr>
            <w:tcW w:w="700" w:type="dxa"/>
            <w:vAlign w:val="bottom"/>
            <w:gridSpan w:val="2"/>
          </w:tcPr>
          <w:p>
            <w:pPr>
              <w:ind w:left="20"/>
              <w:spacing w:after="0"/>
              <w:rPr>
                <w:sz w:val="20"/>
                <w:szCs w:val="20"/>
                <w:color w:val="auto"/>
              </w:rPr>
            </w:pPr>
            <w:r>
              <w:rPr>
                <w:rFonts w:ascii="Arial" w:cs="Arial" w:eastAsia="Arial" w:hAnsi="Arial"/>
                <w:sz w:val="20"/>
                <w:szCs w:val="20"/>
                <w:b w:val="1"/>
                <w:bCs w:val="1"/>
                <w:color w:val="auto"/>
              </w:rPr>
              <w:t>(a)</w:t>
            </w:r>
          </w:p>
        </w:tc>
        <w:tc>
          <w:tcPr>
            <w:tcW w:w="4420" w:type="dxa"/>
            <w:vAlign w:val="bottom"/>
            <w:gridSpan w:val="2"/>
          </w:tcPr>
          <w:p>
            <w:pPr>
              <w:ind w:left="20"/>
              <w:spacing w:after="0"/>
              <w:rPr>
                <w:sz w:val="20"/>
                <w:szCs w:val="20"/>
                <w:color w:val="auto"/>
              </w:rPr>
            </w:pPr>
            <w:r>
              <w:rPr>
                <w:rFonts w:ascii="Arial" w:cs="Arial" w:eastAsia="Arial" w:hAnsi="Arial"/>
                <w:sz w:val="20"/>
                <w:szCs w:val="20"/>
                <w:b w:val="1"/>
                <w:bCs w:val="1"/>
                <w:color w:val="auto"/>
              </w:rPr>
              <w:t>lessor, or similar parties</w:t>
            </w:r>
          </w:p>
        </w:tc>
        <w:tc>
          <w:tcPr>
            <w:tcW w:w="4540" w:type="dxa"/>
            <w:vAlign w:val="bottom"/>
            <w:gridSpan w:val="2"/>
          </w:tcPr>
          <w:p>
            <w:pPr>
              <w:spacing w:after="0"/>
              <w:rPr>
                <w:sz w:val="20"/>
                <w:szCs w:val="20"/>
                <w:color w:val="auto"/>
              </w:rPr>
            </w:pPr>
            <w:r>
              <w:rPr>
                <w:rFonts w:ascii="Arial" w:cs="Arial" w:eastAsia="Arial" w:hAnsi="Arial"/>
                <w:sz w:val="20"/>
                <w:szCs w:val="20"/>
                <w:b w:val="1"/>
                <w:bCs w:val="1"/>
                <w:color w:val="auto"/>
              </w:rPr>
              <w:t>collateral, par, or maturity value</w:t>
            </w:r>
          </w:p>
        </w:tc>
        <w:tc>
          <w:tcPr>
            <w:tcW w:w="1580" w:type="dxa"/>
            <w:vAlign w:val="bottom"/>
            <w:gridSpan w:val="2"/>
          </w:tcPr>
          <w:p>
            <w:pPr>
              <w:ind w:left="20"/>
              <w:spacing w:after="0"/>
              <w:rPr>
                <w:sz w:val="20"/>
                <w:szCs w:val="20"/>
                <w:color w:val="auto"/>
              </w:rPr>
            </w:pPr>
            <w:r>
              <w:rPr>
                <w:rFonts w:ascii="Arial" w:cs="Arial" w:eastAsia="Arial" w:hAnsi="Arial"/>
                <w:sz w:val="20"/>
                <w:szCs w:val="20"/>
                <w:b w:val="1"/>
                <w:bCs w:val="1"/>
                <w:color w:val="auto"/>
              </w:rPr>
              <w:t>Value</w:t>
            </w:r>
          </w:p>
        </w:tc>
        <w:tc>
          <w:tcPr>
            <w:tcW w:w="0" w:type="dxa"/>
            <w:vAlign w:val="bottom"/>
          </w:tcPr>
          <w:p>
            <w:pPr>
              <w:spacing w:after="0"/>
              <w:rPr>
                <w:sz w:val="1"/>
                <w:szCs w:val="1"/>
                <w:color w:val="auto"/>
              </w:rPr>
            </w:pPr>
          </w:p>
        </w:tc>
      </w:tr>
      <w:tr>
        <w:trPr>
          <w:trHeight w:val="23"/>
        </w:trPr>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b w:val="1"/>
                <w:bCs w:val="1"/>
                <w:color w:val="auto"/>
              </w:rPr>
              <w:t>Mutual Funds</w:t>
            </w:r>
          </w:p>
        </w:tc>
        <w:tc>
          <w:tcPr>
            <w:tcW w:w="4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Developed Markets Idx Ist</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Mutual funds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24,353,512</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Emrgn Mkts Stk Ix Ins</w:t>
            </w:r>
          </w:p>
        </w:tc>
        <w:tc>
          <w:tcPr>
            <w:tcW w:w="4540" w:type="dxa"/>
            <w:vAlign w:val="bottom"/>
            <w:gridSpan w:val="2"/>
          </w:tcPr>
          <w:p>
            <w:pPr>
              <w:spacing w:after="0"/>
              <w:rPr>
                <w:sz w:val="20"/>
                <w:szCs w:val="20"/>
                <w:color w:val="auto"/>
              </w:rPr>
            </w:pPr>
            <w:r>
              <w:rPr>
                <w:rFonts w:ascii="Arial" w:cs="Arial" w:eastAsia="Arial" w:hAnsi="Arial"/>
                <w:sz w:val="20"/>
                <w:szCs w:val="20"/>
                <w:color w:val="auto"/>
              </w:rPr>
              <w:t>Mutual funds</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12,992,403</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Inst Index Fund</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Mutual funds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74,345,091</w:t>
            </w:r>
          </w:p>
        </w:tc>
        <w:tc>
          <w:tcPr>
            <w:tcW w:w="0" w:type="dxa"/>
            <w:vAlign w:val="bottom"/>
          </w:tcPr>
          <w:p>
            <w:pPr>
              <w:spacing w:after="0"/>
              <w:rPr>
                <w:sz w:val="1"/>
                <w:szCs w:val="1"/>
                <w:color w:val="auto"/>
              </w:rPr>
            </w:pPr>
          </w:p>
        </w:tc>
      </w:tr>
      <w:tr>
        <w:trPr>
          <w:trHeight w:val="261"/>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Md-Cap Index Fund Ins</w:t>
            </w:r>
          </w:p>
        </w:tc>
        <w:tc>
          <w:tcPr>
            <w:tcW w:w="4540" w:type="dxa"/>
            <w:vAlign w:val="bottom"/>
            <w:gridSpan w:val="2"/>
          </w:tcPr>
          <w:p>
            <w:pPr>
              <w:spacing w:after="0"/>
              <w:rPr>
                <w:sz w:val="20"/>
                <w:szCs w:val="20"/>
                <w:color w:val="auto"/>
              </w:rPr>
            </w:pPr>
            <w:r>
              <w:rPr>
                <w:rFonts w:ascii="Arial" w:cs="Arial" w:eastAsia="Arial" w:hAnsi="Arial"/>
                <w:sz w:val="20"/>
                <w:szCs w:val="20"/>
                <w:color w:val="auto"/>
              </w:rPr>
              <w:t>Mutual funds</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37,620,866</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Prime Money Mkt</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Mutual funds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479,637</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Sm-Cap Index Fund Ins</w:t>
            </w:r>
          </w:p>
        </w:tc>
        <w:tc>
          <w:tcPr>
            <w:tcW w:w="4540" w:type="dxa"/>
            <w:vAlign w:val="bottom"/>
            <w:gridSpan w:val="2"/>
          </w:tcPr>
          <w:p>
            <w:pPr>
              <w:spacing w:after="0"/>
              <w:rPr>
                <w:sz w:val="20"/>
                <w:szCs w:val="20"/>
                <w:color w:val="auto"/>
              </w:rPr>
            </w:pPr>
            <w:r>
              <w:rPr>
                <w:rFonts w:ascii="Arial" w:cs="Arial" w:eastAsia="Arial" w:hAnsi="Arial"/>
                <w:sz w:val="20"/>
                <w:szCs w:val="20"/>
                <w:color w:val="auto"/>
              </w:rPr>
              <w:t>Mutual funds</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20,401,580</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Total Bond Idx Inst</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Mutual funds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22,893,687</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Tot Intl Bond Ix Institl</w:t>
            </w:r>
          </w:p>
        </w:tc>
        <w:tc>
          <w:tcPr>
            <w:tcW w:w="4540" w:type="dxa"/>
            <w:vAlign w:val="bottom"/>
            <w:gridSpan w:val="2"/>
          </w:tcPr>
          <w:p>
            <w:pPr>
              <w:spacing w:after="0"/>
              <w:rPr>
                <w:sz w:val="20"/>
                <w:szCs w:val="20"/>
                <w:color w:val="auto"/>
              </w:rPr>
            </w:pPr>
            <w:r>
              <w:rPr>
                <w:rFonts w:ascii="Arial" w:cs="Arial" w:eastAsia="Arial" w:hAnsi="Arial"/>
                <w:sz w:val="20"/>
                <w:szCs w:val="20"/>
                <w:color w:val="auto"/>
              </w:rPr>
              <w:t>Mutual funds</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4,605,833</w:t>
            </w:r>
          </w:p>
        </w:tc>
        <w:tc>
          <w:tcPr>
            <w:tcW w:w="0" w:type="dxa"/>
            <w:vAlign w:val="bottom"/>
          </w:tcPr>
          <w:p>
            <w:pPr>
              <w:spacing w:after="0"/>
              <w:rPr>
                <w:sz w:val="1"/>
                <w:szCs w:val="1"/>
                <w:color w:val="auto"/>
              </w:rPr>
            </w:pPr>
          </w:p>
        </w:tc>
      </w:tr>
      <w:tr>
        <w:trPr>
          <w:trHeight w:val="23"/>
        </w:trPr>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color w:val="auto"/>
              </w:rPr>
              <w:t>Total mutual funds</w:t>
            </w:r>
          </w:p>
        </w:tc>
        <w:tc>
          <w:tcPr>
            <w:tcW w:w="4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95"/>
              </w:rPr>
              <w:t>197,692,609</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b w:val="1"/>
                <w:bCs w:val="1"/>
                <w:color w:val="auto"/>
              </w:rPr>
              <w:t>Common/Collective Trust Funds</w:t>
            </w:r>
          </w:p>
        </w:tc>
        <w:tc>
          <w:tcPr>
            <w:tcW w:w="43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Retirement Savings Trust III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24,094,199</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2015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18,658,029</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2020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63,519,597</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2025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99,441,472</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2030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w w:val="95"/>
              </w:rPr>
              <w:t>114,504,920</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2035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95"/>
              </w:rPr>
              <w:t>106,404,985</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2040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84,648,396</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2045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72,380,563</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2050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45,107,336</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2055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26,261,838</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2060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7,428,433</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Vanguard Tgt Retire 2065 Tr I</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604,033</w:t>
            </w:r>
          </w:p>
        </w:tc>
        <w:tc>
          <w:tcPr>
            <w:tcW w:w="0" w:type="dxa"/>
            <w:vAlign w:val="bottom"/>
          </w:tcPr>
          <w:p>
            <w:pPr>
              <w:spacing w:after="0"/>
              <w:rPr>
                <w:sz w:val="1"/>
                <w:szCs w:val="1"/>
                <w:color w:val="auto"/>
              </w:rPr>
            </w:pPr>
          </w:p>
        </w:tc>
      </w:tr>
      <w:tr>
        <w:trPr>
          <w:trHeight w:val="260"/>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Vanguard Tgt Retire Inc Tr I</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Common/Collective Trust</w:t>
            </w:r>
          </w:p>
        </w:tc>
        <w:tc>
          <w:tcPr>
            <w:tcW w:w="340" w:type="dxa"/>
            <w:vAlign w:val="bottom"/>
          </w:tcPr>
          <w:p>
            <w:pPr>
              <w:spacing w:after="0"/>
              <w:rPr>
                <w:sz w:val="22"/>
                <w:szCs w:val="22"/>
                <w:color w:val="auto"/>
              </w:rPr>
            </w:pPr>
          </w:p>
        </w:tc>
        <w:tc>
          <w:tcPr>
            <w:tcW w:w="1240" w:type="dxa"/>
            <w:vAlign w:val="bottom"/>
          </w:tcPr>
          <w:p>
            <w:pPr>
              <w:jc w:val="right"/>
              <w:ind w:right="61"/>
              <w:spacing w:after="0"/>
              <w:rPr>
                <w:sz w:val="20"/>
                <w:szCs w:val="20"/>
                <w:color w:val="auto"/>
              </w:rPr>
            </w:pPr>
            <w:r>
              <w:rPr>
                <w:rFonts w:ascii="Arial" w:cs="Arial" w:eastAsia="Arial" w:hAnsi="Arial"/>
                <w:sz w:val="20"/>
                <w:szCs w:val="20"/>
                <w:color w:val="auto"/>
              </w:rPr>
              <w:t>8,702,246</w:t>
            </w:r>
          </w:p>
        </w:tc>
        <w:tc>
          <w:tcPr>
            <w:tcW w:w="0" w:type="dxa"/>
            <w:vAlign w:val="bottom"/>
          </w:tcPr>
          <w:p>
            <w:pPr>
              <w:spacing w:after="0"/>
              <w:rPr>
                <w:sz w:val="1"/>
                <w:szCs w:val="1"/>
                <w:color w:val="auto"/>
              </w:rPr>
            </w:pPr>
          </w:p>
        </w:tc>
      </w:tr>
      <w:tr>
        <w:trPr>
          <w:trHeight w:val="23"/>
        </w:trPr>
        <w:tc>
          <w:tcPr>
            <w:tcW w:w="5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6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5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2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20"/>
                <w:szCs w:val="20"/>
                <w:color w:val="auto"/>
              </w:rPr>
              <w:t>Total Common/collective trust funds</w:t>
            </w:r>
          </w:p>
        </w:tc>
        <w:tc>
          <w:tcPr>
            <w:tcW w:w="436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w w:val="95"/>
              </w:rPr>
              <w:t>671,756,047</w:t>
            </w:r>
          </w:p>
        </w:tc>
        <w:tc>
          <w:tcPr>
            <w:tcW w:w="0" w:type="dxa"/>
            <w:vAlign w:val="bottom"/>
          </w:tcPr>
          <w:p>
            <w:pPr>
              <w:spacing w:after="0"/>
              <w:rPr>
                <w:sz w:val="1"/>
                <w:szCs w:val="1"/>
                <w:color w:val="auto"/>
              </w:rPr>
            </w:pPr>
          </w:p>
        </w:tc>
      </w:tr>
      <w:tr>
        <w:trPr>
          <w:trHeight w:val="254"/>
        </w:trPr>
        <w:tc>
          <w:tcPr>
            <w:tcW w:w="540" w:type="dxa"/>
            <w:vAlign w:val="bottom"/>
          </w:tcPr>
          <w:p>
            <w:pPr>
              <w:ind w:lef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2"/>
                <w:szCs w:val="22"/>
                <w:color w:val="auto"/>
              </w:rPr>
            </w:pPr>
          </w:p>
        </w:tc>
        <w:tc>
          <w:tcPr>
            <w:tcW w:w="4420" w:type="dxa"/>
            <w:vAlign w:val="bottom"/>
            <w:gridSpan w:val="2"/>
          </w:tcPr>
          <w:p>
            <w:pPr>
              <w:ind w:left="20"/>
              <w:spacing w:after="0"/>
              <w:rPr>
                <w:sz w:val="20"/>
                <w:szCs w:val="20"/>
                <w:color w:val="auto"/>
              </w:rPr>
            </w:pPr>
            <w:r>
              <w:rPr>
                <w:rFonts w:ascii="Arial" w:cs="Arial" w:eastAsia="Arial" w:hAnsi="Arial"/>
                <w:sz w:val="20"/>
                <w:szCs w:val="20"/>
                <w:color w:val="auto"/>
              </w:rPr>
              <w:t>Roper Common Stock</w:t>
            </w:r>
          </w:p>
        </w:tc>
        <w:tc>
          <w:tcPr>
            <w:tcW w:w="4540" w:type="dxa"/>
            <w:vAlign w:val="bottom"/>
            <w:gridSpan w:val="2"/>
          </w:tcPr>
          <w:p>
            <w:pPr>
              <w:spacing w:after="0"/>
              <w:rPr>
                <w:sz w:val="20"/>
                <w:szCs w:val="20"/>
                <w:color w:val="auto"/>
              </w:rPr>
            </w:pPr>
            <w:r>
              <w:rPr>
                <w:rFonts w:ascii="Arial" w:cs="Arial" w:eastAsia="Arial" w:hAnsi="Arial"/>
                <w:sz w:val="20"/>
                <w:szCs w:val="20"/>
                <w:color w:val="auto"/>
              </w:rPr>
              <w:t>Common stock</w:t>
            </w:r>
          </w:p>
        </w:tc>
        <w:tc>
          <w:tcPr>
            <w:tcW w:w="3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rPr>
              <w:t>27,925,015</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4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20"/>
                <w:szCs w:val="20"/>
                <w:color w:val="auto"/>
              </w:rPr>
              <w:t>Notes receivable from participants</w:t>
            </w: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20"/>
                <w:szCs w:val="20"/>
                <w:color w:val="auto"/>
              </w:rPr>
              <w:t>Interest rates ranging from 4.25% to 6.25%</w:t>
            </w:r>
          </w:p>
        </w:tc>
        <w:tc>
          <w:tcPr>
            <w:tcW w:w="34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20"/>
                <w:szCs w:val="20"/>
                <w:color w:val="auto"/>
              </w:rPr>
              <w:t>9,335,211</w:t>
            </w:r>
          </w:p>
        </w:tc>
        <w:tc>
          <w:tcPr>
            <w:tcW w:w="0" w:type="dxa"/>
            <w:vAlign w:val="bottom"/>
          </w:tcPr>
          <w:p>
            <w:pPr>
              <w:spacing w:after="0"/>
              <w:rPr>
                <w:sz w:val="1"/>
                <w:szCs w:val="1"/>
                <w:color w:val="auto"/>
              </w:rPr>
            </w:pPr>
          </w:p>
        </w:tc>
      </w:tr>
      <w:tr>
        <w:trPr>
          <w:trHeight w:val="254"/>
        </w:trPr>
        <w:tc>
          <w:tcPr>
            <w:tcW w:w="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3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w:t>
            </w:r>
          </w:p>
        </w:tc>
        <w:tc>
          <w:tcPr>
            <w:tcW w:w="1240" w:type="dxa"/>
            <w:vAlign w:val="bottom"/>
            <w:tcBorders>
              <w:top w:val="single" w:sz="8" w:color="auto"/>
            </w:tcBorders>
          </w:tcPr>
          <w:p>
            <w:pPr>
              <w:jc w:val="right"/>
              <w:ind w:right="61"/>
              <w:spacing w:after="0"/>
              <w:rPr>
                <w:sz w:val="20"/>
                <w:szCs w:val="20"/>
                <w:color w:val="auto"/>
              </w:rPr>
            </w:pPr>
            <w:r>
              <w:rPr>
                <w:rFonts w:ascii="Arial" w:cs="Arial" w:eastAsia="Arial" w:hAnsi="Arial"/>
                <w:sz w:val="20"/>
                <w:szCs w:val="20"/>
                <w:color w:val="auto"/>
                <w:w w:val="95"/>
              </w:rPr>
              <w:t>906,708,882</w:t>
            </w:r>
          </w:p>
        </w:tc>
        <w:tc>
          <w:tcPr>
            <w:tcW w:w="0" w:type="dxa"/>
            <w:vAlign w:val="bottom"/>
          </w:tcPr>
          <w:p>
            <w:pPr>
              <w:spacing w:after="0"/>
              <w:rPr>
                <w:sz w:val="1"/>
                <w:szCs w:val="1"/>
                <w:color w:val="auto"/>
              </w:rPr>
            </w:pPr>
          </w:p>
        </w:tc>
      </w:tr>
      <w:tr>
        <w:trPr>
          <w:trHeight w:val="23"/>
        </w:trPr>
        <w:tc>
          <w:tcPr>
            <w:tcW w:w="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420" w:type="dxa"/>
            <w:vAlign w:val="bottom"/>
            <w:gridSpan w:val="2"/>
            <w:vMerge w:val="restart"/>
          </w:tcPr>
          <w:p>
            <w:pPr>
              <w:ind w:left="20"/>
              <w:spacing w:after="0"/>
              <w:rPr>
                <w:sz w:val="20"/>
                <w:szCs w:val="20"/>
                <w:color w:val="auto"/>
              </w:rPr>
            </w:pPr>
            <w:r>
              <w:rPr>
                <w:rFonts w:ascii="Arial" w:cs="Arial" w:eastAsia="Arial" w:hAnsi="Arial"/>
                <w:sz w:val="20"/>
                <w:szCs w:val="20"/>
                <w:color w:val="auto"/>
              </w:rPr>
              <w:t>*Indicates party-in-interest</w:t>
            </w:r>
          </w:p>
        </w:tc>
        <w:tc>
          <w:tcPr>
            <w:tcW w:w="4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7"/>
        </w:trPr>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20" w:type="dxa"/>
            <w:vAlign w:val="bottom"/>
            <w:gridSpan w:val="2"/>
            <w:vMerge w:val="continue"/>
          </w:tcPr>
          <w:p>
            <w:pPr>
              <w:spacing w:after="0"/>
              <w:rPr>
                <w:sz w:val="19"/>
                <w:szCs w:val="19"/>
                <w:color w:val="auto"/>
              </w:rPr>
            </w:pPr>
          </w:p>
        </w:tc>
        <w:tc>
          <w:tcPr>
            <w:tcW w:w="4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2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ROPER Technologies, Inc.</w:t>
      </w:r>
    </w:p>
    <w:p>
      <w:pPr>
        <w:spacing w:after="0" w:line="22"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EMPLOYEE’S retirement savings 004 plan</w:t>
      </w:r>
    </w:p>
    <w:p>
      <w:pPr>
        <w:spacing w:after="0" w:line="38" w:lineRule="exact"/>
        <w:rPr>
          <w:sz w:val="20"/>
          <w:szCs w:val="20"/>
          <w:color w:val="auto"/>
        </w:rPr>
      </w:pPr>
    </w:p>
    <w:p>
      <w:pPr>
        <w:ind w:left="620"/>
        <w:spacing w:after="0"/>
        <w:rPr>
          <w:sz w:val="20"/>
          <w:szCs w:val="20"/>
          <w:color w:val="auto"/>
        </w:rPr>
      </w:pPr>
      <w:r>
        <w:rPr>
          <w:rFonts w:ascii="Arial" w:cs="Arial" w:eastAsia="Arial" w:hAnsi="Arial"/>
          <w:sz w:val="20"/>
          <w:szCs w:val="20"/>
          <w:color w:val="auto"/>
        </w:rPr>
        <w:t>(Registrant)</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5700" w:type="dxa"/>
            <w:vAlign w:val="bottom"/>
          </w:tcPr>
          <w:p>
            <w:pPr>
              <w:ind w:left="20"/>
              <w:spacing w:after="0"/>
              <w:rPr>
                <w:sz w:val="20"/>
                <w:szCs w:val="20"/>
                <w:color w:val="auto"/>
              </w:rPr>
            </w:pPr>
            <w:r>
              <w:rPr>
                <w:rFonts w:ascii="Arial" w:cs="Arial" w:eastAsia="Arial" w:hAnsi="Arial"/>
                <w:sz w:val="20"/>
                <w:szCs w:val="20"/>
                <w:color w:val="auto"/>
              </w:rPr>
              <w:t>/S/ Jason Conley</w:t>
            </w:r>
          </w:p>
        </w:tc>
        <w:tc>
          <w:tcPr>
            <w:tcW w:w="2620" w:type="dxa"/>
            <w:vAlign w:val="bottom"/>
          </w:tcPr>
          <w:p>
            <w:pPr>
              <w:ind w:left="1040"/>
              <w:spacing w:after="0"/>
              <w:rPr>
                <w:sz w:val="20"/>
                <w:szCs w:val="20"/>
                <w:color w:val="auto"/>
              </w:rPr>
            </w:pPr>
            <w:r>
              <w:rPr>
                <w:rFonts w:ascii="Arial" w:cs="Arial" w:eastAsia="Arial" w:hAnsi="Arial"/>
                <w:sz w:val="20"/>
                <w:szCs w:val="20"/>
                <w:color w:val="auto"/>
                <w:w w:val="86"/>
              </w:rPr>
              <w:t>Date: June 24, 2020</w:t>
            </w:r>
          </w:p>
        </w:tc>
      </w:tr>
      <w:tr>
        <w:trPr>
          <w:trHeight w:val="23"/>
        </w:trPr>
        <w:tc>
          <w:tcPr>
            <w:tcW w:w="600" w:type="dxa"/>
            <w:vAlign w:val="bottom"/>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2620" w:type="dxa"/>
            <w:vAlign w:val="bottom"/>
          </w:tcPr>
          <w:p>
            <w:pPr>
              <w:spacing w:after="0"/>
              <w:rPr>
                <w:sz w:val="2"/>
                <w:szCs w:val="2"/>
                <w:color w:val="auto"/>
              </w:rPr>
            </w:pPr>
          </w:p>
        </w:tc>
      </w:tr>
      <w:tr>
        <w:trPr>
          <w:trHeight w:val="254"/>
        </w:trPr>
        <w:tc>
          <w:tcPr>
            <w:tcW w:w="600" w:type="dxa"/>
            <w:vAlign w:val="bottom"/>
          </w:tcPr>
          <w:p>
            <w:pPr>
              <w:spacing w:after="0"/>
              <w:rPr>
                <w:sz w:val="22"/>
                <w:szCs w:val="22"/>
                <w:color w:val="auto"/>
              </w:rPr>
            </w:pPr>
          </w:p>
        </w:tc>
        <w:tc>
          <w:tcPr>
            <w:tcW w:w="5700" w:type="dxa"/>
            <w:vAlign w:val="bottom"/>
          </w:tcPr>
          <w:p>
            <w:pPr>
              <w:ind w:left="20"/>
              <w:spacing w:after="0"/>
              <w:rPr>
                <w:sz w:val="20"/>
                <w:szCs w:val="20"/>
                <w:color w:val="auto"/>
              </w:rPr>
            </w:pPr>
            <w:r>
              <w:rPr>
                <w:rFonts w:ascii="Arial" w:cs="Arial" w:eastAsia="Arial" w:hAnsi="Arial"/>
                <w:sz w:val="20"/>
                <w:szCs w:val="20"/>
                <w:color w:val="auto"/>
              </w:rPr>
              <w:t>Jason Conley, Vice President and Controller</w:t>
            </w:r>
          </w:p>
        </w:tc>
        <w:tc>
          <w:tcPr>
            <w:tcW w:w="2620" w:type="dxa"/>
            <w:vAlign w:val="bottom"/>
          </w:tcPr>
          <w:p>
            <w:pPr>
              <w:spacing w:after="0"/>
              <w:rPr>
                <w:sz w:val="22"/>
                <w:szCs w:val="22"/>
                <w:color w:val="auto"/>
              </w:rPr>
            </w:pPr>
          </w:p>
        </w:tc>
      </w:tr>
    </w:tbl>
    <w:p>
      <w:pPr>
        <w:sectPr>
          <w:pgSz w:w="11900" w:h="16838" w:orient="portrait"/>
          <w:cols w:equalWidth="0" w:num="1">
            <w:col w:w="9039"/>
          </w:cols>
          <w:pgMar w:left="1420" w:top="1440"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180" w:type="dxa"/>
            <w:vAlign w:val="bottom"/>
          </w:tcPr>
          <w:p>
            <w:pPr>
              <w:ind w:left="2420"/>
              <w:spacing w:after="0"/>
              <w:rPr>
                <w:sz w:val="20"/>
                <w:szCs w:val="20"/>
                <w:color w:val="auto"/>
              </w:rPr>
            </w:pPr>
            <w:r>
              <w:rPr>
                <w:rFonts w:ascii="Arial" w:cs="Arial" w:eastAsia="Arial" w:hAnsi="Arial"/>
                <w:sz w:val="20"/>
                <w:szCs w:val="20"/>
                <w:b w:val="1"/>
                <w:bCs w:val="1"/>
                <w:color w:val="auto"/>
              </w:rPr>
              <w:t>Exhibit Index</w:t>
            </w:r>
          </w:p>
        </w:tc>
      </w:tr>
      <w:tr>
        <w:trPr>
          <w:trHeight w:val="283"/>
        </w:trPr>
        <w:tc>
          <w:tcPr>
            <w:tcW w:w="262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 No.</w:t>
            </w:r>
          </w:p>
        </w:tc>
        <w:tc>
          <w:tcPr>
            <w:tcW w:w="8180" w:type="dxa"/>
            <w:vAlign w:val="bottom"/>
          </w:tcPr>
          <w:p>
            <w:pPr>
              <w:ind w:left="20"/>
              <w:spacing w:after="0"/>
              <w:rPr>
                <w:sz w:val="20"/>
                <w:szCs w:val="20"/>
                <w:color w:val="auto"/>
              </w:rPr>
            </w:pPr>
            <w:r>
              <w:rPr>
                <w:rFonts w:ascii="Arial" w:cs="Arial" w:eastAsia="Arial" w:hAnsi="Arial"/>
                <w:sz w:val="20"/>
                <w:szCs w:val="20"/>
                <w:b w:val="1"/>
                <w:bCs w:val="1"/>
                <w:color w:val="auto"/>
              </w:rPr>
              <w:t>Description of Index</w:t>
            </w:r>
          </w:p>
        </w:tc>
      </w:tr>
      <w:tr>
        <w:trPr>
          <w:trHeight w:val="23"/>
        </w:trPr>
        <w:tc>
          <w:tcPr>
            <w:tcW w:w="2240" w:type="dxa"/>
            <w:vAlign w:val="bottom"/>
            <w:tcBorders>
              <w:bottom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81"/>
        </w:trPr>
        <w:tc>
          <w:tcPr>
            <w:tcW w:w="2240" w:type="dxa"/>
            <w:vAlign w:val="bottom"/>
          </w:tcPr>
          <w:p>
            <w:pPr>
              <w:ind w:left="20"/>
              <w:spacing w:after="0"/>
              <w:rPr>
                <w:sz w:val="20"/>
                <w:szCs w:val="20"/>
                <w:color w:val="auto"/>
              </w:rPr>
            </w:pPr>
            <w:r>
              <w:rPr>
                <w:rFonts w:ascii="Arial" w:cs="Arial" w:eastAsia="Arial" w:hAnsi="Arial"/>
                <w:sz w:val="20"/>
                <w:szCs w:val="20"/>
                <w:color w:val="auto"/>
              </w:rPr>
              <w:t>23.1</w:t>
            </w:r>
          </w:p>
        </w:tc>
        <w:tc>
          <w:tcPr>
            <w:tcW w:w="380" w:type="dxa"/>
            <w:vAlign w:val="bottom"/>
          </w:tcPr>
          <w:p>
            <w:pPr>
              <w:spacing w:after="0"/>
              <w:rPr>
                <w:sz w:val="24"/>
                <w:szCs w:val="24"/>
                <w:color w:val="auto"/>
              </w:rPr>
            </w:pPr>
          </w:p>
        </w:tc>
        <w:tc>
          <w:tcPr>
            <w:tcW w:w="8180" w:type="dxa"/>
            <w:vAlign w:val="bottom"/>
          </w:tcPr>
          <w:p>
            <w:pPr>
              <w:ind w:left="20"/>
              <w:spacing w:after="0"/>
              <w:rPr>
                <w:rFonts w:ascii="Arial" w:cs="Arial" w:eastAsia="Arial" w:hAnsi="Arial"/>
                <w:sz w:val="20"/>
                <w:szCs w:val="20"/>
                <w:u w:val="single" w:color="auto"/>
                <w:color w:val="0000FF"/>
              </w:rPr>
            </w:pPr>
            <w:hyperlink w:anchor="page15">
              <w:r>
                <w:rPr>
                  <w:rFonts w:ascii="Arial" w:cs="Arial" w:eastAsia="Arial" w:hAnsi="Arial"/>
                  <w:sz w:val="20"/>
                  <w:szCs w:val="20"/>
                  <w:u w:val="single" w:color="auto"/>
                  <w:color w:val="0000FF"/>
                </w:rPr>
                <w:t>Consent of Warren Averett, LLC</w:t>
              </w:r>
            </w:hyperlink>
          </w:p>
        </w:tc>
      </w:tr>
    </w:tbl>
    <w:p>
      <w:pPr>
        <w:sectPr>
          <w:pgSz w:w="11900" w:h="16838" w:orient="portrait"/>
          <w:cols w:equalWidth="0" w:num="1">
            <w:col w:w="10800"/>
          </w:cols>
          <w:pgMar w:left="320" w:top="1413" w:right="7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consent to the incorporation by reference in Registration Statement No. 333-36897 on Form S-8 of our report dated June 24, 2020, appearing in this Annual Report on Form 11-K of the Roper Technologies, Inc. Employees’ Retirement Savings 004 Plan for the year ended December 31, 2019.</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/s/ Warren Averett, LLC</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Atlanta, Georgia</w:t>
      </w:r>
    </w:p>
    <w:p>
      <w:pPr>
        <w:spacing w:after="0"/>
        <w:rPr>
          <w:sz w:val="20"/>
          <w:szCs w:val="20"/>
          <w:color w:val="auto"/>
        </w:rPr>
      </w:pPr>
      <w:r>
        <w:rPr>
          <w:rFonts w:ascii="Arial" w:cs="Arial" w:eastAsia="Arial" w:hAnsi="Arial"/>
          <w:sz w:val="22"/>
          <w:szCs w:val="22"/>
          <w:color w:val="auto"/>
        </w:rPr>
        <w:t>June 24, 2020</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2020-06-24T09:44:42Z</dcterms:created>
  <dcterms:modified xsi:type="dcterms:W3CDTF">2020-06-24T09:44:42Z</dcterms:modified>
</cp:coreProperties>
</file>