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July 23,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p>
      <w:pPr>
        <w:pStyle w:val="TextBody"/>
        <w:bidi w:val="0"/>
        <w:spacing w:lineRule="auto" w:line="288" w:before="0" w:after="20"/>
        <w:jc w:val="center"/>
        <w:rPr>
          <w:rFonts w:ascii="Times New Roman;serif" w:hAnsi="Times New Roman;serif"/>
          <w:b/>
          <w:color w:val="000000"/>
          <w:sz w:val="28"/>
        </w:rPr>
      </w:pPr>
      <w:r>
        <w:rPr>
          <w:rFonts w:ascii="Times New Roman;serif" w:hAnsi="Times New Roman;serif"/>
          <w:b/>
          <w:color w:val="000000"/>
          <w:sz w:val="28"/>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20"/>
        <w:jc w:val="center"/>
        <w:rPr>
          <w:rFonts w:ascii="Times New Roman;serif" w:hAnsi="Times New Roman;serif"/>
          <w:b/>
          <w:color w:val="000000"/>
          <w:sz w:val="24"/>
        </w:rPr>
      </w:pPr>
      <w:r>
        <w:rPr>
          <w:rFonts w:ascii="Times New Roman;serif" w:hAnsi="Times New Roman;serif"/>
          <w:b/>
          <w:color w:val="000000"/>
          <w:sz w:val="24"/>
        </w:rPr>
        <w:t>Delaware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7949" w:type="dxa"/>
        <w:jc w:val="center"/>
        <w:tblInd w:w="0" w:type="dxa"/>
        <w:tblLayout w:type="fixed"/>
        <w:tblCellMar>
          <w:top w:w="28" w:type="dxa"/>
          <w:left w:w="28" w:type="dxa"/>
          <w:bottom w:w="28" w:type="dxa"/>
          <w:right w:w="28" w:type="dxa"/>
        </w:tblCellMar>
      </w:tblPr>
      <w:tblGrid>
        <w:gridCol w:w="808"/>
        <w:gridCol w:w="708"/>
        <w:gridCol w:w="708"/>
        <w:gridCol w:w="708"/>
        <w:gridCol w:w="708"/>
        <w:gridCol w:w="724"/>
        <w:gridCol w:w="1048"/>
        <w:gridCol w:w="1048"/>
        <w:gridCol w:w="1489"/>
      </w:tblGrid>
      <w:tr>
        <w:trPr/>
        <w:tc>
          <w:tcPr>
            <w:tcW w:w="8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1-12273</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51-0263969</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6496 University Parkway</w:t>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Sarasota,</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34240</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(941) 556-2601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72" w:type="dxa"/>
        <w:jc w:val="center"/>
        <w:tblInd w:w="0" w:type="dxa"/>
        <w:tblLayout w:type="fixed"/>
        <w:tblCellMar>
          <w:top w:w="28" w:type="dxa"/>
          <w:left w:w="28" w:type="dxa"/>
          <w:bottom w:w="28" w:type="dxa"/>
          <w:right w:w="28" w:type="dxa"/>
        </w:tblCellMar>
      </w:tblPr>
      <w:tblGrid>
        <w:gridCol w:w="1001"/>
        <w:gridCol w:w="875"/>
        <w:gridCol w:w="884"/>
        <w:gridCol w:w="109"/>
        <w:gridCol w:w="109"/>
        <w:gridCol w:w="109"/>
        <w:gridCol w:w="564"/>
        <w:gridCol w:w="564"/>
        <w:gridCol w:w="566"/>
        <w:gridCol w:w="109"/>
        <w:gridCol w:w="109"/>
        <w:gridCol w:w="109"/>
        <w:gridCol w:w="1187"/>
        <w:gridCol w:w="1187"/>
        <w:gridCol w:w="1690"/>
      </w:tblGrid>
      <w:tr>
        <w:trPr/>
        <w:tc>
          <w:tcPr>
            <w:tcW w:w="100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23, 2026, Roper Technologies, Inc. (the “Company”) issued a press release containing information about the Company’s results of operations for the quarter ended June 30, 2026. A copy of the press release is furnished as Exhibit 99.1.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60" w:after="6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rFonts w:ascii="Times New Roman;serif" w:hAnsi="Times New Roman;serif"/>
          <w:b w:val="false"/>
          <w:color w:val="000000"/>
          <w:sz w:val="20"/>
        </w:rPr>
        <w:t>.</w:t>
      </w:r>
    </w:p>
    <w:tbl>
      <w:tblPr>
        <w:tblW w:w="7186" w:type="dxa"/>
        <w:jc w:val="left"/>
        <w:tblInd w:w="0" w:type="dxa"/>
        <w:tblLayout w:type="fixed"/>
        <w:tblCellMar>
          <w:top w:w="28" w:type="dxa"/>
          <w:left w:w="28" w:type="dxa"/>
          <w:bottom w:w="28" w:type="dxa"/>
          <w:right w:w="28" w:type="dxa"/>
        </w:tblCellMar>
      </w:tblPr>
      <w:tblGrid>
        <w:gridCol w:w="196"/>
        <w:gridCol w:w="172"/>
        <w:gridCol w:w="173"/>
        <w:gridCol w:w="1946"/>
        <w:gridCol w:w="1946"/>
        <w:gridCol w:w="275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99.1</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arningsrelease.htm">
              <w:r>
                <w:rPr>
                  <w:rStyle w:val="InternetLink"/>
                  <w:rFonts w:ascii="Times New Roman;serif" w:hAnsi="Times New Roman;serif"/>
                  <w:b w:val="false"/>
                  <w:color w:val="000080"/>
                  <w:sz w:val="20"/>
                  <w:u w:val="single"/>
                </w:rPr>
                <w:t xml:space="preserve">Press Release of the Company dated </w:t>
              </w:r>
            </w:hyperlink>
            <w:hyperlink w:anchor="a2026q2earningsrelease.htm">
              <w:r>
                <w:rPr>
                  <w:rStyle w:val="InternetLink"/>
                  <w:rFonts w:ascii="Times New Roman;serif" w:hAnsi="Times New Roman;serif"/>
                  <w:b w:val="false"/>
                  <w:color w:val="000080"/>
                  <w:sz w:val="20"/>
                  <w:u w:val="single"/>
                </w:rPr>
                <w:t>July</w:t>
              </w:r>
            </w:hyperlink>
            <w:hyperlink w:anchor="a2026q2earningsrelease.htm">
              <w:r>
                <w:rPr>
                  <w:rStyle w:val="InternetLink"/>
                  <w:rFonts w:ascii="Times New Roman;serif" w:hAnsi="Times New Roman;serif"/>
                  <w:b w:val="false"/>
                  <w:color w:val="000080"/>
                  <w:sz w:val="20"/>
                  <w:u w:val="single"/>
                </w:rPr>
                <w:t xml:space="preserve"> 23, 2026.</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104</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464"/>
        <w:gridCol w:w="1464"/>
        <w:gridCol w:w="1467"/>
        <w:gridCol w:w="109"/>
        <w:gridCol w:w="109"/>
        <w:gridCol w:w="109"/>
        <w:gridCol w:w="179"/>
        <w:gridCol w:w="179"/>
        <w:gridCol w:w="181"/>
        <w:gridCol w:w="109"/>
        <w:gridCol w:w="109"/>
        <w:gridCol w:w="109"/>
        <w:gridCol w:w="368"/>
        <w:gridCol w:w="368"/>
        <w:gridCol w:w="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Roper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Conley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Conley</w:t>
              <w:b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657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657225"/>
                    </a:xfrm>
                    <a:prstGeom prst="rect">
                      <a:avLst/>
                    </a:prstGeom>
                  </pic:spPr>
                </pic:pic>
              </a:graphicData>
            </a:graphic>
          </wp:inline>
        </w:drawing>
      </w:r>
    </w:p>
    <w:p>
      <w:pPr>
        <w:pStyle w:val="TextBody"/>
        <w:bidi w:val="0"/>
        <w:spacing w:before="60" w:after="283"/>
        <w:jc w:val="center"/>
        <w:rPr/>
      </w:pPr>
      <w:r>
        <w:rPr/>
      </w:r>
    </w:p>
    <w:p>
      <w:pPr>
        <w:pStyle w:val="TextBody"/>
        <w:bidi w:val="0"/>
        <w:spacing w:lineRule="auto" w:line="276" w:before="0" w:after="0"/>
        <w:jc w:val="center"/>
        <w:rPr>
          <w:rFonts w:ascii="Montserrat;sans-serif" w:hAnsi="Montserrat;sans-serif"/>
          <w:b/>
          <w:color w:val="000000"/>
          <w:sz w:val="20"/>
        </w:rPr>
      </w:pPr>
      <w:r>
        <w:rPr>
          <w:rFonts w:ascii="Montserrat;sans-serif" w:hAnsi="Montserrat;sans-serif"/>
          <w:b/>
          <w:color w:val="000000"/>
          <w:sz w:val="20"/>
        </w:rPr>
        <w:t>Roper Technologies announces second quarter financial results</w:t>
      </w:r>
    </w:p>
    <w:p>
      <w:pPr>
        <w:pStyle w:val="TextBody"/>
        <w:bidi w:val="0"/>
        <w:spacing w:lineRule="auto" w:line="276" w:before="0" w:after="0"/>
        <w:jc w:val="center"/>
        <w:rPr>
          <w:rFonts w:ascii="Montserrat;sans-serif" w:hAnsi="Montserrat;sans-serif"/>
          <w:b/>
          <w:color w:val="000000"/>
          <w:sz w:val="20"/>
        </w:rPr>
      </w:pPr>
      <w:r>
        <w:rPr>
          <w:rFonts w:ascii="Montserrat;sans-serif" w:hAnsi="Montserrat;sans-serif"/>
          <w:b/>
          <w:color w:val="000000"/>
          <w:sz w:val="20"/>
        </w:rPr>
        <w:t>Increases full year guidance</w:t>
      </w:r>
    </w:p>
    <w:p>
      <w:pPr>
        <w:pStyle w:val="TextBody"/>
        <w:bidi w:val="0"/>
        <w:spacing w:before="0" w:after="0"/>
        <w:jc w:val="center"/>
        <w:rPr/>
      </w:pPr>
      <w:r>
        <w:rPr/>
      </w:r>
    </w:p>
    <w:p>
      <w:pPr>
        <w:pStyle w:val="TextBody"/>
        <w:bidi w:val="0"/>
        <w:spacing w:lineRule="auto" w:line="312" w:before="0" w:after="0"/>
        <w:jc w:val="both"/>
        <w:rPr/>
      </w:pPr>
      <w:r>
        <w:rPr>
          <w:rFonts w:ascii="Montserrat;sans-serif" w:hAnsi="Montserrat;sans-serif"/>
          <w:b/>
          <w:color w:val="000000"/>
          <w:sz w:val="20"/>
        </w:rPr>
        <w:t xml:space="preserve">Sarasota, Florida, July 23, 2026 ... Roper Technologies, Inc. (Nasdaq: ROP) </w:t>
      </w:r>
      <w:r>
        <w:rPr>
          <w:rFonts w:ascii="Montserrat;sans-serif" w:hAnsi="Montserrat;sans-serif"/>
          <w:b w:val="false"/>
          <w:color w:val="000000"/>
          <w:sz w:val="20"/>
        </w:rPr>
        <w:t>reported financial results for the second quarter ended June 30, 2026.</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color w:val="000000"/>
          <w:sz w:val="20"/>
        </w:rPr>
      </w:pPr>
      <w:r>
        <w:rPr>
          <w:rFonts w:ascii="Montserrat;sans-serif" w:hAnsi="Montserrat;sans-serif"/>
          <w:b/>
          <w:color w:val="000000"/>
          <w:sz w:val="20"/>
        </w:rPr>
        <w:t>Second quarter 2026 highlights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Revenue increased 9% to $2.11 billion; organic revenue was +5% and acquisition contribution was +3%</w:t>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GAAP DEPS increased 233% to $11.62; adjusted DEPS increased 10% to $5.38</w:t>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GAAP operating cash flow increased 16% to $469 million; adjusted free cash flow increased 11% to $447 million</w:t>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Repurchased 3.6 million shares for $1.2 billion in Q2 (program to date: 9.0 million shares for $3.2 billion)</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"Roper delivered another solid quarter, with 9% total revenue growth, 5% organic revenue growth, and 11% free cash flow growth," said Neil Hunn, Roper Technologies' President and CEO. "We repurchased 3.6 million shares for $1.2 billion during the quarter, bringing our cumulative repurchase activity over the past three quarters to 9.0 million shares or more than 8% of shares outstanding, and rolling our share count back to 2013 levels."</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"We continue to accelerate our pace of AI innovation, having launched multiple new products across the portfolio this quarter that expand our addressable markets. Early adopters are seeing the value of these solutions that address complex workflow challenges. This reinforces our conviction that Roper's vertical market-leading businesses, with deep domain expertise and proprietary data, are well positioned to create differentiated value for customers."</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"Given the combination of our strong first half performance, share repurchases to date, and durable customer demand for our mission-critical solutions, we are raising our full year outlook. With significant capital deployment capacity, we are focused on attractive acquisition targets that will continue compounding free cash flow per share for our shareholders," concluded Mr. Hunn.</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color w:val="000000"/>
          <w:sz w:val="20"/>
        </w:rPr>
      </w:pPr>
      <w:r>
        <w:rPr>
          <w:rFonts w:ascii="Montserrat;sans-serif" w:hAnsi="Montserrat;sans-serif"/>
          <w:b/>
          <w:color w:val="000000"/>
          <w:sz w:val="20"/>
        </w:rPr>
        <w:t>Increasing 2026 guidance</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Roper now expects full year 2026 adjusted DEPS of $22.15 - $22.30, compared to previous guidance of $21.80 - $22.05. The Company increased its full year total revenue growth outlook to 8%+, compared to a previous outlook of ~8%, and increased its organic revenue growth outlook to ~6%, compared to a previous outlook of +5 - 6%.</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For the third quarter of 2026, the Company expects adjusted DEPS of $5.75 - $5.80.</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The Company’s guidance excludes the impact of unannounced future acquisitions or divestitures, proceeds from Indicor's pending divestiture of its instrumentation businesses, as well as potential share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w:t>
                      </w:r>
                    </w:p>
                  </w:txbxContent>
                </v:textbox>
                <w10:wrap type="none"/>
              </v:rect>
            </w:pict>
          </mc:Fallback>
        </mc:AlternateContent>
      </w:r>
    </w:p>
    <w:p>
      <w:pPr>
        <w:pStyle w:val="TextBody"/>
        <w:bidi w:val="0"/>
        <w:spacing w:lineRule="auto" w:line="312" w:before="0" w:after="0"/>
        <w:jc w:val="both"/>
        <w:rPr>
          <w:rFonts w:ascii="Montserrat;sans-serif" w:hAnsi="Montserrat;sans-serif"/>
          <w:b/>
          <w:color w:val="000000"/>
          <w:sz w:val="20"/>
        </w:rPr>
      </w:pPr>
      <w:r>
        <w:rPr>
          <w:rFonts w:ascii="Montserrat;sans-serif" w:hAnsi="Montserrat;sans-serif"/>
          <w:b/>
          <w:color w:val="000000"/>
          <w:sz w:val="20"/>
        </w:rPr>
        <w:t>Conference call to be held at 8:00 AM (ET) today</w:t>
      </w:r>
    </w:p>
    <w:p>
      <w:pPr>
        <w:pStyle w:val="TextBody"/>
        <w:bidi w:val="0"/>
        <w:spacing w:before="0" w:after="0"/>
        <w:jc w:val="left"/>
        <w:rPr/>
      </w:pPr>
      <w:r>
        <w:rPr/>
      </w:r>
    </w:p>
    <w:p>
      <w:pPr>
        <w:pStyle w:val="TextBody"/>
        <w:bidi w:val="0"/>
        <w:spacing w:lineRule="auto" w:line="312" w:before="0" w:after="0"/>
        <w:jc w:val="both"/>
        <w:rPr/>
      </w:pPr>
      <w:r>
        <w:rPr>
          <w:rFonts w:ascii="Montserrat;sans-serif" w:hAnsi="Montserrat;sans-serif"/>
          <w:b w:val="false"/>
          <w:color w:val="000000"/>
          <w:sz w:val="20"/>
        </w:rPr>
        <w:t>A conference call to discuss these results has been scheduled for 8:00 AM ET on Thursday, July 23, 2026. The call can be accessed via webcast or by dialing +1 800-836-8184 (US/Canada) or +1 646-357-8785, using conference call ID 70538. Webcast information and conference call materials will be made available in the Investors section of Roper’s website (</w:t>
      </w:r>
      <w:r>
        <w:rPr>
          <w:rFonts w:ascii="Montserrat;sans-serif" w:hAnsi="Montserrat;sans-serif"/>
          <w:b w:val="false"/>
          <w:color w:val="0000FF"/>
          <w:sz w:val="20"/>
          <w:u w:val="single"/>
        </w:rPr>
        <w:t>www.ropertech.com</w:t>
      </w:r>
      <w:r>
        <w:rPr>
          <w:rFonts w:ascii="Montserrat;sans-serif" w:hAnsi="Montserrat;sans-serif"/>
          <w:b w:val="false"/>
          <w:color w:val="000000"/>
          <w:sz w:val="20"/>
        </w:rPr>
        <w:t xml:space="preserve">) prior to the start of the call. The webcast can also be accessed directly by using the following URL </w:t>
      </w:r>
      <w:r>
        <w:rPr>
          <w:rFonts w:ascii="Montserrat;sans-serif" w:hAnsi="Montserrat;sans-serif"/>
          <w:b w:val="false"/>
          <w:color w:val="0000FF"/>
          <w:sz w:val="20"/>
          <w:u w:val="single"/>
        </w:rPr>
        <w:t>https://event.webcast</w:t>
      </w:r>
      <w:r>
        <w:rPr>
          <w:rFonts w:ascii="Montserrat;sans-serif" w:hAnsi="Montserrat;sans-serif"/>
          <w:b w:val="false"/>
          <w:color w:val="000000"/>
          <w:sz w:val="20"/>
        </w:rPr>
        <w:t>. Telephonic replays will be available for up to two weeks and can be accessed by dialing +1 646-517-4150 with access code 70538 #.</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Use of non-GAAP financial information</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The Company supplements its consolidated financial statements presented on a GAAP basis with certain non-GAAP financial information to provide investors with greater insight, increase transparency and allow for a more comprehensive understanding of the information used by management in its financial and operational decision-making. Reconciliation of non-GAAP measures to their most directly comparable GAAP measures are included in the accompanying financial schedules or tables.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Minority interest</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Following the sale of a majority stake in its industrial businesses to CD&amp;R, Roper holds a minority interest in Indicor. The fair value of Roper’s equity investment in Indicor is updated on a quarterly basis and reported as "equity investment (gain) loss, net." Roper makes non-GAAP adjustments for the impacts associated with this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04"/>
        <w:gridCol w:w="1450"/>
        <w:gridCol w:w="1394"/>
        <w:gridCol w:w="331"/>
        <w:gridCol w:w="1038"/>
        <w:gridCol w:w="420"/>
        <w:gridCol w:w="160"/>
        <w:gridCol w:w="160"/>
        <w:gridCol w:w="160"/>
        <w:gridCol w:w="331"/>
        <w:gridCol w:w="1038"/>
        <w:gridCol w:w="420"/>
        <w:gridCol w:w="160"/>
        <w:gridCol w:w="160"/>
        <w:gridCol w:w="160"/>
        <w:gridCol w:w="325"/>
        <w:gridCol w:w="201"/>
        <w:gridCol w:w="493"/>
      </w:tblGrid>
      <w:tr>
        <w:trPr/>
        <w:tc>
          <w:tcPr>
            <w:tcW w:w="180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1: Revenue and adjusted EBITDA reconciliation ($M)</w:t>
            </w:r>
          </w:p>
        </w:tc>
      </w:tr>
      <w:tr>
        <w:trPr/>
        <w:tc>
          <w:tcPr>
            <w:tcW w:w="4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V %</w:t>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revenue</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1,944 </w:t>
            </w:r>
          </w:p>
        </w:tc>
        <w:tc>
          <w:tcPr>
            <w:tcW w:w="4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2,109 </w:t>
            </w:r>
          </w:p>
        </w:tc>
        <w:tc>
          <w:tcPr>
            <w:tcW w:w="4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9 </w:t>
            </w:r>
          </w:p>
        </w:tc>
        <w:tc>
          <w:tcPr>
            <w:tcW w:w="4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Components of revenue growth</w:t>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Organic</w:t>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Acquisitions</w:t>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Foreign exchange</w:t>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Total revenue growth</w:t>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9 </w:t>
            </w:r>
          </w:p>
        </w:tc>
        <w:tc>
          <w:tcPr>
            <w:tcW w:w="4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 reconciliation</w:t>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net earnings</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378 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1,168 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Taxes</w:t>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107 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140 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Interest expense</w:t>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79 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111 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Depreciation</w:t>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Amortization</w:t>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213 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221 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EBITDA</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788 </w:t>
            </w:r>
          </w:p>
        </w:tc>
        <w:tc>
          <w:tcPr>
            <w:tcW w:w="4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1,650 </w:t>
            </w:r>
          </w:p>
        </w:tc>
        <w:tc>
          <w:tcPr>
            <w:tcW w:w="4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109 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Montserrat;sans-serif" w:hAnsi="Montserrat;sans-serif"/>
                <w:b w:val="false"/>
                <w:color w:val="000000"/>
                <w:sz w:val="20"/>
              </w:rPr>
            </w:pPr>
            <w:r>
              <w:rPr>
                <w:rFonts w:ascii="Montserrat;sans-serif" w:hAnsi="Montserrat;sans-serif"/>
                <w:b w:val="false"/>
                <w:color w:val="000000"/>
                <w:sz w:val="20"/>
              </w:rPr>
              <w:t>Transaction-related expenses for completed acquisitions</w:t>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Financial impacts associated with minority investments</w:t>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(17)</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(835)</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A</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775 </w:t>
            </w:r>
          </w:p>
        </w:tc>
        <w:tc>
          <w:tcPr>
            <w:tcW w:w="4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815 </w:t>
            </w:r>
          </w:p>
        </w:tc>
        <w:tc>
          <w:tcPr>
            <w:tcW w:w="4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 margin</w:t>
            </w:r>
          </w:p>
        </w:tc>
        <w:tc>
          <w:tcPr>
            <w:tcW w:w="136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39.9 </w:t>
            </w:r>
          </w:p>
        </w:tc>
        <w:tc>
          <w:tcPr>
            <w:tcW w:w="42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38.6 </w:t>
            </w:r>
          </w:p>
        </w:tc>
        <w:tc>
          <w:tcPr>
            <w:tcW w:w="42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(130 bps)</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75"/>
        <w:gridCol w:w="1650"/>
        <w:gridCol w:w="1657"/>
        <w:gridCol w:w="351"/>
        <w:gridCol w:w="819"/>
        <w:gridCol w:w="169"/>
        <w:gridCol w:w="169"/>
        <w:gridCol w:w="169"/>
        <w:gridCol w:w="169"/>
        <w:gridCol w:w="351"/>
        <w:gridCol w:w="1100"/>
        <w:gridCol w:w="169"/>
        <w:gridCol w:w="169"/>
        <w:gridCol w:w="169"/>
        <w:gridCol w:w="169"/>
        <w:gridCol w:w="263"/>
        <w:gridCol w:w="263"/>
        <w:gridCol w:w="524"/>
      </w:tblGrid>
      <w:tr>
        <w:trPr/>
        <w:tc>
          <w:tcPr>
            <w:tcW w:w="187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2: Adjusted net earnings reconciliation ($M)</w:t>
            </w:r>
          </w:p>
        </w:tc>
      </w:tr>
      <w:tr>
        <w:trPr/>
        <w:tc>
          <w:tcPr>
            <w:tcW w:w="5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V %</w:t>
            </w:r>
          </w:p>
        </w:tc>
      </w:tr>
      <w:tr>
        <w:trPr/>
        <w:tc>
          <w:tcPr>
            <w:tcW w:w="5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net earnings</w:t>
            </w:r>
          </w:p>
        </w:tc>
        <w:tc>
          <w:tcPr>
            <w:tcW w:w="3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378 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1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1,168 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209 </w:t>
            </w:r>
          </w:p>
        </w:tc>
        <w:tc>
          <w:tcPr>
            <w:tcW w:w="5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Transaction-related expenses for completed acquisitions</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Financial impacts associated with minority investments</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(791)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A</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Amortization of acquisition-related intangible assets</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B</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Adjusted net earnings </w:t>
            </w:r>
            <w:r>
              <w:rPr>
                <w:rFonts w:ascii="Montserrat;sans-serif" w:hAnsi="Montserrat;sans-serif"/>
                <w:b w:val="false"/>
                <w:color w:val="000000"/>
                <w:sz w:val="13"/>
              </w:rPr>
              <w:t>C</w:t>
            </w:r>
          </w:p>
        </w:tc>
        <w:tc>
          <w:tcPr>
            <w:tcW w:w="3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528 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1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542 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3 </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3</w:t>
                      </w:r>
                    </w:p>
                  </w:txbxContent>
                </v:textbox>
                <w10:wrap type="none"/>
              </v:rect>
            </w:pict>
          </mc:Fallback>
        </mc:AlternateContent>
      </w:r>
    </w:p>
    <w:tbl>
      <w:tblPr>
        <w:tblW w:w="9795" w:type="dxa"/>
        <w:jc w:val="center"/>
        <w:tblInd w:w="0" w:type="dxa"/>
        <w:tblLayout w:type="fixed"/>
        <w:tblCellMar>
          <w:top w:w="28" w:type="dxa"/>
          <w:left w:w="28" w:type="dxa"/>
          <w:bottom w:w="28" w:type="dxa"/>
          <w:right w:w="28" w:type="dxa"/>
        </w:tblCellMar>
      </w:tblPr>
      <w:tblGrid>
        <w:gridCol w:w="2048"/>
        <w:gridCol w:w="1799"/>
        <w:gridCol w:w="1822"/>
        <w:gridCol w:w="276"/>
        <w:gridCol w:w="717"/>
        <w:gridCol w:w="133"/>
        <w:gridCol w:w="133"/>
        <w:gridCol w:w="133"/>
        <w:gridCol w:w="133"/>
        <w:gridCol w:w="276"/>
        <w:gridCol w:w="863"/>
        <w:gridCol w:w="133"/>
        <w:gridCol w:w="133"/>
        <w:gridCol w:w="133"/>
        <w:gridCol w:w="133"/>
        <w:gridCol w:w="263"/>
        <w:gridCol w:w="263"/>
        <w:gridCol w:w="404"/>
      </w:tblGrid>
      <w:tr>
        <w:trPr/>
        <w:tc>
          <w:tcPr>
            <w:tcW w:w="204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979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3: Adjusted DEPS reconciliation</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V %</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DEPS</w:t>
            </w:r>
          </w:p>
        </w:tc>
        <w:tc>
          <w:tcPr>
            <w:tcW w:w="2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3.49 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11.62 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233 </w:t>
            </w:r>
          </w:p>
        </w:tc>
        <w:tc>
          <w:tcPr>
            <w:tcW w:w="4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Transaction-related expenses for completed acquisitions</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0.03 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Financial impacts associated with minority investments</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(0.12)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(7.86)</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A</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Amortization of acquisition-related intangible assets</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B</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Adjusted DEPS </w:t>
            </w:r>
            <w:r>
              <w:rPr>
                <w:rFonts w:ascii="Montserrat;sans-serif" w:hAnsi="Montserrat;sans-serif"/>
                <w:b w:val="false"/>
                <w:color w:val="000000"/>
                <w:sz w:val="13"/>
              </w:rPr>
              <w:t>C</w:t>
            </w:r>
          </w:p>
        </w:tc>
        <w:tc>
          <w:tcPr>
            <w:tcW w:w="2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4.87 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5.38 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10 </w:t>
            </w:r>
          </w:p>
        </w:tc>
        <w:tc>
          <w:tcPr>
            <w:tcW w:w="40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00" w:type="dxa"/>
        <w:jc w:val="center"/>
        <w:tblInd w:w="0" w:type="dxa"/>
        <w:tblLayout w:type="fixed"/>
        <w:tblCellMar>
          <w:top w:w="28" w:type="dxa"/>
          <w:left w:w="28" w:type="dxa"/>
          <w:bottom w:w="28" w:type="dxa"/>
          <w:right w:w="28" w:type="dxa"/>
        </w:tblCellMar>
      </w:tblPr>
      <w:tblGrid>
        <w:gridCol w:w="1524"/>
        <w:gridCol w:w="1341"/>
        <w:gridCol w:w="1349"/>
        <w:gridCol w:w="371"/>
        <w:gridCol w:w="864"/>
        <w:gridCol w:w="179"/>
        <w:gridCol w:w="179"/>
        <w:gridCol w:w="179"/>
        <w:gridCol w:w="179"/>
        <w:gridCol w:w="371"/>
        <w:gridCol w:w="864"/>
        <w:gridCol w:w="179"/>
        <w:gridCol w:w="179"/>
        <w:gridCol w:w="179"/>
        <w:gridCol w:w="179"/>
        <w:gridCol w:w="203"/>
        <w:gridCol w:w="203"/>
        <w:gridCol w:w="470"/>
        <w:gridCol w:w="109"/>
        <w:gridCol w:w="109"/>
        <w:gridCol w:w="109"/>
        <w:gridCol w:w="109"/>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9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4: Adjusted cash flow reconciliation ($M)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2025</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2026</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Operating cash flow</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404 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469 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16 </w:t>
            </w:r>
          </w:p>
        </w:tc>
        <w:tc>
          <w:tcPr>
            <w:tcW w:w="4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Taxes paid in period related to divestiture</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operating cash flow</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434 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469 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8 </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Capital expenditures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Capitalized software expenditures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Outgo beneficial interest collections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D</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free cash flow</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403 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447 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11 </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038"/>
        <w:gridCol w:w="1515"/>
        <w:gridCol w:w="1465"/>
        <w:gridCol w:w="239"/>
        <w:gridCol w:w="622"/>
        <w:gridCol w:w="114"/>
        <w:gridCol w:w="111"/>
        <w:gridCol w:w="111"/>
        <w:gridCol w:w="111"/>
        <w:gridCol w:w="248"/>
        <w:gridCol w:w="643"/>
        <w:gridCol w:w="119"/>
        <w:gridCol w:w="111"/>
        <w:gridCol w:w="111"/>
        <w:gridCol w:w="111"/>
        <w:gridCol w:w="232"/>
        <w:gridCol w:w="727"/>
        <w:gridCol w:w="111"/>
        <w:gridCol w:w="111"/>
        <w:gridCol w:w="111"/>
        <w:gridCol w:w="111"/>
        <w:gridCol w:w="232"/>
        <w:gridCol w:w="727"/>
        <w:gridCol w:w="174"/>
      </w:tblGrid>
      <w:tr>
        <w:trPr/>
        <w:tc>
          <w:tcPr>
            <w:tcW w:w="203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5: Forecasted adjusted DEPS reconciliation</w:t>
            </w:r>
          </w:p>
        </w:tc>
      </w:tr>
      <w:tr>
        <w:trPr/>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FY 2026</w:t>
            </w:r>
          </w:p>
        </w:tc>
      </w:tr>
      <w:tr>
        <w:trPr/>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Low end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High end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Low end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High end</w:t>
            </w:r>
          </w:p>
        </w:tc>
      </w:tr>
      <w:tr>
        <w:trPr/>
        <w:tc>
          <w:tcPr>
            <w:tcW w:w="50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GAAP DEPS </w:t>
            </w:r>
            <w:r>
              <w:rPr>
                <w:rFonts w:ascii="Montserrat;sans-serif" w:hAnsi="Montserrat;sans-serif"/>
                <w:b w:val="false"/>
                <w:color w:val="000000"/>
                <w:sz w:val="13"/>
              </w:rPr>
              <w:t>E</w:t>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4.07 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4.12 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24.78 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24.93 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YTD financial impacts associated with the minority investment in Indicor </w:t>
            </w:r>
            <w:r>
              <w:rPr>
                <w:rFonts w:ascii="Montserrat;sans-serif" w:hAnsi="Montserrat;sans-serif"/>
                <w:b w:val="false"/>
                <w:color w:val="000000"/>
                <w:sz w:val="13"/>
              </w:rPr>
              <w:t>A</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(9.16)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(9.16)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Amortization of acquisition-related intangible assets </w:t>
            </w:r>
            <w:r>
              <w:rPr>
                <w:rFonts w:ascii="Montserrat;sans-serif" w:hAnsi="Montserrat;sans-serif"/>
                <w:b w:val="false"/>
                <w:color w:val="000000"/>
                <w:sz w:val="13"/>
              </w:rPr>
              <w:t>B</w:t>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6.53 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6.53 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Adjusted DEPS </w:t>
            </w:r>
            <w:r>
              <w:rPr>
                <w:rFonts w:ascii="Montserrat;sans-serif" w:hAnsi="Montserrat;sans-serif"/>
                <w:b w:val="false"/>
                <w:color w:val="000000"/>
                <w:sz w:val="13"/>
              </w:rPr>
              <w:t>C</w:t>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5.75 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5.80 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22.15 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22.30 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4</w:t>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Footnotes: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767"/>
        <w:gridCol w:w="183"/>
        <w:gridCol w:w="183"/>
        <w:gridCol w:w="183"/>
        <w:gridCol w:w="183"/>
        <w:gridCol w:w="379"/>
        <w:gridCol w:w="1068"/>
        <w:gridCol w:w="183"/>
        <w:gridCol w:w="183"/>
        <w:gridCol w:w="183"/>
        <w:gridCol w:w="183"/>
        <w:gridCol w:w="183"/>
        <w:gridCol w:w="183"/>
        <w:gridCol w:w="183"/>
        <w:gridCol w:w="379"/>
        <w:gridCol w:w="984"/>
        <w:gridCol w:w="183"/>
        <w:gridCol w:w="183"/>
        <w:gridCol w:w="183"/>
        <w:gridCol w:w="183"/>
        <w:gridCol w:w="379"/>
        <w:gridCol w:w="984"/>
        <w:gridCol w:w="183"/>
        <w:gridCol w:w="183"/>
        <w:gridCol w:w="183"/>
        <w:gridCol w:w="183"/>
        <w:gridCol w:w="109"/>
        <w:gridCol w:w="109"/>
        <w:gridCol w:w="109"/>
        <w:gridCol w:w="226"/>
        <w:gridCol w:w="730"/>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Adjustments related to the financial impacts associated with the minority investment in Indicor as shown below ($M, except per share data). Forecasted results do not include any future impacts associated with our minority investment in Indicor, as these future impacts cannot be reasonably predicted. These impacts will be excluded from all non-GAAP results in future periods.</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2026A</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FY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YTD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Pretax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(835)</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(1,002)</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After-tax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(791)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(925)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Per share</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(7.86)</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(9.16)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B.</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Actual results and forecast of estimated amortization of acquisition-related intangible assets as shown below ($M, except per share data).</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2026A</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FY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Pretax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208 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211 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835 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After-tax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660 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Per share</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6.53 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All actual and forecasted non-GAAP adjustments are taxed at 21% with the exception of the financial impacts associated with minority investments.</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Cash collected on Outgo's beneficial interest, the residual amount owed to Outgo after it sells receivables to a third-party financial institution, classified within cash flows from investing activities.</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E.</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Forecasted GAAP DEPS do not include any future impacts associated with our minority investment in Indicor. These impacts will be excluded from all non-GAAP results in future periods.</w:t>
            </w:r>
          </w:p>
        </w:tc>
        <w:tc>
          <w:tcPr>
            <w:tcW w:w="1446"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Note: Numbers may not foot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5</w:t>
                      </w:r>
                    </w:p>
                  </w:txbxContent>
                </v:textbox>
                <w10:wrap type="none"/>
              </v:rect>
            </w:pict>
          </mc:Fallback>
        </mc:AlternateContent>
      </w:r>
    </w:p>
    <w:p>
      <w:pPr>
        <w:pStyle w:val="TextBody"/>
        <w:bidi w:val="0"/>
        <w:spacing w:lineRule="auto" w:line="312" w:before="0" w:after="0"/>
        <w:ind w:left="0" w:right="0" w:hanging="360"/>
        <w:jc w:val="both"/>
        <w:rPr>
          <w:rFonts w:ascii="Montserrat;sans-serif" w:hAnsi="Montserrat;sans-serif"/>
          <w:b/>
          <w:color w:val="000000"/>
          <w:sz w:val="20"/>
        </w:rPr>
      </w:pPr>
      <w:r>
        <w:rPr>
          <w:rFonts w:ascii="Montserrat;sans-serif" w:hAnsi="Montserrat;sans-serif"/>
          <w:b/>
          <w:color w:val="000000"/>
          <w:sz w:val="20"/>
        </w:rPr>
        <w:t>About Roper Technologies</w:t>
      </w:r>
    </w:p>
    <w:p>
      <w:pPr>
        <w:pStyle w:val="TextBody"/>
        <w:bidi w:val="0"/>
        <w:spacing w:before="0" w:after="0"/>
        <w:jc w:val="left"/>
        <w:rPr/>
      </w:pPr>
      <w:r>
        <w:rPr/>
      </w:r>
    </w:p>
    <w:p>
      <w:pPr>
        <w:pStyle w:val="TextBody"/>
        <w:bidi w:val="0"/>
        <w:spacing w:lineRule="auto" w:line="312" w:before="0" w:after="0"/>
        <w:jc w:val="both"/>
        <w:rPr/>
      </w:pPr>
      <w:r>
        <w:rPr>
          <w:rFonts w:ascii="Montserrat;sans-serif" w:hAnsi="Montserrat;sans-serif"/>
          <w:b w:val="false"/>
          <w:color w:val="000000"/>
          <w:sz w:val="20"/>
        </w:rPr>
        <w:t xml:space="preserve">Roper Technologies is a constituent of the Nasdaq 100, S&amp;P 500, and Fortune 500. Roper has a proven, long-term track record of compounding cash flow and shareholder value. The Company operates market leading businesses that design and develop vertical software and technology enabled products for a variety of defensible niche markets. Roper utilizes a disciplined, analytical, and process-driven approach to redeploy its excess capital toward high-quality acquisitions. Additional information about Roper is available on the Company’s website at </w:t>
      </w:r>
      <w:r>
        <w:rPr>
          <w:rFonts w:ascii="Montserrat;sans-serif" w:hAnsi="Montserrat;sans-serif"/>
          <w:b w:val="false"/>
          <w:color w:val="0000FF"/>
          <w:sz w:val="20"/>
          <w:u w:val="single"/>
        </w:rPr>
        <w:t>www.ropertech.com</w:t>
      </w:r>
      <w:r>
        <w:rPr>
          <w:rFonts w:ascii="Montserrat;sans-serif" w:hAnsi="Montserrat;sans-serif"/>
          <w:b w:val="false"/>
          <w:color w:val="000000"/>
          <w:sz w:val="20"/>
        </w:rPr>
        <w:t>.</w:t>
      </w:r>
    </w:p>
    <w:p>
      <w:pPr>
        <w:pStyle w:val="TextBody"/>
        <w:bidi w:val="0"/>
        <w:spacing w:before="0" w:after="0"/>
        <w:jc w:val="left"/>
        <w:rPr/>
      </w:pPr>
      <w:r>
        <w:rPr/>
      </w:r>
    </w:p>
    <w:p>
      <w:pPr>
        <w:pStyle w:val="TextBody"/>
        <w:bidi w:val="0"/>
        <w:spacing w:lineRule="auto" w:line="312" w:before="0" w:after="0"/>
        <w:jc w:val="left"/>
        <w:rPr>
          <w:rFonts w:ascii="Montserrat;sans-serif" w:hAnsi="Montserrat;sans-serif"/>
          <w:b/>
          <w:color w:val="000000"/>
          <w:sz w:val="20"/>
        </w:rPr>
      </w:pPr>
      <w:r>
        <w:rPr>
          <w:rFonts w:ascii="Montserrat;sans-serif" w:hAnsi="Montserrat;sans-serif"/>
          <w:b/>
          <w:color w:val="000000"/>
          <w:sz w:val="20"/>
        </w:rPr>
        <w:t xml:space="preserve">Contact information: </w:t>
      </w:r>
    </w:p>
    <w:p>
      <w:pPr>
        <w:pStyle w:val="TextBody"/>
        <w:bidi w:val="0"/>
        <w:spacing w:lineRule="auto" w:line="312" w:before="0" w:after="0"/>
        <w:jc w:val="left"/>
        <w:rPr>
          <w:rFonts w:ascii="Montserrat;sans-serif" w:hAnsi="Montserrat;sans-serif"/>
          <w:b w:val="false"/>
          <w:color w:val="000000"/>
          <w:sz w:val="20"/>
        </w:rPr>
      </w:pPr>
      <w:r>
        <w:rPr>
          <w:rFonts w:ascii="Montserrat;sans-serif" w:hAnsi="Montserrat;sans-serif"/>
          <w:b w:val="false"/>
          <w:color w:val="000000"/>
          <w:sz w:val="20"/>
        </w:rPr>
        <w:t>Investor Relations</w:t>
      </w:r>
    </w:p>
    <w:p>
      <w:pPr>
        <w:pStyle w:val="TextBody"/>
        <w:bidi w:val="0"/>
        <w:spacing w:lineRule="auto" w:line="312" w:before="0" w:after="0"/>
        <w:jc w:val="left"/>
        <w:rPr>
          <w:rFonts w:ascii="Montserrat;sans-serif" w:hAnsi="Montserrat;sans-serif"/>
          <w:b w:val="false"/>
          <w:color w:val="000000"/>
          <w:sz w:val="20"/>
        </w:rPr>
      </w:pPr>
      <w:r>
        <w:rPr>
          <w:rFonts w:ascii="Montserrat;sans-serif" w:hAnsi="Montserrat;sans-serif"/>
          <w:b w:val="false"/>
          <w:color w:val="000000"/>
          <w:sz w:val="20"/>
        </w:rPr>
        <w:t xml:space="preserve">941-556-2601 </w:t>
      </w:r>
    </w:p>
    <w:p>
      <w:pPr>
        <w:pStyle w:val="TextBody"/>
        <w:bidi w:val="0"/>
        <w:spacing w:lineRule="auto" w:line="312" w:before="0" w:after="0"/>
        <w:jc w:val="left"/>
        <w:rPr>
          <w:rFonts w:ascii="Montserrat;sans-serif" w:hAnsi="Montserrat;sans-serif"/>
          <w:b w:val="false"/>
          <w:color w:val="0000FF"/>
          <w:sz w:val="20"/>
          <w:u w:val="single"/>
        </w:rPr>
      </w:pPr>
      <w:r>
        <w:rPr>
          <w:rFonts w:ascii="Montserrat;sans-serif" w:hAnsi="Montserrat;sans-serif"/>
          <w:b w:val="false"/>
          <w:color w:val="0000FF"/>
          <w:sz w:val="20"/>
          <w:u w:val="single"/>
        </w:rPr>
        <w:t>investor-relations@ropertech.com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our ability to identify and complete acquisitions consistent with our business strategies, integrate acquisitions that have been completed, realize expected benefits and synergies from, and manage other risks associated with, acquired businesses, including obtaining any required regulatory approvals with respect thereto, and our ability to develop, deploy, and use artificial intelligence in our platforms and offerings. We also face other general risks, including our ability to realize cost savings from our operating initiatives, general economic conditions and the conditions of the specific markets in which we operate, including risks related to labor shortages and volatile interest rates, changes in foreign exchange rates, risks related to changing U.S. and foreign trade policies, including increased trade restrictions or tariffs, risks associated with our international operations, cybersecurity and data privacy risks, including litigation resulting therefrom, risks related to political instability, armed hostilities, incidents of terrorism, public health crises or natural disasters, increased product liability and insurance costs, increased warranty exposure, future competition, changes in the supply of, or price for, parts and components, including as a result of inflation and potential supply chain constraints, environmental compliance costs and liabilities, risks and cost associated with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center"/>
        <w:rPr>
          <w:rFonts w:ascii="Montserrat;sans-serif" w:hAnsi="Montserrat;sans-serif"/>
          <w:b w:val="false"/>
          <w:i/>
          <w:color w:val="000000"/>
          <w:sz w:val="20"/>
        </w:rPr>
      </w:pPr>
      <w:r>
        <w:rPr>
          <w:rFonts w:ascii="Montserrat;sans-serif" w:hAnsi="Montserrat;sans-serif"/>
          <w:b w:val="false"/>
          <w:i/>
          <w:color w:val="000000"/>
          <w:sz w:val="20"/>
        </w:rPr>
        <w:t>#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33"/>
        <w:gridCol w:w="2130"/>
        <w:gridCol w:w="2133"/>
        <w:gridCol w:w="259"/>
        <w:gridCol w:w="1157"/>
        <w:gridCol w:w="125"/>
        <w:gridCol w:w="109"/>
        <w:gridCol w:w="109"/>
        <w:gridCol w:w="109"/>
        <w:gridCol w:w="266"/>
        <w:gridCol w:w="1188"/>
        <w:gridCol w:w="187"/>
      </w:tblGrid>
      <w:tr>
        <w:trPr/>
        <w:tc>
          <w:tcPr>
            <w:tcW w:w="2433"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Condensed Consolidated Balance Sheets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w:t>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December 31, 2025</w:t>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ASSETS:</w:t>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7"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364.9 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8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297.4 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927.2 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1,001.0 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Inventories, net</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145.4 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141.7 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taxes receivable</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73.3 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128.2 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Unbilled receivables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153.8 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124.0 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253.9 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235.8 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assets</w:t>
            </w:r>
          </w:p>
        </w:tc>
        <w:tc>
          <w:tcPr>
            <w:tcW w:w="14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1,918.5 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1,928.1 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Property, plant and equipment, net</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158.7 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156.9 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21,330.7 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21,341.2 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intangible assets, net</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9,347.3 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9,764.2 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taxes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67.8 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73.3 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Equity investment</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1,792.2 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796.3 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554.3 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517.0 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assets</w:t>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35,169.5 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34,577.0 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LIABILITIES AND STOCKHOLDERS’ EQUITY:</w:t>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7"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174.1 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8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150.3 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232.0 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293.0 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1,707.8 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1,906.8 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accrued liabilities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588.9 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642.3 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taxes payable</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49.4 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Current portion of long-term debt, net</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718.3 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705.2 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liabilities</w:t>
            </w:r>
          </w:p>
        </w:tc>
        <w:tc>
          <w:tcPr>
            <w:tcW w:w="14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3,470.5 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3,725.6 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Long-term debt, net of current portion</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10,601.1 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8,595.8 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taxes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1,897.4 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1,883.1 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liabilities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500.2 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491.0 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w:t>
            </w:r>
          </w:p>
        </w:tc>
        <w:tc>
          <w:tcPr>
            <w:tcW w:w="14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16,469.2 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14,695.5 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Common stock, 350.0 shares authorized; 109.4 shares issued and 98.9 outstanding at June 30, 2026 and 109.3 shares issued and 106.6 outstanding at December 31, 2025</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Additional paid-in capital</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3,391.9 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3,292.2 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Retained earnings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18,697.6 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17,205.7 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Accumulated other comprehensive loss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(135.5)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(101.4)</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Treasury stock, 10.5 shares at June 30, 2026 and 2.7 shares at December 31, 2025</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(3,254.8)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(516.1)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stockholders’ equity</w:t>
            </w:r>
          </w:p>
        </w:tc>
        <w:tc>
          <w:tcPr>
            <w:tcW w:w="14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18,700.3 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19,881.5 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and stockholders’ equity</w:t>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35,169.5 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34,577.0 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19"/>
        <w:gridCol w:w="895"/>
        <w:gridCol w:w="905"/>
        <w:gridCol w:w="385"/>
        <w:gridCol w:w="1510"/>
        <w:gridCol w:w="185"/>
        <w:gridCol w:w="185"/>
        <w:gridCol w:w="185"/>
        <w:gridCol w:w="185"/>
        <w:gridCol w:w="297"/>
        <w:gridCol w:w="1166"/>
        <w:gridCol w:w="143"/>
        <w:gridCol w:w="109"/>
        <w:gridCol w:w="109"/>
        <w:gridCol w:w="109"/>
        <w:gridCol w:w="226"/>
        <w:gridCol w:w="886"/>
        <w:gridCol w:w="109"/>
        <w:gridCol w:w="109"/>
        <w:gridCol w:w="109"/>
        <w:gridCol w:w="109"/>
        <w:gridCol w:w="226"/>
        <w:gridCol w:w="886"/>
        <w:gridCol w:w="158"/>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Condensed Consolidated Statements of Earnings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Six months ended</w:t>
              <w:br/>
              <w:t>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revenues</w:t>
            </w:r>
          </w:p>
        </w:tc>
        <w:tc>
          <w:tcPr>
            <w:tcW w:w="3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2,108.9 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1,943.6 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4,204.2 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3,826.4 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Cost of sales</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638.7 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598.2 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1,187.3 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Gross profit</w:t>
            </w:r>
          </w:p>
        </w:tc>
        <w:tc>
          <w:tcPr>
            <w:tcW w:w="18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1,470.2 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1,345.4 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2,924.0 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2,639.1 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Selling, general and administrative expenses</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885.5 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797.1 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1,565.0 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from operations</w:t>
            </w:r>
          </w:p>
        </w:tc>
        <w:tc>
          <w:tcPr>
            <w:tcW w:w="18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584.7 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548.3 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1,154.3 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1,074.1 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 net</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111.4 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79.1 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142.0 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Equity investment (gain) loss, net</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(835.2)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(16.6)</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expense, net</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0.5 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0.5 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Earnings before income taxes</w:t>
            </w:r>
          </w:p>
        </w:tc>
        <w:tc>
          <w:tcPr>
            <w:tcW w:w="18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1,308.0 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485.3 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1,943.0 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903.3 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taxes</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139.5 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107.0 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193.9 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earnings</w:t>
            </w:r>
          </w:p>
        </w:tc>
        <w:tc>
          <w:tcPr>
            <w:tcW w:w="3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1,168.5 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378.3 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1,677.4 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709.4 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earnings per share:</w:t>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Basic</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11.64 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6.60 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Diluted</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11.62 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6.55 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Weighted average common shares outstanding:</w:t>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Basic</w:t>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100.4</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107.5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Diluted</w:t>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100.6</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108.3</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8</w:t>
                      </w:r>
                    </w:p>
                  </w:txbxContent>
                </v:textbox>
                <w10:wrap type="none"/>
              </v:rect>
            </w:pict>
          </mc:Fallback>
        </mc:AlternateContent>
      </w:r>
    </w:p>
    <w:tbl>
      <w:tblPr>
        <w:tblW w:w="10478" w:type="dxa"/>
        <w:jc w:val="center"/>
        <w:tblInd w:w="0" w:type="dxa"/>
        <w:tblLayout w:type="fixed"/>
        <w:tblCellMar>
          <w:top w:w="28" w:type="dxa"/>
          <w:left w:w="28" w:type="dxa"/>
          <w:bottom w:w="28" w:type="dxa"/>
          <w:right w:w="28" w:type="dxa"/>
        </w:tblCellMar>
      </w:tblPr>
      <w:tblGrid>
        <w:gridCol w:w="476"/>
        <w:gridCol w:w="339"/>
        <w:gridCol w:w="341"/>
        <w:gridCol w:w="226"/>
        <w:gridCol w:w="886"/>
        <w:gridCol w:w="109"/>
        <w:gridCol w:w="109"/>
        <w:gridCol w:w="109"/>
        <w:gridCol w:w="109"/>
        <w:gridCol w:w="175"/>
        <w:gridCol w:w="175"/>
        <w:gridCol w:w="176"/>
        <w:gridCol w:w="109"/>
        <w:gridCol w:w="109"/>
        <w:gridCol w:w="109"/>
        <w:gridCol w:w="226"/>
        <w:gridCol w:w="886"/>
        <w:gridCol w:w="109"/>
        <w:gridCol w:w="109"/>
        <w:gridCol w:w="109"/>
        <w:gridCol w:w="109"/>
        <w:gridCol w:w="175"/>
        <w:gridCol w:w="175"/>
        <w:gridCol w:w="176"/>
        <w:gridCol w:w="109"/>
        <w:gridCol w:w="109"/>
        <w:gridCol w:w="109"/>
        <w:gridCol w:w="226"/>
        <w:gridCol w:w="886"/>
        <w:gridCol w:w="109"/>
        <w:gridCol w:w="109"/>
        <w:gridCol w:w="109"/>
        <w:gridCol w:w="109"/>
        <w:gridCol w:w="175"/>
        <w:gridCol w:w="175"/>
        <w:gridCol w:w="176"/>
        <w:gridCol w:w="109"/>
        <w:gridCol w:w="109"/>
        <w:gridCol w:w="109"/>
        <w:gridCol w:w="226"/>
        <w:gridCol w:w="886"/>
        <w:gridCol w:w="109"/>
        <w:gridCol w:w="109"/>
        <w:gridCol w:w="109"/>
        <w:gridCol w:w="109"/>
        <w:gridCol w:w="167"/>
        <w:gridCol w:w="167"/>
        <w:gridCol w:w="237"/>
      </w:tblGrid>
      <w:tr>
        <w:trPr/>
        <w:tc>
          <w:tcPr>
            <w:tcW w:w="47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63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Selected Segment Financial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 percentages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Six months ended June 30,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8"/>
              </w:rPr>
            </w:pPr>
            <w:r>
              <w:rPr>
                <w:rFonts w:ascii="Montserrat;sans-serif" w:hAnsi="Montserrat;sans-serif"/>
                <w:b/>
                <w:color w:val="000000"/>
                <w:sz w:val="18"/>
              </w:rPr>
              <w:t>Net revenues: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Application Software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Network Software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Technology Enabled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val="false"/>
                <w:color w:val="000000"/>
                <w:sz w:val="18"/>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2,108.9 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1,943.6 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4,204.2 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3,826.4 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8"/>
              </w:rPr>
            </w:pPr>
            <w:r>
              <w:rPr>
                <w:rFonts w:ascii="Montserrat;sans-serif" w:hAnsi="Montserrat;sans-serif"/>
                <w:b/>
                <w:color w:val="000000"/>
                <w:sz w:val="18"/>
              </w:rPr>
              <w:t>Gross profit:</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Application Software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68.1%</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Network Software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83.6%</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Technology Enabled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58.6%</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val="false"/>
                <w:color w:val="000000"/>
                <w:sz w:val="18"/>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1,470.2 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1,345.4 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2,924.0 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2,639.1 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8"/>
              </w:rPr>
            </w:pPr>
            <w:r>
              <w:rPr>
                <w:rFonts w:ascii="Montserrat;sans-serif" w:hAnsi="Montserrat;sans-serif"/>
                <w:b/>
                <w:color w:val="000000"/>
                <w:sz w:val="18"/>
              </w:rPr>
              <w:t>Operating profit*:</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Application Software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26.4%</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Network Software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44.1%</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Technology Enabled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35.2%</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val="false"/>
                <w:color w:val="000000"/>
                <w:sz w:val="18"/>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666.3 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628.0 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1,313.7 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1,225.1 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32.0%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8" w:type="dxa"/>
            <w:gridSpan w:val="48"/>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18"/>
              </w:rPr>
            </w:pPr>
            <w:r>
              <w:rPr>
                <w:rFonts w:ascii="Montserrat;sans-serif" w:hAnsi="Montserrat;sans-serif"/>
                <w:b w:val="false"/>
                <w:color w:val="000000"/>
                <w:sz w:val="18"/>
              </w:rPr>
              <w:t>* Segment operating profit is before unallocated corporate general and administrative expenses and enterprise-wide stock-based compensation. These expenses were $81.6 and $79.7 for the three months ended June 30, 2026 and 2025, respectively, and $159.4 and $151.0 for the six months ended June 30, 2026 and 2025, respectively.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18"/>
        <w:gridCol w:w="1684"/>
        <w:gridCol w:w="1695"/>
        <w:gridCol w:w="453"/>
        <w:gridCol w:w="1776"/>
        <w:gridCol w:w="217"/>
        <w:gridCol w:w="217"/>
        <w:gridCol w:w="217"/>
        <w:gridCol w:w="217"/>
        <w:gridCol w:w="334"/>
        <w:gridCol w:w="1044"/>
        <w:gridCol w:w="233"/>
      </w:tblGrid>
      <w:tr>
        <w:trPr/>
        <w:tc>
          <w:tcPr>
            <w:tcW w:w="2118"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85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Condensed Consolidated Statements of Cash Flows (unaudited)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w:t>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Six months ended June 30,</w:t>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flows from operating activities:</w:t>
            </w:r>
          </w:p>
        </w:tc>
        <w:tc>
          <w:tcPr>
            <w:tcW w:w="2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earnings</w:t>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1,677.4 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4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709.4 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Adjustments to reconcile net earnings to cash flows from operating activities:</w:t>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Depreciation and amortization of property, plant and equipment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19.6 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intangible assets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440.9 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417.2 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deferred financing costs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Non-cash stock compensation</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108.2 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82.7 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Equity investment (gain) loss, net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(1,002.5)</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 provision</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265.6 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193.9 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Changes in operating assets and liabilities, net of acquired businesses:</w:t>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71.0 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Unbilled receivables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(30.8)</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(9.7)</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Inventories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(9.6)</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(22.9)</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24.4 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Other accrued liabilities </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(93.9)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(115.4)</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(193.6)</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(132.7)</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taxes paid for gain on disposal of equity investment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(30.2)</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income taxes paid, excluding tax associated with gain on disposal of equity investment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(190.2)</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(233.7)</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(13.1)</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(13.5)</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provided by operating activities</w:t>
            </w:r>
          </w:p>
        </w:tc>
        <w:tc>
          <w:tcPr>
            <w:tcW w:w="22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1,061.6 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932.8 </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flows from (used in) investing activities:</w:t>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Acquisitions of businesses, net of cash acquired</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(27.5)</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(2,005.2)</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Capital expenditures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(25.3)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(26.0)</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Capitalized software expenditures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(30.9)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(26.8)</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Distributions from equity investment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receipts on beneficial interest in sold receivables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0.2 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used in investing activities</w:t>
            </w:r>
          </w:p>
        </w:tc>
        <w:tc>
          <w:tcPr>
            <w:tcW w:w="22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(72.3)</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(2,051.3)</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flows from (used in) financing activities:</w:t>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Borrowings under revolving credit facility, net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2,000.0 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1,275.0 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Debt issuance costs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dividends to stockholders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(191.4)</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(177.2)</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Repurchases of common stock</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(2,726.7)</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(tax withholding payments for) stock-based compensation, net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(8.6)</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73.8 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Treasury stock sales under employee stock purchase plan</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(43.9)</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provided by (used in) financing activities</w:t>
            </w:r>
          </w:p>
        </w:tc>
        <w:tc>
          <w:tcPr>
            <w:tcW w:w="22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(905.1)</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1,140.2 </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4708" w:type="dxa"/>
            <w:gridSpan w:val="9"/>
            <w:tcBorders/>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2262" w:type="dxa"/>
            <w:gridSpan w:val="6"/>
            <w:tcBorders/>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4708" w:type="dxa"/>
            <w:gridSpan w:val="9"/>
            <w:tcBorders/>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4708" w:type="dxa"/>
            <w:gridSpan w:val="9"/>
            <w:tcBorders/>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2262" w:type="dxa"/>
            <w:gridSpan w:val="6"/>
            <w:tcBorders/>
          </w:tcPr>
          <w:p>
            <w:pPr>
              <w:pStyle w:val="TableContents"/>
              <w:bidi w:val="0"/>
              <w:spacing w:before="0" w:after="283"/>
              <w:jc w:val="left"/>
              <w:rPr>
                <w:sz w:val="4"/>
                <w:szCs w:val="4"/>
              </w:rPr>
            </w:pPr>
            <w:r>
              <w:rPr>
                <w:sz w:val="4"/>
                <w:szCs w:val="4"/>
              </w:rPr>
            </w:r>
          </w:p>
        </w:tc>
      </w:tr>
      <w:tr>
        <w:trPr/>
        <w:tc>
          <w:tcPr>
            <w:tcW w:w="549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Effect of exchange rate changes on cash</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(16.7)</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increase in cash and cash equivalents</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67.5 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54.2 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 beginning of period</w:t>
            </w:r>
          </w:p>
        </w:tc>
        <w:tc>
          <w:tcPr>
            <w:tcW w:w="2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297.4 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188.2 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 end of period</w:t>
            </w:r>
          </w:p>
        </w:tc>
        <w:tc>
          <w:tcPr>
            <w:tcW w:w="4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7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364.9 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242.4 </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3058</Words>
  <Characters>17191</Characters>
  <CharactersWithSpaces>19745</CharactersWithSpaces>
  <Paragraphs>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