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600"/>
        <w:spacing w:after="0"/>
        <w:rPr>
          <w:sz w:val="20"/>
          <w:szCs w:val="20"/>
          <w:color w:val="auto"/>
        </w:rPr>
      </w:pPr>
      <w:r>
        <w:rPr>
          <w:rFonts w:ascii="Arial" w:cs="Arial" w:eastAsia="Arial" w:hAnsi="Arial"/>
          <w:sz w:val="24"/>
          <w:szCs w:val="24"/>
          <w:color w:val="FFFFFF"/>
        </w:rPr>
        <w:t>2025 annual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600"/>
        <w:spacing w:after="0"/>
        <w:rPr>
          <w:sz w:val="20"/>
          <w:szCs w:val="20"/>
          <w:color w:val="auto"/>
        </w:rPr>
      </w:pPr>
      <w:r>
        <w:rPr>
          <w:rFonts w:ascii="Arial" w:cs="Arial" w:eastAsia="Arial" w:hAnsi="Arial"/>
          <w:sz w:val="92"/>
          <w:szCs w:val="92"/>
          <w:color w:val="FFFFFF"/>
        </w:rPr>
        <w:t>Simple ideas.</w:t>
      </w:r>
    </w:p>
    <w:p>
      <w:pPr>
        <w:ind w:left="600"/>
        <w:spacing w:after="0"/>
        <w:rPr>
          <w:sz w:val="20"/>
          <w:szCs w:val="20"/>
          <w:color w:val="auto"/>
        </w:rPr>
      </w:pPr>
      <w:r>
        <w:rPr>
          <w:rFonts w:ascii="Arial" w:cs="Arial" w:eastAsia="Arial" w:hAnsi="Arial"/>
          <w:sz w:val="92"/>
          <w:szCs w:val="92"/>
          <w:color w:val="FFFFFF"/>
        </w:rPr>
        <w:t>Powerful results.</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56"/>
          <w:szCs w:val="56"/>
          <w:color w:val="D6D7D4"/>
        </w:rPr>
        <w:t>2025 highlights</w:t>
      </w:r>
    </w:p>
    <w:p>
      <w:pPr>
        <w:sectPr>
          <w:pgSz w:w="12240" w:h="15840" w:orient="portrait"/>
          <w:cols w:equalWidth="0" w:num="1">
            <w:col w:w="9840"/>
          </w:cols>
          <w:pgMar w:left="9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520"/>
        <w:spacing w:after="0"/>
        <w:rPr>
          <w:sz w:val="20"/>
          <w:szCs w:val="20"/>
          <w:color w:val="auto"/>
        </w:rPr>
      </w:pPr>
      <w:r>
        <w:rPr>
          <w:rFonts w:ascii="Arial" w:cs="Arial" w:eastAsia="Arial" w:hAnsi="Arial"/>
          <w:sz w:val="40"/>
          <w:szCs w:val="40"/>
          <w:color w:val="D6D7D4"/>
        </w:rPr>
        <w:t>Revenue</w:t>
      </w:r>
    </w:p>
    <w:p>
      <w:pPr>
        <w:spacing w:after="0" w:line="26" w:lineRule="exact"/>
        <w:rPr>
          <w:sz w:val="20"/>
          <w:szCs w:val="20"/>
          <w:color w:val="auto"/>
        </w:rPr>
      </w:pPr>
    </w:p>
    <w:p>
      <w:pPr>
        <w:ind w:left="1280"/>
        <w:spacing w:after="0"/>
        <w:rPr>
          <w:sz w:val="20"/>
          <w:szCs w:val="20"/>
          <w:color w:val="auto"/>
        </w:rPr>
      </w:pPr>
      <w:r>
        <w:rPr>
          <w:rFonts w:ascii="Arial" w:cs="Arial" w:eastAsia="Arial" w:hAnsi="Arial"/>
          <w:sz w:val="96"/>
          <w:szCs w:val="96"/>
          <w:color w:val="007DB1"/>
        </w:rPr>
        <w:t>+12%</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40"/>
          <w:szCs w:val="40"/>
          <w:color w:val="D6D7D4"/>
        </w:rPr>
        <w:t>to $7.9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200"/>
        <w:spacing w:after="0"/>
        <w:rPr>
          <w:sz w:val="20"/>
          <w:szCs w:val="20"/>
          <w:color w:val="auto"/>
        </w:rPr>
      </w:pPr>
      <w:r>
        <w:rPr>
          <w:rFonts w:ascii="Arial" w:cs="Arial" w:eastAsia="Arial" w:hAnsi="Arial"/>
          <w:sz w:val="40"/>
          <w:szCs w:val="40"/>
          <w:color w:val="D6D7D4"/>
        </w:rPr>
        <w:t>Free cash flow</w:t>
      </w:r>
    </w:p>
    <w:p>
      <w:pPr>
        <w:spacing w:after="0" w:line="26" w:lineRule="exact"/>
        <w:rPr>
          <w:sz w:val="20"/>
          <w:szCs w:val="20"/>
          <w:color w:val="auto"/>
        </w:rPr>
      </w:pPr>
    </w:p>
    <w:p>
      <w:pPr>
        <w:ind w:left="1420"/>
        <w:spacing w:after="0"/>
        <w:rPr>
          <w:sz w:val="20"/>
          <w:szCs w:val="20"/>
          <w:color w:val="auto"/>
        </w:rPr>
      </w:pPr>
      <w:r>
        <w:rPr>
          <w:rFonts w:ascii="Arial" w:cs="Arial" w:eastAsia="Arial" w:hAnsi="Arial"/>
          <w:sz w:val="96"/>
          <w:szCs w:val="96"/>
          <w:color w:val="007DB1"/>
        </w:rPr>
        <w:t>+8%</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40"/>
          <w:szCs w:val="40"/>
          <w:color w:val="D6D7D4"/>
        </w:rPr>
        <w:t>31%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20"/>
        <w:spacing w:after="0"/>
        <w:rPr>
          <w:sz w:val="20"/>
          <w:szCs w:val="20"/>
          <w:color w:val="auto"/>
        </w:rPr>
      </w:pPr>
      <w:r>
        <w:rPr>
          <w:rFonts w:ascii="Arial" w:cs="Arial" w:eastAsia="Arial" w:hAnsi="Arial"/>
          <w:sz w:val="40"/>
          <w:szCs w:val="40"/>
          <w:color w:val="D6D7D4"/>
        </w:rPr>
        <w:t>Share repurchase</w:t>
      </w:r>
    </w:p>
    <w:p>
      <w:pPr>
        <w:spacing w:after="0" w:line="26" w:lineRule="exact"/>
        <w:rPr>
          <w:sz w:val="20"/>
          <w:szCs w:val="20"/>
          <w:color w:val="auto"/>
        </w:rPr>
      </w:pPr>
    </w:p>
    <w:p>
      <w:pPr>
        <w:jc w:val="center"/>
        <w:ind w:left="200"/>
        <w:spacing w:after="0"/>
        <w:rPr>
          <w:sz w:val="20"/>
          <w:szCs w:val="20"/>
          <w:color w:val="auto"/>
        </w:rPr>
      </w:pPr>
      <w:r>
        <w:rPr>
          <w:rFonts w:ascii="Arial" w:cs="Arial" w:eastAsia="Arial" w:hAnsi="Arial"/>
          <w:sz w:val="96"/>
          <w:szCs w:val="96"/>
          <w:color w:val="007DB1"/>
        </w:rPr>
        <w:t>$500M</w:t>
      </w:r>
    </w:p>
    <w:p>
      <w:pPr>
        <w:spacing w:after="0" w:line="90" w:lineRule="exact"/>
        <w:rPr>
          <w:sz w:val="20"/>
          <w:szCs w:val="20"/>
          <w:color w:val="auto"/>
        </w:rPr>
      </w:pPr>
    </w:p>
    <w:p>
      <w:pPr>
        <w:ind w:left="1200"/>
        <w:spacing w:after="0"/>
        <w:rPr>
          <w:sz w:val="20"/>
          <w:szCs w:val="20"/>
          <w:color w:val="auto"/>
        </w:rPr>
      </w:pPr>
      <w:r>
        <w:rPr>
          <w:rFonts w:ascii="Arial" w:cs="Arial" w:eastAsia="Arial" w:hAnsi="Arial"/>
          <w:sz w:val="40"/>
          <w:szCs w:val="40"/>
          <w:color w:val="D6D7D4"/>
        </w:rPr>
        <w:t>1.12M shares</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40"/>
        <w:spacing w:after="0"/>
        <w:rPr>
          <w:sz w:val="20"/>
          <w:szCs w:val="20"/>
          <w:color w:val="auto"/>
        </w:rPr>
      </w:pPr>
      <w:r>
        <w:rPr>
          <w:rFonts w:ascii="Arial" w:cs="Arial" w:eastAsia="Arial" w:hAnsi="Arial"/>
          <w:sz w:val="40"/>
          <w:szCs w:val="40"/>
          <w:color w:val="D6D7D4"/>
        </w:rPr>
        <w:t>EBITDA</w:t>
      </w:r>
    </w:p>
    <w:p>
      <w:pPr>
        <w:spacing w:after="0" w:line="26" w:lineRule="exact"/>
        <w:rPr>
          <w:sz w:val="20"/>
          <w:szCs w:val="20"/>
          <w:color w:val="auto"/>
        </w:rPr>
      </w:pPr>
    </w:p>
    <w:p>
      <w:pPr>
        <w:ind w:left="980"/>
        <w:spacing w:after="0"/>
        <w:rPr>
          <w:sz w:val="20"/>
          <w:szCs w:val="20"/>
          <w:color w:val="auto"/>
        </w:rPr>
      </w:pPr>
      <w:r>
        <w:rPr>
          <w:rFonts w:ascii="Arial" w:cs="Arial" w:eastAsia="Arial" w:hAnsi="Arial"/>
          <w:sz w:val="96"/>
          <w:szCs w:val="96"/>
          <w:color w:val="007DB1"/>
        </w:rPr>
        <w:t>+11%</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40"/>
          <w:szCs w:val="40"/>
          <w:color w:val="D6D7D4"/>
        </w:rPr>
        <w:t>to $3.1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40"/>
          <w:szCs w:val="40"/>
          <w:color w:val="D6D7D4"/>
        </w:rPr>
        <w:t>Capital deployed</w:t>
      </w:r>
    </w:p>
    <w:p>
      <w:pPr>
        <w:spacing w:after="0" w:line="26" w:lineRule="exact"/>
        <w:rPr>
          <w:sz w:val="20"/>
          <w:szCs w:val="20"/>
          <w:color w:val="auto"/>
        </w:rPr>
      </w:pPr>
    </w:p>
    <w:p>
      <w:pPr>
        <w:jc w:val="center"/>
        <w:ind w:right="400"/>
        <w:spacing w:after="0"/>
        <w:rPr>
          <w:sz w:val="20"/>
          <w:szCs w:val="20"/>
          <w:color w:val="auto"/>
        </w:rPr>
      </w:pPr>
      <w:r>
        <w:rPr>
          <w:rFonts w:ascii="Arial" w:cs="Arial" w:eastAsia="Arial" w:hAnsi="Arial"/>
          <w:sz w:val="96"/>
          <w:szCs w:val="96"/>
          <w:color w:val="007DB1"/>
        </w:rPr>
        <w:t>$3.3B</w:t>
      </w:r>
    </w:p>
    <w:p>
      <w:pPr>
        <w:spacing w:after="0" w:line="90" w:lineRule="exact"/>
        <w:rPr>
          <w:sz w:val="20"/>
          <w:szCs w:val="20"/>
          <w:color w:val="auto"/>
        </w:rPr>
      </w:pPr>
    </w:p>
    <w:p>
      <w:pPr>
        <w:spacing w:after="0"/>
        <w:rPr>
          <w:sz w:val="20"/>
          <w:szCs w:val="20"/>
          <w:color w:val="auto"/>
        </w:rPr>
      </w:pPr>
      <w:r>
        <w:rPr>
          <w:rFonts w:ascii="Arial" w:cs="Arial" w:eastAsia="Arial" w:hAnsi="Arial"/>
          <w:sz w:val="40"/>
          <w:szCs w:val="40"/>
          <w:color w:val="D6D7D4"/>
        </w:rPr>
        <w:t>toward acquisitions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0"/>
        <w:spacing w:after="0"/>
        <w:rPr>
          <w:sz w:val="20"/>
          <w:szCs w:val="20"/>
          <w:color w:val="auto"/>
        </w:rPr>
      </w:pPr>
      <w:r>
        <w:rPr>
          <w:rFonts w:ascii="Arial" w:cs="Arial" w:eastAsia="Arial" w:hAnsi="Arial"/>
          <w:sz w:val="40"/>
          <w:szCs w:val="40"/>
          <w:color w:val="D6D7D4"/>
        </w:rPr>
        <w:t>Annual dividend</w:t>
      </w:r>
    </w:p>
    <w:p>
      <w:pPr>
        <w:spacing w:after="0" w:line="26" w:lineRule="exact"/>
        <w:rPr>
          <w:sz w:val="20"/>
          <w:szCs w:val="20"/>
          <w:color w:val="auto"/>
        </w:rPr>
      </w:pPr>
    </w:p>
    <w:p>
      <w:pPr>
        <w:jc w:val="center"/>
        <w:ind w:right="400"/>
        <w:spacing w:after="0"/>
        <w:rPr>
          <w:sz w:val="20"/>
          <w:szCs w:val="20"/>
          <w:color w:val="auto"/>
        </w:rPr>
      </w:pPr>
      <w:r>
        <w:rPr>
          <w:rFonts w:ascii="Arial" w:cs="Arial" w:eastAsia="Arial" w:hAnsi="Arial"/>
          <w:sz w:val="96"/>
          <w:szCs w:val="96"/>
          <w:color w:val="007DB1"/>
        </w:rPr>
        <w:t>+10%</w:t>
      </w:r>
    </w:p>
    <w:p>
      <w:pPr>
        <w:spacing w:after="0" w:line="110" w:lineRule="exact"/>
        <w:rPr>
          <w:sz w:val="20"/>
          <w:szCs w:val="20"/>
          <w:color w:val="auto"/>
        </w:rPr>
      </w:pPr>
    </w:p>
    <w:p>
      <w:pPr>
        <w:ind w:left="480" w:right="780" w:hanging="110"/>
        <w:spacing w:after="0" w:line="324" w:lineRule="auto"/>
        <w:rPr>
          <w:sz w:val="20"/>
          <w:szCs w:val="20"/>
          <w:color w:val="auto"/>
        </w:rPr>
      </w:pPr>
      <w:r>
        <w:rPr>
          <w:rFonts w:ascii="Arial" w:cs="Arial" w:eastAsia="Arial" w:hAnsi="Arial"/>
          <w:sz w:val="38"/>
          <w:szCs w:val="38"/>
          <w:color w:val="D6D7D4"/>
        </w:rPr>
        <w:t>33rd consecutive annual increase</w:t>
      </w:r>
    </w:p>
    <w:p>
      <w:pPr>
        <w:sectPr>
          <w:pgSz w:w="12240" w:h="15840" w:orient="portrait"/>
          <w:cols w:equalWidth="0" w:num="2">
            <w:col w:w="4660" w:space="720"/>
            <w:col w:w="4460"/>
          </w:cols>
          <w:pgMar w:left="960" w:top="144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685800</wp:posOffset>
            </wp:positionV>
            <wp:extent cx="7086600" cy="3314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331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240"/>
        <w:spacing w:after="0"/>
        <w:rPr>
          <w:sz w:val="20"/>
          <w:szCs w:val="20"/>
          <w:color w:val="auto"/>
        </w:rPr>
      </w:pPr>
      <w:r>
        <w:rPr>
          <w:rFonts w:ascii="Arial" w:cs="Arial" w:eastAsia="Arial" w:hAnsi="Arial"/>
          <w:sz w:val="26"/>
          <w:szCs w:val="26"/>
          <w:color w:val="FFFFFF"/>
        </w:rPr>
        <w:t>Neil Hunn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20"/>
          <w:szCs w:val="20"/>
          <w:color w:val="FFFFFF"/>
        </w:rPr>
        <w:t>President and Chief Executive Officer</w:t>
      </w:r>
    </w:p>
    <w:p>
      <w:pPr>
        <w:sectPr>
          <w:pgSz w:w="12240" w:h="15840" w:orient="portrait"/>
          <w:cols w:equalWidth="0" w:num="1">
            <w:col w:w="10440"/>
          </w:cols>
          <w:pgMar w:left="1080" w:top="14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0"/>
          <w:szCs w:val="30"/>
          <w:color w:val="002672"/>
        </w:rPr>
        <w:t>Dear fellow shareholders,</w:t>
      </w:r>
    </w:p>
    <w:p>
      <w:pPr>
        <w:spacing w:after="0" w:line="200" w:lineRule="exact"/>
        <w:rPr>
          <w:sz w:val="20"/>
          <w:szCs w:val="20"/>
          <w:color w:val="auto"/>
        </w:rPr>
      </w:pPr>
    </w:p>
    <w:p>
      <w:pPr>
        <w:spacing w:after="0" w:line="237"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646971"/>
        </w:rPr>
        <w:t>Over the past several years, these letters have outlined our deliberate transformation at Roper: reshaping the portfolio, strengthening our leadership bench, refining our operating model, and enhancing capital deployment. This transformation is now largely complete. Today, Roper is approximately 75% vertical market software and 25% technology-enabled product businesses, has virtually no cyclical exposure, generates substantial and growing free cash flow, and is led by the strongest leadership team in our history.</w:t>
      </w:r>
    </w:p>
    <w:p>
      <w:pPr>
        <w:spacing w:after="0" w:line="369"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646971"/>
        </w:rPr>
        <w:t>The question we spend most of our time on, now, is not what Roper is, but how to unlock more of our potential.</w:t>
      </w:r>
    </w:p>
    <w:p>
      <w:pPr>
        <w:spacing w:after="0" w:line="314"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646971"/>
        </w:rPr>
        <w:t>That is the focus of this year’s letter: what 2025 reinforced about the strength of our model, where we fell short, and why we believe Roper’s best years of compounding still lie ahead. The specifics have evolved, but the underlying logic has not. We own durable, market-leading businesses with highly recurring revenue and strong cash flow characteristics. We operate them in a decentralized model that keeps our businesses close to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332" w:lineRule="auto"/>
        <w:rPr>
          <w:sz w:val="20"/>
          <w:szCs w:val="20"/>
          <w:color w:val="auto"/>
        </w:rPr>
      </w:pPr>
      <w:r>
        <w:rPr>
          <w:rFonts w:ascii="Arial" w:cs="Arial" w:eastAsia="Arial" w:hAnsi="Arial"/>
          <w:sz w:val="20"/>
          <w:szCs w:val="20"/>
          <w:color w:val="646971"/>
        </w:rPr>
        <w:t>We pair this with disciplined, centrally led capital deployment designed to maximize cash flow per share over time.</w:t>
      </w:r>
    </w:p>
    <w:p>
      <w:pPr>
        <w:spacing w:after="0" w:line="56"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646971"/>
        </w:rPr>
        <w:t>Over the past five years, revenue has compounded 14%, EBITDA 15%, and free cash flow 14% annually. We highlight these results because 2025 put the model to the test. It proved durable, but it also made clear where we need to be better.</w:t>
      </w:r>
    </w:p>
    <w:p>
      <w:pPr>
        <w:spacing w:after="0" w:line="32" w:lineRule="exact"/>
        <w:rPr>
          <w:sz w:val="20"/>
          <w:szCs w:val="20"/>
          <w:color w:val="auto"/>
        </w:rPr>
      </w:pPr>
    </w:p>
    <w:p>
      <w:pPr>
        <w:spacing w:after="0"/>
        <w:rPr>
          <w:sz w:val="20"/>
          <w:szCs w:val="20"/>
          <w:color w:val="auto"/>
        </w:rPr>
      </w:pPr>
      <w:r>
        <w:rPr>
          <w:rFonts w:ascii="Arial" w:cs="Arial" w:eastAsia="Arial" w:hAnsi="Arial"/>
          <w:sz w:val="24"/>
          <w:szCs w:val="24"/>
          <w:color w:val="000041"/>
        </w:rPr>
        <w:t>2025: Results and Context</w:t>
      </w:r>
    </w:p>
    <w:p>
      <w:pPr>
        <w:spacing w:after="0" w:line="113"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646971"/>
        </w:rPr>
        <w:t>In 2025, total revenue grew 12% to $7.9 billion, EBITDA grew 11% to $3.1 billion, free cash flow grew 8% to $2.5 billion, and adjusted DEPS grew 9% to $20.00. We deployed $3.3 billion toward high-quality vertical market software acquisitions, highlighted by CentralReach, Subsplash, and several strategic bolt-ons, and we repurchased 1.12 million shares for $500 million through our share repurchase program, which we continue to execute early in 2026. We also increased our annual dividend for the 33rd consecutive year.</w:t>
      </w:r>
    </w:p>
    <w:p>
      <w:pPr>
        <w:spacing w:after="0" w:line="369"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646971"/>
        </w:rPr>
        <w:t>This was a good year for Roper, though our performance did not fully meet our standards.</w:t>
      </w:r>
    </w:p>
    <w:p>
      <w:pPr>
        <w:spacing w:after="0" w:line="228" w:lineRule="exact"/>
        <w:rPr>
          <w:sz w:val="20"/>
          <w:szCs w:val="20"/>
          <w:color w:val="auto"/>
        </w:rPr>
      </w:pPr>
    </w:p>
    <w:p>
      <w:pPr>
        <w:sectPr>
          <w:pgSz w:w="12240" w:h="15840" w:orient="portrait"/>
          <w:cols w:equalWidth="0" w:num="2">
            <w:col w:w="5040" w:space="360"/>
            <w:col w:w="5040"/>
          </w:cols>
          <w:pgMar w:left="1080" w:top="1440" w:right="720" w:bottom="0" w:gutter="0" w:footer="0" w:header="0"/>
          <w:type w:val="continuous"/>
        </w:sectPr>
      </w:pPr>
    </w:p>
    <w:p>
      <w:pPr>
        <w:ind w:left="8560"/>
        <w:spacing w:after="0"/>
        <w:tabs>
          <w:tab w:leader="none" w:pos="10360" w:val="left"/>
        </w:tabs>
        <w:rPr>
          <w:sz w:val="20"/>
          <w:szCs w:val="20"/>
          <w:color w:val="auto"/>
        </w:rPr>
      </w:pPr>
      <w:r>
        <w:rPr>
          <w:rFonts w:ascii="Arial" w:cs="Arial" w:eastAsia="Arial" w:hAnsi="Arial"/>
          <w:sz w:val="14"/>
          <w:szCs w:val="14"/>
          <w:color w:val="002672"/>
        </w:rPr>
        <w:t>Roper Technologies</w:t>
      </w:r>
      <w:r>
        <w:rPr>
          <w:sz w:val="20"/>
          <w:szCs w:val="20"/>
          <w:color w:val="auto"/>
        </w:rPr>
        <w:tab/>
      </w:r>
      <w:r>
        <w:rPr>
          <w:rFonts w:ascii="Arial" w:cs="Arial" w:eastAsia="Arial" w:hAnsi="Arial"/>
          <w:sz w:val="10"/>
          <w:szCs w:val="10"/>
          <w:color w:val="002672"/>
        </w:rPr>
        <w:t>1</w:t>
      </w:r>
    </w:p>
    <w:p>
      <w:pPr>
        <w:sectPr>
          <w:pgSz w:w="12240" w:h="15840" w:orient="portrait"/>
          <w:cols w:equalWidth="0" w:num="1">
            <w:col w:w="10440"/>
          </w:cols>
          <w:pgMar w:left="1080" w:top="1440" w:right="720" w:bottom="0" w:gutter="0" w:footer="0" w:header="0"/>
          <w:type w:val="continuous"/>
        </w:sectPr>
      </w:pPr>
    </w:p>
    <w:bookmarkStart w:id="3" w:name="page4"/>
    <w:bookmarkEnd w:id="3"/>
    <w:p>
      <w:pPr>
        <w:jc w:val="both"/>
        <w:spacing w:after="0" w:line="312" w:lineRule="auto"/>
        <w:rPr>
          <w:sz w:val="20"/>
          <w:szCs w:val="20"/>
          <w:color w:val="auto"/>
        </w:rPr>
      </w:pPr>
      <w:r>
        <w:rPr>
          <w:rFonts w:ascii="Arial" w:cs="Arial" w:eastAsia="Arial" w:hAnsi="Arial"/>
          <w:sz w:val="20"/>
          <w:szCs w:val="20"/>
          <w:color w:val="646971"/>
        </w:rPr>
        <w:t>Our businesses generated substantial and growing cash flow, our capital deployment engine remained productive, and we added meaningful new businesses to the portfolio. At the same time, 2025 organic growth of 5% was below our initial outlook and below where we believe this portfolio should perform on a long-term and sustained basis.</w:t>
      </w:r>
    </w:p>
    <w:p>
      <w:pPr>
        <w:spacing w:after="0" w:line="77"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646971"/>
        </w:rPr>
        <w:t>A small number of business-specific headwinds drove organic growth below the 6% to 7% range we expected at the start of the year. At Deltek, prolonged uncertainty around government spending, including shutdowns, continuing resolutions, and delayed contract awards, slowed commercial activity in its U.S. Federal government contracting customer base. At Neptune, tariff surcharge negotiations created order delays late in the year. At Procare, we were too slow to make needed leadership changes in the face of operational adversity. We should have moved sooner, and we have acted on that lesson.</w:t>
      </w:r>
    </w:p>
    <w:p>
      <w:pPr>
        <w:spacing w:after="0" w:line="368"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646971"/>
        </w:rPr>
        <w:t>Across the rest of the portfolio, execution remained strong and organic revenue growth was healthy. The factors that weighed on 2025 organic growth were real, but they were concentrated rather than systemic, and they are being addressed.</w:t>
      </w:r>
    </w:p>
    <w:p>
      <w:pPr>
        <w:spacing w:after="0" w:line="32" w:lineRule="exact"/>
        <w:rPr>
          <w:sz w:val="20"/>
          <w:szCs w:val="20"/>
          <w:color w:val="auto"/>
        </w:rPr>
      </w:pPr>
    </w:p>
    <w:p>
      <w:pPr>
        <w:spacing w:after="0"/>
        <w:rPr>
          <w:sz w:val="20"/>
          <w:szCs w:val="20"/>
          <w:color w:val="auto"/>
        </w:rPr>
      </w:pPr>
      <w:r>
        <w:rPr>
          <w:rFonts w:ascii="Arial" w:cs="Arial" w:eastAsia="Arial" w:hAnsi="Arial"/>
          <w:sz w:val="24"/>
          <w:szCs w:val="24"/>
          <w:color w:val="000041"/>
        </w:rPr>
        <w:t>Our Strategic Priorities</w:t>
      </w:r>
    </w:p>
    <w:p>
      <w:pPr>
        <w:spacing w:after="0" w:line="113"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646971"/>
        </w:rPr>
        <w:t>2025 reinforced three things. First, the portfolio is resilient. Even with organic growth below our expectations, revenue, EBITDA, and free cash flow all increased. Second, our leadership teams showed competitiveness and adaptability, focusing on what they could control: customer intimacy, product innovation, and execution. Third, when a business faces operational adversity, we must respond with urgency.</w:t>
      </w:r>
    </w:p>
    <w:p>
      <w:pPr>
        <w:spacing w:after="0" w:line="366" w:lineRule="exact"/>
        <w:rPr>
          <w:sz w:val="20"/>
          <w:szCs w:val="20"/>
          <w:color w:val="auto"/>
        </w:rPr>
      </w:pPr>
    </w:p>
    <w:p>
      <w:pPr>
        <w:jc w:val="both"/>
        <w:spacing w:after="0" w:line="332" w:lineRule="auto"/>
        <w:rPr>
          <w:sz w:val="20"/>
          <w:szCs w:val="20"/>
          <w:color w:val="auto"/>
        </w:rPr>
      </w:pPr>
      <w:r>
        <w:rPr>
          <w:rFonts w:ascii="Arial" w:cs="Arial" w:eastAsia="Arial" w:hAnsi="Arial"/>
          <w:sz w:val="20"/>
          <w:szCs w:val="20"/>
          <w:color w:val="646971"/>
        </w:rPr>
        <w:t>Those lessons sharpen our focus on the two priorities that matter most to increasing Roper’s long-term compounding algorithm and cash flow per share.</w:t>
      </w:r>
    </w:p>
    <w:p>
      <w:pPr>
        <w:spacing w:after="0" w:line="48" w:lineRule="exact"/>
        <w:rPr>
          <w:sz w:val="20"/>
          <w:szCs w:val="20"/>
          <w:color w:val="auto"/>
        </w:rPr>
      </w:pPr>
    </w:p>
    <w:p>
      <w:pPr>
        <w:jc w:val="both"/>
        <w:spacing w:after="0" w:line="319" w:lineRule="auto"/>
        <w:rPr>
          <w:sz w:val="20"/>
          <w:szCs w:val="20"/>
          <w:color w:val="auto"/>
        </w:rPr>
      </w:pPr>
      <w:r>
        <w:rPr>
          <w:rFonts w:ascii="Arial" w:cs="Arial" w:eastAsia="Arial" w:hAnsi="Arial"/>
          <w:sz w:val="20"/>
          <w:szCs w:val="20"/>
          <w:i w:val="1"/>
          <w:iCs w:val="1"/>
          <w:color w:val="646971"/>
        </w:rPr>
        <w:t xml:space="preserve">The first is improved and sustained organic revenue growth. </w:t>
      </w:r>
      <w:r>
        <w:rPr>
          <w:rFonts w:ascii="Arial" w:cs="Arial" w:eastAsia="Arial" w:hAnsi="Arial"/>
          <w:sz w:val="20"/>
          <w:szCs w:val="20"/>
          <w:color w:val="646971"/>
        </w:rPr>
        <w:t>This is the most powerful lever in our model</w:t>
      </w:r>
      <w:r>
        <w:rPr>
          <w:rFonts w:ascii="Arial" w:cs="Arial" w:eastAsia="Arial" w:hAnsi="Arial"/>
          <w:sz w:val="20"/>
          <w:szCs w:val="20"/>
          <w:i w:val="1"/>
          <w:iCs w:val="1"/>
          <w:color w:val="646971"/>
        </w:rPr>
        <w:t xml:space="preserve"> </w:t>
      </w:r>
      <w:r>
        <w:rPr>
          <w:rFonts w:ascii="Arial" w:cs="Arial" w:eastAsia="Arial" w:hAnsi="Arial"/>
          <w:sz w:val="20"/>
          <w:szCs w:val="20"/>
          <w:color w:val="646971"/>
        </w:rPr>
        <w:t>because organic growth is highly incremental, carries strong margins, and converts to free cash flow at attractive rates. Moving our organic growth</w:t>
      </w:r>
    </w:p>
    <w:p>
      <w:pPr>
        <w:spacing w:after="0" w:line="20" w:lineRule="exact"/>
        <w:rPr>
          <w:sz w:val="20"/>
          <w:szCs w:val="20"/>
          <w:color w:val="auto"/>
        </w:rPr>
      </w:pPr>
      <w:r>
        <w:rPr>
          <w:sz w:val="20"/>
          <w:szCs w:val="20"/>
          <w:color w:val="auto"/>
        </w:rPr>
        <w:br w:type="column"/>
      </w:r>
    </w:p>
    <w:p>
      <w:pPr>
        <w:jc w:val="both"/>
        <w:spacing w:after="0" w:line="332" w:lineRule="auto"/>
        <w:rPr>
          <w:sz w:val="20"/>
          <w:szCs w:val="20"/>
          <w:color w:val="auto"/>
        </w:rPr>
      </w:pPr>
      <w:r>
        <w:rPr>
          <w:rFonts w:ascii="Arial" w:cs="Arial" w:eastAsia="Arial" w:hAnsi="Arial"/>
          <w:sz w:val="20"/>
          <w:szCs w:val="20"/>
          <w:color w:val="646971"/>
        </w:rPr>
        <w:t>profile from the 5% range to 7%+ on a sustained basis will have a meaningful impact on long-term cash flow compounding.</w:t>
      </w:r>
    </w:p>
    <w:p>
      <w:pPr>
        <w:spacing w:after="0" w:line="56"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646971"/>
        </w:rPr>
        <w:t>This starts with leadership. Great businesses improve when they are led by highly competitive people who understand their markets deeply, stay close to customers, and execute with discipline and speed. Over the past several years, we have materially strengthened leadership across the portfolio. To translate that into stronger organic growth, each business must also have a clear, data-driven long-term strategy focused on the segments where it has the highest right to win, while continuing to improve new product velocity, go-to-market execution, customer intimacy, and competitive position in the workflows it serves. AI is an increasingly important part of this effort, and we will address it separately below.</w:t>
      </w:r>
    </w:p>
    <w:p>
      <w:pPr>
        <w:spacing w:after="0" w:line="364" w:lineRule="exact"/>
        <w:rPr>
          <w:sz w:val="20"/>
          <w:szCs w:val="20"/>
          <w:color w:val="auto"/>
        </w:rPr>
      </w:pPr>
    </w:p>
    <w:p>
      <w:pPr>
        <w:jc w:val="both"/>
        <w:spacing w:after="0" w:line="319" w:lineRule="auto"/>
        <w:rPr>
          <w:sz w:val="20"/>
          <w:szCs w:val="20"/>
          <w:color w:val="auto"/>
        </w:rPr>
      </w:pPr>
      <w:r>
        <w:rPr>
          <w:rFonts w:ascii="Arial" w:cs="Arial" w:eastAsia="Arial" w:hAnsi="Arial"/>
          <w:sz w:val="20"/>
          <w:szCs w:val="20"/>
          <w:i w:val="1"/>
          <w:iCs w:val="1"/>
          <w:color w:val="646971"/>
        </w:rPr>
        <w:t xml:space="preserve">The second priority is improving returns on our capital deployment. </w:t>
      </w:r>
      <w:r>
        <w:rPr>
          <w:rFonts w:ascii="Arial" w:cs="Arial" w:eastAsia="Arial" w:hAnsi="Arial"/>
          <w:sz w:val="20"/>
          <w:szCs w:val="20"/>
          <w:color w:val="646971"/>
        </w:rPr>
        <w:t>We deploy billions of dollars</w:t>
      </w:r>
      <w:r>
        <w:rPr>
          <w:rFonts w:ascii="Arial" w:cs="Arial" w:eastAsia="Arial" w:hAnsi="Arial"/>
          <w:sz w:val="20"/>
          <w:szCs w:val="20"/>
          <w:i w:val="1"/>
          <w:iCs w:val="1"/>
          <w:color w:val="646971"/>
        </w:rPr>
        <w:t xml:space="preserve"> </w:t>
      </w:r>
      <w:r>
        <w:rPr>
          <w:rFonts w:ascii="Arial" w:cs="Arial" w:eastAsia="Arial" w:hAnsi="Arial"/>
          <w:sz w:val="20"/>
          <w:szCs w:val="20"/>
          <w:color w:val="646971"/>
        </w:rPr>
        <w:t>annually, and we want each of those dollars working harder. Our approach remains disciplined, objective, and centered on long-term value creation per share.</w:t>
      </w:r>
    </w:p>
    <w:p>
      <w:pPr>
        <w:spacing w:after="0" w:line="359"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646971"/>
        </w:rPr>
        <w:t>Two aspects of our capital deployment strategy are especially important. First, we are allocating more capital to strategic bolt-on acquisitions that strengthen existing Roper platforms and improve their organic growth trajectories. Well-executed bolt-ons add products, capabilities, customers, and adjacencies in ways that enhance both strategic position and growth. Second, we are increasingly acquiring earlier-life-cycle category leaders, while remaining anchored to the same attributes we have always valued: leading positions in smaller markets, strong product-market fit, high recurring revenue, and high gross retention. The difference is timing. These businesses are earlier in their evolution, which often means faster growth and greater margin expansion potential under Roper ownership. CentralReach, Procare, and Subsplash fit this model well and offer meaningful opportunity for further improvement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727710</wp:posOffset>
            </wp:positionV>
            <wp:extent cx="7772400"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72400" cy="608965"/>
                    </a:xfrm>
                    <a:prstGeom prst="rect">
                      <a:avLst/>
                    </a:prstGeom>
                    <a:noFill/>
                  </pic:spPr>
                </pic:pic>
              </a:graphicData>
            </a:graphic>
          </wp:anchor>
        </w:drawing>
      </w:r>
    </w:p>
    <w:p>
      <w:pPr>
        <w:spacing w:after="0" w:line="842" w:lineRule="exact"/>
        <w:rPr>
          <w:sz w:val="20"/>
          <w:szCs w:val="20"/>
          <w:color w:val="auto"/>
        </w:rPr>
      </w:pPr>
    </w:p>
    <w:p>
      <w:pPr>
        <w:sectPr>
          <w:pgSz w:w="12240" w:h="15840" w:orient="portrait"/>
          <w:cols w:equalWidth="0" w:num="2">
            <w:col w:w="5040" w:space="360"/>
            <w:col w:w="5040"/>
          </w:cols>
          <w:pgMar w:left="720" w:top="107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FFFFFF"/>
        </w:rPr>
        <w:t>2</w:t>
        <w:tab/>
        <w:t>2025 annual report</w:t>
      </w:r>
    </w:p>
    <w:p>
      <w:pPr>
        <w:sectPr>
          <w:pgSz w:w="12240" w:h="15840" w:orient="portrait"/>
          <w:cols w:equalWidth="0" w:num="1">
            <w:col w:w="10440"/>
          </w:cols>
          <w:pgMar w:left="720" w:top="1076" w:right="1080" w:bottom="0" w:gutter="0" w:footer="0" w:header="0"/>
          <w:type w:val="continuous"/>
        </w:sectPr>
      </w:pPr>
    </w:p>
    <w:bookmarkStart w:id="4" w:name="page5"/>
    <w:bookmarkEnd w:id="4"/>
    <w:p>
      <w:pPr>
        <w:jc w:val="both"/>
        <w:spacing w:after="0" w:line="314" w:lineRule="auto"/>
        <w:rPr>
          <w:sz w:val="20"/>
          <w:szCs w:val="20"/>
          <w:color w:val="auto"/>
        </w:rPr>
      </w:pPr>
      <w:r>
        <w:rPr>
          <w:rFonts w:ascii="Arial" w:cs="Arial" w:eastAsia="Arial" w:hAnsi="Arial"/>
          <w:sz w:val="20"/>
          <w:szCs w:val="20"/>
          <w:color w:val="646971"/>
        </w:rPr>
        <w:t>These priorities reinforce each other. Better businesses drive stronger organic growth. Stronger organic growth generates more free cash flow. And more free cash flow expands our capacity to deploy capital into acquisitions, bolt-ons, and share repurchases. Taken together, our compounding per share will improve further.</w:t>
      </w:r>
    </w:p>
    <w:p>
      <w:pPr>
        <w:spacing w:after="0" w:line="326" w:lineRule="exact"/>
        <w:rPr>
          <w:sz w:val="20"/>
          <w:szCs w:val="20"/>
          <w:color w:val="auto"/>
        </w:rPr>
      </w:pPr>
    </w:p>
    <w:p>
      <w:pPr>
        <w:spacing w:after="0"/>
        <w:rPr>
          <w:sz w:val="20"/>
          <w:szCs w:val="20"/>
          <w:color w:val="auto"/>
        </w:rPr>
      </w:pPr>
      <w:r>
        <w:rPr>
          <w:rFonts w:ascii="Arial" w:cs="Arial" w:eastAsia="Arial" w:hAnsi="Arial"/>
          <w:sz w:val="24"/>
          <w:szCs w:val="24"/>
          <w:color w:val="000041"/>
        </w:rPr>
        <w:t>AI and the Next Phase of Growth</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646971"/>
        </w:rPr>
        <w:t>We believe Roper’s businesses are exceptionally well positioned to create value in an AI-driven world for the same reasons they have created value in their underlying markets for many years: deep domain knowledge, rich workflow context, and trusted customer relationships.</w:t>
      </w:r>
    </w:p>
    <w:p>
      <w:pPr>
        <w:spacing w:after="0" w:line="75"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646971"/>
        </w:rPr>
        <w:t>In enterprise software, we believe durable AI value will come not from frontier models alone, but from embedding AI into real customer workflows in ways that improve outcomes and earn trust. That requires proprietary data, domain-specific expertise, and trusted distribution into the daily operations of customers. Without that foundation, AI is difficult to commercialize. With it, AI becomes a product customers will adopt and pay for.</w:t>
      </w:r>
    </w:p>
    <w:p>
      <w:pPr>
        <w:spacing w:after="0" w:line="77"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646971"/>
        </w:rPr>
        <w:t>That plays directly to the strengths of our portfolio. Our businesses are not broad horizontal platforms pursuing generic use cases. They are deeply embedded, mission-critical systems serving specific verticals with specific needs. Our decentralized operating model is an advantage in this environment because our businesses and their leaders stay close to customers and their workflows, helping them identify where AI can create real value and bring impactful products to market on a highly efficient and speedy timetable.</w:t>
      </w:r>
    </w:p>
    <w:p>
      <w:pPr>
        <w:spacing w:after="0" w:line="369"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646971"/>
        </w:rPr>
        <w:t>This is why we view AI not as a feature enhancement, but as a structural expansion of the opportunity set for our businesses. Historically, our businesses have excelled at capturing, organizing, and managing structured data and workflows. But many of the highest-value tasks in our customers’ operations, including interpreting unstructured information, making complex judgment calls, and matching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596900</wp:posOffset>
            </wp:positionV>
            <wp:extent cx="7772400"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72400"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32" w:lineRule="auto"/>
        <w:rPr>
          <w:sz w:val="20"/>
          <w:szCs w:val="20"/>
          <w:color w:val="auto"/>
        </w:rPr>
      </w:pPr>
      <w:r>
        <w:rPr>
          <w:rFonts w:ascii="Arial" w:cs="Arial" w:eastAsia="Arial" w:hAnsi="Arial"/>
          <w:sz w:val="20"/>
          <w:szCs w:val="20"/>
          <w:color w:val="646971"/>
        </w:rPr>
        <w:t>supply to demand under ambiguous conditions, have remained manual because they could not be reliably productized. AI is changing that.</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646971"/>
        </w:rPr>
        <w:t>For example, CentralReach is using AI to improve autism therapy scheduling, documentation, and reimbursement workflows, addressing parts of the care delivery process that its software never touched before. DAT is applying AI to automate highly trusted matches between broker demand and carrier supply. In these cases, AI is being embedded in trusted systems of record and workflow, not bolted on as a separate layer. As a result, the addressable markets for these businesses expand because the range of problems their software can solve is also expanding.</w:t>
      </w:r>
    </w:p>
    <w:p>
      <w:pPr>
        <w:spacing w:after="0" w:line="373"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646971"/>
        </w:rPr>
        <w:t>There is also an important compounding dynamic here. As our businesses deploy AI agents inside customer workflows, every action generates new operational data that can make those agents more accurate over time. Better agents get used more. More usage generates more data. And that further deepens the competitive advantage.</w:t>
      </w:r>
    </w:p>
    <w:p>
      <w:pPr>
        <w:spacing w:after="0" w:line="77"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646971"/>
        </w:rPr>
        <w:t>At the same time, one lesson became clear in 2025: we have accelerated our pace of innovation, but not enough. Experimentation, prototyping, and iteration are necessary, but given the pace of change and the size of the opportunity, learning alone is not sufficient. We need to move from experimentation to productization and commercialization with greater velocity.</w:t>
      </w:r>
    </w:p>
    <w:p>
      <w:pPr>
        <w:spacing w:after="0" w:line="36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646971"/>
        </w:rPr>
        <w:t>That recognition led to one of the most important decisions we made in 2025: creating a centralized AI enablement team at Roper. Its role is to help our businesses move faster by providing technical expertise, development capacity, and reusable capabilities.</w:t>
      </w:r>
    </w:p>
    <w:p>
      <w:pPr>
        <w:spacing w:after="0" w:line="36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646971"/>
        </w:rPr>
        <w:t>Broadly, the early results are encouraging. In pockets of the portfolio, we see AI-enabled products gaining traction in the market, automating important customer workflows, and beginning to generate revenue. We remain measured in our guidance and do not assume a material revenue uplift from AI in</w:t>
      </w:r>
    </w:p>
    <w:p>
      <w:pPr>
        <w:spacing w:after="0" w:line="200" w:lineRule="exact"/>
        <w:rPr>
          <w:sz w:val="20"/>
          <w:szCs w:val="20"/>
          <w:color w:val="auto"/>
        </w:rPr>
      </w:pPr>
    </w:p>
    <w:p>
      <w:pPr>
        <w:sectPr>
          <w:pgSz w:w="12240" w:h="15840" w:orient="portrait"/>
          <w:cols w:equalWidth="0" w:num="2">
            <w:col w:w="5040" w:space="360"/>
            <w:col w:w="5040"/>
          </w:cols>
          <w:pgMar w:left="1080" w:top="107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560"/>
        <w:spacing w:after="0"/>
        <w:tabs>
          <w:tab w:leader="none" w:pos="10340" w:val="left"/>
        </w:tabs>
        <w:rPr>
          <w:sz w:val="20"/>
          <w:szCs w:val="20"/>
          <w:color w:val="auto"/>
        </w:rPr>
      </w:pPr>
      <w:r>
        <w:rPr>
          <w:rFonts w:ascii="Arial" w:cs="Arial" w:eastAsia="Arial" w:hAnsi="Arial"/>
          <w:sz w:val="14"/>
          <w:szCs w:val="14"/>
          <w:color w:val="000043"/>
        </w:rPr>
        <w:t>Rop</w:t>
      </w:r>
      <w:r>
        <w:rPr>
          <w:rFonts w:ascii="Arial" w:cs="Arial" w:eastAsia="Arial" w:hAnsi="Arial"/>
          <w:sz w:val="14"/>
          <w:szCs w:val="14"/>
          <w:color w:val="00003E"/>
        </w:rPr>
        <w:t>er Technolog</w:t>
      </w:r>
      <w:r>
        <w:rPr>
          <w:rFonts w:ascii="Arial" w:cs="Arial" w:eastAsia="Arial" w:hAnsi="Arial"/>
          <w:sz w:val="14"/>
          <w:szCs w:val="14"/>
          <w:color w:val="00003C"/>
        </w:rPr>
        <w:t>ies</w:t>
      </w:r>
      <w:r>
        <w:rPr>
          <w:sz w:val="20"/>
          <w:szCs w:val="20"/>
          <w:color w:val="auto"/>
        </w:rPr>
        <w:tab/>
      </w:r>
      <w:r>
        <w:rPr>
          <w:rFonts w:ascii="Arial" w:cs="Arial" w:eastAsia="Arial" w:hAnsi="Arial"/>
          <w:sz w:val="14"/>
          <w:szCs w:val="14"/>
          <w:color w:val="00003B"/>
        </w:rPr>
        <w:t>3</w:t>
      </w:r>
    </w:p>
    <w:p>
      <w:pPr>
        <w:sectPr>
          <w:pgSz w:w="12240" w:h="15840" w:orient="portrait"/>
          <w:cols w:equalWidth="0" w:num="1">
            <w:col w:w="10440"/>
          </w:cols>
          <w:pgMar w:left="1080" w:top="1076" w:right="720" w:bottom="0" w:gutter="0" w:footer="0" w:header="0"/>
          <w:type w:val="continuous"/>
        </w:sectPr>
      </w:pPr>
    </w:p>
    <w:bookmarkStart w:id="5" w:name="page6"/>
    <w:bookmarkEnd w:id="5"/>
    <w:p>
      <w:pPr>
        <w:jc w:val="both"/>
        <w:spacing w:after="0" w:line="322" w:lineRule="auto"/>
        <w:rPr>
          <w:sz w:val="20"/>
          <w:szCs w:val="20"/>
          <w:color w:val="auto"/>
        </w:rPr>
      </w:pPr>
      <w:r>
        <w:rPr>
          <w:rFonts w:ascii="Arial" w:cs="Arial" w:eastAsia="Arial" w:hAnsi="Arial"/>
          <w:sz w:val="20"/>
          <w:szCs w:val="20"/>
          <w:color w:val="646971"/>
        </w:rPr>
        <w:t>2026. Over time, however, we believe AI can become a meaningful catalyst for stronger organic growth across the portfolio as we further commercialize our on-stack, AI-native solutions.</w:t>
      </w:r>
    </w:p>
    <w:p>
      <w:pPr>
        <w:spacing w:after="0" w:line="27" w:lineRule="exact"/>
        <w:rPr>
          <w:sz w:val="20"/>
          <w:szCs w:val="20"/>
          <w:color w:val="auto"/>
        </w:rPr>
      </w:pPr>
    </w:p>
    <w:p>
      <w:pPr>
        <w:spacing w:after="0"/>
        <w:rPr>
          <w:sz w:val="20"/>
          <w:szCs w:val="20"/>
          <w:color w:val="auto"/>
        </w:rPr>
      </w:pPr>
      <w:r>
        <w:rPr>
          <w:rFonts w:ascii="Arial" w:cs="Arial" w:eastAsia="Arial" w:hAnsi="Arial"/>
          <w:sz w:val="24"/>
          <w:szCs w:val="24"/>
          <w:color w:val="000041"/>
        </w:rPr>
        <w:t>Capital Allocation and Financial Strength</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646971"/>
        </w:rPr>
        <w:t>Executing on these priorities (stronger organic growth, higher-return capital deployment, and AI growth) requires financial strength and discipline. Our capital allocation position entering 2026 is strong. We begin the year with more than $6 billion of capacity, and our pipeline of high-quality acquisition opportunities remains active.</w:t>
      </w:r>
    </w:p>
    <w:p>
      <w:pPr>
        <w:spacing w:after="0" w:line="77"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646971"/>
        </w:rPr>
        <w:t>Following the first quarter drawdown in public software valuations, however, deal activity has slowed as seller value expectations and our underwriting standards have become less aligned. We remain patient and disciplined in this environment, continuing to invest in relationships with founders, management teams, and sellers knowing that valuation expectations and our return requirements will converge over time. When they do, we are well positioned to move quickly. Our strategic intent has not changed. What we will not do is compromise our underwriting discipline to preserve deal pace.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646971"/>
        </w:rPr>
        <w:t>In the meantime, we are leaning into our share repurchase authorization as an attractive capital deployment alternative. Our $3 billion repurchase program, the first in Roper’s history, gives us another tool to create shareholder value when conditions warrant. We have demonstrated our aggressive willingness to use it, and as of the date of our 10-K filing we have executed $1.8 billion under the authorization.</w:t>
      </w:r>
    </w:p>
    <w:p>
      <w:pPr>
        <w:spacing w:after="0" w:line="366"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646971"/>
        </w:rPr>
        <w:t>Our capital allocation philosophy is simple: deploy capital where it can generate the highest risk-adjusted return for shareholders. Sometimes that will be acquisitions. Sometimes it will be bolt-ons. Sometimes it will be share repurchases. Our reputation, permanent ownership model, and operating environment continue to make Roper an attractive home for high-quality businesses. When M&amp;A markets align with our underwriting, we will be active. When they do not, we will wait.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000041"/>
        </w:rPr>
        <w:t>The Road Ahead</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646971"/>
        </w:rPr>
        <w:t>This letter began with a question: how to unlock more of Roper’s potential. The answer focuses on three things: the combined effect of stronger leaders driving faster organic growth, disciplined capital deployment earning higher returns, and AI expanding the range of problems our businesses can solve for their customers.</w:t>
      </w:r>
    </w:p>
    <w:p>
      <w:pPr>
        <w:spacing w:after="0" w:line="365"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646971"/>
        </w:rPr>
        <w:t>Over long periods, Roper has compounded cash flow per share in the mid-teens area, doubling roughly every five to six years. With a high-quality business portfolio, the best leadership, and clearer strategic priorities than at any point in our history, we believe we are well positioned not only to sustain that performance, but to improve it over time.</w:t>
      </w:r>
    </w:p>
    <w:p>
      <w:pPr>
        <w:spacing w:after="0" w:line="77" w:lineRule="exact"/>
        <w:rPr>
          <w:sz w:val="20"/>
          <w:szCs w:val="20"/>
          <w:color w:val="auto"/>
        </w:rPr>
      </w:pPr>
    </w:p>
    <w:p>
      <w:pPr>
        <w:jc w:val="both"/>
        <w:spacing w:after="0" w:line="332" w:lineRule="auto"/>
        <w:rPr>
          <w:sz w:val="20"/>
          <w:szCs w:val="20"/>
          <w:color w:val="auto"/>
        </w:rPr>
      </w:pPr>
      <w:r>
        <w:rPr>
          <w:rFonts w:ascii="Arial" w:cs="Arial" w:eastAsia="Arial" w:hAnsi="Arial"/>
          <w:sz w:val="20"/>
          <w:szCs w:val="20"/>
          <w:color w:val="646971"/>
        </w:rPr>
        <w:t>The hard work of reshaping Roper’s portfolio is behind us. The work ahead is about growth, speed, and execution. That is a good place to be.</w:t>
      </w:r>
    </w:p>
    <w:p>
      <w:pPr>
        <w:spacing w:after="0" w:line="56" w:lineRule="exact"/>
        <w:rPr>
          <w:sz w:val="20"/>
          <w:szCs w:val="20"/>
          <w:color w:val="auto"/>
        </w:rPr>
      </w:pPr>
    </w:p>
    <w:p>
      <w:pPr>
        <w:ind w:right="300"/>
        <w:spacing w:after="0" w:line="508" w:lineRule="auto"/>
        <w:rPr>
          <w:sz w:val="20"/>
          <w:szCs w:val="20"/>
          <w:color w:val="auto"/>
        </w:rPr>
      </w:pPr>
      <w:r>
        <w:rPr>
          <w:rFonts w:ascii="Arial" w:cs="Arial" w:eastAsia="Arial" w:hAnsi="Arial"/>
          <w:sz w:val="20"/>
          <w:szCs w:val="20"/>
          <w:color w:val="646971"/>
        </w:rPr>
        <w:t>Thank you for your continued trust and support.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wp:posOffset>
            </wp:positionV>
            <wp:extent cx="1226820" cy="760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26820" cy="76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646971"/>
        </w:rPr>
        <w:t>Neil Hunn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2566670</wp:posOffset>
                </wp:positionV>
                <wp:extent cx="32004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0400" cy="4763"/>
                        </a:xfrm>
                        <a:prstGeom prst="line">
                          <a:avLst/>
                        </a:prstGeom>
                        <a:solidFill>
                          <a:srgbClr val="FFFFFF"/>
                        </a:solidFill>
                        <a:ln w="6350">
                          <a:solidFill>
                            <a:srgbClr val="000041"/>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2.1pt" to="252pt,202.1pt" o:allowincell="f" strokecolor="#000041"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646971"/>
        </w:rPr>
        <w:t>Unless otherwise noted, financial information is presented on an adjusted (non-GAAP) and continuing operations basis. A reconciliation can be found on page 71. Please see information about forward looking statements on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393700</wp:posOffset>
            </wp:positionV>
            <wp:extent cx="7772400" cy="614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7772400" cy="614045"/>
                    </a:xfrm>
                    <a:prstGeom prst="rect">
                      <a:avLst/>
                    </a:prstGeom>
                    <a:noFill/>
                  </pic:spPr>
                </pic:pic>
              </a:graphicData>
            </a:graphic>
          </wp:anchor>
        </w:drawing>
      </w:r>
    </w:p>
    <w:p>
      <w:pPr>
        <w:spacing w:after="0" w:line="464" w:lineRule="exact"/>
        <w:rPr>
          <w:sz w:val="20"/>
          <w:szCs w:val="20"/>
          <w:color w:val="auto"/>
        </w:rPr>
      </w:pPr>
    </w:p>
    <w:p>
      <w:pPr>
        <w:sectPr>
          <w:pgSz w:w="12240" w:h="15840" w:orient="portrait"/>
          <w:cols w:equalWidth="0" w:num="2">
            <w:col w:w="5040" w:space="360"/>
            <w:col w:w="5040"/>
          </w:cols>
          <w:pgMar w:left="720" w:top="1075" w:right="1080" w:bottom="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FFFFFF"/>
        </w:rPr>
        <w:t>4</w:t>
      </w:r>
      <w:r>
        <w:rPr>
          <w:sz w:val="20"/>
          <w:szCs w:val="20"/>
          <w:color w:val="auto"/>
        </w:rPr>
        <w:tab/>
      </w:r>
      <w:r>
        <w:rPr>
          <w:rFonts w:ascii="Arial" w:cs="Arial" w:eastAsia="Arial" w:hAnsi="Arial"/>
          <w:sz w:val="14"/>
          <w:szCs w:val="14"/>
          <w:color w:val="FFFFFF"/>
        </w:rPr>
        <w:t>2025 annual report</w:t>
      </w:r>
    </w:p>
    <w:p>
      <w:pPr>
        <w:sectPr>
          <w:pgSz w:w="12240" w:h="15840" w:orient="portrait"/>
          <w:cols w:equalWidth="0" w:num="1">
            <w:col w:w="10440"/>
          </w:cols>
          <w:pgMar w:left="720" w:top="1075" w:right="108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560"/>
        <w:spacing w:after="0"/>
        <w:rPr>
          <w:sz w:val="20"/>
          <w:szCs w:val="20"/>
          <w:color w:val="auto"/>
        </w:rPr>
      </w:pPr>
      <w:r>
        <w:rPr>
          <w:rFonts w:ascii="Arial" w:cs="Arial" w:eastAsia="Arial" w:hAnsi="Arial"/>
          <w:sz w:val="40"/>
          <w:szCs w:val="40"/>
          <w:color w:val="000041"/>
        </w:rPr>
        <w:t>2025 Form 10-K</w:t>
      </w:r>
    </w:p>
    <w:p>
      <w:pPr>
        <w:sectPr>
          <w:pgSz w:w="12240" w:h="15840" w:orient="portrait"/>
          <w:cols w:equalWidth="0" w:num="1">
            <w:col w:w="9360"/>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PAGE INTENTIONALLY LEFT BLANK)</w:t>
      </w:r>
    </w:p>
    <w:p>
      <w:pPr>
        <w:sectPr>
          <w:pgSz w:w="12240" w:h="15840" w:orient="portrait"/>
          <w:cols w:equalWidth="0" w:num="1">
            <w:col w:w="9360"/>
          </w:cols>
          <w:pgMar w:left="1440" w:top="1440" w:right="1440" w:bottom="1440" w:gutter="0" w:footer="0" w:header="0"/>
        </w:sectPr>
      </w:pPr>
    </w:p>
    <w:bookmarkStart w:id="8" w:name="page9"/>
    <w:bookmarkEnd w:id="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4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36"/>
          <w:szCs w:val="36"/>
          <w:b w:val="1"/>
          <w:bCs w:val="1"/>
          <w:color w:val="000041"/>
        </w:rPr>
        <w:t>FORM 10-K</w:t>
      </w:r>
    </w:p>
    <w:p>
      <w:pPr>
        <w:spacing w:after="0" w:line="165" w:lineRule="exact"/>
        <w:rPr>
          <w:sz w:val="20"/>
          <w:szCs w:val="20"/>
          <w:color w:val="auto"/>
        </w:rPr>
      </w:pPr>
    </w:p>
    <w:p>
      <w:pPr>
        <w:jc w:val="center"/>
        <w:ind w:left="3140" w:right="600" w:hanging="2585"/>
        <w:spacing w:after="0" w:line="239" w:lineRule="exact"/>
        <w:tabs>
          <w:tab w:leader="none" w:pos="778" w:val="left"/>
        </w:tabs>
        <w:numPr>
          <w:ilvl w:val="0"/>
          <w:numId w:val="1"/>
        </w:numPr>
        <w:rPr>
          <w:rFonts w:ascii="PMingLiU" w:cs="PMingLiU" w:eastAsia="PMingLiU" w:hAnsi="PMingLiU"/>
          <w:sz w:val="18"/>
          <w:szCs w:val="18"/>
          <w:color w:val="auto"/>
        </w:rPr>
      </w:pPr>
      <w:r>
        <w:rPr>
          <w:rFonts w:ascii="Arial" w:cs="Arial" w:eastAsia="Arial" w:hAnsi="Arial"/>
          <w:sz w:val="18"/>
          <w:szCs w:val="18"/>
          <w:b w:val="1"/>
          <w:bCs w:val="1"/>
          <w:color w:val="auto"/>
        </w:rPr>
        <w:t>ANNUAL REPORT PURSUANT TO SECTION 13 OR 15(d) OF THE SECURITIES EXCHANGE ACT OF 1934 yɁɨ</w:t>
      </w:r>
      <w:r>
        <w:rPr>
          <w:rFonts w:ascii="PMingLiU" w:cs="PMingLiU" w:eastAsia="PMingLiU" w:hAnsi="PMingLiU"/>
          <w:sz w:val="18"/>
          <w:szCs w:val="18"/>
          <w:b w:val="1"/>
          <w:bCs w:val="1"/>
          <w:color w:val="auto"/>
        </w:rPr>
        <w:t/>
      </w:r>
      <w:r>
        <w:rPr>
          <w:rFonts w:ascii="Arial" w:cs="Arial" w:eastAsia="Arial" w:hAnsi="Arial"/>
          <w:sz w:val="18"/>
          <w:szCs w:val="18"/>
          <w:b w:val="1"/>
          <w:bCs w:val="1"/>
          <w:color w:val="auto"/>
        </w:rPr>
        <w:t>ɽȃǉ</w:t>
      </w:r>
      <w:r>
        <w:rPr>
          <w:rFonts w:ascii="PMingLiU" w:cs="PMingLiU" w:eastAsia="PMingLiU" w:hAnsi="PMingLiU"/>
          <w:sz w:val="18"/>
          <w:szCs w:val="18"/>
          <w:b w:val="1"/>
          <w:bCs w:val="1"/>
          <w:color w:val="auto"/>
        </w:rPr>
        <w:t/>
      </w:r>
      <w:r>
        <w:rPr>
          <w:rFonts w:ascii="Arial" w:cs="Arial" w:eastAsia="Arial" w:hAnsi="Arial"/>
          <w:sz w:val="18"/>
          <w:szCs w:val="18"/>
          <w:b w:val="1"/>
          <w:bCs w:val="1"/>
          <w:color w:val="auto"/>
        </w:rPr>
        <w:t>ǹȈɰƺƃȢ</w:t>
      </w:r>
      <w:r>
        <w:rPr>
          <w:rFonts w:ascii="PMingLiU" w:cs="PMingLiU" w:eastAsia="PMingLiU" w:hAnsi="PMingLiU"/>
          <w:sz w:val="18"/>
          <w:szCs w:val="18"/>
          <w:b w:val="1"/>
          <w:bCs w:val="1"/>
          <w:color w:val="auto"/>
        </w:rPr>
        <w:t/>
      </w:r>
      <w:r>
        <w:rPr>
          <w:rFonts w:ascii="Arial" w:cs="Arial" w:eastAsia="Arial" w:hAnsi="Arial"/>
          <w:sz w:val="18"/>
          <w:szCs w:val="18"/>
          <w:b w:val="1"/>
          <w:bCs w:val="1"/>
          <w:color w:val="auto"/>
        </w:rPr>
        <w:t>ʰǉƃɨ</w:t>
      </w:r>
      <w:r>
        <w:rPr>
          <w:rFonts w:ascii="PMingLiU" w:cs="PMingLiU" w:eastAsia="PMingLiU" w:hAnsi="PMingLiU"/>
          <w:sz w:val="18"/>
          <w:szCs w:val="18"/>
          <w:b w:val="1"/>
          <w:bCs w:val="1"/>
          <w:color w:val="auto"/>
        </w:rPr>
        <w:t/>
      </w:r>
      <w:r>
        <w:rPr>
          <w:rFonts w:ascii="Arial" w:cs="Arial" w:eastAsia="Arial" w:hAnsi="Arial"/>
          <w:sz w:val="18"/>
          <w:szCs w:val="18"/>
          <w:b w:val="1"/>
          <w:bCs w:val="1"/>
          <w:color w:val="auto"/>
        </w:rPr>
        <w:t>ǉȶǁǉǁ</w:t>
      </w:r>
      <w:r>
        <w:rPr>
          <w:rFonts w:ascii="PMingLiU" w:cs="PMingLiU" w:eastAsia="PMingLiU" w:hAnsi="PMingLiU"/>
          <w:sz w:val="18"/>
          <w:szCs w:val="18"/>
          <w:b w:val="1"/>
          <w:bCs w:val="1"/>
          <w:color w:val="auto"/>
        </w:rPr>
        <w:t/>
      </w:r>
      <w:r>
        <w:rPr>
          <w:rFonts w:ascii="Arial" w:cs="Arial" w:eastAsia="Arial" w:hAnsi="Arial"/>
          <w:sz w:val="18"/>
          <w:szCs w:val="18"/>
          <w:b w:val="1"/>
          <w:bCs w:val="1"/>
          <w:color w:val="auto"/>
        </w:rPr>
        <w:t>Aǉƺǉȴƹǉɨԝ</w:t>
      </w:r>
      <w:r>
        <w:rPr>
          <w:rFonts w:ascii="Arial" w:cs="Arial" w:eastAsia="Arial" w:hAnsi="Arial"/>
          <w:sz w:val="18"/>
          <w:szCs w:val="18"/>
          <w:b w:val="1"/>
          <w:bCs w:val="1"/>
          <w:color w:val="auto"/>
        </w:rPr>
        <w:t>јіӗ</w:t>
      </w:r>
      <w:r>
        <w:rPr>
          <w:rFonts w:ascii="PMingLiU" w:cs="PMingLiU" w:eastAsia="PMingLiU" w:hAnsi="PMingLiU"/>
          <w:sz w:val="18"/>
          <w:szCs w:val="18"/>
          <w:b w:val="1"/>
          <w:bCs w:val="1"/>
          <w:color w:val="auto"/>
        </w:rPr>
        <w:t/>
      </w:r>
      <w:r>
        <w:rPr>
          <w:rFonts w:ascii="Arial" w:cs="Arial" w:eastAsia="Arial" w:hAnsi="Arial"/>
          <w:sz w:val="18"/>
          <w:szCs w:val="18"/>
          <w:b w:val="1"/>
          <w:bCs w:val="1"/>
          <w:color w:val="auto"/>
        </w:rPr>
        <w:t>їѕїњ</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50" w:lineRule="exact"/>
        <w:rPr>
          <w:sz w:val="20"/>
          <w:szCs w:val="20"/>
          <w:color w:val="auto"/>
        </w:rPr>
      </w:pPr>
    </w:p>
    <w:p>
      <w:pPr>
        <w:ind w:left="580" w:hanging="207"/>
        <w:spacing w:after="0"/>
        <w:tabs>
          <w:tab w:leader="none" w:pos="580" w:val="left"/>
        </w:tabs>
        <w:numPr>
          <w:ilvl w:val="0"/>
          <w:numId w:val="2"/>
        </w:numPr>
        <w:rPr>
          <w:rFonts w:ascii="PMingLiU" w:cs="PMingLiU" w:eastAsia="PMingLiU" w:hAnsi="PMingLiU"/>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0"/>
          <w:szCs w:val="20"/>
          <w:color w:val="auto"/>
        </w:rPr>
      </w:pPr>
    </w:p>
    <w:p>
      <w:pPr>
        <w:ind w:left="3080"/>
        <w:spacing w:after="0"/>
        <w:tabs>
          <w:tab w:leader="none" w:pos="6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1-12273</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48"/>
          <w:szCs w:val="48"/>
          <w:b w:val="1"/>
          <w:bCs w:val="1"/>
          <w:color w:val="000041"/>
        </w:rPr>
        <w:t>ROPER TECHNOLOGIES, INC.</w:t>
      </w: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278" w:lineRule="exact"/>
        <w:rPr>
          <w:sz w:val="20"/>
          <w:szCs w:val="20"/>
          <w:color w:val="auto"/>
        </w:rPr>
      </w:pPr>
    </w:p>
    <w:tbl>
      <w:tblPr>
        <w:tblLayout w:type="fixed"/>
        <w:tblInd w:w="2180" w:type="dxa"/>
        <w:tblCellMar>
          <w:top w:w="0" w:type="dxa"/>
          <w:left w:w="0" w:type="dxa"/>
          <w:bottom w:w="0" w:type="dxa"/>
          <w:right w:w="0" w:type="dxa"/>
        </w:tblCellMar>
      </w:tblPr>
      <w:tr>
        <w:trPr>
          <w:trHeight w:val="278"/>
        </w:trPr>
        <w:tc>
          <w:tcPr>
            <w:tcW w:w="376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rPr>
              <w:t>Delaware</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auto"/>
              </w:rPr>
              <w:t>51-0263969</w:t>
            </w:r>
          </w:p>
        </w:tc>
      </w:tr>
      <w:tr>
        <w:trPr>
          <w:trHeight w:val="200"/>
        </w:trPr>
        <w:tc>
          <w:tcPr>
            <w:tcW w:w="3760" w:type="dxa"/>
            <w:vAlign w:val="bottom"/>
            <w:gridSpan w:val="2"/>
          </w:tcPr>
          <w:p>
            <w:pPr>
              <w:jc w:val="center"/>
              <w:ind w:right="1400"/>
              <w:spacing w:after="0"/>
              <w:rPr>
                <w:sz w:val="20"/>
                <w:szCs w:val="20"/>
                <w:color w:val="auto"/>
              </w:rPr>
            </w:pPr>
            <w:r>
              <w:rPr>
                <w:rFonts w:ascii="Arial" w:cs="Arial" w:eastAsia="Arial" w:hAnsi="Arial"/>
                <w:sz w:val="16"/>
                <w:szCs w:val="16"/>
                <w:color w:val="auto"/>
              </w:rPr>
              <w:t>(State or other jurisdiction of</w:t>
            </w:r>
          </w:p>
        </w:tc>
        <w:tc>
          <w:tcPr>
            <w:tcW w:w="1480" w:type="dxa"/>
            <w:vAlign w:val="bottom"/>
          </w:tcPr>
          <w:p>
            <w:pPr>
              <w:jc w:val="center"/>
              <w:spacing w:after="0"/>
              <w:rPr>
                <w:sz w:val="20"/>
                <w:szCs w:val="20"/>
                <w:color w:val="auto"/>
              </w:rPr>
            </w:pPr>
            <w:r>
              <w:rPr>
                <w:rFonts w:ascii="Arial" w:cs="Arial" w:eastAsia="Arial" w:hAnsi="Arial"/>
                <w:sz w:val="16"/>
                <w:szCs w:val="16"/>
                <w:color w:val="auto"/>
              </w:rPr>
              <w:t>(I.R.S. Employer</w:t>
            </w:r>
          </w:p>
        </w:tc>
      </w:tr>
      <w:tr>
        <w:trPr>
          <w:trHeight w:val="233"/>
        </w:trPr>
        <w:tc>
          <w:tcPr>
            <w:tcW w:w="3760" w:type="dxa"/>
            <w:vAlign w:val="bottom"/>
            <w:gridSpan w:val="2"/>
          </w:tcPr>
          <w:p>
            <w:pPr>
              <w:jc w:val="center"/>
              <w:ind w:right="1400"/>
              <w:spacing w:after="0"/>
              <w:rPr>
                <w:sz w:val="20"/>
                <w:szCs w:val="20"/>
                <w:color w:val="auto"/>
              </w:rPr>
            </w:pPr>
            <w:r>
              <w:rPr>
                <w:rFonts w:ascii="Arial" w:cs="Arial" w:eastAsia="Arial" w:hAnsi="Arial"/>
                <w:sz w:val="16"/>
                <w:szCs w:val="16"/>
                <w:color w:val="auto"/>
              </w:rPr>
              <w:t>incorporation or organization)</w:t>
            </w:r>
          </w:p>
        </w:tc>
        <w:tc>
          <w:tcPr>
            <w:tcW w:w="148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172"/>
        </w:trPr>
        <w:tc>
          <w:tcPr>
            <w:tcW w:w="22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480" w:type="dxa"/>
            <w:vAlign w:val="bottom"/>
          </w:tcPr>
          <w:p>
            <w:pPr>
              <w:spacing w:after="0"/>
              <w:rPr>
                <w:sz w:val="14"/>
                <w:szCs w:val="14"/>
                <w:color w:val="auto"/>
              </w:rPr>
            </w:pPr>
          </w:p>
        </w:tc>
      </w:tr>
    </w:tbl>
    <w:p>
      <w:pPr>
        <w:spacing w:after="0" w:line="239"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6496 University Parkway</w:t>
      </w:r>
    </w:p>
    <w:p>
      <w:pPr>
        <w:spacing w:after="0" w:line="42"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Sarasota, Florida 34240</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(Address of principal executive offices) (Zip Code)</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(941) 556-2601</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0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 (s)</w:t>
            </w:r>
          </w:p>
        </w:tc>
        <w:tc>
          <w:tcPr>
            <w:tcW w:w="2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3"/>
        </w:trPr>
        <w:tc>
          <w:tcPr>
            <w:tcW w:w="3780" w:type="dxa"/>
            <w:vAlign w:val="bottom"/>
          </w:tcPr>
          <w:p>
            <w:pPr>
              <w:jc w:val="center"/>
              <w:spacing w:after="0"/>
              <w:rPr>
                <w:sz w:val="20"/>
                <w:szCs w:val="20"/>
                <w:color w:val="auto"/>
              </w:rPr>
            </w:pPr>
            <w:r>
              <w:rPr>
                <w:rFonts w:ascii="Arial" w:cs="Arial" w:eastAsia="Arial" w:hAnsi="Arial"/>
                <w:sz w:val="16"/>
                <w:szCs w:val="16"/>
                <w:color w:val="auto"/>
              </w:rPr>
              <w:t>Common Stock, $0.01 Par Value</w:t>
            </w:r>
          </w:p>
        </w:tc>
        <w:tc>
          <w:tcPr>
            <w:tcW w:w="2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ROP</w:t>
            </w:r>
          </w:p>
        </w:tc>
        <w:tc>
          <w:tcPr>
            <w:tcW w:w="2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336" w:lineRule="exact"/>
        <w:rPr>
          <w:sz w:val="20"/>
          <w:szCs w:val="20"/>
          <w:color w:val="auto"/>
        </w:rPr>
      </w:pPr>
    </w:p>
    <w:p>
      <w:pPr>
        <w:jc w:val="both"/>
        <w:ind w:right="40"/>
        <w:spacing w:after="0" w:line="25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PMingLiU" w:cs="PMingLiU" w:eastAsia="PMingLiU" w:hAnsi="PMingLiU"/>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ťǉɰԝԝ</w:t>
      </w:r>
      <w:r>
        <w:rPr>
          <w:rFonts w:ascii="PMingLiU" w:cs="PMingLiU" w:eastAsia="PMingLiU" w:hAnsi="PMingLiU"/>
          <w:sz w:val="16"/>
          <w:szCs w:val="16"/>
          <w:color w:val="auto"/>
        </w:rPr>
        <w:t/>
      </w:r>
      <w:r>
        <w:rPr>
          <w:rFonts w:ascii="PMingLiU" w:cs="PMingLiU" w:eastAsia="PMingLiU" w:hAnsi="PMingLiU"/>
          <w:sz w:val="16"/>
          <w:szCs w:val="16"/>
          <w:color w:val="auto"/>
        </w:rPr>
        <w:t></w:t>
      </w:r>
      <w:r>
        <w:rPr>
          <w:rFonts w:ascii="Arial" w:cs="Arial" w:eastAsia="Arial" w:hAnsi="Arial"/>
          <w:sz w:val="16"/>
          <w:szCs w:val="16"/>
          <w:color w:val="auto"/>
        </w:rPr>
        <w:t xml:space="preserve"> No Indicate by check mark if the registrant is not required to file reports pursuant to Section 13 or 15(d) of the Act. </w:t>
      </w:r>
      <w:r>
        <w:rPr>
          <w:rFonts w:ascii="PMingLiU" w:cs="PMingLiU" w:eastAsia="PMingLiU" w:hAnsi="PMingLiU"/>
          <w:sz w:val="16"/>
          <w:szCs w:val="16"/>
          <w:color w:val="auto"/>
        </w:rPr>
        <w:t></w:t>
      </w:r>
      <w:r>
        <w:rPr>
          <w:rFonts w:ascii="PMingLiU" w:cs="PMingLiU" w:eastAsia="PMingLiU" w:hAnsi="PMingLiU"/>
          <w:sz w:val="16"/>
          <w:szCs w:val="16"/>
          <w:color w:val="auto"/>
        </w:rPr>
        <w:t/>
      </w:r>
      <w:r>
        <w:rPr>
          <w:rFonts w:ascii="Arial" w:cs="Arial" w:eastAsia="Arial" w:hAnsi="Arial"/>
          <w:sz w:val="16"/>
          <w:szCs w:val="16"/>
          <w:color w:val="auto"/>
        </w:rPr>
        <w:t>ťǉɰԝԝ</w:t>
      </w:r>
      <w:r>
        <w:rPr>
          <w:rFonts w:ascii="PMingLiU" w:cs="PMingLiU" w:eastAsia="PMingLiU" w:hAnsi="PMingLiU"/>
          <w:sz w:val="16"/>
          <w:szCs w:val="16"/>
          <w:color w:val="auto"/>
        </w:rPr>
        <w:t/>
      </w:r>
      <w:r>
        <w:rPr>
          <w:rFonts w:ascii="PMingLiU" w:cs="PMingLiU" w:eastAsia="PMingLiU" w:hAnsi="PMingLiU"/>
          <w:sz w:val="16"/>
          <w:szCs w:val="16"/>
          <w:color w:val="auto"/>
        </w:rPr>
        <w:t>;</w:t>
      </w:r>
      <w:r>
        <w:rPr>
          <w:rFonts w:ascii="Arial" w:cs="Arial" w:eastAsia="Arial" w:hAnsi="Arial"/>
          <w:sz w:val="16"/>
          <w:szCs w:val="16"/>
          <w:color w:val="auto"/>
        </w:rPr>
        <w:t xml:space="preserve"> No</w:t>
      </w:r>
    </w:p>
    <w:p>
      <w:pPr>
        <w:spacing w:after="0" w:line="48" w:lineRule="exact"/>
        <w:rPr>
          <w:sz w:val="20"/>
          <w:szCs w:val="20"/>
          <w:color w:val="auto"/>
        </w:rPr>
      </w:pPr>
    </w:p>
    <w:p>
      <w:pPr>
        <w:jc w:val="both"/>
        <w:ind w:right="40"/>
        <w:spacing w:after="0" w:line="21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PMingLiU" w:cs="PMingLiU" w:eastAsia="PMingLiU" w:hAnsi="PMingLiU"/>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ťǉɰԝԝ</w:t>
      </w:r>
      <w:r>
        <w:rPr>
          <w:rFonts w:ascii="PMingLiU" w:cs="PMingLiU" w:eastAsia="PMingLiU" w:hAnsi="PMingLiU"/>
          <w:sz w:val="16"/>
          <w:szCs w:val="16"/>
          <w:color w:val="auto"/>
        </w:rPr>
        <w:t/>
      </w:r>
      <w:r>
        <w:rPr>
          <w:rFonts w:ascii="PMingLiU" w:cs="PMingLiU" w:eastAsia="PMingLiU" w:hAnsi="PMingLiU"/>
          <w:sz w:val="16"/>
          <w:szCs w:val="16"/>
          <w:color w:val="auto"/>
        </w:rPr>
        <w:t></w:t>
      </w:r>
      <w:r>
        <w:rPr>
          <w:rFonts w:ascii="Arial" w:cs="Arial" w:eastAsia="Arial" w:hAnsi="Arial"/>
          <w:sz w:val="16"/>
          <w:szCs w:val="16"/>
          <w:color w:val="auto"/>
        </w:rPr>
        <w:t xml:space="preserve"> No</w:t>
      </w:r>
    </w:p>
    <w:p>
      <w:pPr>
        <w:spacing w:after="0" w:line="48" w:lineRule="exact"/>
        <w:rPr>
          <w:sz w:val="20"/>
          <w:szCs w:val="20"/>
          <w:color w:val="auto"/>
        </w:rPr>
      </w:pPr>
    </w:p>
    <w:p>
      <w:pPr>
        <w:jc w:val="both"/>
        <w:ind w:right="4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w:t>
      </w:r>
      <w:r>
        <w:rPr>
          <w:rFonts w:ascii="PMingLiU" w:cs="PMingLiU" w:eastAsia="PMingLiU" w:hAnsi="PMingLiU"/>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ťǉɰԝԝ</w:t>
      </w:r>
      <w:r>
        <w:rPr>
          <w:rFonts w:ascii="PMingLiU" w:cs="PMingLiU" w:eastAsia="PMingLiU" w:hAnsi="PMingLiU"/>
          <w:sz w:val="16"/>
          <w:szCs w:val="16"/>
          <w:color w:val="auto"/>
        </w:rPr>
        <w:t/>
      </w:r>
      <w:r>
        <w:rPr>
          <w:rFonts w:ascii="PMingLiU" w:cs="PMingLiU" w:eastAsia="PMingLiU" w:hAnsi="PMingLiU"/>
          <w:sz w:val="16"/>
          <w:szCs w:val="16"/>
          <w:color w:val="auto"/>
        </w:rPr>
        <w:t></w:t>
      </w:r>
      <w:r>
        <w:rPr>
          <w:rFonts w:ascii="Arial" w:cs="Arial" w:eastAsia="Arial" w:hAnsi="Arial"/>
          <w:sz w:val="16"/>
          <w:szCs w:val="16"/>
          <w:color w:val="auto"/>
        </w:rPr>
        <w:t xml:space="preserve"> No</w:t>
      </w:r>
    </w:p>
    <w:p>
      <w:pPr>
        <w:spacing w:after="0" w:line="48" w:lineRule="exact"/>
        <w:rPr>
          <w:sz w:val="20"/>
          <w:szCs w:val="20"/>
          <w:color w:val="auto"/>
        </w:rPr>
      </w:pPr>
    </w:p>
    <w:p>
      <w:pPr>
        <w:jc w:val="both"/>
        <w:ind w:right="40"/>
        <w:spacing w:after="0" w:line="208"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 </w:t>
      </w:r>
      <w:r>
        <w:rPr>
          <w:rFonts w:ascii="PMingLiU" w:cs="PMingLiU" w:eastAsia="PMingLiU" w:hAnsi="PMingLiU"/>
          <w:sz w:val="16"/>
          <w:szCs w:val="16"/>
          <w:color w:val="auto"/>
        </w:rPr>
        <w:t>;</w:t>
      </w:r>
      <w:r>
        <w:rPr>
          <w:rFonts w:ascii="Arial" w:cs="Arial" w:eastAsia="Arial" w:hAnsi="Arial"/>
          <w:sz w:val="16"/>
          <w:szCs w:val="16"/>
          <w:color w:val="auto"/>
        </w:rPr>
        <w:t xml:space="preserve"> Large accelerated filer </w:t>
      </w:r>
      <w:r>
        <w:rPr>
          <w:rFonts w:ascii="PMingLiU" w:cs="PMingLiU" w:eastAsia="PMingLiU" w:hAnsi="PMingLiU"/>
          <w:sz w:val="16"/>
          <w:szCs w:val="16"/>
          <w:color w:val="auto"/>
        </w:rPr>
        <w:t></w:t>
      </w:r>
      <w:r>
        <w:rPr>
          <w:rFonts w:ascii="Arial" w:cs="Arial" w:eastAsia="Arial" w:hAnsi="Arial"/>
          <w:sz w:val="16"/>
          <w:szCs w:val="16"/>
          <w:color w:val="auto"/>
        </w:rPr>
        <w:t xml:space="preserve"> Accelerated </w:t>
      </w:r>
      <w:r>
        <w:rPr>
          <w:rFonts w:ascii="Arial" w:cs="Arial" w:eastAsia="Arial" w:hAnsi="Arial"/>
          <w:sz w:val="16"/>
          <w:szCs w:val="16"/>
          <w:color w:val="auto"/>
        </w:rPr>
        <w:t>ǹȈȢǉɨԝ</w:t>
      </w:r>
      <w:r>
        <w:rPr>
          <w:rFonts w:ascii="PMingLiU" w:cs="PMingLiU" w:eastAsia="PMingLiU" w:hAnsi="PMingLiU"/>
          <w:sz w:val="16"/>
          <w:szCs w:val="16"/>
          <w:color w:val="auto"/>
        </w:rPr>
        <w:t/>
      </w:r>
      <w:r>
        <w:rPr>
          <w:rFonts w:ascii="PMingLiU" w:cs="PMingLiU" w:eastAsia="PMingLiU" w:hAnsi="PMingLiU"/>
          <w:sz w:val="16"/>
          <w:szCs w:val="16"/>
          <w:color w:val="auto"/>
        </w:rPr>
        <w:t></w:t>
      </w:r>
      <w:r>
        <w:rPr>
          <w:rFonts w:ascii="Arial" w:cs="Arial" w:eastAsia="Arial" w:hAnsi="Arial"/>
          <w:sz w:val="16"/>
          <w:szCs w:val="16"/>
          <w:color w:val="auto"/>
        </w:rPr>
        <w:t xml:space="preserve"> </w:t>
      </w:r>
      <w:r>
        <w:rPr>
          <w:rFonts w:ascii="Arial" w:cs="Arial" w:eastAsia="Arial" w:hAnsi="Arial"/>
          <w:sz w:val="16"/>
          <w:szCs w:val="16"/>
          <w:color w:val="auto"/>
        </w:rPr>
        <w:t>Non-accelerated filer</w:t>
      </w:r>
      <w:r>
        <w:rPr>
          <w:rFonts w:ascii="Arial" w:cs="Arial" w:eastAsia="Arial" w:hAnsi="Arial"/>
          <w:sz w:val="16"/>
          <w:szCs w:val="16"/>
          <w:color w:val="auto"/>
        </w:rPr>
        <w:t xml:space="preserve"> </w:t>
      </w:r>
      <w:r>
        <w:rPr>
          <w:rFonts w:ascii="PMingLiU" w:cs="PMingLiU" w:eastAsia="PMingLiU" w:hAnsi="PMingLiU"/>
          <w:sz w:val="16"/>
          <w:szCs w:val="16"/>
          <w:color w:val="auto"/>
        </w:rPr>
        <w:t></w:t>
      </w:r>
      <w:r>
        <w:rPr>
          <w:rFonts w:ascii="Arial" w:cs="Arial" w:eastAsia="Arial" w:hAnsi="Arial"/>
          <w:sz w:val="16"/>
          <w:szCs w:val="16"/>
          <w:color w:val="auto"/>
        </w:rPr>
        <w:t xml:space="preserve"> </w:t>
      </w:r>
      <w:r>
        <w:rPr>
          <w:rFonts w:ascii="Arial" w:cs="Arial" w:eastAsia="Arial" w:hAnsi="Arial"/>
          <w:sz w:val="16"/>
          <w:szCs w:val="16"/>
          <w:color w:val="auto"/>
        </w:rPr>
        <w:t>Smaller reporting company</w:t>
      </w:r>
      <w:r>
        <w:rPr>
          <w:rFonts w:ascii="Arial" w:cs="Arial" w:eastAsia="Arial" w:hAnsi="Arial"/>
          <w:sz w:val="16"/>
          <w:szCs w:val="16"/>
          <w:color w:val="auto"/>
        </w:rPr>
        <w:t xml:space="preserve"> </w:t>
      </w:r>
      <w:r>
        <w:rPr>
          <w:rFonts w:ascii="PMingLiU" w:cs="PMingLiU" w:eastAsia="PMingLiU" w:hAnsi="PMingLiU"/>
          <w:sz w:val="16"/>
          <w:szCs w:val="16"/>
          <w:color w:val="auto"/>
        </w:rPr>
        <w:t></w:t>
      </w:r>
      <w:r>
        <w:rPr>
          <w:rFonts w:ascii="Arial" w:cs="Arial" w:eastAsia="Arial" w:hAnsi="Arial"/>
          <w:sz w:val="16"/>
          <w:szCs w:val="16"/>
          <w:color w:val="auto"/>
        </w:rPr>
        <w:t xml:space="preserve"> </w:t>
      </w:r>
      <w:r>
        <w:rPr>
          <w:rFonts w:ascii="Arial" w:cs="Arial" w:eastAsia="Arial" w:hAnsi="Arial"/>
          <w:sz w:val="16"/>
          <w:szCs w:val="16"/>
          <w:color w:val="auto"/>
        </w:rPr>
        <w:t>Emerging growth company</w:t>
      </w:r>
    </w:p>
    <w:p>
      <w:pPr>
        <w:spacing w:after="0" w:line="49"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auto"/>
        </w:rPr>
        <w:t></w:t>
      </w:r>
    </w:p>
    <w:p>
      <w:pPr>
        <w:spacing w:after="0" w:line="1"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6"/>
          <w:szCs w:val="16"/>
          <w:color w:val="auto"/>
        </w:rPr>
        <w:t>;</w:t>
      </w:r>
    </w:p>
    <w:p>
      <w:pPr>
        <w:spacing w:after="0" w:line="13"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</w:t>
      </w:r>
    </w:p>
    <w:p>
      <w:pPr>
        <w:spacing w:after="0" w:line="1"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auto"/>
        </w:rPr>
        <w:t></w:t>
      </w:r>
    </w:p>
    <w:p>
      <w:pPr>
        <w:spacing w:after="0" w:line="1"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PMingLiU" w:cs="PMingLiU" w:eastAsia="PMingLiU" w:hAnsi="PMingLiU"/>
          <w:sz w:val="16"/>
          <w:szCs w:val="16"/>
          <w:color w:val="auto"/>
        </w:rPr>
        <w:t></w:t>
      </w:r>
      <w:r>
        <w:rPr>
          <w:rFonts w:ascii="PMingLiU" w:cs="PMingLiU" w:eastAsia="PMingLiU" w:hAnsi="PMingLiU"/>
          <w:sz w:val="16"/>
          <w:szCs w:val="16"/>
          <w:color w:val="auto"/>
        </w:rPr>
        <w:t/>
      </w:r>
      <w:r>
        <w:rPr>
          <w:rFonts w:ascii="Arial" w:cs="Arial" w:eastAsia="Arial" w:hAnsi="Arial"/>
          <w:sz w:val="16"/>
          <w:szCs w:val="16"/>
          <w:color w:val="auto"/>
        </w:rPr>
        <w:t>ťǉɰԝԝ</w:t>
      </w:r>
      <w:r>
        <w:rPr>
          <w:rFonts w:ascii="PMingLiU" w:cs="PMingLiU" w:eastAsia="PMingLiU" w:hAnsi="PMingLiU"/>
          <w:sz w:val="16"/>
          <w:szCs w:val="16"/>
          <w:color w:val="auto"/>
        </w:rPr>
        <w:t/>
      </w:r>
      <w:r>
        <w:rPr>
          <w:rFonts w:ascii="PMingLiU" w:cs="PMingLiU" w:eastAsia="PMingLiU" w:hAnsi="PMingLiU"/>
          <w:sz w:val="16"/>
          <w:szCs w:val="16"/>
          <w:color w:val="auto"/>
        </w:rPr>
        <w:t>;</w:t>
      </w:r>
      <w:r>
        <w:rPr>
          <w:rFonts w:ascii="Arial" w:cs="Arial" w:eastAsia="Arial" w:hAnsi="Arial"/>
          <w:sz w:val="16"/>
          <w:szCs w:val="16"/>
          <w:color w:val="auto"/>
        </w:rPr>
        <w:t xml:space="preserve"> No</w:t>
      </w:r>
    </w:p>
    <w:p>
      <w:pPr>
        <w:spacing w:after="0" w:line="86" w:lineRule="exact"/>
        <w:rPr>
          <w:sz w:val="20"/>
          <w:szCs w:val="20"/>
          <w:color w:val="auto"/>
        </w:rPr>
      </w:pPr>
    </w:p>
    <w:p>
      <w:pPr>
        <w:spacing w:after="0" w:line="216" w:lineRule="exact"/>
        <w:rPr>
          <w:sz w:val="20"/>
          <w:szCs w:val="20"/>
          <w:color w:val="auto"/>
        </w:rPr>
      </w:pPr>
      <w:r>
        <w:rPr>
          <w:rFonts w:ascii="Arial" w:cs="Arial" w:eastAsia="Arial" w:hAnsi="Arial"/>
          <w:sz w:val="16"/>
          <w:szCs w:val="16"/>
          <w:color w:val="auto"/>
        </w:rPr>
        <w:t>9ƃɰǉǁ</w:t>
      </w:r>
      <w:r>
        <w:rPr>
          <w:rFonts w:ascii="PMingLiU" w:cs="PMingLiU" w:eastAsia="PMingLiU" w:hAnsi="PMingLiU"/>
          <w:sz w:val="16"/>
          <w:szCs w:val="16"/>
          <w:color w:val="auto"/>
        </w:rPr>
        <w:t/>
      </w:r>
      <w:r>
        <w:rPr>
          <w:rFonts w:ascii="Arial" w:cs="Arial" w:eastAsia="Arial" w:hAnsi="Arial"/>
          <w:sz w:val="16"/>
          <w:szCs w:val="16"/>
          <w:color w:val="auto"/>
        </w:rPr>
        <w:t>Ɂȶ</w:t>
      </w:r>
      <w:r>
        <w:rPr>
          <w:rFonts w:ascii="PMingLiU" w:cs="PMingLiU" w:eastAsia="PMingLiU" w:hAnsi="PMingLiU"/>
          <w:sz w:val="16"/>
          <w:szCs w:val="16"/>
          <w:color w:val="auto"/>
        </w:rPr>
        <w:t/>
      </w:r>
      <w:r>
        <w:rPr>
          <w:rFonts w:ascii="Arial" w:cs="Arial" w:eastAsia="Arial" w:hAnsi="Arial"/>
          <w:sz w:val="16"/>
          <w:szCs w:val="16"/>
          <w:color w:val="auto"/>
        </w:rPr>
        <w:t>ɽȃǉ</w:t>
      </w:r>
      <w:r>
        <w:rPr>
          <w:rFonts w:ascii="PMingLiU" w:cs="PMingLiU" w:eastAsia="PMingLiU" w:hAnsi="PMingLiU"/>
          <w:sz w:val="16"/>
          <w:szCs w:val="16"/>
          <w:color w:val="auto"/>
        </w:rPr>
        <w:t/>
      </w:r>
      <w:r>
        <w:rPr>
          <w:rFonts w:ascii="Arial" w:cs="Arial" w:eastAsia="Arial" w:hAnsi="Arial"/>
          <w:sz w:val="16"/>
          <w:szCs w:val="16"/>
          <w:color w:val="auto"/>
        </w:rPr>
        <w:t>ƺȢɁɰȈȶǼ</w:t>
      </w:r>
      <w:r>
        <w:rPr>
          <w:rFonts w:ascii="PMingLiU" w:cs="PMingLiU" w:eastAsia="PMingLiU" w:hAnsi="PMingLiU"/>
          <w:sz w:val="16"/>
          <w:szCs w:val="16"/>
          <w:color w:val="auto"/>
        </w:rPr>
        <w:t/>
      </w:r>
      <w:r>
        <w:rPr>
          <w:rFonts w:ascii="Arial" w:cs="Arial" w:eastAsia="Arial" w:hAnsi="Arial"/>
          <w:sz w:val="16"/>
          <w:szCs w:val="16"/>
          <w:color w:val="auto"/>
        </w:rPr>
        <w:t>ɰƃȢǉ</w:t>
      </w:r>
      <w:r>
        <w:rPr>
          <w:rFonts w:ascii="PMingLiU" w:cs="PMingLiU" w:eastAsia="PMingLiU" w:hAnsi="PMingLiU"/>
          <w:sz w:val="16"/>
          <w:szCs w:val="16"/>
          <w:color w:val="auto"/>
        </w:rPr>
        <w:t/>
      </w:r>
      <w:r>
        <w:rPr>
          <w:rFonts w:ascii="Arial" w:cs="Arial" w:eastAsia="Arial" w:hAnsi="Arial"/>
          <w:sz w:val="16"/>
          <w:szCs w:val="16"/>
          <w:color w:val="auto"/>
        </w:rPr>
        <w:t>ɥɨȈƺǉ</w:t>
      </w:r>
      <w:r>
        <w:rPr>
          <w:rFonts w:ascii="PMingLiU" w:cs="PMingLiU" w:eastAsia="PMingLiU" w:hAnsi="PMingLiU"/>
          <w:sz w:val="16"/>
          <w:szCs w:val="16"/>
          <w:color w:val="auto"/>
        </w:rPr>
        <w:t/>
      </w:r>
      <w:r>
        <w:rPr>
          <w:rFonts w:ascii="Arial" w:cs="Arial" w:eastAsia="Arial" w:hAnsi="Arial"/>
          <w:sz w:val="16"/>
          <w:szCs w:val="16"/>
          <w:color w:val="auto"/>
        </w:rPr>
        <w:t xml:space="preserve"> Ɂȶ</w:t>
      </w:r>
      <w:r>
        <w:rPr>
          <w:rFonts w:ascii="PMingLiU" w:cs="PMingLiU" w:eastAsia="PMingLiU" w:hAnsi="PMingLiU"/>
          <w:sz w:val="16"/>
          <w:szCs w:val="16"/>
          <w:color w:val="auto"/>
        </w:rPr>
        <w:t/>
      </w:r>
      <w:r>
        <w:rPr>
          <w:rFonts w:ascii="Arial" w:cs="Arial" w:eastAsia="Arial" w:hAnsi="Arial"/>
          <w:sz w:val="16"/>
          <w:szCs w:val="16"/>
          <w:color w:val="auto"/>
        </w:rPr>
        <w:t>ěȃǉ</w:t>
      </w:r>
      <w:r>
        <w:rPr>
          <w:rFonts w:ascii="PMingLiU" w:cs="PMingLiU" w:eastAsia="PMingLiU" w:hAnsi="PMingLiU"/>
          <w:sz w:val="16"/>
          <w:szCs w:val="16"/>
          <w:color w:val="auto"/>
        </w:rPr>
        <w:t/>
      </w:r>
      <w:r>
        <w:rPr>
          <w:rFonts w:ascii="Arial" w:cs="Arial" w:eastAsia="Arial" w:hAnsi="Arial"/>
          <w:sz w:val="16"/>
          <w:szCs w:val="16"/>
          <w:color w:val="auto"/>
        </w:rPr>
        <w:t>Çƃɰǁƃɧ</w:t>
      </w:r>
      <w:r>
        <w:rPr>
          <w:rFonts w:ascii="PMingLiU" w:cs="PMingLiU" w:eastAsia="PMingLiU" w:hAnsi="PMingLiU"/>
          <w:sz w:val="16"/>
          <w:szCs w:val="16"/>
          <w:color w:val="auto"/>
        </w:rPr>
        <w:t/>
      </w:r>
      <w:r>
        <w:rPr>
          <w:rFonts w:ascii="Arial" w:cs="Arial" w:eastAsia="Arial" w:hAnsi="Arial"/>
          <w:sz w:val="16"/>
          <w:szCs w:val="16"/>
          <w:color w:val="auto"/>
        </w:rPr>
        <w:t>ČɽɁƺȟ</w:t>
      </w:r>
      <w:r>
        <w:rPr>
          <w:rFonts w:ascii="PMingLiU" w:cs="PMingLiU" w:eastAsia="PMingLiU" w:hAnsi="PMingLiU"/>
          <w:sz w:val="16"/>
          <w:szCs w:val="16"/>
          <w:color w:val="auto"/>
        </w:rPr>
        <w:t/>
      </w:r>
      <w:r>
        <w:rPr>
          <w:rFonts w:ascii="Arial" w:cs="Arial" w:eastAsia="Arial" w:hAnsi="Arial"/>
          <w:sz w:val="16"/>
          <w:szCs w:val="16"/>
          <w:color w:val="auto"/>
        </w:rPr>
        <w:t xml:space="preserve"> Ãƃɨȟǉɽ</w:t>
      </w:r>
      <w:r>
        <w:rPr>
          <w:rFonts w:ascii="PMingLiU" w:cs="PMingLiU" w:eastAsia="PMingLiU" w:hAnsi="PMingLiU"/>
          <w:sz w:val="16"/>
          <w:szCs w:val="16"/>
          <w:color w:val="auto"/>
        </w:rPr>
        <w:t/>
      </w:r>
      <w:r>
        <w:rPr>
          <w:rFonts w:ascii="Arial" w:cs="Arial" w:eastAsia="Arial" w:hAnsi="Arial"/>
          <w:sz w:val="16"/>
          <w:szCs w:val="16"/>
          <w:color w:val="auto"/>
        </w:rPr>
        <w:t>ӯ</w:t>
      </w:r>
      <w:r>
        <w:rPr>
          <w:rFonts w:ascii="Arial" w:cs="Arial" w:eastAsia="Arial" w:hAnsi="Arial"/>
          <w:sz w:val="16"/>
          <w:szCs w:val="16"/>
          <w:color w:val="auto"/>
        </w:rPr>
        <w:t>ԄÇƃɰǁƃɧԅ</w:t>
      </w:r>
      <w:r>
        <w:rPr>
          <w:rFonts w:ascii="Arial" w:cs="Arial" w:eastAsia="Arial" w:hAnsi="Arial"/>
          <w:sz w:val="16"/>
          <w:szCs w:val="16"/>
          <w:color w:val="auto"/>
        </w:rPr>
        <w:t>Ӱӗ</w:t>
      </w:r>
      <w:r>
        <w:rPr>
          <w:rFonts w:ascii="PMingLiU" w:cs="PMingLiU" w:eastAsia="PMingLiU" w:hAnsi="PMingLiU"/>
          <w:sz w:val="16"/>
          <w:szCs w:val="16"/>
          <w:color w:val="auto"/>
        </w:rPr>
        <w:t/>
      </w:r>
      <w:r>
        <w:rPr>
          <w:rFonts w:ascii="Arial" w:cs="Arial" w:eastAsia="Arial" w:hAnsi="Arial"/>
          <w:sz w:val="16"/>
          <w:szCs w:val="16"/>
          <w:color w:val="auto"/>
        </w:rPr>
        <w:t>Ɂȶ</w:t>
      </w:r>
      <w:r>
        <w:rPr>
          <w:rFonts w:ascii="PMingLiU" w:cs="PMingLiU" w:eastAsia="PMingLiU" w:hAnsi="PMingLiU"/>
          <w:sz w:val="16"/>
          <w:szCs w:val="16"/>
          <w:color w:val="auto"/>
        </w:rPr>
        <w:t/>
      </w:r>
      <w:r>
        <w:rPr>
          <w:rFonts w:ascii="Arial" w:cs="Arial" w:eastAsia="Arial" w:hAnsi="Arial"/>
          <w:sz w:val="16"/>
          <w:szCs w:val="16"/>
          <w:color w:val="auto"/>
        </w:rPr>
        <w:t>°ʍȶǉԝ</w:t>
      </w:r>
      <w:r>
        <w:rPr>
          <w:rFonts w:ascii="Arial" w:cs="Arial" w:eastAsia="Arial" w:hAnsi="Arial"/>
          <w:sz w:val="16"/>
          <w:szCs w:val="16"/>
          <w:color w:val="auto"/>
        </w:rPr>
        <w:t>јѕӗ</w:t>
      </w:r>
      <w:r>
        <w:rPr>
          <w:rFonts w:ascii="PMingLiU" w:cs="PMingLiU" w:eastAsia="PMingLiU" w:hAnsi="PMingLiU"/>
          <w:sz w:val="16"/>
          <w:szCs w:val="16"/>
          <w:color w:val="auto"/>
        </w:rPr>
        <w:t/>
      </w:r>
      <w:r>
        <w:rPr>
          <w:rFonts w:ascii="Arial" w:cs="Arial" w:eastAsia="Arial" w:hAnsi="Arial"/>
          <w:sz w:val="16"/>
          <w:szCs w:val="16"/>
          <w:color w:val="auto"/>
        </w:rPr>
        <w:t>їѕїњӗ</w:t>
      </w:r>
      <w:r>
        <w:rPr>
          <w:rFonts w:ascii="PMingLiU" w:cs="PMingLiU" w:eastAsia="PMingLiU" w:hAnsi="PMingLiU"/>
          <w:sz w:val="16"/>
          <w:szCs w:val="16"/>
          <w:color w:val="auto"/>
        </w:rPr>
        <w:t/>
      </w:r>
      <w:r>
        <w:rPr>
          <w:rFonts w:ascii="Arial" w:cs="Arial" w:eastAsia="Arial" w:hAnsi="Arial"/>
          <w:sz w:val="16"/>
          <w:szCs w:val="16"/>
          <w:color w:val="auto"/>
        </w:rPr>
        <w:t>ɽȃǉ</w:t>
      </w:r>
      <w:r>
        <w:rPr>
          <w:rFonts w:ascii="PMingLiU" w:cs="PMingLiU" w:eastAsia="PMingLiU" w:hAnsi="PMingLiU"/>
          <w:sz w:val="16"/>
          <w:szCs w:val="16"/>
          <w:color w:val="auto"/>
        </w:rPr>
        <w:t/>
      </w:r>
      <w:r>
        <w:rPr>
          <w:rFonts w:ascii="Arial" w:cs="Arial" w:eastAsia="Arial" w:hAnsi="Arial"/>
          <w:sz w:val="16"/>
          <w:szCs w:val="16"/>
          <w:color w:val="auto"/>
        </w:rPr>
        <w:t>ƃǼǼɨǉǼƃɽǉ</w:t>
      </w:r>
      <w:r>
        <w:rPr>
          <w:rFonts w:ascii="PMingLiU" w:cs="PMingLiU" w:eastAsia="PMingLiU" w:hAnsi="PMingLiU"/>
          <w:sz w:val="16"/>
          <w:szCs w:val="16"/>
          <w:color w:val="auto"/>
        </w:rPr>
        <w:t/>
      </w:r>
      <w:r>
        <w:rPr>
          <w:rFonts w:ascii="Arial" w:cs="Arial" w:eastAsia="Arial" w:hAnsi="Arial"/>
          <w:sz w:val="16"/>
          <w:szCs w:val="16"/>
          <w:color w:val="auto"/>
        </w:rPr>
        <w:t>ȴƃɨȟǉɽ</w:t>
      </w:r>
      <w:r>
        <w:rPr>
          <w:rFonts w:ascii="PMingLiU" w:cs="PMingLiU" w:eastAsia="PMingLiU" w:hAnsi="PMingLiU"/>
          <w:sz w:val="16"/>
          <w:szCs w:val="16"/>
          <w:color w:val="auto"/>
        </w:rPr>
        <w:t/>
      </w:r>
      <w:r>
        <w:rPr>
          <w:rFonts w:ascii="Arial" w:cs="Arial" w:eastAsia="Arial" w:hAnsi="Arial"/>
          <w:sz w:val="16"/>
          <w:szCs w:val="16"/>
          <w:color w:val="auto"/>
        </w:rPr>
        <w:t>ʤƃȢʍǉ</w:t>
      </w:r>
      <w:r>
        <w:rPr>
          <w:rFonts w:ascii="PMingLiU" w:cs="PMingLiU" w:eastAsia="PMingLiU" w:hAnsi="PMingLiU"/>
          <w:sz w:val="16"/>
          <w:szCs w:val="16"/>
          <w:color w:val="auto"/>
        </w:rPr>
        <w:t/>
      </w:r>
      <w:r>
        <w:rPr>
          <w:rFonts w:ascii="Arial" w:cs="Arial" w:eastAsia="Arial" w:hAnsi="Arial"/>
          <w:sz w:val="16"/>
          <w:szCs w:val="16"/>
          <w:color w:val="auto"/>
        </w:rPr>
        <w:t>Ɂǹ</w:t>
      </w:r>
      <w:r>
        <w:rPr>
          <w:rFonts w:ascii="PMingLiU" w:cs="PMingLiU" w:eastAsia="PMingLiU" w:hAnsi="PMingLiU"/>
          <w:sz w:val="16"/>
          <w:szCs w:val="16"/>
          <w:color w:val="auto"/>
        </w:rPr>
        <w:t/>
      </w:r>
      <w:r>
        <w:rPr>
          <w:rFonts w:ascii="Arial" w:cs="Arial" w:eastAsia="Arial" w:hAnsi="Arial"/>
          <w:sz w:val="16"/>
          <w:szCs w:val="16"/>
          <w:color w:val="auto"/>
        </w:rPr>
        <w:t>ɽȃǉ</w:t>
      </w:r>
      <w:r>
        <w:rPr>
          <w:rFonts w:ascii="PMingLiU" w:cs="PMingLiU" w:eastAsia="PMingLiU" w:hAnsi="PMingLiU"/>
          <w:sz w:val="16"/>
          <w:szCs w:val="16"/>
          <w:color w:val="auto"/>
        </w:rPr>
        <w:t/>
      </w:r>
      <w:r>
        <w:rPr>
          <w:rFonts w:ascii="Arial" w:cs="Arial" w:eastAsia="Arial" w:hAnsi="Arial"/>
          <w:sz w:val="16"/>
          <w:szCs w:val="16"/>
          <w:color w:val="auto"/>
        </w:rPr>
        <w:t>ʤɁɽȈȶǼ</w:t>
      </w:r>
      <w:r>
        <w:rPr>
          <w:rFonts w:ascii="PMingLiU" w:cs="PMingLiU" w:eastAsia="PMingLiU" w:hAnsi="PMingLiU"/>
          <w:sz w:val="16"/>
          <w:szCs w:val="16"/>
          <w:color w:val="auto"/>
        </w:rPr>
        <w:t/>
      </w:r>
      <w:r>
        <w:rPr>
          <w:rFonts w:ascii="Arial" w:cs="Arial" w:eastAsia="Arial" w:hAnsi="Arial"/>
          <w:sz w:val="16"/>
          <w:szCs w:val="16"/>
          <w:color w:val="auto"/>
        </w:rPr>
        <w:t xml:space="preserve"> </w:t>
      </w:r>
      <w:r>
        <w:rPr>
          <w:rFonts w:ascii="Arial" w:cs="Arial" w:eastAsia="Arial" w:hAnsi="Arial"/>
          <w:sz w:val="16"/>
          <w:szCs w:val="16"/>
          <w:color w:val="auto"/>
        </w:rPr>
        <w:t>and non-voting common stock held by non-affiliates of the registrant was: $60.8 billion.</w:t>
      </w:r>
    </w:p>
    <w:p>
      <w:pPr>
        <w:spacing w:after="0" w:line="49"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Çʍȴƹǉɨ</w:t>
      </w:r>
      <w:r>
        <w:rPr>
          <w:rFonts w:ascii="PMingLiU" w:cs="PMingLiU" w:eastAsia="PMingLiU" w:hAnsi="PMingLiU"/>
          <w:sz w:val="16"/>
          <w:szCs w:val="16"/>
          <w:color w:val="auto"/>
        </w:rPr>
        <w:t/>
      </w:r>
      <w:r>
        <w:rPr>
          <w:rFonts w:ascii="Arial" w:cs="Arial" w:eastAsia="Arial" w:hAnsi="Arial"/>
          <w:sz w:val="16"/>
          <w:szCs w:val="16"/>
          <w:color w:val="auto"/>
        </w:rPr>
        <w:t>Ɂǹ</w:t>
      </w:r>
      <w:r>
        <w:rPr>
          <w:rFonts w:ascii="PMingLiU" w:cs="PMingLiU" w:eastAsia="PMingLiU" w:hAnsi="PMingLiU"/>
          <w:sz w:val="16"/>
          <w:szCs w:val="16"/>
          <w:color w:val="auto"/>
        </w:rPr>
        <w:t/>
      </w:r>
      <w:r>
        <w:rPr>
          <w:rFonts w:ascii="Arial" w:cs="Arial" w:eastAsia="Arial" w:hAnsi="Arial"/>
          <w:sz w:val="16"/>
          <w:szCs w:val="16"/>
          <w:color w:val="auto"/>
        </w:rPr>
        <w:t>ɰȃƃɨǉɰ</w:t>
      </w:r>
      <w:r>
        <w:rPr>
          <w:rFonts w:ascii="PMingLiU" w:cs="PMingLiU" w:eastAsia="PMingLiU" w:hAnsi="PMingLiU"/>
          <w:sz w:val="16"/>
          <w:szCs w:val="16"/>
          <w:color w:val="auto"/>
        </w:rPr>
        <w:t/>
      </w:r>
      <w:r>
        <w:rPr>
          <w:rFonts w:ascii="Arial" w:cs="Arial" w:eastAsia="Arial" w:hAnsi="Arial"/>
          <w:sz w:val="16"/>
          <w:szCs w:val="16"/>
          <w:color w:val="auto"/>
        </w:rPr>
        <w:t>ɁʍɽɰɽƃȶǁȈȶǼ</w:t>
      </w:r>
      <w:r>
        <w:rPr>
          <w:rFonts w:ascii="PMingLiU" w:cs="PMingLiU" w:eastAsia="PMingLiU" w:hAnsi="PMingLiU"/>
          <w:sz w:val="16"/>
          <w:szCs w:val="16"/>
          <w:color w:val="auto"/>
        </w:rPr>
        <w:t/>
      </w:r>
      <w:r>
        <w:rPr>
          <w:rFonts w:ascii="Arial" w:cs="Arial" w:eastAsia="Arial" w:hAnsi="Arial"/>
          <w:sz w:val="16"/>
          <w:szCs w:val="16"/>
          <w:color w:val="auto"/>
        </w:rPr>
        <w:t>Ɂǹ</w:t>
      </w:r>
      <w:r>
        <w:rPr>
          <w:rFonts w:ascii="PMingLiU" w:cs="PMingLiU" w:eastAsia="PMingLiU" w:hAnsi="PMingLiU"/>
          <w:sz w:val="16"/>
          <w:szCs w:val="16"/>
          <w:color w:val="auto"/>
        </w:rPr>
        <w:t/>
      </w:r>
      <w:r>
        <w:rPr>
          <w:rFonts w:ascii="Arial" w:cs="Arial" w:eastAsia="Arial" w:hAnsi="Arial"/>
          <w:sz w:val="16"/>
          <w:szCs w:val="16"/>
          <w:color w:val="auto"/>
        </w:rPr>
        <w:t>ɽȃǉ</w:t>
      </w:r>
      <w:r>
        <w:rPr>
          <w:rFonts w:ascii="PMingLiU" w:cs="PMingLiU" w:eastAsia="PMingLiU" w:hAnsi="PMingLiU"/>
          <w:sz w:val="16"/>
          <w:szCs w:val="16"/>
          <w:color w:val="auto"/>
        </w:rPr>
        <w:t/>
      </w:r>
      <w:r>
        <w:rPr>
          <w:rFonts w:ascii="Arial" w:cs="Arial" w:eastAsia="Arial" w:hAnsi="Arial"/>
          <w:sz w:val="16"/>
          <w:szCs w:val="16"/>
          <w:color w:val="auto"/>
        </w:rPr>
        <w:t>ɨǉǼȈɰɽɨƃȶɽԇɰ</w:t>
      </w:r>
      <w:r>
        <w:rPr>
          <w:rFonts w:ascii="PMingLiU" w:cs="PMingLiU" w:eastAsia="PMingLiU" w:hAnsi="PMingLiU"/>
          <w:sz w:val="16"/>
          <w:szCs w:val="16"/>
          <w:color w:val="auto"/>
        </w:rPr>
        <w:t/>
      </w:r>
      <w:r>
        <w:rPr>
          <w:rFonts w:ascii="Arial" w:cs="Arial" w:eastAsia="Arial" w:hAnsi="Arial"/>
          <w:sz w:val="16"/>
          <w:szCs w:val="16"/>
          <w:color w:val="auto"/>
        </w:rPr>
        <w:t>ƺɁȴȴɁȶ</w:t>
      </w:r>
      <w:r>
        <w:rPr>
          <w:rFonts w:ascii="PMingLiU" w:cs="PMingLiU" w:eastAsia="PMingLiU" w:hAnsi="PMingLiU"/>
          <w:sz w:val="16"/>
          <w:szCs w:val="16"/>
          <w:color w:val="auto"/>
        </w:rPr>
        <w:t/>
      </w:r>
      <w:r>
        <w:rPr>
          <w:rFonts w:ascii="Arial" w:cs="Arial" w:eastAsia="Arial" w:hAnsi="Arial"/>
          <w:sz w:val="16"/>
          <w:szCs w:val="16"/>
          <w:color w:val="auto"/>
        </w:rPr>
        <w:t>ɰɽɁƺȟ</w:t>
      </w:r>
      <w:r>
        <w:rPr>
          <w:rFonts w:ascii="PMingLiU" w:cs="PMingLiU" w:eastAsia="PMingLiU" w:hAnsi="PMingLiU"/>
          <w:sz w:val="16"/>
          <w:szCs w:val="16"/>
          <w:color w:val="auto"/>
        </w:rPr>
        <w:t/>
      </w:r>
      <w:r>
        <w:rPr>
          <w:rFonts w:ascii="Arial" w:cs="Arial" w:eastAsia="Arial" w:hAnsi="Arial"/>
          <w:sz w:val="16"/>
          <w:szCs w:val="16"/>
          <w:color w:val="auto"/>
        </w:rPr>
        <w:t>ƃɰ</w:t>
      </w:r>
      <w:r>
        <w:rPr>
          <w:rFonts w:ascii="PMingLiU" w:cs="PMingLiU" w:eastAsia="PMingLiU" w:hAnsi="PMingLiU"/>
          <w:sz w:val="16"/>
          <w:szCs w:val="16"/>
          <w:color w:val="auto"/>
        </w:rPr>
        <w:t/>
      </w:r>
      <w:r>
        <w:rPr>
          <w:rFonts w:ascii="Arial" w:cs="Arial" w:eastAsia="Arial" w:hAnsi="Arial"/>
          <w:sz w:val="16"/>
          <w:szCs w:val="16"/>
          <w:color w:val="auto"/>
        </w:rPr>
        <w:t>Ɂǹ</w:t>
      </w:r>
      <w:r>
        <w:rPr>
          <w:rFonts w:ascii="PMingLiU" w:cs="PMingLiU" w:eastAsia="PMingLiU" w:hAnsi="PMingLiU"/>
          <w:sz w:val="16"/>
          <w:szCs w:val="16"/>
          <w:color w:val="auto"/>
        </w:rPr>
        <w:t/>
      </w:r>
      <w:r>
        <w:rPr>
          <w:rFonts w:ascii="Arial" w:cs="Arial" w:eastAsia="Arial" w:hAnsi="Arial"/>
          <w:sz w:val="16"/>
          <w:szCs w:val="16"/>
          <w:color w:val="auto"/>
        </w:rPr>
        <w:t>yǉƹɨʍƃɨʰԝ</w:t>
      </w:r>
      <w:r>
        <w:rPr>
          <w:rFonts w:ascii="Arial" w:cs="Arial" w:eastAsia="Arial" w:hAnsi="Arial"/>
          <w:sz w:val="16"/>
          <w:szCs w:val="16"/>
          <w:color w:val="auto"/>
        </w:rPr>
        <w:t>їѕӗ</w:t>
      </w:r>
      <w:r>
        <w:rPr>
          <w:rFonts w:ascii="PMingLiU" w:cs="PMingLiU" w:eastAsia="PMingLiU" w:hAnsi="PMingLiU"/>
          <w:sz w:val="16"/>
          <w:szCs w:val="16"/>
          <w:color w:val="auto"/>
        </w:rPr>
        <w:t/>
      </w:r>
      <w:r>
        <w:rPr>
          <w:rFonts w:ascii="Arial" w:cs="Arial" w:eastAsia="Arial" w:hAnsi="Arial"/>
          <w:sz w:val="16"/>
          <w:szCs w:val="16"/>
          <w:color w:val="auto"/>
        </w:rPr>
        <w:t>їѕїћӖ</w:t>
      </w:r>
      <w:r>
        <w:rPr>
          <w:rFonts w:ascii="PMingLiU" w:cs="PMingLiU" w:eastAsia="PMingLiU" w:hAnsi="PMingLiU"/>
          <w:sz w:val="16"/>
          <w:szCs w:val="16"/>
          <w:color w:val="auto"/>
        </w:rPr>
        <w:t/>
      </w:r>
      <w:r>
        <w:rPr>
          <w:rFonts w:ascii="Arial" w:cs="Arial" w:eastAsia="Arial" w:hAnsi="Arial"/>
          <w:sz w:val="16"/>
          <w:szCs w:val="16"/>
          <w:color w:val="auto"/>
        </w:rPr>
        <w:t>іѕїӗўїќӗњіњӝ</w:t>
      </w:r>
    </w:p>
    <w:p>
      <w:pPr>
        <w:spacing w:after="0" w:line="76"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6"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Portions of the registrant’s Proxy Statement to be furnished to stockholders in connection with its 2026 Annual Meeting of Stockholders are incorporated by reference into Part III, Items 10, 11, 12, 13, and 14 of this Annual Report on Form 10-K.</w:t>
      </w:r>
    </w:p>
    <w:p>
      <w:pPr>
        <w:sectPr>
          <w:pgSz w:w="12240" w:h="15854" w:orient="portrait"/>
          <w:cols w:equalWidth="0" w:num="1">
            <w:col w:w="10360"/>
          </w:cols>
          <w:pgMar w:left="960" w:top="348" w:right="920" w:bottom="0" w:gutter="0" w:footer="0" w:header="0"/>
        </w:sectPr>
      </w:pPr>
    </w:p>
    <w:bookmarkStart w:id="9" w:name="page10"/>
    <w:bookmarkEnd w:id="9"/>
    <w:p>
      <w:pPr>
        <w:spacing w:after="0"/>
        <w:rPr>
          <w:sz w:val="20"/>
          <w:szCs w:val="20"/>
          <w:color w:val="auto"/>
        </w:rPr>
      </w:pPr>
      <w:r>
        <w:rPr>
          <w:rFonts w:ascii="Arial" w:cs="Arial" w:eastAsia="Arial" w:hAnsi="Arial"/>
          <w:sz w:val="27"/>
          <w:szCs w:val="27"/>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TABLE OF CONTENTS</w:t>
      </w:r>
    </w:p>
    <w:p>
      <w:pPr>
        <w:sectPr>
          <w:pgSz w:w="12240" w:h="15840" w:orient="portrait"/>
          <w:cols w:equalWidth="0" w:num="1">
            <w:col w:w="10320"/>
          </w:cols>
          <w:pgMar w:left="960" w:top="883" w:right="960" w:bottom="90" w:gutter="0" w:footer="0" w:header="0"/>
        </w:sect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000041"/>
        </w:rPr>
        <w:t>ROPER TECHNOLOGIES, INC.</w:t>
      </w:r>
    </w:p>
    <w:p>
      <w:pPr>
        <w:spacing w:after="0" w:line="285" w:lineRule="exact"/>
        <w:rPr>
          <w:sz w:val="20"/>
          <w:szCs w:val="20"/>
          <w:color w:val="auto"/>
        </w:rPr>
      </w:pPr>
    </w:p>
    <w:p>
      <w:pPr>
        <w:spacing w:after="0"/>
        <w:rPr>
          <w:sz w:val="20"/>
          <w:szCs w:val="20"/>
          <w:color w:val="auto"/>
        </w:rPr>
      </w:pPr>
      <w:r>
        <w:rPr>
          <w:rFonts w:ascii="Arial" w:cs="Arial" w:eastAsia="Arial" w:hAnsi="Arial"/>
          <w:sz w:val="24"/>
          <w:szCs w:val="24"/>
          <w:color w:val="000041"/>
        </w:rPr>
        <w:t>FORM 10-K FOR THE FISCAL YEAR ENDED DECEMBER 31, 2025</w:t>
      </w:r>
    </w:p>
    <w:p>
      <w:pPr>
        <w:spacing w:after="0" w:line="232" w:lineRule="exact"/>
        <w:rPr>
          <w:sz w:val="20"/>
          <w:szCs w:val="20"/>
          <w:color w:val="auto"/>
        </w:rPr>
      </w:pPr>
    </w:p>
    <w:p>
      <w:pPr>
        <w:spacing w:after="0"/>
        <w:tabs>
          <w:tab w:leader="none" w:pos="9840" w:val="left"/>
        </w:tabs>
        <w:rPr>
          <w:sz w:val="20"/>
          <w:szCs w:val="20"/>
          <w:color w:val="auto"/>
        </w:rPr>
      </w:pPr>
      <w:r>
        <w:rPr>
          <w:rFonts w:ascii="Arial" w:cs="Arial" w:eastAsia="Arial" w:hAnsi="Arial"/>
          <w:sz w:val="18"/>
          <w:szCs w:val="18"/>
          <w:color w:val="000041"/>
        </w:rPr>
        <w:t>PART I</w:t>
      </w:r>
      <w:r>
        <w:rPr>
          <w:sz w:val="20"/>
          <w:szCs w:val="20"/>
          <w:color w:val="auto"/>
        </w:rPr>
        <w:tab/>
      </w:r>
      <w:r>
        <w:rPr>
          <w:rFonts w:ascii="Arial" w:cs="Arial" w:eastAsia="Arial" w:hAnsi="Arial"/>
          <w:sz w:val="18"/>
          <w:szCs w:val="18"/>
          <w:color w:val="000041"/>
        </w:rPr>
        <w:t>Page</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Business . . . . . . . . . . . . . . . . . . . . . . . . . . . . . . . . . . . . . . . . . . . . . . . . . . . . . . . . . . . . . . . . . . . . . . . . . . . . . . . . . . . . . . . . . . . . . . . . . . . 10</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Risk Factors . . . . . . . . . . . . . . . . . . . . . . . . . . . . . . . . . . . . . . . . . . . . . . . . . . . . . . . . . . . . . . . . . . . . . . . . . . . . . . . . . . . . . . . . . . . . . . . . 15</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Unresolved Staff Comments . . . . . . . . . . . . . . . . . . . . . . . . . . . . . . . . . . . . . . . . . . . . . . . . . . . . . . . . . . . . . . . . . . . . . . . . . . . . . . . 21</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1C.</w:t>
      </w:r>
      <w:r>
        <w:rPr>
          <w:sz w:val="20"/>
          <w:szCs w:val="20"/>
          <w:color w:val="auto"/>
        </w:rPr>
        <w:tab/>
      </w:r>
      <w:r>
        <w:rPr>
          <w:rFonts w:ascii="Arial" w:cs="Arial" w:eastAsia="Arial" w:hAnsi="Arial"/>
          <w:sz w:val="15"/>
          <w:szCs w:val="15"/>
          <w:color w:val="auto"/>
        </w:rPr>
        <w:t>Cybersecurity . . . . . . . . . . . . . . . . . . . . . . . . . . . . . . . . . . . . . . . . . . . . . . . . . . . . . . . . . . . . . . . . . . . . . . . . . . . . . . . . . . . . . . . . . . . . . . 22</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Properties . . . . . . . . . . . . . . . . . . . . . . . . . . . . . . . . . . . . . . . . . . . . . . . . . . . . . . . . . . . . . . . . . . . . . . . . . . . . . . . . . . . . . . . . . . . . . . . . . . 23</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Legal Proceedings . . . . . . . . . . . . . . . . . . . . . . . . . . . . . . . . . . . . . . . . . . . . . . . . . . . . . . . . . . . . . . . . . . . . . . . . . . . . . . . . . . . . . . . . . 23</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Mine Safety Disclosures . . . . . . . . . . . . . . . . . . . . . . . . . . . . . . . . . . . . . . . . . . . . . . . . . . . . . . . . . . . . . . . . . . . . . . . . . . . . . . . . . . . . 23</w:t>
      </w:r>
    </w:p>
    <w:p>
      <w:pPr>
        <w:spacing w:after="0" w:line="123" w:lineRule="exact"/>
        <w:rPr>
          <w:sz w:val="20"/>
          <w:szCs w:val="20"/>
          <w:color w:val="auto"/>
        </w:rPr>
      </w:pPr>
    </w:p>
    <w:p>
      <w:pPr>
        <w:spacing w:after="0" w:line="219" w:lineRule="exact"/>
        <w:tabs>
          <w:tab w:leader="none" w:pos="94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7"/>
          <w:szCs w:val="17"/>
          <w:color w:val="auto"/>
        </w:rPr>
        <w:t></w:t>
      </w:r>
      <w:r>
        <w:rPr>
          <w:rFonts w:ascii="Arial" w:cs="Arial" w:eastAsia="Arial" w:hAnsi="Arial"/>
          <w:sz w:val="17"/>
          <w:szCs w:val="17"/>
          <w:color w:val="auto"/>
        </w:rPr>
        <w:t>ȶǹɁɨȴƃɽȈɁȶ</w:t>
      </w:r>
      <w:r>
        <w:rPr>
          <w:rFonts w:ascii="PMingLiU" w:cs="PMingLiU" w:eastAsia="PMingLiU" w:hAnsi="PMingLiU"/>
          <w:sz w:val="17"/>
          <w:szCs w:val="17"/>
          <w:color w:val="auto"/>
        </w:rPr>
        <w:t/>
      </w:r>
      <w:r>
        <w:rPr>
          <w:rFonts w:ascii="Arial" w:cs="Arial" w:eastAsia="Arial" w:hAnsi="Arial"/>
          <w:sz w:val="17"/>
          <w:szCs w:val="17"/>
          <w:color w:val="auto"/>
        </w:rPr>
        <w:t>ƹɁʍɽ</w:t>
      </w:r>
      <w:r>
        <w:rPr>
          <w:rFonts w:ascii="PMingLiU" w:cs="PMingLiU" w:eastAsia="PMingLiU" w:hAnsi="PMingLiU"/>
          <w:sz w:val="17"/>
          <w:szCs w:val="17"/>
          <w:color w:val="auto"/>
        </w:rPr>
        <w:t/>
      </w:r>
      <w:r>
        <w:rPr>
          <w:rFonts w:ascii="Arial" w:cs="Arial" w:eastAsia="Arial" w:hAnsi="Arial"/>
          <w:sz w:val="17"/>
          <w:szCs w:val="17"/>
          <w:color w:val="auto"/>
        </w:rPr>
        <w:t>Ýʍɨ</w:t>
      </w:r>
      <w:r>
        <w:rPr>
          <w:rFonts w:ascii="PMingLiU" w:cs="PMingLiU" w:eastAsia="PMingLiU" w:hAnsi="PMingLiU"/>
          <w:sz w:val="17"/>
          <w:szCs w:val="17"/>
          <w:color w:val="auto"/>
        </w:rPr>
        <w:t/>
      </w:r>
      <w:r>
        <w:rPr>
          <w:rFonts w:ascii="Arial" w:cs="Arial" w:eastAsia="Arial" w:hAnsi="Arial"/>
          <w:sz w:val="17"/>
          <w:szCs w:val="17"/>
          <w:color w:val="auto"/>
        </w:rPr>
        <w:t>KʯǉƺʍɽȈʤǉ</w:t>
      </w:r>
      <w:r>
        <w:rPr>
          <w:rFonts w:ascii="PMingLiU" w:cs="PMingLiU" w:eastAsia="PMingLiU" w:hAnsi="PMingLiU"/>
          <w:sz w:val="17"/>
          <w:szCs w:val="17"/>
          <w:color w:val="auto"/>
        </w:rPr>
        <w:t/>
      </w:r>
      <w:r>
        <w:rPr>
          <w:rFonts w:ascii="Arial" w:cs="Arial" w:eastAsia="Arial" w:hAnsi="Arial"/>
          <w:sz w:val="17"/>
          <w:szCs w:val="17"/>
          <w:color w:val="auto"/>
        </w:rPr>
        <w:t>Ýǹˎƺǉɨɰ</w:t>
      </w:r>
      <w:r>
        <w:rPr>
          <w:rFonts w:ascii="PMingLiU" w:cs="PMingLiU" w:eastAsia="PMingLiU" w:hAnsi="PMingLiU"/>
          <w:sz w:val="17"/>
          <w:szCs w:val="17"/>
          <w:color w:val="auto"/>
        </w:rPr>
        <w:t xml:space="preserve"> </w:t>
      </w:r>
      <w:r>
        <w:rPr>
          <w:rFonts w:ascii="Arial" w:cs="Arial" w:eastAsia="Arial" w:hAnsi="Arial"/>
          <w:sz w:val="17"/>
          <w:szCs w:val="17"/>
          <w:color w:val="auto"/>
        </w:rPr>
        <w:t>. . . . . . . . . . . . . . . . . . . . . . . . . . . . . . . . . . . . . . . . . . . . . . . . . . . . . . . . . . . . . . . . . 23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000041"/>
        </w:rPr>
        <w:t>PART II</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Market for Registrant’s Common Equity, Related Stockholder Matters and Issuer Purchases</w:t>
      </w:r>
    </w:p>
    <w:p>
      <w:pPr>
        <w:spacing w:after="0" w:line="37" w:lineRule="exact"/>
        <w:rPr>
          <w:sz w:val="20"/>
          <w:szCs w:val="20"/>
          <w:color w:val="auto"/>
        </w:rPr>
      </w:pPr>
    </w:p>
    <w:p>
      <w:pPr>
        <w:ind w:left="960"/>
        <w:spacing w:after="0" w:line="182" w:lineRule="exact"/>
        <w:rPr>
          <w:sz w:val="20"/>
          <w:szCs w:val="20"/>
          <w:color w:val="auto"/>
        </w:rPr>
      </w:pPr>
      <w:r>
        <w:rPr>
          <w:rFonts w:ascii="Arial" w:cs="Arial" w:eastAsia="Arial" w:hAnsi="Arial"/>
          <w:sz w:val="15"/>
          <w:szCs w:val="15"/>
          <w:color w:val="auto"/>
        </w:rPr>
        <w:t>ɁǹԝKɧʍȈɽʰ</w:t>
      </w:r>
      <w:r>
        <w:rPr>
          <w:rFonts w:ascii="PMingLiU" w:cs="PMingLiU" w:eastAsia="PMingLiU" w:hAnsi="PMingLiU"/>
          <w:sz w:val="15"/>
          <w:szCs w:val="15"/>
          <w:color w:val="auto"/>
        </w:rPr>
        <w:t/>
      </w:r>
      <w:r>
        <w:rPr>
          <w:rFonts w:ascii="Arial" w:cs="Arial" w:eastAsia="Arial" w:hAnsi="Arial"/>
          <w:sz w:val="15"/>
          <w:szCs w:val="15"/>
          <w:color w:val="auto"/>
        </w:rPr>
        <w:t xml:space="preserve">ČǉƺʍɨȈɽȈǉɰ </w:t>
      </w:r>
      <w:r>
        <w:rPr>
          <w:rFonts w:ascii="Arial" w:cs="Arial" w:eastAsia="Arial" w:hAnsi="Arial"/>
          <w:sz w:val="15"/>
          <w:szCs w:val="15"/>
          <w:color w:val="auto"/>
        </w:rPr>
        <w:t>. . . . . . . . . . . . . . . . . . . . . . . . . . . . . . . . . . . . . . . . . . . . . . . . . . . . . . . . . . . . . . . . . . . . . . . . . . . . . . . . . . . . . . . . 24</w:t>
      </w:r>
    </w:p>
    <w:p>
      <w:pPr>
        <w:spacing w:after="0" w:line="1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5"/>
          <w:szCs w:val="15"/>
          <w:color w:val="auto"/>
        </w:rPr>
        <w:t>[Reserved] . . . . . . . . . . . . . . . . . . . . . . . . . . . . . . . . . . . . . . . . . . . . . . . . . . . . . . . . . . . . . . . . . . . . . . . . . . . . . . . . . . . . . . . . . . . . . . . . . 25</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Management’s Discussion and Analysis of Financial Condition and Results of Operations . . . . . . . . . . . . . . . . 25</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Disclosures About Market Risk . . . . . . . . . . . . . . . . . . . . . . . . . . . . . . . . . . . . . . . . . . . . . . . 32</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 . . . . . . . . . . . . . . . . . . . . . . . . . . . . . . . . . . . . . . . . . . . . . . . . . . . . . . . . . . . 32</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color w:val="auto"/>
        </w:rPr>
        <w:t>Changes in and Disagreements with Accountants on Accounting and Financial Disclosure . . . . . . . . . . . . . .63</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6"/>
          <w:szCs w:val="16"/>
          <w:color w:val="auto"/>
        </w:rPr>
        <w:t>Controls and Procedures . . . . . . . . . . . . . . . . . . . . . . . . . . . . . . . . . . . . . . . . . . . . . . . . . . . . . . . . . . . . . . . . . . . . . . . . . . . . . . . . . .63</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6"/>
          <w:szCs w:val="16"/>
          <w:color w:val="auto"/>
        </w:rPr>
        <w:t>Other Information . . . . . . . . . . . . . . . . . . . . . . . . . . . . . . . . . . . . . . . . . . . . . . . . . . . . . . . . . . . . . . . . . . . . . . . . . . . . . . . . . . . . . . . . .63</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9C.</w:t>
      </w:r>
      <w:r>
        <w:rPr>
          <w:sz w:val="20"/>
          <w:szCs w:val="20"/>
          <w:color w:val="auto"/>
        </w:rPr>
        <w:tab/>
      </w:r>
      <w:r>
        <w:rPr>
          <w:rFonts w:ascii="Arial" w:cs="Arial" w:eastAsia="Arial" w:hAnsi="Arial"/>
          <w:sz w:val="17"/>
          <w:szCs w:val="17"/>
          <w:color w:val="auto"/>
        </w:rPr>
        <w:t>Disclosure Regarding Foreign Jurisdictions that Prevent Inspections . . . . . . . . . . . . . . . . . . . . . . . . . . . . . . . . . . . . . .63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000041"/>
        </w:rPr>
        <w:t>PART III</w:t>
      </w:r>
    </w:p>
    <w:p>
      <w:pPr>
        <w:spacing w:after="0" w:line="129" w:lineRule="exact"/>
        <w:rPr>
          <w:sz w:val="20"/>
          <w:szCs w:val="20"/>
          <w:color w:val="auto"/>
        </w:rPr>
      </w:pPr>
    </w:p>
    <w:p>
      <w:pPr>
        <w:spacing w:after="0" w:line="219" w:lineRule="exact"/>
        <w:tabs>
          <w:tab w:leader="none" w:pos="940" w:val="left"/>
        </w:tabs>
        <w:rPr>
          <w:sz w:val="20"/>
          <w:szCs w:val="20"/>
          <w:color w:val="auto"/>
        </w:rPr>
      </w:pPr>
      <w:r>
        <w:rPr>
          <w:rFonts w:ascii="PMingLiU" w:cs="PMingLiU" w:eastAsia="PMingLiU" w:hAnsi="PMingLiU"/>
          <w:sz w:val="18"/>
          <w:szCs w:val="18"/>
          <w:color w:val="auto"/>
        </w:rPr>
        <w:t></w:t>
      </w:r>
      <w:r>
        <w:rPr>
          <w:rFonts w:ascii="Arial" w:cs="Arial" w:eastAsia="Arial" w:hAnsi="Arial"/>
          <w:sz w:val="18"/>
          <w:szCs w:val="18"/>
          <w:color w:val="auto"/>
        </w:rPr>
        <w:t>ɽǉȴ</w:t>
      </w:r>
      <w:r>
        <w:rPr>
          <w:rFonts w:ascii="PMingLiU" w:cs="PMingLiU" w:eastAsia="PMingLiU" w:hAnsi="PMingLiU"/>
          <w:sz w:val="18"/>
          <w:szCs w:val="18"/>
          <w:color w:val="auto"/>
        </w:rPr>
        <w:t/>
      </w:r>
      <w:r>
        <w:rPr>
          <w:rFonts w:ascii="Arial" w:cs="Arial" w:eastAsia="Arial" w:hAnsi="Arial"/>
          <w:sz w:val="18"/>
          <w:szCs w:val="18"/>
          <w:color w:val="auto"/>
        </w:rPr>
        <w:t>іѕӝ</w:t>
      </w:r>
      <w:r>
        <w:rPr>
          <w:rFonts w:ascii="PMingLiU" w:cs="PMingLiU" w:eastAsia="PMingLiU" w:hAnsi="PMingLiU"/>
          <w:sz w:val="18"/>
          <w:szCs w:val="18"/>
          <w:color w:val="auto"/>
        </w:rPr>
        <w:t/>
      </w:r>
      <w:r>
        <w:rPr>
          <w:sz w:val="20"/>
          <w:szCs w:val="20"/>
          <w:color w:val="auto"/>
        </w:rPr>
        <w:tab/>
      </w:r>
      <w:r>
        <w:rPr>
          <w:rFonts w:ascii="Arial" w:cs="Arial" w:eastAsia="Arial" w:hAnsi="Arial"/>
          <w:sz w:val="17"/>
          <w:szCs w:val="17"/>
          <w:color w:val="auto"/>
        </w:rPr>
        <w:t>AȈɨǉƺɽɁɨɰ</w:t>
      </w:r>
      <w:r>
        <w:rPr>
          <w:rFonts w:ascii="Arial" w:cs="Arial" w:eastAsia="Arial" w:hAnsi="Arial"/>
          <w:sz w:val="17"/>
          <w:szCs w:val="17"/>
          <w:color w:val="auto"/>
        </w:rPr>
        <w:t>ӗ</w:t>
      </w:r>
      <w:r>
        <w:rPr>
          <w:rFonts w:ascii="PMingLiU" w:cs="PMingLiU" w:eastAsia="PMingLiU" w:hAnsi="PMingLiU"/>
          <w:sz w:val="17"/>
          <w:szCs w:val="17"/>
          <w:color w:val="auto"/>
        </w:rPr>
        <w:t/>
      </w:r>
      <w:r>
        <w:rPr>
          <w:rFonts w:ascii="Arial" w:cs="Arial" w:eastAsia="Arial" w:hAnsi="Arial"/>
          <w:sz w:val="17"/>
          <w:szCs w:val="17"/>
          <w:color w:val="auto"/>
        </w:rPr>
        <w:t>KʯǉƺʍɽȈʤǉ</w:t>
      </w:r>
      <w:r>
        <w:rPr>
          <w:rFonts w:ascii="PMingLiU" w:cs="PMingLiU" w:eastAsia="PMingLiU" w:hAnsi="PMingLiU"/>
          <w:sz w:val="17"/>
          <w:szCs w:val="17"/>
          <w:color w:val="auto"/>
        </w:rPr>
        <w:t/>
      </w:r>
      <w:r>
        <w:rPr>
          <w:rFonts w:ascii="Arial" w:cs="Arial" w:eastAsia="Arial" w:hAnsi="Arial"/>
          <w:sz w:val="17"/>
          <w:szCs w:val="17"/>
          <w:color w:val="auto"/>
        </w:rPr>
        <w:t>Ýǹˎƺǉɨɰ</w:t>
      </w:r>
      <w:r>
        <w:rPr>
          <w:rFonts w:ascii="PMingLiU" w:cs="PMingLiU" w:eastAsia="PMingLiU" w:hAnsi="PMingLiU"/>
          <w:sz w:val="17"/>
          <w:szCs w:val="17"/>
          <w:color w:val="auto"/>
        </w:rPr>
        <w:t/>
      </w:r>
      <w:r>
        <w:rPr>
          <w:rFonts w:ascii="Arial" w:cs="Arial" w:eastAsia="Arial" w:hAnsi="Arial"/>
          <w:sz w:val="17"/>
          <w:szCs w:val="17"/>
          <w:color w:val="auto"/>
        </w:rPr>
        <w:t>ƃȶǁ</w:t>
      </w:r>
      <w:r>
        <w:rPr>
          <w:rFonts w:ascii="PMingLiU" w:cs="PMingLiU" w:eastAsia="PMingLiU" w:hAnsi="PMingLiU"/>
          <w:sz w:val="17"/>
          <w:szCs w:val="17"/>
          <w:color w:val="auto"/>
        </w:rPr>
        <w:t/>
      </w:r>
      <w:r>
        <w:rPr>
          <w:rFonts w:ascii="Arial" w:cs="Arial" w:eastAsia="Arial" w:hAnsi="Arial"/>
          <w:sz w:val="17"/>
          <w:szCs w:val="17"/>
          <w:color w:val="auto"/>
        </w:rPr>
        <w:t>:ɁɨɥɁɨƃɽǉ</w:t>
      </w:r>
      <w:r>
        <w:rPr>
          <w:rFonts w:ascii="PMingLiU" w:cs="PMingLiU" w:eastAsia="PMingLiU" w:hAnsi="PMingLiU"/>
          <w:sz w:val="17"/>
          <w:szCs w:val="17"/>
          <w:color w:val="auto"/>
        </w:rPr>
        <w:t/>
      </w:r>
      <w:r>
        <w:rPr>
          <w:rFonts w:ascii="Arial" w:cs="Arial" w:eastAsia="Arial" w:hAnsi="Arial"/>
          <w:sz w:val="17"/>
          <w:szCs w:val="17"/>
          <w:color w:val="auto"/>
        </w:rPr>
        <w:t>{Ɂʤǉɨȶƃȶƺǉ</w:t>
      </w:r>
      <w:r>
        <w:rPr>
          <w:rFonts w:ascii="Arial" w:cs="Arial" w:eastAsia="Arial" w:hAnsi="Arial"/>
          <w:sz w:val="17"/>
          <w:szCs w:val="17"/>
          <w:color w:val="auto"/>
        </w:rPr>
        <w:t>. . . . . . . . . . . . . . . . . . . . . . . . . . . . . . . . . . . . . . . . . . . . . . . . . . .64</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6"/>
          <w:szCs w:val="16"/>
          <w:color w:val="auto"/>
        </w:rPr>
        <w:t>Executive Compensation . . . . . . . . . . . . . . . . . . . . . . . . . . . . . . . . . . . . . . . . . . . . . . . . . . . . . . . . . . . . . . . . . . . . . . . . . . . . . . . . . .64</w:t>
      </w:r>
    </w:p>
    <w:p>
      <w:pPr>
        <w:spacing w:after="0" w:line="123" w:lineRule="exact"/>
        <w:rPr>
          <w:sz w:val="20"/>
          <w:szCs w:val="20"/>
          <w:color w:val="auto"/>
        </w:rPr>
      </w:pPr>
    </w:p>
    <w:p>
      <w:pPr>
        <w:spacing w:after="0" w:line="219" w:lineRule="exact"/>
        <w:tabs>
          <w:tab w:leader="none" w:pos="940" w:val="left"/>
        </w:tabs>
        <w:rPr>
          <w:sz w:val="20"/>
          <w:szCs w:val="20"/>
          <w:color w:val="auto"/>
        </w:rPr>
      </w:pPr>
      <w:r>
        <w:rPr>
          <w:rFonts w:ascii="PMingLiU" w:cs="PMingLiU" w:eastAsia="PMingLiU" w:hAnsi="PMingLiU"/>
          <w:sz w:val="18"/>
          <w:szCs w:val="18"/>
          <w:color w:val="auto"/>
        </w:rPr>
        <w:t></w:t>
      </w:r>
      <w:r>
        <w:rPr>
          <w:rFonts w:ascii="Arial" w:cs="Arial" w:eastAsia="Arial" w:hAnsi="Arial"/>
          <w:sz w:val="18"/>
          <w:szCs w:val="18"/>
          <w:color w:val="auto"/>
        </w:rPr>
        <w:t>ɽǉȴ</w:t>
      </w:r>
      <w:r>
        <w:rPr>
          <w:rFonts w:ascii="PMingLiU" w:cs="PMingLiU" w:eastAsia="PMingLiU" w:hAnsi="PMingLiU"/>
          <w:sz w:val="18"/>
          <w:szCs w:val="18"/>
          <w:color w:val="auto"/>
        </w:rPr>
        <w:t/>
      </w:r>
      <w:r>
        <w:rPr>
          <w:rFonts w:ascii="Arial" w:cs="Arial" w:eastAsia="Arial" w:hAnsi="Arial"/>
          <w:sz w:val="18"/>
          <w:szCs w:val="18"/>
          <w:color w:val="auto"/>
        </w:rPr>
        <w:t>іїӝ</w:t>
      </w:r>
      <w:r>
        <w:rPr>
          <w:rFonts w:ascii="PMingLiU" w:cs="PMingLiU" w:eastAsia="PMingLiU" w:hAnsi="PMingLiU"/>
          <w:sz w:val="18"/>
          <w:szCs w:val="18"/>
          <w:color w:val="auto"/>
        </w:rPr>
        <w:t/>
      </w:r>
      <w:r>
        <w:rPr>
          <w:rFonts w:ascii="Arial" w:cs="Arial" w:eastAsia="Arial" w:hAnsi="Arial"/>
          <w:sz w:val="18"/>
          <w:szCs w:val="18"/>
          <w:color w:val="auto"/>
        </w:rPr>
        <w:tab/>
        <w:t>ČǉƺʍɨȈɽʰ</w:t>
      </w:r>
      <w:r>
        <w:rPr>
          <w:rFonts w:ascii="PMingLiU" w:cs="PMingLiU" w:eastAsia="PMingLiU" w:hAnsi="PMingLiU"/>
          <w:sz w:val="18"/>
          <w:szCs w:val="18"/>
          <w:color w:val="auto"/>
        </w:rPr>
        <w:t/>
      </w:r>
      <w:r>
        <w:rPr>
          <w:rFonts w:ascii="Arial" w:cs="Arial" w:eastAsia="Arial" w:hAnsi="Arial"/>
          <w:sz w:val="18"/>
          <w:szCs w:val="18"/>
          <w:color w:val="auto"/>
        </w:rPr>
        <w:t>ÝʥȶǉɨɰȃȈɥ</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:ǉɨɽƃȈȶ</w:t>
      </w:r>
      <w:r>
        <w:rPr>
          <w:rFonts w:ascii="PMingLiU" w:cs="PMingLiU" w:eastAsia="PMingLiU" w:hAnsi="PMingLiU"/>
          <w:sz w:val="18"/>
          <w:szCs w:val="18"/>
          <w:color w:val="auto"/>
        </w:rPr>
        <w:t/>
      </w:r>
      <w:r>
        <w:rPr>
          <w:rFonts w:ascii="Arial" w:cs="Arial" w:eastAsia="Arial" w:hAnsi="Arial"/>
          <w:sz w:val="18"/>
          <w:szCs w:val="18"/>
          <w:color w:val="auto"/>
        </w:rPr>
        <w:t>9ǉȶǉˎƺȈƃȢ</w:t>
      </w:r>
      <w:r>
        <w:rPr>
          <w:rFonts w:ascii="PMingLiU" w:cs="PMingLiU" w:eastAsia="PMingLiU" w:hAnsi="PMingLiU"/>
          <w:sz w:val="18"/>
          <w:szCs w:val="18"/>
          <w:color w:val="auto"/>
        </w:rPr>
        <w:t/>
      </w:r>
      <w:r>
        <w:rPr>
          <w:rFonts w:ascii="Arial" w:cs="Arial" w:eastAsia="Arial" w:hAnsi="Arial"/>
          <w:sz w:val="18"/>
          <w:szCs w:val="18"/>
          <w:color w:val="auto"/>
        </w:rPr>
        <w:t>Ýʥȶǉɨɰ</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ÃƃȶƃǼǉȴǉȶɽ</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ĄǉȢƃɽǉǁ</w:t>
      </w:r>
      <w:r>
        <w:rPr>
          <w:rFonts w:ascii="PMingLiU" w:cs="PMingLiU" w:eastAsia="PMingLiU" w:hAnsi="PMingLiU"/>
          <w:sz w:val="18"/>
          <w:szCs w:val="18"/>
          <w:color w:val="auto"/>
        </w:rPr>
        <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Stockholder Matters . . . . . . . . . . . . . . . . . . . . . . . . . . . . . . . . . . . . . . . . . . . . . . . . . . . . . . . . . . . . . . . . . . . . . . . . . . . . . . . . . . . . . . .64</w:t>
      </w:r>
    </w:p>
    <w:p>
      <w:pPr>
        <w:spacing w:after="0" w:line="1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13.</w:t>
        <w:tab/>
        <w:t>Certain Relationships and Related Transactions, and Director Independence . . . . . . . . . . . . . . . . . . . . . . . . . . . . .65</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6"/>
          <w:szCs w:val="16"/>
          <w:color w:val="auto"/>
        </w:rPr>
        <w:t>Principal Accountant Fees and Services . . . . . . . . . . . . . . . . . . . . . . . . . . . . . . . . . . . . . . . . . . . . . . . . . . . . . . . . . . . . . . . . . . .65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000041"/>
        </w:rPr>
        <w:t>PART IV</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6"/>
          <w:szCs w:val="16"/>
          <w:color w:val="auto"/>
        </w:rPr>
        <w:t>Exhibits and Financial Statement Schedules . . . . . . . . . . . . . . . . . . . . . . . . . . . . . . . . . . . . . . . . . . . . . . . . . . . . . . . . . . . . . .66</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5"/>
          <w:szCs w:val="15"/>
          <w:color w:val="auto"/>
        </w:rPr>
        <w:t>Form 10-K Summary . . . . . . . . . . . . . . . . . . . . . . . . . . . . . . . . . . . . . . . . . . . . . . . . . . . . . . . . . . . . . . . . . . . . . . . . . . . . . . . . . . . . . . .69</w:t>
      </w:r>
    </w:p>
    <w:p>
      <w:pPr>
        <w:spacing w:after="0" w:line="123" w:lineRule="exact"/>
        <w:rPr>
          <w:sz w:val="20"/>
          <w:szCs w:val="20"/>
          <w:color w:val="auto"/>
        </w:rPr>
      </w:pPr>
    </w:p>
    <w:p>
      <w:pPr>
        <w:spacing w:after="0" w:line="219" w:lineRule="exact"/>
        <w:tabs>
          <w:tab w:leader="none" w:pos="940" w:val="left"/>
        </w:tabs>
        <w:rPr>
          <w:sz w:val="20"/>
          <w:szCs w:val="20"/>
          <w:color w:val="auto"/>
        </w:rPr>
      </w:pPr>
      <w:r>
        <w:rPr>
          <w:rFonts w:ascii="Arial" w:cs="Arial" w:eastAsia="Arial" w:hAnsi="Arial"/>
          <w:sz w:val="18"/>
          <w:szCs w:val="18"/>
          <w:color w:val="auto"/>
        </w:rPr>
        <w:t>ԝ</w:t>
      </w:r>
      <w:r>
        <w:rPr>
          <w:rFonts w:ascii="PMingLiU" w:cs="PMingLiU" w:eastAsia="PMingLiU" w:hAnsi="PMingLiU"/>
          <w:sz w:val="18"/>
          <w:szCs w:val="18"/>
          <w:color w:val="auto"/>
        </w:rPr>
        <w:t/>
      </w:r>
      <w:r>
        <w:rPr>
          <w:sz w:val="20"/>
          <w:szCs w:val="20"/>
          <w:color w:val="auto"/>
        </w:rPr>
        <w:tab/>
      </w:r>
      <w:r>
        <w:rPr>
          <w:rFonts w:ascii="Arial" w:cs="Arial" w:eastAsia="Arial" w:hAnsi="Arial"/>
          <w:sz w:val="15"/>
          <w:szCs w:val="15"/>
          <w:color w:val="auto"/>
        </w:rPr>
        <w:t>Signatures . . . . . . . . . . . . . . . . . . . . . . . . . . . . . . . . . . . . . . . . . . . . . . . . . . . . . . . . . . . . . . . . . . . . . . . . . . . . . . . . . . . . . . . . . . . . . . . . .70</w:t>
      </w:r>
    </w:p>
    <w:p>
      <w:pPr>
        <w:sectPr>
          <w:pgSz w:w="12240" w:h="15840" w:orient="portrait"/>
          <w:cols w:equalWidth="0" w:num="1">
            <w:col w:w="10320"/>
          </w:cols>
          <w:pgMar w:left="960" w:top="883" w:right="960" w:bottom="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8</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20"/>
          </w:cols>
          <w:pgMar w:left="960" w:top="883" w:right="960" w:bottom="90" w:gutter="0" w:footer="0" w:header="0"/>
          <w:type w:val="continuous"/>
        </w:sectPr>
      </w:pPr>
    </w:p>
    <w:bookmarkStart w:id="10" w:name="page11"/>
    <w:bookmarkEnd w:id="10"/>
    <w:p>
      <w:pPr>
        <w:spacing w:after="0" w:line="243" w:lineRule="exact"/>
        <w:rPr>
          <w:sz w:val="20"/>
          <w:szCs w:val="20"/>
          <w:color w:val="auto"/>
        </w:rPr>
      </w:pPr>
      <w:r>
        <w:rPr>
          <w:rFonts w:ascii="PMingLiU" w:cs="PMingLiU" w:eastAsia="PMingLiU" w:hAnsi="PMingLiU"/>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w:t>
      </w:r>
      <w:r>
        <w:rPr>
          <w:rFonts w:ascii="Arial" w:cs="Arial" w:eastAsia="Arial" w:hAnsi="Arial"/>
          <w:sz w:val="20"/>
          <w:szCs w:val="20"/>
          <w:color w:val="000041"/>
        </w:rPr>
        <w:t>ÇyÝĄÃ</w:t>
      </w:r>
      <w:r>
        <w:rPr>
          <w:rFonts w:ascii="PMingLiU" w:cs="PMingLiU" w:eastAsia="PMingLiU" w:hAnsi="PMingLiU"/>
          <w:sz w:val="20"/>
          <w:szCs w:val="20"/>
          <w:color w:val="000041"/>
        </w:rPr>
        <w:t/>
      </w:r>
      <w:r>
        <w:rPr>
          <w:rFonts w:ascii="Arial" w:cs="Arial" w:eastAsia="Arial" w:hAnsi="Arial"/>
          <w:sz w:val="20"/>
          <w:szCs w:val="20"/>
          <w:color w:val="000041"/>
        </w:rPr>
        <w:t>ě</w:t>
      </w:r>
      <w:r>
        <w:rPr>
          <w:rFonts w:ascii="PMingLiU" w:cs="PMingLiU" w:eastAsia="PMingLiU" w:hAnsi="PMingLiU"/>
          <w:sz w:val="20"/>
          <w:szCs w:val="20"/>
          <w:color w:val="000041"/>
        </w:rPr>
        <w:t></w:t>
      </w:r>
      <w:r>
        <w:rPr>
          <w:rFonts w:ascii="Arial" w:cs="Arial" w:eastAsia="Arial" w:hAnsi="Arial"/>
          <w:sz w:val="20"/>
          <w:szCs w:val="20"/>
          <w:color w:val="000041"/>
        </w:rPr>
        <w:t>ÝÇ</w:t>
      </w:r>
      <w:r>
        <w:rPr>
          <w:rFonts w:ascii="PMingLiU" w:cs="PMingLiU" w:eastAsia="PMingLiU" w:hAnsi="PMingLiU"/>
          <w:sz w:val="20"/>
          <w:szCs w:val="20"/>
          <w:color w:val="000041"/>
        </w:rPr>
        <w:t/>
      </w:r>
      <w:r>
        <w:rPr>
          <w:rFonts w:ascii="Arial" w:cs="Arial" w:eastAsia="Arial" w:hAnsi="Arial"/>
          <w:sz w:val="20"/>
          <w:szCs w:val="20"/>
          <w:color w:val="000041"/>
        </w:rPr>
        <w:t>9Ýĩě</w:t>
      </w:r>
      <w:r>
        <w:rPr>
          <w:rFonts w:ascii="PMingLiU" w:cs="PMingLiU" w:eastAsia="PMingLiU" w:hAnsi="PMingLiU"/>
          <w:sz w:val="20"/>
          <w:szCs w:val="20"/>
          <w:color w:val="000041"/>
        </w:rPr>
        <w:t/>
      </w:r>
      <w:r>
        <w:rPr>
          <w:rFonts w:ascii="Arial" w:cs="Arial" w:eastAsia="Arial" w:hAnsi="Arial"/>
          <w:sz w:val="20"/>
          <w:szCs w:val="20"/>
          <w:color w:val="000041"/>
        </w:rPr>
        <w:t>yÝĄŚ</w:t>
      </w:r>
      <w:r>
        <w:rPr>
          <w:rFonts w:ascii="PMingLiU" w:cs="PMingLiU" w:eastAsia="PMingLiU" w:hAnsi="PMingLiU"/>
          <w:sz w:val="20"/>
          <w:szCs w:val="20"/>
          <w:color w:val="000041"/>
        </w:rPr>
        <w:t/>
      </w:r>
      <w:r>
        <w:rPr>
          <w:rFonts w:ascii="Arial" w:cs="Arial" w:eastAsia="Arial" w:hAnsi="Arial"/>
          <w:sz w:val="20"/>
          <w:szCs w:val="20"/>
          <w:color w:val="000041"/>
        </w:rPr>
        <w:t>ĄA</w:t>
      </w:r>
      <w:r>
        <w:rPr>
          <w:rFonts w:ascii="Arial" w:cs="Arial" w:eastAsia="Arial" w:hAnsi="Arial"/>
          <w:sz w:val="20"/>
          <w:szCs w:val="20"/>
          <w:color w:val="000041"/>
        </w:rPr>
        <w:t>ӳ</w:t>
      </w:r>
      <w:r>
        <w:rPr>
          <w:rFonts w:ascii="Arial" w:cs="Arial" w:eastAsia="Arial" w:hAnsi="Arial"/>
          <w:sz w:val="20"/>
          <w:szCs w:val="20"/>
          <w:color w:val="000041"/>
        </w:rPr>
        <w:t>¸ÝÝ¶</w:t>
      </w:r>
      <w:r>
        <w:rPr>
          <w:rFonts w:ascii="PMingLiU" w:cs="PMingLiU" w:eastAsia="PMingLiU" w:hAnsi="PMingLiU"/>
          <w:sz w:val="20"/>
          <w:szCs w:val="20"/>
          <w:color w:val="000041"/>
        </w:rPr>
        <w:t></w:t>
      </w:r>
      <w:r>
        <w:rPr>
          <w:rFonts w:ascii="Arial" w:cs="Arial" w:eastAsia="Arial" w:hAnsi="Arial"/>
          <w:sz w:val="20"/>
          <w:szCs w:val="20"/>
          <w:color w:val="000041"/>
        </w:rPr>
        <w:t>Ç{</w:t>
      </w:r>
      <w:r>
        <w:rPr>
          <w:rFonts w:ascii="PMingLiU" w:cs="PMingLiU" w:eastAsia="PMingLiU" w:hAnsi="PMingLiU"/>
          <w:sz w:val="20"/>
          <w:szCs w:val="20"/>
          <w:color w:val="000041"/>
        </w:rPr>
        <w:t/>
      </w:r>
      <w:r>
        <w:rPr>
          <w:rFonts w:ascii="Arial" w:cs="Arial" w:eastAsia="Arial" w:hAnsi="Arial"/>
          <w:sz w:val="20"/>
          <w:szCs w:val="20"/>
          <w:color w:val="000041"/>
        </w:rPr>
        <w:t>Čě</w:t>
      </w:r>
      <w:r>
        <w:rPr>
          <w:rFonts w:ascii="PMingLiU" w:cs="PMingLiU" w:eastAsia="PMingLiU" w:hAnsi="PMingLiU"/>
          <w:sz w:val="20"/>
          <w:szCs w:val="20"/>
          <w:color w:val="000041"/>
        </w:rPr>
        <w:t/>
      </w:r>
      <w:r>
        <w:rPr>
          <w:rFonts w:ascii="Arial" w:cs="Arial" w:eastAsia="Arial" w:hAnsi="Arial"/>
          <w:sz w:val="20"/>
          <w:szCs w:val="20"/>
          <w:color w:val="000041"/>
        </w:rPr>
        <w:t>ěKÃKÇěČ</w:t>
      </w:r>
    </w:p>
    <w:p>
      <w:pPr>
        <w:spacing w:after="0" w:line="67"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This Annual Report on Form 10-K (“Annual Report”) includes and incorporates by reference “forward-looking state-ments” within the meaning of the federal securities laws. In addition, we, or our executive officers on our behalf, may from time to time make forward-looking statements in reports and other documents we file with the U.S. Securities and Exchange Commission (“SEC”) or in connection with oral statements made to the press, potential investors, or Ɂɽȃǉɨɰ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ȢȢ</w:t>
      </w:r>
      <w:r>
        <w:rPr>
          <w:rFonts w:ascii="PMingLiU" w:cs="PMingLiU" w:eastAsia="PMingLiU" w:hAnsi="PMingLiU"/>
          <w:sz w:val="18"/>
          <w:szCs w:val="18"/>
          <w:color w:val="auto"/>
        </w:rPr>
        <w:t/>
      </w:r>
      <w:r>
        <w:rPr>
          <w:rFonts w:ascii="Arial" w:cs="Arial" w:eastAsia="Arial" w:hAnsi="Arial"/>
          <w:sz w:val="18"/>
          <w:szCs w:val="18"/>
          <w:color w:val="auto"/>
        </w:rPr>
        <w:t>ɰɽƃɽǉȴǉȶɽɰ</w:t>
      </w:r>
      <w:r>
        <w:rPr>
          <w:rFonts w:ascii="PMingLiU" w:cs="PMingLiU" w:eastAsia="PMingLiU" w:hAnsi="PMingLiU"/>
          <w:sz w:val="18"/>
          <w:szCs w:val="18"/>
          <w:color w:val="auto"/>
        </w:rPr>
        <w:t/>
      </w:r>
      <w:r>
        <w:rPr>
          <w:rFonts w:ascii="Arial" w:cs="Arial" w:eastAsia="Arial" w:hAnsi="Arial"/>
          <w:sz w:val="18"/>
          <w:szCs w:val="18"/>
          <w:color w:val="auto"/>
        </w:rPr>
        <w:t xml:space="preserve"> ɽȃƃɽ</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ȶɁɽ</w:t>
      </w:r>
      <w:r>
        <w:rPr>
          <w:rFonts w:ascii="PMingLiU" w:cs="PMingLiU" w:eastAsia="PMingLiU" w:hAnsi="PMingLiU"/>
          <w:sz w:val="18"/>
          <w:szCs w:val="18"/>
          <w:color w:val="auto"/>
        </w:rPr>
        <w:t/>
      </w:r>
      <w:r>
        <w:rPr>
          <w:rFonts w:ascii="Arial" w:cs="Arial" w:eastAsia="Arial" w:hAnsi="Arial"/>
          <w:sz w:val="18"/>
          <w:szCs w:val="18"/>
          <w:color w:val="auto"/>
        </w:rPr>
        <w:t>ȃȈɰɽɁɨȈƺƃȢ</w:t>
      </w:r>
      <w:r>
        <w:rPr>
          <w:rFonts w:ascii="PMingLiU" w:cs="PMingLiU" w:eastAsia="PMingLiU" w:hAnsi="PMingLiU"/>
          <w:sz w:val="18"/>
          <w:szCs w:val="18"/>
          <w:color w:val="auto"/>
        </w:rPr>
        <w:t/>
      </w:r>
      <w:r>
        <w:rPr>
          <w:rFonts w:ascii="Arial" w:cs="Arial" w:eastAsia="Arial" w:hAnsi="Arial"/>
          <w:sz w:val="18"/>
          <w:szCs w:val="18"/>
          <w:color w:val="auto"/>
        </w:rPr>
        <w:t>ǹƃƺɽɰ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 xml:space="preserve"> ԄǹɁɨʥƃɨǁ</w:t>
      </w:r>
      <w:r>
        <w:rPr>
          <w:rFonts w:ascii="Arial" w:cs="Arial" w:eastAsia="Arial" w:hAnsi="Arial"/>
          <w:sz w:val="18"/>
          <w:szCs w:val="18"/>
          <w:color w:val="auto"/>
        </w:rPr>
        <w:t>Ӹ</w:t>
      </w:r>
      <w:r>
        <w:rPr>
          <w:rFonts w:ascii="Arial" w:cs="Arial" w:eastAsia="Arial" w:hAnsi="Arial"/>
          <w:sz w:val="18"/>
          <w:szCs w:val="18"/>
          <w:color w:val="auto"/>
        </w:rPr>
        <w:t>ȢɁɁȟȈȶǼ</w:t>
      </w:r>
      <w:r>
        <w:rPr>
          <w:rFonts w:ascii="PMingLiU" w:cs="PMingLiU" w:eastAsia="PMingLiU" w:hAnsi="PMingLiU"/>
          <w:sz w:val="18"/>
          <w:szCs w:val="18"/>
          <w:color w:val="auto"/>
        </w:rPr>
        <w:t/>
      </w:r>
      <w:r>
        <w:rPr>
          <w:rFonts w:ascii="Arial" w:cs="Arial" w:eastAsia="Arial" w:hAnsi="Arial"/>
          <w:sz w:val="18"/>
          <w:szCs w:val="18"/>
          <w:color w:val="auto"/>
        </w:rPr>
        <w:t xml:space="preserve">ɰɽƃɽǉȴǉȶɽɰ </w:t>
      </w:r>
      <w:r>
        <w:rPr>
          <w:rFonts w:ascii="Arial" w:cs="Arial" w:eastAsia="Arial" w:hAnsi="Arial"/>
          <w:sz w:val="18"/>
          <w:szCs w:val="18"/>
          <w:color w:val="auto"/>
        </w:rPr>
        <w:t>ӝ</w:t>
      </w:r>
      <w:r>
        <w:rPr>
          <w:rFonts w:ascii="Arial" w:cs="Arial" w:eastAsia="Arial" w:hAnsi="Arial"/>
          <w:sz w:val="18"/>
          <w:szCs w:val="18"/>
          <w:color w:val="auto"/>
        </w:rPr>
        <w:t>ԅԝyɁɨʥƃɨǁ</w:t>
      </w:r>
      <w:r>
        <w:rPr>
          <w:rFonts w:ascii="Arial" w:cs="Arial" w:eastAsia="Arial" w:hAnsi="Arial"/>
          <w:sz w:val="18"/>
          <w:szCs w:val="18"/>
          <w:color w:val="auto"/>
        </w:rPr>
        <w:t>Ӹ</w:t>
      </w:r>
      <w:r>
        <w:rPr>
          <w:rFonts w:ascii="Arial" w:cs="Arial" w:eastAsia="Arial" w:hAnsi="Arial"/>
          <w:sz w:val="18"/>
          <w:szCs w:val="18"/>
          <w:color w:val="auto"/>
        </w:rPr>
        <w:t>ȢɁɁȟȈȶǼ</w:t>
      </w:r>
      <w:r>
        <w:rPr>
          <w:rFonts w:ascii="PMingLiU" w:cs="PMingLiU" w:eastAsia="PMingLiU" w:hAnsi="PMingLiU"/>
          <w:sz w:val="18"/>
          <w:szCs w:val="18"/>
          <w:color w:val="auto"/>
        </w:rPr>
        <w:t/>
      </w:r>
      <w:r>
        <w:rPr>
          <w:rFonts w:ascii="Arial" w:cs="Arial" w:eastAsia="Arial" w:hAnsi="Arial"/>
          <w:sz w:val="18"/>
          <w:szCs w:val="18"/>
          <w:color w:val="auto"/>
        </w:rPr>
        <w:t>ɰɽƃɽǉȴǉȶɽɰ</w:t>
      </w:r>
      <w:r>
        <w:rPr>
          <w:rFonts w:ascii="PMingLiU" w:cs="PMingLiU" w:eastAsia="PMingLiU" w:hAnsi="PMingLiU"/>
          <w:sz w:val="18"/>
          <w:szCs w:val="18"/>
          <w:color w:val="auto"/>
        </w:rPr>
        <w:t/>
      </w:r>
      <w:r>
        <w:rPr>
          <w:rFonts w:ascii="Arial" w:cs="Arial" w:eastAsia="Arial" w:hAnsi="Arial"/>
          <w:sz w:val="18"/>
          <w:szCs w:val="18"/>
          <w:color w:val="auto"/>
        </w:rPr>
        <w:t>ȴƃʰ</w:t>
      </w:r>
      <w:r>
        <w:rPr>
          <w:rFonts w:ascii="PMingLiU" w:cs="PMingLiU" w:eastAsia="PMingLiU" w:hAnsi="PMingLiU"/>
          <w:sz w:val="18"/>
          <w:szCs w:val="18"/>
          <w:color w:val="auto"/>
        </w:rPr>
        <w:t/>
      </w:r>
      <w:r>
        <w:rPr>
          <w:rFonts w:ascii="Arial" w:cs="Arial" w:eastAsia="Arial" w:hAnsi="Arial"/>
          <w:sz w:val="18"/>
          <w:szCs w:val="18"/>
          <w:color w:val="auto"/>
        </w:rPr>
        <w:t xml:space="preserve">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280"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materials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224" w:lineRule="exact"/>
        <w:rPr>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general economic conditions;</w:t>
      </w:r>
    </w:p>
    <w:p>
      <w:pPr>
        <w:spacing w:after="0" w:line="45" w:lineRule="exact"/>
        <w:rPr>
          <w:rFonts w:ascii="Arial" w:cs="Arial" w:eastAsia="Arial" w:hAnsi="Arial"/>
          <w:sz w:val="20"/>
          <w:szCs w:val="20"/>
          <w:color w:val="auto"/>
        </w:rPr>
      </w:pPr>
    </w:p>
    <w:p>
      <w:pPr>
        <w:jc w:val="both"/>
        <w:ind w:left="540" w:right="60" w:hanging="180"/>
        <w:spacing w:after="0" w:line="261"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difficulty making acquisitions, including receiving the necessary regulatory approvals (including clearance under the Hart-Scott-Rodino Act in the United States (“U.S.”) and similar antitrust regulations in foreign countries), and successfully integrating acquired businesses;</w:t>
      </w:r>
    </w:p>
    <w:p>
      <w:pPr>
        <w:spacing w:after="0" w:line="14"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any unforeseen liabilities associated with future acquisitions;</w:t>
      </w:r>
    </w:p>
    <w:p>
      <w:pPr>
        <w:spacing w:after="0" w:line="45" w:lineRule="exact"/>
        <w:rPr>
          <w:rFonts w:ascii="Arial" w:cs="Arial" w:eastAsia="Arial" w:hAnsi="Arial"/>
          <w:sz w:val="20"/>
          <w:szCs w:val="20"/>
          <w:color w:val="auto"/>
        </w:rPr>
      </w:pPr>
    </w:p>
    <w:p>
      <w:pPr>
        <w:ind w:left="540" w:right="60" w:hanging="180"/>
        <w:spacing w:after="0" w:line="264"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information technology (“IT”) system failures, data security breaches, network disruptions, and cybersecurity events, including any litigation arising therefrom;</w:t>
      </w:r>
    </w:p>
    <w:p>
      <w:pPr>
        <w:spacing w:after="0" w:line="14"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failure to comply with new data privacy laws and regulations, including any litigation arising therefrom;</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risks and costs associated with our international sales and operations;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volatile interest rates;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limitations on our business imposed by our indebtedness;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product liability, litigation, and insurance risks;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future competition;</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reduction of business with large customers;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risks associated with government contracts;</w:t>
      </w:r>
    </w:p>
    <w:p>
      <w:pPr>
        <w:spacing w:after="0" w:line="45" w:lineRule="exact"/>
        <w:rPr>
          <w:rFonts w:ascii="Arial" w:cs="Arial" w:eastAsia="Arial" w:hAnsi="Arial"/>
          <w:sz w:val="20"/>
          <w:szCs w:val="20"/>
          <w:color w:val="auto"/>
        </w:rPr>
      </w:pPr>
    </w:p>
    <w:p>
      <w:pPr>
        <w:ind w:left="540" w:right="60" w:hanging="180"/>
        <w:spacing w:after="0" w:line="264"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changes in the supply of, or price for, labor, energy, raw materials, parts, and components, including as a result of inflation or potential supply chain constraints;</w:t>
      </w:r>
    </w:p>
    <w:p>
      <w:pPr>
        <w:spacing w:after="0" w:line="14"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potential write-offs of our goodwill and other intangible assets;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successfully develop new products;</w:t>
      </w:r>
    </w:p>
    <w:p>
      <w:pPr>
        <w:spacing w:after="0" w:line="45" w:lineRule="exact"/>
        <w:rPr>
          <w:rFonts w:ascii="Arial" w:cs="Arial" w:eastAsia="Arial" w:hAnsi="Arial"/>
          <w:sz w:val="20"/>
          <w:szCs w:val="20"/>
          <w:color w:val="auto"/>
        </w:rPr>
      </w:pPr>
    </w:p>
    <w:p>
      <w:pPr>
        <w:ind w:left="540" w:right="60" w:hanging="180"/>
        <w:spacing w:after="0" w:line="264"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risks associated with the use of artificial intelligence (“AI”), including our ability to develop, deploy, and use AI in our platforms and offerings;</w:t>
      </w:r>
    </w:p>
    <w:p>
      <w:pPr>
        <w:spacing w:after="0" w:line="14"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failure to protect our intellectual property;</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unfavorable changes in foreign exchange rates;</w:t>
      </w:r>
    </w:p>
    <w:p>
      <w:pPr>
        <w:spacing w:after="0" w:line="45" w:lineRule="exact"/>
        <w:rPr>
          <w:rFonts w:ascii="Arial" w:cs="Arial" w:eastAsia="Arial" w:hAnsi="Arial"/>
          <w:sz w:val="20"/>
          <w:szCs w:val="20"/>
          <w:color w:val="auto"/>
        </w:rPr>
      </w:pPr>
    </w:p>
    <w:p>
      <w:pPr>
        <w:ind w:left="540" w:right="60" w:hanging="180"/>
        <w:spacing w:after="0" w:line="264"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risks related to changing U.S. and foreign trade policies, including increased trade restrictions or tariffs (including repeal of the United States-Mexico-Canada Agreement);</w:t>
      </w:r>
    </w:p>
    <w:p>
      <w:pPr>
        <w:spacing w:after="0" w:line="14"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increased warranty exposure;</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environmental compliance costs and liabilities;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effect of, or change in, government regulations (including tax);</w:t>
      </w:r>
    </w:p>
    <w:p>
      <w:pPr>
        <w:spacing w:after="0" w:line="45" w:lineRule="exact"/>
        <w:rPr>
          <w:rFonts w:ascii="Arial" w:cs="Arial" w:eastAsia="Arial" w:hAnsi="Arial"/>
          <w:sz w:val="20"/>
          <w:szCs w:val="20"/>
          <w:color w:val="auto"/>
        </w:rPr>
      </w:pPr>
    </w:p>
    <w:p>
      <w:pPr>
        <w:ind w:left="540" w:right="60" w:hanging="180"/>
        <w:spacing w:after="0" w:line="264"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economic disruption caused by armed conflicts (such as the war in Ukraine and conflicts in the Middle East), terrorist attacks, health crises, or other unforeseen geopolitical events; and</w:t>
      </w:r>
    </w:p>
    <w:p>
      <w:pPr>
        <w:spacing w:after="0" w:line="14" w:lineRule="exact"/>
        <w:rPr>
          <w:rFonts w:ascii="Arial" w:cs="Arial" w:eastAsia="Arial" w:hAnsi="Arial"/>
          <w:sz w:val="20"/>
          <w:szCs w:val="20"/>
          <w:color w:val="auto"/>
        </w:rPr>
      </w:pPr>
    </w:p>
    <w:p>
      <w:pPr>
        <w:ind w:left="540" w:hanging="180"/>
        <w:spacing w:after="0"/>
        <w:tabs>
          <w:tab w:leader="none" w:pos="5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factors discussed in Item 1A of this Annual Report under the heading “Risk Factors.”</w:t>
      </w:r>
    </w:p>
    <w:p>
      <w:pPr>
        <w:spacing w:after="0" w:line="100"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ectPr>
          <w:pgSz w:w="12240" w:h="15840" w:orient="portrait"/>
          <w:cols w:equalWidth="0" w:num="1">
            <w:col w:w="10380"/>
          </w:cols>
          <w:pgMar w:left="960" w:top="926" w:right="900" w:bottom="90" w:gutter="0" w:footer="0" w:header="0"/>
        </w:sectPr>
      </w:pPr>
    </w:p>
    <w:p>
      <w:pPr>
        <w:spacing w:after="0" w:line="307" w:lineRule="exact"/>
        <w:rPr>
          <w:sz w:val="20"/>
          <w:szCs w:val="20"/>
          <w:color w:val="auto"/>
        </w:rPr>
      </w:pPr>
    </w:p>
    <w:p>
      <w:pPr>
        <w:ind w:left="3500"/>
        <w:spacing w:after="0" w:line="146" w:lineRule="exact"/>
        <w:tabs>
          <w:tab w:leader="none" w:pos="1022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9</w:t>
      </w:r>
    </w:p>
    <w:p>
      <w:pPr>
        <w:sectPr>
          <w:pgSz w:w="12240" w:h="15840" w:orient="portrait"/>
          <w:cols w:equalWidth="0" w:num="1">
            <w:col w:w="10380"/>
          </w:cols>
          <w:pgMar w:left="960" w:top="926" w:right="900" w:bottom="90" w:gutter="0" w:footer="0" w:header="0"/>
          <w:type w:val="continuous"/>
        </w:sectPr>
      </w:pPr>
    </w:p>
    <w:bookmarkStart w:id="11" w:name="page12"/>
    <w:bookmarkEnd w:id="11"/>
    <w:p>
      <w:pPr>
        <w:spacing w:after="0"/>
        <w:rPr>
          <w:sz w:val="20"/>
          <w:szCs w:val="20"/>
          <w:color w:val="auto"/>
        </w:rPr>
      </w:pPr>
      <w:r>
        <w:rPr>
          <w:rFonts w:ascii="Arial" w:cs="Arial" w:eastAsia="Arial" w:hAnsi="Arial"/>
          <w:sz w:val="27"/>
          <w:szCs w:val="27"/>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PART I</w:t>
      </w:r>
    </w:p>
    <w:p>
      <w:pPr>
        <w:sectPr>
          <w:pgSz w:w="12240" w:h="15840" w:orient="portrait"/>
          <w:cols w:equalWidth="0" w:num="1">
            <w:col w:w="10360"/>
          </w:cols>
          <w:pgMar w:left="960" w:top="913" w:right="920" w:bottom="9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24"/>
          <w:szCs w:val="24"/>
          <w:color w:val="000041"/>
        </w:rPr>
        <w:t>ITEM 1 | BUSINESS</w:t>
      </w:r>
    </w:p>
    <w:p>
      <w:pPr>
        <w:spacing w:after="0" w:line="249" w:lineRule="exact"/>
        <w:rPr>
          <w:sz w:val="20"/>
          <w:szCs w:val="20"/>
          <w:color w:val="auto"/>
        </w:rPr>
      </w:pPr>
    </w:p>
    <w:p>
      <w:pPr>
        <w:ind w:right="3980"/>
        <w:spacing w:after="0" w:line="437" w:lineRule="auto"/>
        <w:rPr>
          <w:sz w:val="20"/>
          <w:szCs w:val="20"/>
          <w:color w:val="auto"/>
        </w:rPr>
      </w:pPr>
      <w:r>
        <w:rPr>
          <w:rFonts w:ascii="Arial" w:cs="Arial" w:eastAsia="Arial" w:hAnsi="Arial"/>
          <w:sz w:val="20"/>
          <w:szCs w:val="20"/>
          <w:color w:val="000041"/>
        </w:rPr>
        <w:t>ALL CURRENCY AMOUNTS ARE IN MILLIONS UNLESS SPECIFIED OUR BUSINESS</w:t>
      </w:r>
    </w:p>
    <w:p>
      <w:pPr>
        <w:spacing w:after="0" w:line="2" w:lineRule="exact"/>
        <w:rPr>
          <w:sz w:val="20"/>
          <w:szCs w:val="20"/>
          <w:color w:val="auto"/>
        </w:rPr>
      </w:pPr>
    </w:p>
    <w:p>
      <w:pPr>
        <w:jc w:val="both"/>
        <w:ind w:right="40"/>
        <w:spacing w:after="0" w:line="280" w:lineRule="auto"/>
        <w:rPr>
          <w:sz w:val="20"/>
          <w:szCs w:val="20"/>
          <w:color w:val="auto"/>
        </w:rPr>
      </w:pPr>
      <w:r>
        <w:rPr>
          <w:rFonts w:ascii="Arial" w:cs="Arial" w:eastAsia="Arial" w:hAnsi="Arial"/>
          <w:sz w:val="18"/>
          <w:szCs w:val="18"/>
          <w:color w:val="auto"/>
        </w:rPr>
        <w:t>Roper Technologies, Inc. (“Roper,” the “Company,” “we,” “our,” or “us”)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spacing w:after="0" w:line="265"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We pursue consistent and sustainable growth in revenue, earnings, and cash flow by enabling continuous improve-ment in the operating performance of our businesses and by acquiring businesses that offer high value-added soft-ware, services, technology -enabled products, and solutions that we believe are capable of realizing growth while maintaining high margins. We compete in many defensible niche markets and believe we are the market leader or a competitive alternative to the market leader in most of these markets.</w:t>
      </w:r>
    </w:p>
    <w:p>
      <w:pPr>
        <w:spacing w:after="0" w:line="41"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In the last three years, we have deployed approximately $8,960 of capital toward acquisitions. In 2025, this included approximately $1,850 for the acquisition of CentralReach, a leading provider of Software-as-a-Service (“SaaS”) and AI-enabled solutions for applied behavior analysis (“ABA”) therapy clinicians, and approximately $800 for the acquisition of Subsplash, a leading provider of AI- enabled SaaS, and integrated giving solutions, for faith-based organizations. In 2024, this included approximately $1,860 for the acquisition of Procare, a leading provider of SaaS solutions and integrated payment processing for early childhood education centers, and approximately $1,600 for the acquisition of Transact Campus, a leading provider of integrated campus technology and payment solutions serving higher education, healthcare, and business campuses, which was combined with our CBORD business. In 2023, this included approximately $ 1,380 for the acquisition of Syntellis, a leading provider of SaaS solutions for healthcare, financial institution, and higher education providers, which was combined with our Strata business. Additionally, we deployed approximately $1,470 toward other bolt-on acquisitions to help build on the strategic position of several of our businesses.</w:t>
      </w:r>
    </w:p>
    <w:p>
      <w:pPr>
        <w:spacing w:after="0" w:line="273" w:lineRule="exact"/>
        <w:rPr>
          <w:sz w:val="20"/>
          <w:szCs w:val="20"/>
          <w:color w:val="auto"/>
        </w:rPr>
      </w:pPr>
    </w:p>
    <w:p>
      <w:pPr>
        <w:jc w:val="both"/>
        <w:ind w:right="40"/>
        <w:spacing w:after="0" w:line="269" w:lineRule="auto"/>
        <w:rPr>
          <w:sz w:val="20"/>
          <w:szCs w:val="20"/>
          <w:color w:val="auto"/>
        </w:rPr>
      </w:pPr>
      <w:r>
        <w:rPr>
          <w:rFonts w:ascii="Arial" w:cs="Arial" w:eastAsia="Arial" w:hAnsi="Arial"/>
          <w:sz w:val="18"/>
          <w:szCs w:val="18"/>
          <w:color w:val="auto"/>
        </w:rPr>
        <w:t>In November 2022, Roper completed the divestiture of a majority equity stake in its industrial businesses, including its entire historical Process Technologies reportable segment and the industrial businesses within its historical Measurement &amp; Analytical Solutions reportable segment (collectively “Indicor”), to Clayton, Dubilier &amp; Rice, LLC (“CD&amp;R”). Following the sale of the majority stake, Roper retained a minority equity interest in Indicor. See Note 9 of the Notes to Consolidated Financial Statements included in this Annual Report for additional information regarding Roper’s minority equity interest in Indicor.</w:t>
      </w:r>
    </w:p>
    <w:p>
      <w:pPr>
        <w:spacing w:after="0" w:line="270" w:lineRule="exact"/>
        <w:rPr>
          <w:sz w:val="20"/>
          <w:szCs w:val="20"/>
          <w:color w:val="auto"/>
        </w:rPr>
      </w:pPr>
    </w:p>
    <w:p>
      <w:pPr>
        <w:jc w:val="both"/>
        <w:ind w:right="40"/>
        <w:spacing w:after="0" w:line="318" w:lineRule="auto"/>
        <w:rPr>
          <w:sz w:val="20"/>
          <w:szCs w:val="20"/>
          <w:color w:val="auto"/>
        </w:rPr>
      </w:pPr>
      <w:r>
        <w:rPr>
          <w:rFonts w:ascii="Arial" w:cs="Arial" w:eastAsia="Arial" w:hAnsi="Arial"/>
          <w:sz w:val="18"/>
          <w:szCs w:val="18"/>
          <w:color w:val="auto"/>
        </w:rPr>
        <w:t>The financial results of Indicor are reported as discontinued operations for all periods presented. Unless otherwise noted, discussion within Part I relates to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were incorporated on December 17, 1981 under the laws of the State of Delaware.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000041"/>
        </w:rPr>
        <w:t>MARKET SHARE, MARKET EXPANSION, AND PRODUCT DEVELOPMENT</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Leadership with Technology and Products for Niche Markets—</w:t>
      </w:r>
      <w:r>
        <w:rPr>
          <w:rFonts w:ascii="Arial" w:cs="Arial" w:eastAsia="Arial" w:hAnsi="Arial"/>
          <w:sz w:val="18"/>
          <w:szCs w:val="18"/>
          <w:color w:val="auto"/>
        </w:rPr>
        <w:t>We maintain a leading position in many of our mar-kets. We believe our market positions are attributable to the applications expertise used to create high value products and solutions for our customers, the underlying critical nature of our offerings, and the inherent customer intimacy of our chosen niche markets. Our businesses realize growth from new and existing customers in their niche markets through successfully executing go-to-market strategies, developing new products and applications, and delivering professional services. Increasingly, this includes AI-enabled products and functionality embedded within customers’ mission-critical workflows. By leveraging our deep domain expertise, proprietary data, and long-standing customer relationships, we believe these AI capabilities enhance product differentiation, and drive incremental automation and improved customer outcomes which support expanded monetization opportunities.</w:t>
      </w:r>
    </w:p>
    <w:p>
      <w:pPr>
        <w:spacing w:after="0" w:line="268" w:lineRule="exact"/>
        <w:rPr>
          <w:sz w:val="20"/>
          <w:szCs w:val="20"/>
          <w:color w:val="auto"/>
        </w:rPr>
      </w:pPr>
    </w:p>
    <w:p>
      <w:pPr>
        <w:jc w:val="both"/>
        <w:spacing w:after="0" w:line="236" w:lineRule="exact"/>
        <w:rPr>
          <w:sz w:val="20"/>
          <w:szCs w:val="20"/>
          <w:color w:val="auto"/>
        </w:rPr>
      </w:pPr>
      <w:r>
        <w:rPr>
          <w:rFonts w:ascii="Arial" w:cs="Arial" w:eastAsia="Arial" w:hAnsi="Arial"/>
          <w:sz w:val="18"/>
          <w:szCs w:val="18"/>
          <w:i w:val="1"/>
          <w:iCs w:val="1"/>
          <w:color w:val="auto"/>
        </w:rPr>
        <w:t>Diversified End Markets and Geographic Reach—</w:t>
      </w:r>
      <w:r>
        <w:rPr>
          <w:rFonts w:ascii="Arial" w:cs="Arial" w:eastAsia="Arial" w:hAnsi="Arial"/>
          <w:sz w:val="18"/>
          <w:szCs w:val="18"/>
          <w:color w:val="auto"/>
        </w:rPr>
        <w:t>We have a global presence, with sales to customers outside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ĩ</w:t>
      </w:r>
      <w:r>
        <w:rPr>
          <w:rFonts w:ascii="Arial" w:cs="Arial" w:eastAsia="Arial" w:hAnsi="Arial"/>
          <w:sz w:val="18"/>
          <w:szCs w:val="18"/>
          <w:color w:val="auto"/>
        </w:rPr>
        <w:t>ӝ</w:t>
      </w:r>
      <w:r>
        <w:rPr>
          <w:rFonts w:ascii="Arial" w:cs="Arial" w:eastAsia="Arial" w:hAnsi="Arial"/>
          <w:sz w:val="18"/>
          <w:szCs w:val="18"/>
          <w:color w:val="auto"/>
        </w:rPr>
        <w:t>Č</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ɽɁɽƃȢȈȶǼ</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іӗѕїўӝќ</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їѕїњӝ</w:t>
      </w:r>
      <w:r>
        <w:rPr>
          <w:rFonts w:ascii="Arial" w:cs="Arial" w:eastAsia="Arial" w:hAnsi="Arial"/>
          <w:sz w:val="18"/>
          <w:szCs w:val="18"/>
          <w:color w:val="auto"/>
        </w:rPr>
        <w:t>ԝ</w:t>
      </w:r>
      <w:r>
        <w:rPr>
          <w:rFonts w:ascii="PMingLiU" w:cs="PMingLiU" w:eastAsia="PMingLiU" w:hAnsi="PMingLiU"/>
          <w:sz w:val="18"/>
          <w:szCs w:val="18"/>
          <w:color w:val="auto"/>
        </w:rPr>
        <w:t></w:t>
      </w:r>
      <w:r>
        <w:rPr>
          <w:rFonts w:ascii="Arial" w:cs="Arial" w:eastAsia="Arial" w:hAnsi="Arial"/>
          <w:sz w:val="18"/>
          <w:szCs w:val="18"/>
          <w:color w:val="auto"/>
        </w:rPr>
        <w:t>ȶǹɁɨȴƃɽȈɁȶ</w:t>
      </w:r>
      <w:r>
        <w:rPr>
          <w:rFonts w:ascii="PMingLiU" w:cs="PMingLiU" w:eastAsia="PMingLiU" w:hAnsi="PMingLiU"/>
          <w:sz w:val="18"/>
          <w:szCs w:val="18"/>
          <w:color w:val="auto"/>
        </w:rPr>
        <w:t/>
      </w:r>
      <w:r>
        <w:rPr>
          <w:rFonts w:ascii="Arial" w:cs="Arial" w:eastAsia="Arial" w:hAnsi="Arial"/>
          <w:sz w:val="18"/>
          <w:szCs w:val="18"/>
          <w:color w:val="auto"/>
        </w:rPr>
        <w:t>ɨǉǼƃɨǁȈȶǼ</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ȈȶɽǉɨȶƃɽȈɁȶƃȢ</w:t>
      </w:r>
      <w:r>
        <w:rPr>
          <w:rFonts w:ascii="PMingLiU" w:cs="PMingLiU" w:eastAsia="PMingLiU" w:hAnsi="PMingLiU"/>
          <w:sz w:val="18"/>
          <w:szCs w:val="18"/>
          <w:color w:val="auto"/>
        </w:rPr>
        <w:t/>
      </w:r>
      <w:r>
        <w:rPr>
          <w:rFonts w:ascii="Arial" w:cs="Arial" w:eastAsia="Arial" w:hAnsi="Arial"/>
          <w:sz w:val="18"/>
          <w:szCs w:val="18"/>
          <w:color w:val="auto"/>
        </w:rPr>
        <w:t>ɁɥǉɨƃɽȈɁȶɰ</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ɰǉɽ</w:t>
      </w:r>
      <w:r>
        <w:rPr>
          <w:rFonts w:ascii="PMingLiU" w:cs="PMingLiU" w:eastAsia="PMingLiU" w:hAnsi="PMingLiU"/>
          <w:sz w:val="18"/>
          <w:szCs w:val="18"/>
          <w:color w:val="auto"/>
        </w:rPr>
        <w:t/>
      </w:r>
      <w:r>
        <w:rPr>
          <w:rFonts w:ascii="Arial" w:cs="Arial" w:eastAsia="Arial" w:hAnsi="Arial"/>
          <w:sz w:val="18"/>
          <w:szCs w:val="18"/>
          <w:color w:val="auto"/>
        </w:rPr>
        <w:t>ǹɁɨɽȃ</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ÇɁɽǉ</w:t>
      </w:r>
      <w:r>
        <w:rPr>
          <w:rFonts w:ascii="PMingLiU" w:cs="PMingLiU" w:eastAsia="PMingLiU" w:hAnsi="PMingLiU"/>
          <w:sz w:val="18"/>
          <w:szCs w:val="18"/>
          <w:color w:val="auto"/>
        </w:rPr>
        <w:t/>
      </w:r>
      <w:r>
        <w:rPr>
          <w:rFonts w:ascii="Arial" w:cs="Arial" w:eastAsia="Arial" w:hAnsi="Arial"/>
          <w:sz w:val="18"/>
          <w:szCs w:val="18"/>
          <w:color w:val="auto"/>
        </w:rPr>
        <w:t>іљ</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ÇɁɽǉɰ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Consolidated Financial Statements included in this Annual Report.</w:t>
      </w:r>
    </w:p>
    <w:p>
      <w:pPr>
        <w:sectPr>
          <w:pgSz w:w="12240" w:h="15840" w:orient="portrait"/>
          <w:cols w:equalWidth="0" w:num="1">
            <w:col w:w="10360"/>
          </w:cols>
          <w:pgMar w:left="960" w:top="913" w:right="920" w:bottom="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10</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60"/>
          </w:cols>
          <w:pgMar w:left="960" w:top="913" w:right="920" w:bottom="9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OUR REPORTABLE SEGMENTS</w:t>
      </w:r>
    </w:p>
    <w:p>
      <w:pPr>
        <w:spacing w:after="0" w:line="129" w:lineRule="exact"/>
        <w:rPr>
          <w:sz w:val="20"/>
          <w:szCs w:val="20"/>
          <w:color w:val="auto"/>
        </w:rPr>
      </w:pPr>
    </w:p>
    <w:p>
      <w:pPr>
        <w:jc w:val="both"/>
        <w:spacing w:after="0" w:line="313" w:lineRule="auto"/>
        <w:rPr>
          <w:sz w:val="20"/>
          <w:szCs w:val="20"/>
          <w:color w:val="auto"/>
        </w:rPr>
      </w:pPr>
      <w:r>
        <w:rPr>
          <w:rFonts w:ascii="Arial" w:cs="Arial" w:eastAsia="Arial" w:hAnsi="Arial"/>
          <w:sz w:val="18"/>
          <w:szCs w:val="18"/>
          <w:color w:val="auto"/>
        </w:rPr>
        <w:t>Roper’s segment reporting structure is based on business model and delivery of performance obligations. The three reportable segments are as follows:</w:t>
      </w:r>
    </w:p>
    <w:p>
      <w:pPr>
        <w:jc w:val="both"/>
        <w:spacing w:after="0" w:line="318" w:lineRule="auto"/>
        <w:rPr>
          <w:sz w:val="20"/>
          <w:szCs w:val="20"/>
          <w:color w:val="auto"/>
        </w:rPr>
      </w:pPr>
      <w:r>
        <w:rPr>
          <w:rFonts w:ascii="Arial" w:cs="Arial" w:eastAsia="Arial" w:hAnsi="Arial"/>
          <w:sz w:val="18"/>
          <w:szCs w:val="18"/>
          <w:b w:val="1"/>
          <w:bCs w:val="1"/>
          <w:color w:val="auto"/>
        </w:rPr>
        <w:t>Application Software</w:t>
      </w:r>
      <w:r>
        <w:rPr>
          <w:rFonts w:ascii="Arial" w:cs="Arial" w:eastAsia="Arial" w:hAnsi="Arial"/>
          <w:sz w:val="18"/>
          <w:szCs w:val="18"/>
          <w:color w:val="auto"/>
        </w:rPr>
        <w:t>—Aderant, CentralReach, Clinisys, Data Innovations, Deltek, Frontline, IntelliTrans, PowerPlan,</w:t>
      </w:r>
      <w:r>
        <w:rPr>
          <w:rFonts w:ascii="Arial" w:cs="Arial" w:eastAsia="Arial" w:hAnsi="Arial"/>
          <w:sz w:val="18"/>
          <w:szCs w:val="18"/>
          <w:b w:val="1"/>
          <w:bCs w:val="1"/>
          <w:color w:val="auto"/>
        </w:rPr>
        <w:t xml:space="preserve"> </w:t>
      </w:r>
      <w:r>
        <w:rPr>
          <w:rFonts w:ascii="Arial" w:cs="Arial" w:eastAsia="Arial" w:hAnsi="Arial"/>
          <w:sz w:val="18"/>
          <w:szCs w:val="18"/>
          <w:color w:val="auto"/>
        </w:rPr>
        <w:t>Procare, Strata, Transact/CBORD, and Vertafore;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Software</w:t>
      </w:r>
      <w:r>
        <w:rPr>
          <w:rFonts w:ascii="Arial" w:cs="Arial" w:eastAsia="Arial" w:hAnsi="Arial"/>
          <w:sz w:val="18"/>
          <w:szCs w:val="18"/>
          <w:color w:val="auto"/>
        </w:rPr>
        <w:t>—ConstructConnect, DAT, Foundry, iPipeline, iTradeNetwork, MHA, SHP, SoftWriters, and Subsplash;</w:t>
      </w:r>
    </w:p>
    <w:p>
      <w:pPr>
        <w:spacing w:after="0" w:line="12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color w:val="auto"/>
        </w:rPr>
        <w:t>Technology Enabled Products</w:t>
      </w:r>
      <w:r>
        <w:rPr>
          <w:rFonts w:ascii="Arial" w:cs="Arial" w:eastAsia="Arial" w:hAnsi="Arial"/>
          <w:sz w:val="18"/>
          <w:szCs w:val="18"/>
          <w:color w:val="auto"/>
        </w:rPr>
        <w:t>—CIVCO Medical Solutions, FMI, Inovonics, IPA, Neptune, Northern Digital, rf IDEAS,</w:t>
      </w:r>
      <w:r>
        <w:rPr>
          <w:rFonts w:ascii="Arial" w:cs="Arial" w:eastAsia="Arial" w:hAnsi="Arial"/>
          <w:sz w:val="18"/>
          <w:szCs w:val="18"/>
          <w:b w:val="1"/>
          <w:bCs w:val="1"/>
          <w:color w:val="auto"/>
        </w:rPr>
        <w:t xml:space="preserve"> </w:t>
      </w:r>
      <w:r>
        <w:rPr>
          <w:rFonts w:ascii="Arial" w:cs="Arial" w:eastAsia="Arial" w:hAnsi="Arial"/>
          <w:sz w:val="18"/>
          <w:szCs w:val="18"/>
          <w:color w:val="auto"/>
        </w:rPr>
        <w:t>and Verathon.</w:t>
      </w:r>
    </w:p>
    <w:p>
      <w:pPr>
        <w:spacing w:after="0" w:line="1"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Financial information about our reportable segments is presented in Note 14 of the Notes to Consolidated Financial Statements included in this Annual Report.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000041"/>
        </w:rPr>
        <w:t>Application Software</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Application Software segment had net revenues of $ 4,483.0 for the year ended December 31, 2025, representing 56.7% of our total net revenues. Below is a description of the products offered by businesses that comprise the Application Software segment:</w:t>
      </w:r>
    </w:p>
    <w:p>
      <w:pPr>
        <w:spacing w:after="0" w:line="40" w:lineRule="exact"/>
        <w:rPr>
          <w:sz w:val="20"/>
          <w:szCs w:val="20"/>
          <w:color w:val="auto"/>
        </w:rPr>
      </w:pPr>
    </w:p>
    <w:p>
      <w:pPr>
        <w:jc w:val="both"/>
        <w:ind w:left="360"/>
        <w:spacing w:after="0" w:line="302" w:lineRule="auto"/>
        <w:rPr>
          <w:sz w:val="20"/>
          <w:szCs w:val="20"/>
          <w:color w:val="auto"/>
        </w:rPr>
      </w:pPr>
      <w:r>
        <w:rPr>
          <w:rFonts w:ascii="Arial" w:cs="Arial" w:eastAsia="Arial" w:hAnsi="Arial"/>
          <w:sz w:val="18"/>
          <w:szCs w:val="18"/>
          <w:i w:val="1"/>
          <w:iCs w:val="1"/>
          <w:color w:val="auto"/>
        </w:rPr>
        <w:t>Aderant—</w:t>
      </w:r>
      <w:r>
        <w:rPr>
          <w:rFonts w:ascii="Arial" w:cs="Arial" w:eastAsia="Arial" w:hAnsi="Arial"/>
          <w:sz w:val="18"/>
          <w:szCs w:val="18"/>
          <w:color w:val="auto"/>
        </w:rPr>
        <w:t>comprehensive management software and AI-enabled solutions for law and other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firms, including business development, calendar/docket matter management, time and billing, and case management.</w:t>
      </w:r>
    </w:p>
    <w:p>
      <w:pPr>
        <w:spacing w:after="0" w:line="249" w:lineRule="exact"/>
        <w:rPr>
          <w:sz w:val="20"/>
          <w:szCs w:val="20"/>
          <w:color w:val="auto"/>
        </w:rPr>
      </w:pPr>
    </w:p>
    <w:p>
      <w:pPr>
        <w:jc w:val="both"/>
        <w:ind w:left="360"/>
        <w:spacing w:after="0" w:line="318" w:lineRule="auto"/>
        <w:rPr>
          <w:sz w:val="20"/>
          <w:szCs w:val="20"/>
          <w:color w:val="auto"/>
        </w:rPr>
      </w:pPr>
      <w:r>
        <w:rPr>
          <w:rFonts w:ascii="Arial" w:cs="Arial" w:eastAsia="Arial" w:hAnsi="Arial"/>
          <w:sz w:val="18"/>
          <w:szCs w:val="18"/>
          <w:i w:val="1"/>
          <w:iCs w:val="1"/>
          <w:color w:val="auto"/>
        </w:rPr>
        <w:t>CentralReach—</w:t>
      </w:r>
      <w:r>
        <w:rPr>
          <w:rFonts w:ascii="Arial" w:cs="Arial" w:eastAsia="Arial" w:hAnsi="Arial"/>
          <w:sz w:val="18"/>
          <w:szCs w:val="18"/>
          <w:color w:val="auto"/>
        </w:rPr>
        <w:t>SaaS and AI-enabled solutions enabling the workflow and administration of ABA therapy for</w:t>
      </w:r>
      <w:r>
        <w:rPr>
          <w:rFonts w:ascii="Arial" w:cs="Arial" w:eastAsia="Arial" w:hAnsi="Arial"/>
          <w:sz w:val="18"/>
          <w:szCs w:val="18"/>
          <w:i w:val="1"/>
          <w:iCs w:val="1"/>
          <w:color w:val="auto"/>
        </w:rPr>
        <w:t xml:space="preserve"> </w:t>
      </w:r>
      <w:r>
        <w:rPr>
          <w:rFonts w:ascii="Arial" w:cs="Arial" w:eastAsia="Arial" w:hAnsi="Arial"/>
          <w:sz w:val="18"/>
          <w:szCs w:val="18"/>
          <w:color w:val="auto"/>
        </w:rPr>
        <w:t>autism spectrum disorder (“ASD”) and related disabilities care.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Clinisys—</w:t>
      </w:r>
      <w:r>
        <w:rPr>
          <w:rFonts w:ascii="Arial" w:cs="Arial" w:eastAsia="Arial" w:hAnsi="Arial"/>
          <w:sz w:val="18"/>
          <w:szCs w:val="18"/>
          <w:color w:val="auto"/>
        </w:rPr>
        <w:t>diagnostic and laboratory information management software solutions.</w:t>
      </w:r>
    </w:p>
    <w:p>
      <w:pPr>
        <w:spacing w:after="0" w:line="123" w:lineRule="exact"/>
        <w:rPr>
          <w:sz w:val="20"/>
          <w:szCs w:val="20"/>
          <w:color w:val="auto"/>
        </w:rPr>
      </w:pPr>
    </w:p>
    <w:p>
      <w:pPr>
        <w:jc w:val="both"/>
        <w:ind w:left="360"/>
        <w:spacing w:after="0" w:line="279" w:lineRule="auto"/>
        <w:rPr>
          <w:sz w:val="20"/>
          <w:szCs w:val="20"/>
          <w:color w:val="auto"/>
        </w:rPr>
      </w:pPr>
      <w:r>
        <w:rPr>
          <w:rFonts w:ascii="Arial" w:cs="Arial" w:eastAsia="Arial" w:hAnsi="Arial"/>
          <w:sz w:val="18"/>
          <w:szCs w:val="18"/>
          <w:i w:val="1"/>
          <w:iCs w:val="1"/>
          <w:color w:val="auto"/>
        </w:rPr>
        <w:t>Data Innovations—</w:t>
      </w:r>
      <w:r>
        <w:rPr>
          <w:rFonts w:ascii="Arial" w:cs="Arial" w:eastAsia="Arial" w:hAnsi="Arial"/>
          <w:sz w:val="18"/>
          <w:szCs w:val="18"/>
          <w:color w:val="auto"/>
        </w:rPr>
        <w:t>software solutions that enable enterprise management of hospitals and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laboratories.</w:t>
      </w:r>
    </w:p>
    <w:p>
      <w:pPr>
        <w:spacing w:after="0" w:line="309" w:lineRule="exact"/>
        <w:rPr>
          <w:sz w:val="20"/>
          <w:szCs w:val="20"/>
          <w:color w:val="auto"/>
        </w:rPr>
      </w:pPr>
    </w:p>
    <w:p>
      <w:pPr>
        <w:jc w:val="both"/>
        <w:ind w:left="360"/>
        <w:spacing w:after="0" w:line="318" w:lineRule="auto"/>
        <w:rPr>
          <w:sz w:val="20"/>
          <w:szCs w:val="20"/>
          <w:color w:val="auto"/>
        </w:rPr>
      </w:pPr>
      <w:r>
        <w:rPr>
          <w:rFonts w:ascii="Arial" w:cs="Arial" w:eastAsia="Arial" w:hAnsi="Arial"/>
          <w:sz w:val="18"/>
          <w:szCs w:val="18"/>
          <w:i w:val="1"/>
          <w:iCs w:val="1"/>
          <w:color w:val="auto"/>
        </w:rPr>
        <w:t xml:space="preserve">Deltek— </w:t>
      </w:r>
      <w:r>
        <w:rPr>
          <w:rFonts w:ascii="Arial" w:cs="Arial" w:eastAsia="Arial" w:hAnsi="Arial"/>
          <w:sz w:val="18"/>
          <w:szCs w:val="18"/>
          <w:color w:val="auto"/>
        </w:rPr>
        <w:t>enterprise software, SaaS, and AI-enabled information solutions for government contractors,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firms, and other project-based businesses.</w:t>
      </w:r>
    </w:p>
    <w:p>
      <w:pPr>
        <w:spacing w:after="0" w:line="1" w:lineRule="exact"/>
        <w:rPr>
          <w:sz w:val="20"/>
          <w:szCs w:val="20"/>
          <w:color w:val="auto"/>
        </w:rPr>
      </w:pPr>
    </w:p>
    <w:p>
      <w:pPr>
        <w:jc w:val="both"/>
        <w:ind w:left="360"/>
        <w:spacing w:after="0" w:line="302" w:lineRule="auto"/>
        <w:rPr>
          <w:sz w:val="20"/>
          <w:szCs w:val="20"/>
          <w:color w:val="auto"/>
        </w:rPr>
      </w:pPr>
      <w:r>
        <w:rPr>
          <w:rFonts w:ascii="Arial" w:cs="Arial" w:eastAsia="Arial" w:hAnsi="Arial"/>
          <w:sz w:val="18"/>
          <w:szCs w:val="18"/>
          <w:i w:val="1"/>
          <w:iCs w:val="1"/>
          <w:color w:val="auto"/>
        </w:rPr>
        <w:t>Frontline—</w:t>
      </w:r>
      <w:r>
        <w:rPr>
          <w:rFonts w:ascii="Arial" w:cs="Arial" w:eastAsia="Arial" w:hAnsi="Arial"/>
          <w:sz w:val="18"/>
          <w:szCs w:val="18"/>
          <w:color w:val="auto"/>
        </w:rPr>
        <w:t>cloud-based software for K-12 school administration, connecting solutions for human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student and special programs, and business operations, with powerful analytics that empower educators.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IntelliTrans—</w:t>
      </w:r>
      <w:r>
        <w:rPr>
          <w:rFonts w:ascii="Arial" w:cs="Arial" w:eastAsia="Arial" w:hAnsi="Arial"/>
          <w:sz w:val="18"/>
          <w:szCs w:val="18"/>
          <w:color w:val="auto"/>
        </w:rPr>
        <w:t>transportation management software and services to bulk and break-bulk commodity producers.</w:t>
      </w:r>
    </w:p>
    <w:p>
      <w:pPr>
        <w:spacing w:after="0" w:line="123" w:lineRule="exact"/>
        <w:rPr>
          <w:sz w:val="20"/>
          <w:szCs w:val="20"/>
          <w:color w:val="auto"/>
        </w:rPr>
      </w:pPr>
    </w:p>
    <w:p>
      <w:pPr>
        <w:jc w:val="both"/>
        <w:ind w:left="360"/>
        <w:spacing w:after="0" w:line="318" w:lineRule="auto"/>
        <w:rPr>
          <w:sz w:val="20"/>
          <w:szCs w:val="20"/>
          <w:color w:val="auto"/>
        </w:rPr>
      </w:pPr>
      <w:r>
        <w:rPr>
          <w:rFonts w:ascii="Arial" w:cs="Arial" w:eastAsia="Arial" w:hAnsi="Arial"/>
          <w:sz w:val="18"/>
          <w:szCs w:val="18"/>
          <w:i w:val="1"/>
          <w:iCs w:val="1"/>
          <w:color w:val="auto"/>
        </w:rPr>
        <w:t>PowerPlan—</w:t>
      </w:r>
      <w:r>
        <w:rPr>
          <w:rFonts w:ascii="Arial" w:cs="Arial" w:eastAsia="Arial" w:hAnsi="Arial"/>
          <w:sz w:val="18"/>
          <w:szCs w:val="18"/>
          <w:color w:val="auto"/>
        </w:rPr>
        <w:t>financial and compliance management software and solutions to large complex companies in asset-intensive industries.</w:t>
      </w:r>
    </w:p>
    <w:p>
      <w:pPr>
        <w:spacing w:after="0" w:line="1" w:lineRule="exact"/>
        <w:rPr>
          <w:sz w:val="20"/>
          <w:szCs w:val="20"/>
          <w:color w:val="auto"/>
        </w:rPr>
      </w:pPr>
    </w:p>
    <w:p>
      <w:pPr>
        <w:jc w:val="both"/>
        <w:ind w:left="360"/>
        <w:spacing w:after="0" w:line="318" w:lineRule="auto"/>
        <w:rPr>
          <w:sz w:val="20"/>
          <w:szCs w:val="20"/>
          <w:color w:val="auto"/>
        </w:rPr>
      </w:pPr>
      <w:r>
        <w:rPr>
          <w:rFonts w:ascii="Arial" w:cs="Arial" w:eastAsia="Arial" w:hAnsi="Arial"/>
          <w:sz w:val="18"/>
          <w:szCs w:val="18"/>
          <w:i w:val="1"/>
          <w:iCs w:val="1"/>
          <w:color w:val="auto"/>
        </w:rPr>
        <w:t>Procare—</w:t>
      </w:r>
      <w:r>
        <w:rPr>
          <w:rFonts w:ascii="Arial" w:cs="Arial" w:eastAsia="Arial" w:hAnsi="Arial"/>
          <w:sz w:val="18"/>
          <w:szCs w:val="18"/>
          <w:color w:val="auto"/>
        </w:rPr>
        <w:t>cloud-based software and integrated payment processing for the management of early childhood</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centers.</w:t>
      </w:r>
    </w:p>
    <w:p>
      <w:pPr>
        <w:spacing w:after="0" w:line="1" w:lineRule="exact"/>
        <w:rPr>
          <w:sz w:val="20"/>
          <w:szCs w:val="20"/>
          <w:color w:val="auto"/>
        </w:rPr>
      </w:pPr>
    </w:p>
    <w:p>
      <w:pPr>
        <w:jc w:val="both"/>
        <w:ind w:left="360"/>
        <w:spacing w:after="0" w:line="287" w:lineRule="auto"/>
        <w:rPr>
          <w:sz w:val="20"/>
          <w:szCs w:val="20"/>
          <w:color w:val="auto"/>
        </w:rPr>
      </w:pPr>
      <w:r>
        <w:rPr>
          <w:rFonts w:ascii="Arial" w:cs="Arial" w:eastAsia="Arial" w:hAnsi="Arial"/>
          <w:sz w:val="18"/>
          <w:szCs w:val="18"/>
          <w:i w:val="1"/>
          <w:iCs w:val="1"/>
          <w:color w:val="auto"/>
        </w:rPr>
        <w:t>Strata—</w:t>
      </w:r>
      <w:r>
        <w:rPr>
          <w:rFonts w:ascii="Arial" w:cs="Arial" w:eastAsia="Arial" w:hAnsi="Arial"/>
          <w:sz w:val="18"/>
          <w:szCs w:val="18"/>
          <w:color w:val="auto"/>
        </w:rPr>
        <w:t>cloud-based financial analytics, performance management software, and data solutions used by</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providers, higher education, and financial institutions for financial planning, decision support, and continuous cost improvement.</w:t>
      </w:r>
    </w:p>
    <w:p>
      <w:pPr>
        <w:spacing w:after="0" w:line="27" w:lineRule="exact"/>
        <w:rPr>
          <w:sz w:val="20"/>
          <w:szCs w:val="20"/>
          <w:color w:val="auto"/>
        </w:rPr>
      </w:pPr>
    </w:p>
    <w:p>
      <w:pPr>
        <w:jc w:val="both"/>
        <w:ind w:left="360"/>
        <w:spacing w:after="0" w:line="287" w:lineRule="auto"/>
        <w:rPr>
          <w:sz w:val="20"/>
          <w:szCs w:val="20"/>
          <w:color w:val="auto"/>
        </w:rPr>
      </w:pPr>
      <w:r>
        <w:rPr>
          <w:rFonts w:ascii="Arial" w:cs="Arial" w:eastAsia="Arial" w:hAnsi="Arial"/>
          <w:sz w:val="18"/>
          <w:szCs w:val="18"/>
          <w:i w:val="1"/>
          <w:iCs w:val="1"/>
          <w:color w:val="auto"/>
        </w:rPr>
        <w:t xml:space="preserve">Transact/CBORD— </w:t>
      </w:r>
      <w:r>
        <w:rPr>
          <w:rFonts w:ascii="Arial" w:cs="Arial" w:eastAsia="Arial" w:hAnsi="Arial"/>
          <w:sz w:val="18"/>
          <w:szCs w:val="18"/>
          <w:color w:val="auto"/>
        </w:rPr>
        <w:t>integrated campus technology and payment solutions, including secure access and campus</w:t>
      </w:r>
      <w:r>
        <w:rPr>
          <w:rFonts w:ascii="Arial" w:cs="Arial" w:eastAsia="Arial" w:hAnsi="Arial"/>
          <w:sz w:val="18"/>
          <w:szCs w:val="18"/>
          <w:i w:val="1"/>
          <w:iCs w:val="1"/>
          <w:color w:val="auto"/>
        </w:rPr>
        <w:t xml:space="preserve"> </w:t>
      </w:r>
      <w:r>
        <w:rPr>
          <w:rFonts w:ascii="Arial" w:cs="Arial" w:eastAsia="Arial" w:hAnsi="Arial"/>
          <w:sz w:val="18"/>
          <w:szCs w:val="18"/>
          <w:color w:val="auto"/>
        </w:rPr>
        <w:t>identity software, commerce solutions, tuition management software and payment processing, as well as foodservice technologies, serving higher education, healthcare, K-12, and business campuses.</w:t>
      </w:r>
    </w:p>
    <w:p>
      <w:pPr>
        <w:spacing w:after="0" w:line="27" w:lineRule="exact"/>
        <w:rPr>
          <w:sz w:val="20"/>
          <w:szCs w:val="20"/>
          <w:color w:val="auto"/>
        </w:rPr>
      </w:pPr>
    </w:p>
    <w:p>
      <w:pPr>
        <w:jc w:val="both"/>
        <w:ind w:left="360"/>
        <w:spacing w:after="0" w:line="319" w:lineRule="auto"/>
        <w:rPr>
          <w:sz w:val="20"/>
          <w:szCs w:val="20"/>
          <w:color w:val="auto"/>
        </w:rPr>
      </w:pPr>
      <w:r>
        <w:rPr>
          <w:rFonts w:ascii="Arial" w:cs="Arial" w:eastAsia="Arial" w:hAnsi="Arial"/>
          <w:sz w:val="18"/>
          <w:szCs w:val="18"/>
          <w:i w:val="1"/>
          <w:iCs w:val="1"/>
          <w:color w:val="auto"/>
        </w:rPr>
        <w:t>Vertafore—</w:t>
      </w:r>
      <w:r>
        <w:rPr>
          <w:rFonts w:ascii="Arial" w:cs="Arial" w:eastAsia="Arial" w:hAnsi="Arial"/>
          <w:sz w:val="18"/>
          <w:szCs w:val="18"/>
          <w:color w:val="auto"/>
        </w:rPr>
        <w:t>cloud-based software for the property and casualty insurance industry, including agency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management, compliance, AI-enabled workflows, and data solutions.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000041"/>
        </w:rPr>
        <w:t>Network Software</w:t>
      </w:r>
    </w:p>
    <w:p>
      <w:pPr>
        <w:spacing w:after="0" w:line="4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Our Network Software segment had net revenues of $1,600.8 for the year ended December 31, 2025, representing 20.3% of our total net revenues. Below is a description of the products offered by businesses that comprise the Network Software segment:</w:t>
      </w:r>
    </w:p>
    <w:p>
      <w:pPr>
        <w:spacing w:after="0" w:line="256" w:lineRule="exact"/>
        <w:rPr>
          <w:sz w:val="20"/>
          <w:szCs w:val="20"/>
          <w:color w:val="auto"/>
        </w:rPr>
      </w:pPr>
    </w:p>
    <w:p>
      <w:pPr>
        <w:jc w:val="both"/>
        <w:ind w:left="360"/>
        <w:spacing w:after="0" w:line="302" w:lineRule="auto"/>
        <w:rPr>
          <w:sz w:val="20"/>
          <w:szCs w:val="20"/>
          <w:color w:val="auto"/>
        </w:rPr>
      </w:pPr>
      <w:r>
        <w:rPr>
          <w:rFonts w:ascii="Arial" w:cs="Arial" w:eastAsia="Arial" w:hAnsi="Arial"/>
          <w:sz w:val="18"/>
          <w:szCs w:val="18"/>
          <w:i w:val="1"/>
          <w:iCs w:val="1"/>
          <w:color w:val="auto"/>
        </w:rPr>
        <w:t>ConstructConnect—</w:t>
      </w:r>
      <w:r>
        <w:rPr>
          <w:rFonts w:ascii="Arial" w:cs="Arial" w:eastAsia="Arial" w:hAnsi="Arial"/>
          <w:sz w:val="18"/>
          <w:szCs w:val="18"/>
          <w:color w:val="auto"/>
        </w:rPr>
        <w:t>cloud-based data, collaboration and estimating automation software and AI- enabled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focused on the pre-construction phase for a network of construction contractors and building product manufacturers/distributors.</w:t>
      </w:r>
    </w:p>
    <w:p>
      <w:pPr>
        <w:spacing w:after="0" w:line="249" w:lineRule="exact"/>
        <w:rPr>
          <w:sz w:val="20"/>
          <w:szCs w:val="20"/>
          <w:color w:val="auto"/>
        </w:rPr>
      </w:pPr>
    </w:p>
    <w:p>
      <w:pPr>
        <w:jc w:val="both"/>
        <w:ind w:left="360"/>
        <w:spacing w:after="0" w:line="302" w:lineRule="auto"/>
        <w:rPr>
          <w:sz w:val="20"/>
          <w:szCs w:val="20"/>
          <w:color w:val="auto"/>
        </w:rPr>
      </w:pPr>
      <w:r>
        <w:rPr>
          <w:rFonts w:ascii="Arial" w:cs="Arial" w:eastAsia="Arial" w:hAnsi="Arial"/>
          <w:sz w:val="18"/>
          <w:szCs w:val="18"/>
          <w:i w:val="1"/>
          <w:iCs w:val="1"/>
          <w:color w:val="auto"/>
        </w:rPr>
        <w:t>DAT—</w:t>
      </w:r>
      <w:r>
        <w:rPr>
          <w:rFonts w:ascii="Arial" w:cs="Arial" w:eastAsia="Arial" w:hAnsi="Arial"/>
          <w:sz w:val="18"/>
          <w:szCs w:val="18"/>
          <w:color w:val="auto"/>
        </w:rPr>
        <w:t>electronic marketplaces that automate broker and carrier freight capacity matching throughout the U.S.</w:t>
      </w:r>
      <w:r>
        <w:rPr>
          <w:rFonts w:ascii="Arial" w:cs="Arial" w:eastAsia="Arial" w:hAnsi="Arial"/>
          <w:sz w:val="18"/>
          <w:szCs w:val="18"/>
          <w:i w:val="1"/>
          <w:iCs w:val="1"/>
          <w:color w:val="auto"/>
        </w:rPr>
        <w:t xml:space="preserve"> </w:t>
      </w:r>
      <w:r>
        <w:rPr>
          <w:rFonts w:ascii="Arial" w:cs="Arial" w:eastAsia="Arial" w:hAnsi="Arial"/>
          <w:sz w:val="18"/>
          <w:szCs w:val="18"/>
          <w:color w:val="auto"/>
        </w:rPr>
        <w:t>and Canada, freight tracking and financing, and AI-enabled analytics solutions. Canadian-based Loadlink was combined with DAT in 2025.</w:t>
      </w:r>
    </w:p>
    <w:p>
      <w:pPr>
        <w:spacing w:after="0" w:line="249" w:lineRule="exact"/>
        <w:rPr>
          <w:sz w:val="20"/>
          <w:szCs w:val="20"/>
          <w:color w:val="auto"/>
        </w:rPr>
      </w:pPr>
    </w:p>
    <w:p>
      <w:pPr>
        <w:jc w:val="both"/>
        <w:ind w:left="360"/>
        <w:spacing w:after="0" w:line="319" w:lineRule="auto"/>
        <w:rPr>
          <w:sz w:val="20"/>
          <w:szCs w:val="20"/>
          <w:color w:val="auto"/>
        </w:rPr>
      </w:pPr>
      <w:r>
        <w:rPr>
          <w:rFonts w:ascii="Arial" w:cs="Arial" w:eastAsia="Arial" w:hAnsi="Arial"/>
          <w:sz w:val="18"/>
          <w:szCs w:val="18"/>
          <w:i w:val="1"/>
          <w:iCs w:val="1"/>
          <w:color w:val="auto"/>
        </w:rPr>
        <w:t>Foundry—</w:t>
      </w:r>
      <w:r>
        <w:rPr>
          <w:rFonts w:ascii="Arial" w:cs="Arial" w:eastAsia="Arial" w:hAnsi="Arial"/>
          <w:sz w:val="18"/>
          <w:szCs w:val="18"/>
          <w:color w:val="auto"/>
        </w:rPr>
        <w:t>software technologies and AI-enabled solutions used to deliver visual effects and 3D content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and digital design industries.</w:t>
      </w:r>
    </w:p>
    <w:p>
      <w:pPr>
        <w:sectPr>
          <w:pgSz w:w="12240" w:h="15840" w:orient="portrait"/>
          <w:cols w:equalWidth="0" w:num="1">
            <w:col w:w="10320"/>
          </w:cols>
          <w:pgMar w:left="960" w:top="926" w:right="960" w:bottom="90" w:gutter="0" w:footer="0" w:header="0"/>
        </w:sectPr>
      </w:pPr>
    </w:p>
    <w:p>
      <w:pPr>
        <w:spacing w:after="0" w:line="59" w:lineRule="exact"/>
        <w:rPr>
          <w:sz w:val="20"/>
          <w:szCs w:val="20"/>
          <w:color w:val="auto"/>
        </w:rPr>
      </w:pPr>
    </w:p>
    <w:p>
      <w:pPr>
        <w:ind w:left="3500"/>
        <w:spacing w:after="0" w:line="146" w:lineRule="exact"/>
        <w:tabs>
          <w:tab w:leader="none" w:pos="1020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8"/>
          <w:szCs w:val="8"/>
          <w:color w:val="auto"/>
        </w:rPr>
        <w:t>11</w:t>
      </w:r>
    </w:p>
    <w:p>
      <w:pPr>
        <w:sectPr>
          <w:pgSz w:w="12240" w:h="15840" w:orient="portrait"/>
          <w:cols w:equalWidth="0" w:num="1">
            <w:col w:w="10320"/>
          </w:cols>
          <w:pgMar w:left="960" w:top="926" w:right="960" w:bottom="90" w:gutter="0" w:footer="0" w:header="0"/>
          <w:type w:val="continuous"/>
        </w:sectPr>
      </w:pPr>
    </w:p>
    <w:bookmarkStart w:id="13" w:name="page14"/>
    <w:bookmarkEnd w:id="13"/>
    <w:p>
      <w:pPr>
        <w:ind w:left="360" w:right="40"/>
        <w:spacing w:after="0" w:line="31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iPipeline—</w:t>
      </w:r>
      <w:r>
        <w:rPr>
          <w:rFonts w:ascii="Arial" w:cs="Arial" w:eastAsia="Arial" w:hAnsi="Arial"/>
          <w:sz w:val="18"/>
          <w:szCs w:val="18"/>
          <w:color w:val="auto"/>
        </w:rPr>
        <w:t>cloud-based software and AI-enabled analytics solutions for the life insurance/annuities and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industries.</w:t>
      </w:r>
    </w:p>
    <w:p>
      <w:pPr>
        <w:spacing w:after="0" w:line="1" w:lineRule="exact"/>
        <w:rPr>
          <w:sz w:val="20"/>
          <w:szCs w:val="20"/>
          <w:color w:val="auto"/>
        </w:rPr>
      </w:pPr>
    </w:p>
    <w:p>
      <w:pPr>
        <w:ind w:left="360" w:right="40"/>
        <w:spacing w:after="0" w:line="318" w:lineRule="auto"/>
        <w:rPr>
          <w:sz w:val="20"/>
          <w:szCs w:val="20"/>
          <w:color w:val="auto"/>
        </w:rPr>
      </w:pPr>
      <w:r>
        <w:rPr>
          <w:rFonts w:ascii="Arial" w:cs="Arial" w:eastAsia="Arial" w:hAnsi="Arial"/>
          <w:sz w:val="18"/>
          <w:szCs w:val="18"/>
          <w:i w:val="1"/>
          <w:iCs w:val="1"/>
          <w:color w:val="auto"/>
        </w:rPr>
        <w:t>iTradeNetwork—</w:t>
      </w:r>
      <w:r>
        <w:rPr>
          <w:rFonts w:ascii="Arial" w:cs="Arial" w:eastAsia="Arial" w:hAnsi="Arial"/>
          <w:sz w:val="18"/>
          <w:szCs w:val="18"/>
          <w:color w:val="auto"/>
        </w:rPr>
        <w:t>electronic marketplaces and supply chain software that connect food suppliers,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vendors, primarily in the perishable food sector.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MHA—</w:t>
      </w:r>
      <w:r>
        <w:rPr>
          <w:rFonts w:ascii="Arial" w:cs="Arial" w:eastAsia="Arial" w:hAnsi="Arial"/>
          <w:sz w:val="18"/>
          <w:szCs w:val="18"/>
          <w:color w:val="auto"/>
        </w:rPr>
        <w:t>health care services and software solutions to alternate site health care markets.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SHP—</w:t>
      </w:r>
      <w:r>
        <w:rPr>
          <w:rFonts w:ascii="Arial" w:cs="Arial" w:eastAsia="Arial" w:hAnsi="Arial"/>
          <w:sz w:val="18"/>
          <w:szCs w:val="18"/>
          <w:color w:val="auto"/>
        </w:rPr>
        <w:t>data analytics and benchmarking information solutions for the post-acute healthcare provider marketplace.</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SoftWriters—</w:t>
      </w:r>
      <w:r>
        <w:rPr>
          <w:rFonts w:ascii="Arial" w:cs="Arial" w:eastAsia="Arial" w:hAnsi="Arial"/>
          <w:sz w:val="18"/>
          <w:szCs w:val="18"/>
          <w:color w:val="auto"/>
        </w:rPr>
        <w:t>software solutions to pharmacies that primarily serve the long-term care marketplace.</w:t>
      </w:r>
    </w:p>
    <w:p>
      <w:pPr>
        <w:spacing w:after="0" w:line="123" w:lineRule="exact"/>
        <w:rPr>
          <w:sz w:val="20"/>
          <w:szCs w:val="20"/>
          <w:color w:val="auto"/>
        </w:rPr>
      </w:pPr>
    </w:p>
    <w:p>
      <w:pPr>
        <w:ind w:left="360" w:right="40"/>
        <w:spacing w:after="0" w:line="319" w:lineRule="auto"/>
        <w:rPr>
          <w:sz w:val="20"/>
          <w:szCs w:val="20"/>
          <w:color w:val="auto"/>
        </w:rPr>
      </w:pPr>
      <w:r>
        <w:rPr>
          <w:rFonts w:ascii="Arial" w:cs="Arial" w:eastAsia="Arial" w:hAnsi="Arial"/>
          <w:sz w:val="18"/>
          <w:szCs w:val="18"/>
          <w:i w:val="1"/>
          <w:iCs w:val="1"/>
          <w:color w:val="auto"/>
        </w:rPr>
        <w:t>Subsplash—</w:t>
      </w:r>
      <w:r>
        <w:rPr>
          <w:rFonts w:ascii="Arial" w:cs="Arial" w:eastAsia="Arial" w:hAnsi="Arial"/>
          <w:sz w:val="18"/>
          <w:szCs w:val="18"/>
          <w:color w:val="auto"/>
        </w:rPr>
        <w:t>AI-enabled SaaS providing digital engagement, as well as church management and integrated giving</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faith-based organizations.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000041"/>
        </w:rPr>
        <w:t>Technology Enabled Products</w:t>
      </w:r>
    </w:p>
    <w:p>
      <w:pPr>
        <w:spacing w:after="0" w:line="43" w:lineRule="exact"/>
        <w:rPr>
          <w:sz w:val="20"/>
          <w:szCs w:val="20"/>
          <w:color w:val="auto"/>
        </w:rPr>
      </w:pPr>
    </w:p>
    <w:p>
      <w:pPr>
        <w:jc w:val="both"/>
        <w:ind w:right="40"/>
        <w:spacing w:after="0" w:line="273" w:lineRule="auto"/>
        <w:rPr>
          <w:sz w:val="20"/>
          <w:szCs w:val="20"/>
          <w:color w:val="auto"/>
        </w:rPr>
      </w:pPr>
      <w:r>
        <w:rPr>
          <w:rFonts w:ascii="Arial" w:cs="Arial" w:eastAsia="Arial" w:hAnsi="Arial"/>
          <w:sz w:val="18"/>
          <w:szCs w:val="18"/>
          <w:color w:val="auto"/>
        </w:rPr>
        <w:t>Our Technology Enabled Products segment had net revenues of $1,818.7 for the year ended December 31, 2025, rep-resenting 23.0% of our total net revenues. Below is a description of the products offered by businesses that comprise the Technology Enabled Products segment:</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CIVCO Medical Solutions—</w:t>
      </w:r>
      <w:r>
        <w:rPr>
          <w:rFonts w:ascii="Arial" w:cs="Arial" w:eastAsia="Arial" w:hAnsi="Arial"/>
          <w:sz w:val="18"/>
          <w:szCs w:val="18"/>
          <w:color w:val="auto"/>
        </w:rPr>
        <w:t>accessories focused on guidance and infection control for ultrasound procedures.</w:t>
      </w:r>
    </w:p>
    <w:p>
      <w:pPr>
        <w:spacing w:after="0" w:line="123" w:lineRule="exact"/>
        <w:rPr>
          <w:sz w:val="20"/>
          <w:szCs w:val="20"/>
          <w:color w:val="auto"/>
        </w:rPr>
      </w:pPr>
    </w:p>
    <w:p>
      <w:pPr>
        <w:jc w:val="both"/>
        <w:ind w:left="360" w:right="40"/>
        <w:spacing w:after="0" w:line="279" w:lineRule="auto"/>
        <w:rPr>
          <w:sz w:val="20"/>
          <w:szCs w:val="20"/>
          <w:color w:val="auto"/>
        </w:rPr>
      </w:pPr>
      <w:r>
        <w:rPr>
          <w:rFonts w:ascii="Arial" w:cs="Arial" w:eastAsia="Arial" w:hAnsi="Arial"/>
          <w:sz w:val="18"/>
          <w:szCs w:val="18"/>
          <w:i w:val="1"/>
          <w:iCs w:val="1"/>
          <w:color w:val="auto"/>
        </w:rPr>
        <w:t>FMI—</w:t>
      </w:r>
      <w:r>
        <w:rPr>
          <w:rFonts w:ascii="Arial" w:cs="Arial" w:eastAsia="Arial" w:hAnsi="Arial"/>
          <w:sz w:val="18"/>
          <w:szCs w:val="18"/>
          <w:color w:val="auto"/>
        </w:rPr>
        <w:t>dispensers and metering pumps which are utilized in a broad range of applications requiring precision fluid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w:t>
      </w:r>
    </w:p>
    <w:p>
      <w:pPr>
        <w:spacing w:after="0" w:line="309" w:lineRule="exact"/>
        <w:rPr>
          <w:sz w:val="20"/>
          <w:szCs w:val="20"/>
          <w:color w:val="auto"/>
        </w:rPr>
      </w:pPr>
    </w:p>
    <w:p>
      <w:pPr>
        <w:jc w:val="both"/>
        <w:ind w:left="360" w:right="40"/>
        <w:spacing w:after="0" w:line="318" w:lineRule="auto"/>
        <w:rPr>
          <w:sz w:val="20"/>
          <w:szCs w:val="20"/>
          <w:color w:val="auto"/>
        </w:rPr>
      </w:pPr>
      <w:r>
        <w:rPr>
          <w:rFonts w:ascii="Arial" w:cs="Arial" w:eastAsia="Arial" w:hAnsi="Arial"/>
          <w:sz w:val="18"/>
          <w:szCs w:val="18"/>
          <w:i w:val="1"/>
          <w:iCs w:val="1"/>
          <w:color w:val="auto"/>
        </w:rPr>
        <w:t xml:space="preserve">Inovonics— </w:t>
      </w:r>
      <w:r>
        <w:rPr>
          <w:rFonts w:ascii="Arial" w:cs="Arial" w:eastAsia="Arial" w:hAnsi="Arial"/>
          <w:sz w:val="18"/>
          <w:szCs w:val="18"/>
          <w:color w:val="auto"/>
        </w:rPr>
        <w:t>high-performance wireless sensor networks and solutions for a variety of applications, including life-safety and access management.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IPA—</w:t>
      </w:r>
      <w:r>
        <w:rPr>
          <w:rFonts w:ascii="Arial" w:cs="Arial" w:eastAsia="Arial" w:hAnsi="Arial"/>
          <w:sz w:val="18"/>
          <w:szCs w:val="18"/>
          <w:color w:val="auto"/>
        </w:rPr>
        <w:t>automated surgical scrub and linen dispensing equipment for healthcare providers.</w:t>
      </w:r>
    </w:p>
    <w:p>
      <w:pPr>
        <w:spacing w:after="0" w:line="123" w:lineRule="exact"/>
        <w:rPr>
          <w:sz w:val="20"/>
          <w:szCs w:val="20"/>
          <w:color w:val="auto"/>
        </w:rPr>
      </w:pPr>
    </w:p>
    <w:p>
      <w:pPr>
        <w:jc w:val="both"/>
        <w:ind w:left="360" w:right="40"/>
        <w:spacing w:after="0" w:line="287" w:lineRule="auto"/>
        <w:rPr>
          <w:sz w:val="20"/>
          <w:szCs w:val="20"/>
          <w:color w:val="auto"/>
        </w:rPr>
      </w:pPr>
      <w:r>
        <w:rPr>
          <w:rFonts w:ascii="Arial" w:cs="Arial" w:eastAsia="Arial" w:hAnsi="Arial"/>
          <w:sz w:val="18"/>
          <w:szCs w:val="18"/>
          <w:i w:val="1"/>
          <w:iCs w:val="1"/>
          <w:color w:val="auto"/>
        </w:rPr>
        <w:t>Neptune—</w:t>
      </w:r>
      <w:r>
        <w:rPr>
          <w:rFonts w:ascii="Arial" w:cs="Arial" w:eastAsia="Arial" w:hAnsi="Arial"/>
          <w:sz w:val="18"/>
          <w:szCs w:val="18"/>
          <w:color w:val="auto"/>
        </w:rPr>
        <w:t>water meters, enabling water utilities to remotely monitor their customers utilizing Automatic Meter</w:t>
      </w:r>
      <w:r>
        <w:rPr>
          <w:rFonts w:ascii="Arial" w:cs="Arial" w:eastAsia="Arial" w:hAnsi="Arial"/>
          <w:sz w:val="18"/>
          <w:szCs w:val="18"/>
          <w:i w:val="1"/>
          <w:iCs w:val="1"/>
          <w:color w:val="auto"/>
        </w:rPr>
        <w:t xml:space="preserve"> </w:t>
      </w:r>
      <w:r>
        <w:rPr>
          <w:rFonts w:ascii="Arial" w:cs="Arial" w:eastAsia="Arial" w:hAnsi="Arial"/>
          <w:sz w:val="18"/>
          <w:szCs w:val="18"/>
          <w:color w:val="auto"/>
        </w:rPr>
        <w:t>Reading (AMR), Advanced Metering Infrastructure (AMI) technologies, and cloud-based software supporting meter data management and utility billing.</w:t>
      </w:r>
    </w:p>
    <w:p>
      <w:pPr>
        <w:spacing w:after="0" w:line="27" w:lineRule="exact"/>
        <w:rPr>
          <w:sz w:val="20"/>
          <w:szCs w:val="20"/>
          <w:color w:val="auto"/>
        </w:rPr>
      </w:pPr>
    </w:p>
    <w:p>
      <w:pPr>
        <w:jc w:val="both"/>
        <w:ind w:left="360" w:right="40"/>
        <w:spacing w:after="0" w:line="279" w:lineRule="auto"/>
        <w:rPr>
          <w:sz w:val="20"/>
          <w:szCs w:val="20"/>
          <w:color w:val="auto"/>
        </w:rPr>
      </w:pPr>
      <w:r>
        <w:rPr>
          <w:rFonts w:ascii="Arial" w:cs="Arial" w:eastAsia="Arial" w:hAnsi="Arial"/>
          <w:sz w:val="18"/>
          <w:szCs w:val="18"/>
          <w:i w:val="1"/>
          <w:iCs w:val="1"/>
          <w:color w:val="auto"/>
        </w:rPr>
        <w:t>Northern Digital—</w:t>
      </w:r>
      <w:r>
        <w:rPr>
          <w:rFonts w:ascii="Arial" w:cs="Arial" w:eastAsia="Arial" w:hAnsi="Arial"/>
          <w:sz w:val="18"/>
          <w:szCs w:val="18"/>
          <w:color w:val="auto"/>
        </w:rPr>
        <w:t>optical and electromagnetic precision measurement systems for medical and industrial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w:t>
      </w:r>
    </w:p>
    <w:p>
      <w:pPr>
        <w:spacing w:after="0" w:line="309" w:lineRule="exact"/>
        <w:rPr>
          <w:sz w:val="20"/>
          <w:szCs w:val="20"/>
          <w:color w:val="auto"/>
        </w:rPr>
      </w:pPr>
    </w:p>
    <w:p>
      <w:pPr>
        <w:jc w:val="both"/>
        <w:ind w:left="360" w:right="40"/>
        <w:spacing w:after="0" w:line="318" w:lineRule="auto"/>
        <w:rPr>
          <w:sz w:val="20"/>
          <w:szCs w:val="20"/>
          <w:color w:val="auto"/>
        </w:rPr>
      </w:pPr>
      <w:r>
        <w:rPr>
          <w:rFonts w:ascii="Arial" w:cs="Arial" w:eastAsia="Arial" w:hAnsi="Arial"/>
          <w:sz w:val="18"/>
          <w:szCs w:val="18"/>
          <w:i w:val="1"/>
          <w:iCs w:val="1"/>
          <w:color w:val="auto"/>
        </w:rPr>
        <w:t>rf IDEAS—</w:t>
      </w:r>
      <w:r>
        <w:rPr>
          <w:rFonts w:ascii="Arial" w:cs="Arial" w:eastAsia="Arial" w:hAnsi="Arial"/>
          <w:sz w:val="18"/>
          <w:szCs w:val="18"/>
          <w:color w:val="auto"/>
        </w:rPr>
        <w:t>RFID card and credential readers used in numerous identity access management applications across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vertical markets.</w:t>
      </w:r>
    </w:p>
    <w:p>
      <w:pPr>
        <w:spacing w:after="0" w:line="1" w:lineRule="exact"/>
        <w:rPr>
          <w:sz w:val="20"/>
          <w:szCs w:val="20"/>
          <w:color w:val="auto"/>
        </w:rPr>
      </w:pPr>
    </w:p>
    <w:p>
      <w:pPr>
        <w:jc w:val="both"/>
        <w:ind w:left="360" w:right="40"/>
        <w:spacing w:after="0" w:line="319" w:lineRule="auto"/>
        <w:rPr>
          <w:sz w:val="20"/>
          <w:szCs w:val="20"/>
          <w:color w:val="auto"/>
        </w:rPr>
      </w:pPr>
      <w:r>
        <w:rPr>
          <w:rFonts w:ascii="Arial" w:cs="Arial" w:eastAsia="Arial" w:hAnsi="Arial"/>
          <w:sz w:val="18"/>
          <w:szCs w:val="18"/>
          <w:i w:val="1"/>
          <w:iCs w:val="1"/>
          <w:color w:val="auto"/>
        </w:rPr>
        <w:t>Verathon—</w:t>
      </w:r>
      <w:r>
        <w:rPr>
          <w:rFonts w:ascii="Arial" w:cs="Arial" w:eastAsia="Arial" w:hAnsi="Arial"/>
          <w:sz w:val="18"/>
          <w:szCs w:val="18"/>
          <w:color w:val="auto"/>
        </w:rPr>
        <w:t>medical devices that enable airway management, including bronchoscopes and video laryngoscopes,</w:t>
      </w:r>
      <w:r>
        <w:rPr>
          <w:rFonts w:ascii="Arial" w:cs="Arial" w:eastAsia="Arial" w:hAnsi="Arial"/>
          <w:sz w:val="18"/>
          <w:szCs w:val="18"/>
          <w:i w:val="1"/>
          <w:iCs w:val="1"/>
          <w:color w:val="auto"/>
        </w:rPr>
        <w:t xml:space="preserve"> </w:t>
      </w:r>
      <w:r>
        <w:rPr>
          <w:rFonts w:ascii="Arial" w:cs="Arial" w:eastAsia="Arial" w:hAnsi="Arial"/>
          <w:sz w:val="18"/>
          <w:szCs w:val="18"/>
          <w:color w:val="auto"/>
        </w:rPr>
        <w:t>and bladder volume measurement solutions for healthcare providers.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000041"/>
        </w:rPr>
        <w:t>MATERIALS AND SUPPLIERS</w:t>
      </w:r>
    </w:p>
    <w:p>
      <w:pPr>
        <w:spacing w:after="0" w:line="129" w:lineRule="exact"/>
        <w:rPr>
          <w:sz w:val="20"/>
          <w:szCs w:val="20"/>
          <w:color w:val="auto"/>
        </w:rPr>
      </w:pPr>
    </w:p>
    <w:p>
      <w:pPr>
        <w:jc w:val="both"/>
        <w:ind w:right="40"/>
        <w:spacing w:after="0" w:line="280" w:lineRule="auto"/>
        <w:rPr>
          <w:sz w:val="20"/>
          <w:szCs w:val="20"/>
          <w:color w:val="auto"/>
        </w:rPr>
      </w:pPr>
      <w:r>
        <w:rPr>
          <w:rFonts w:ascii="Arial" w:cs="Arial" w:eastAsia="Arial" w:hAnsi="Arial"/>
          <w:sz w:val="18"/>
          <w:szCs w:val="18"/>
          <w:color w:val="auto"/>
        </w:rPr>
        <w:t>We believe most materials and supplies we use are readily available from numerous sources and suppliers throughout the world. However, some components and sub-assemblies are currently available from only a limited number of sup-pliers for which we regularly investigate and identify alternative sources where possible. We also believe these condi-tions affect our competitors.</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000041"/>
        </w:rPr>
        <w:t>REMAINING PERFORMANCE OBLIGATIONS AND BACKLOG</w:t>
      </w:r>
    </w:p>
    <w:p>
      <w:pPr>
        <w:spacing w:after="0" w:line="127" w:lineRule="exact"/>
        <w:rPr>
          <w:sz w:val="20"/>
          <w:szCs w:val="20"/>
          <w:color w:val="auto"/>
        </w:rPr>
      </w:pPr>
    </w:p>
    <w:p>
      <w:pPr>
        <w:jc w:val="both"/>
        <w:spacing w:after="0" w:line="234" w:lineRule="exact"/>
        <w:rPr>
          <w:sz w:val="20"/>
          <w:szCs w:val="20"/>
          <w:color w:val="auto"/>
        </w:rPr>
      </w:pPr>
      <w:r>
        <w:rPr>
          <w:rFonts w:ascii="Arial" w:cs="Arial" w:eastAsia="Arial" w:hAnsi="Arial"/>
          <w:sz w:val="18"/>
          <w:szCs w:val="18"/>
          <w:color w:val="auto"/>
        </w:rPr>
        <w:t>Remaining performance obligations represent the transaction price of firm orders for which work has not been per-ǹɁɨȴǉǁ</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ǉʯƺȢʍǁȈȶǼ</w:t>
      </w:r>
      <w:r>
        <w:rPr>
          <w:rFonts w:ascii="PMingLiU" w:cs="PMingLiU" w:eastAsia="PMingLiU" w:hAnsi="PMingLiU"/>
          <w:sz w:val="18"/>
          <w:szCs w:val="18"/>
          <w:color w:val="auto"/>
        </w:rPr>
        <w:t/>
      </w:r>
      <w:r>
        <w:rPr>
          <w:rFonts w:ascii="Arial" w:cs="Arial" w:eastAsia="Arial" w:hAnsi="Arial"/>
          <w:sz w:val="18"/>
          <w:szCs w:val="18"/>
          <w:color w:val="auto"/>
        </w:rPr>
        <w:t xml:space="preserve"> ʍȶǉʯǉɨƺȈɰǉǁ</w:t>
      </w:r>
      <w:r>
        <w:rPr>
          <w:rFonts w:ascii="PMingLiU" w:cs="PMingLiU" w:eastAsia="PMingLiU" w:hAnsi="PMingLiU"/>
          <w:sz w:val="18"/>
          <w:szCs w:val="18"/>
          <w:color w:val="auto"/>
        </w:rPr>
        <w:t/>
      </w:r>
      <w:r>
        <w:rPr>
          <w:rFonts w:ascii="Arial" w:cs="Arial" w:eastAsia="Arial" w:hAnsi="Arial"/>
          <w:sz w:val="18"/>
          <w:szCs w:val="18"/>
          <w:color w:val="auto"/>
        </w:rPr>
        <w:t xml:space="preserve"> ƺɁȶɽɨƃƺɽ</w:t>
      </w:r>
      <w:r>
        <w:rPr>
          <w:rFonts w:ascii="PMingLiU" w:cs="PMingLiU" w:eastAsia="PMingLiU" w:hAnsi="PMingLiU"/>
          <w:sz w:val="18"/>
          <w:szCs w:val="18"/>
          <w:color w:val="auto"/>
        </w:rPr>
        <w:t/>
      </w:r>
      <w:r>
        <w:rPr>
          <w:rFonts w:ascii="Arial" w:cs="Arial" w:eastAsia="Arial" w:hAnsi="Arial"/>
          <w:sz w:val="18"/>
          <w:szCs w:val="18"/>
          <w:color w:val="auto"/>
        </w:rPr>
        <w:t xml:space="preserve"> ɁɥɽȈɁȶɰ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 xml:space="preserve"> ɽɁɽƃȢ</w:t>
      </w:r>
      <w:r>
        <w:rPr>
          <w:rFonts w:ascii="PMingLiU" w:cs="PMingLiU" w:eastAsia="PMingLiU" w:hAnsi="PMingLiU"/>
          <w:sz w:val="18"/>
          <w:szCs w:val="18"/>
          <w:color w:val="auto"/>
        </w:rPr>
        <w:t/>
      </w:r>
      <w:r>
        <w:rPr>
          <w:rFonts w:ascii="Arial" w:cs="Arial" w:eastAsia="Arial" w:hAnsi="Arial"/>
          <w:sz w:val="18"/>
          <w:szCs w:val="18"/>
          <w:color w:val="auto"/>
        </w:rPr>
        <w:t xml:space="preserve"> ɨǉȴƃȈȶȈȶǼ</w:t>
      </w:r>
      <w:r>
        <w:rPr>
          <w:rFonts w:ascii="PMingLiU" w:cs="PMingLiU" w:eastAsia="PMingLiU" w:hAnsi="PMingLiU"/>
          <w:sz w:val="18"/>
          <w:szCs w:val="18"/>
          <w:color w:val="auto"/>
        </w:rPr>
        <w:t/>
      </w:r>
      <w:r>
        <w:rPr>
          <w:rFonts w:ascii="Arial" w:cs="Arial" w:eastAsia="Arial" w:hAnsi="Arial"/>
          <w:sz w:val="18"/>
          <w:szCs w:val="18"/>
          <w:color w:val="auto"/>
        </w:rPr>
        <w:t xml:space="preserve"> ɥǉɨǹɁɨȴƃȶƺǉ</w:t>
      </w:r>
      <w:r>
        <w:rPr>
          <w:rFonts w:ascii="PMingLiU" w:cs="PMingLiU" w:eastAsia="PMingLiU" w:hAnsi="PMingLiU"/>
          <w:sz w:val="18"/>
          <w:szCs w:val="18"/>
          <w:color w:val="auto"/>
        </w:rPr>
        <w:t/>
      </w:r>
      <w:r>
        <w:rPr>
          <w:rFonts w:ascii="Arial" w:cs="Arial" w:eastAsia="Arial" w:hAnsi="Arial"/>
          <w:sz w:val="18"/>
          <w:szCs w:val="18"/>
          <w:color w:val="auto"/>
        </w:rPr>
        <w:t xml:space="preserve"> obligations were $5,204.2 and $4,754.9, respectively.</w:t>
      </w:r>
    </w:p>
    <w:p>
      <w:pPr>
        <w:spacing w:after="0" w:line="70" w:lineRule="exact"/>
        <w:rPr>
          <w:sz w:val="20"/>
          <w:szCs w:val="20"/>
          <w:color w:val="auto"/>
        </w:rPr>
      </w:pPr>
    </w:p>
    <w:p>
      <w:pPr>
        <w:jc w:val="both"/>
        <w:ind w:right="40"/>
        <w:spacing w:after="0" w:line="241" w:lineRule="exact"/>
        <w:rPr>
          <w:sz w:val="20"/>
          <w:szCs w:val="20"/>
          <w:color w:val="auto"/>
        </w:rPr>
      </w:pPr>
      <w:r>
        <w:rPr>
          <w:rFonts w:ascii="Arial" w:cs="Arial" w:eastAsia="Arial" w:hAnsi="Arial"/>
          <w:sz w:val="18"/>
          <w:szCs w:val="18"/>
          <w:color w:val="auto"/>
        </w:rPr>
        <w:t>Backlog is equal to our remaining performance obligations expected to be recognized as revenue within the next 12 ȴɁȶɽȃɰ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9ƃƺȟȢɁǼ</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јӗљїљӝћ</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јӗіѕњӝљ</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їѕїљӝ</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000041"/>
        </w:rPr>
        <w:t>DISTRIBUTION AND SALES</w:t>
      </w:r>
    </w:p>
    <w:p>
      <w:pPr>
        <w:spacing w:after="0" w:line="127"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color w:val="auto"/>
        </w:rPr>
        <w:t>Distribution and sales occur primarily through direct sales offices, manufacturers’ representatives, resellers, and distributors.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000041"/>
        </w:rPr>
        <w:t>GOVERNMENTAL REGULATIONS</w:t>
      </w:r>
    </w:p>
    <w:p>
      <w:pPr>
        <w:spacing w:after="0" w:line="127"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We face extensive government regulation around the world relating to the development, manufacture, marketing, sale, and distribution of our software, services, and products. The following sections describe certain significant regu-lations to which we are subject, but these are not the only regulations with which our businesses must comply. For a description of risks related to the regulations that our businesses are subject to, please refer to “Item 1A. Risk Factors.”</w:t>
      </w:r>
    </w:p>
    <w:p>
      <w:pPr>
        <w:sectPr>
          <w:pgSz w:w="12240" w:h="15840" w:orient="portrait"/>
          <w:cols w:equalWidth="0" w:num="1">
            <w:col w:w="10360"/>
          </w:cols>
          <w:pgMar w:left="960" w:top="935" w:right="920" w:bottom="9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60"/>
          </w:cols>
          <w:pgMar w:left="960" w:top="935" w:right="920" w:bottom="9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Privacy and Data Security</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privacy and data security laws around the world that may impose operational burdens on our busi-nesses. In 2018, the General Data Protection Regulation (“GDPR”) became effective in the European Union (“EU”) and the United Kingdom (“UK”) and imposed restrictions on how companies use, process, and protect personal infor-mation. Additionally, repeated legal challenges to the way regulators implemented GDPR provisions relating to inter-national data transfers have created additional operational burdens and legal risks for companies when transferring personal data back and forth from the EU to many other countries, most notably the U.S. and India. In the U.S., a growing number of states have individually passed comprehensive privacy legislation, which imposes restrictions sim-ilar (but not identical) to GDPR on companies conducting business or serving customers in those states. For example, in 2020 the California Consumer Privacy Act (“CCPA”) became effective and required companies to make disclosures to consumers about their data collection, use, and sharing practices; allowed consumers to exercise control over the use and sharing of their personal data; and provided a limited private right of action for data breaches. Changes to the CCPA which became effective in 2023 have added to the processing restrictions and notifications requirements– particularly when companies engage in online advertising. Canada (Quebec) has also significantly updated its privacy laws. The compliance and other burdens on our businesses imposed by these privacy laws and regulations may be substantial as we work to comply with differing legal and implementation requirements across multiple jurisdictions.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Regulations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manufacture, sale, lease, and service of medical diagnostic and surgical devices intended for commercial use are subject to extensive governmental regulation by the Food and Drug Administration (“FDA”) in the U.S. and by a variety of regulatory agencies in other countries for some of our businesses. Under the Federal Food, Drug, and Cosmetic Act, known as the FD&amp;C Act, manufacturers of medical products and devices must comply with certain regulations gov-erning the design, testing, manufacturing, packaging, servicing, and marketing of medical products. FDA product approvals may be withdrawn or suspended if compliance with regulatory standards is not maintained or if problems occur following initial marketing. We are also subject to a variety of federal, state, and foreign laws which broadly relate to our interactions with healthcare practitioners and other participants in the healthcare system, including, among others, anti-kickback law, and laws regulating the confidentiality of sensitive personal information and the circumstances under which such information may be released and/or collected, such as the Health Insurance Portability and Accountability Act of 1996, or HIPAA, the Health Information Technology for Economic and Clinical Health Act, or HITECH Act, and the GDPR.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Anti-Corruption and Anti-Bribery Laws and Regulations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subject to the U.S. Foreign Corrupt Practices Act (FCPA) and anti-corruption laws, and similar laws in foreign countries, such as the UK Bribery Act. Any violation of these laws by us or our agents or distributors could create sub-stantial liability for us, subject our officers and directors to personal liability, and cause a loss of reputation in the mar-ket. Increased business in higher risk countries could subject us and our officers and directors to increased scrutiny and increased liability. In addition, becoming familiar with and implementing the infrastructure necessary to comply with laws, rules, and regulations applicable to new business activities and mitigating and protecting against corruption risks could be quite costly.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Export Controls and Trade Policies</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are subject to numerous domestic and foreign regulations relating to our operations worldwide. In particular, our sales activities must comply with restrictions relating to the export of controlled technology and sales to denied or sanctioned parties contained in the U.S. Export Administration Regulations, U.S. International Traffic in Arms Regulations (ITAR), and sanctions administered by the Office of Foreign Assets Control of the U.S. Department of the Treasury (OFAC). Our businesses may also be impacted by additional domestic or foreign trade regulations, including trade restrictions, trade agreements, tariffs (including new, expanded, or retaliatory tariffs), and sanctions.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and properties are subject to laws and regulations relating to environmental protection, including those governing air emissions, water discharges, waste management, and workplace safety. We use, generate, and dispose of hazardous substances and waste in our operations and could be subject to material liabilities relating to the investigation and clean-up of contaminated properties and related claims. We are required to conform our oper-ations and properties to these laws and adapt to regulatory requirements in all countries as these requirements change. In connection with our acquisitions, we may assume significant environmental liabilities, some of which we may not be aware of, or may not be quantifiable, at the time of acquisition. In addition, new laws and regulations, the discovery of previously unknown contamination, or the imposition of new requirements could increase our costs or subject us to new or increased liabilities.</w:t>
      </w:r>
    </w:p>
    <w:p>
      <w:pPr>
        <w:sectPr>
          <w:pgSz w:w="12240" w:h="15840" w:orient="portrait"/>
          <w:cols w:equalWidth="0" w:num="1">
            <w:col w:w="10320"/>
          </w:cols>
          <w:pgMar w:left="960" w:top="935"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00"/>
        <w:spacing w:after="0" w:line="146" w:lineRule="exact"/>
        <w:tabs>
          <w:tab w:leader="none" w:pos="1018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0"/>
          <w:szCs w:val="10"/>
          <w:color w:val="auto"/>
        </w:rPr>
        <w:t>13</w:t>
      </w:r>
    </w:p>
    <w:p>
      <w:pPr>
        <w:sectPr>
          <w:pgSz w:w="12240" w:h="15840" w:orient="portrait"/>
          <w:cols w:equalWidth="0" w:num="1">
            <w:col w:w="10320"/>
          </w:cols>
          <w:pgMar w:left="960" w:top="935" w:right="960" w:bottom="9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During 2025, no customer accounted for 10% or more of any segment or total Company net revenues.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0041"/>
        </w:rPr>
        <w:t>COMPETITION</w:t>
      </w:r>
    </w:p>
    <w:p>
      <w:pPr>
        <w:spacing w:after="0" w:line="129" w:lineRule="exact"/>
        <w:rPr>
          <w:sz w:val="20"/>
          <w:szCs w:val="20"/>
          <w:color w:val="auto"/>
        </w:rPr>
      </w:pPr>
    </w:p>
    <w:p>
      <w:pPr>
        <w:jc w:val="both"/>
        <w:ind w:right="60"/>
        <w:spacing w:after="0" w:line="269" w:lineRule="auto"/>
        <w:rPr>
          <w:sz w:val="20"/>
          <w:szCs w:val="20"/>
          <w:color w:val="auto"/>
        </w:rPr>
      </w:pPr>
      <w:r>
        <w:rPr>
          <w:rFonts w:ascii="Arial" w:cs="Arial" w:eastAsia="Arial" w:hAnsi="Arial"/>
          <w:sz w:val="18"/>
          <w:szCs w:val="18"/>
          <w:color w:val="auto"/>
        </w:rPr>
        <w:t>Generally, our products and solutions face significant competition, although in certain niche markets there are a lim-ited number of competitors. We believe that we are a leader in most of our markets, and no single company com-petes with us over a significant number of product lines. Competitors might be large or small in size, often depending on the size of the niche market we serve. We compete primarily on product quality, performance, innovation, technol-ogy, price, applications expertise, system and service flexibility, distribution channel access, and customer service capabilities.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000041"/>
        </w:rPr>
        <w:t>INTELLECTUAL PROPERTY</w:t>
      </w:r>
    </w:p>
    <w:p>
      <w:pPr>
        <w:spacing w:after="0" w:line="129"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In addition to trade secrets, including unpatented know-how and other intellectual property like software source code, we own or license the rights under numerous patents, trademarks, trade dress, and copyrights relating to cer-tain of our products and businesses. We also employ various methods, including confidentiality and non-disclosure agreements with individuals and companies we do business with, including employees, distributors, representatives, independent contractors, and customers to protect our intellectual property. We believe none of our operating units are substantially dependent on any single item of intellectual property, including a trade secret, patent, trademark, trade dress, or copyright.</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000041"/>
        </w:rPr>
        <w:t>HUMAN CAPITAL MANAGEMENT</w:t>
      </w:r>
    </w:p>
    <w:p>
      <w:pPr>
        <w:spacing w:after="0" w:line="129"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Roper is a diversified technology company that utilizes a decentralized operating model across our many businesses which serve a diverse set of end markets. Subject to oversight and guidance from Roper executive management, each business operates as an individual unit with its managers empowered to make day-to-day operating decisions, including decisions with respect to human capital management. As a result, apart from guidance with respect to:</w:t>
      </w:r>
    </w:p>
    <w:p>
      <w:pPr>
        <w:jc w:val="both"/>
        <w:ind w:right="60"/>
        <w:spacing w:after="0" w:line="263" w:lineRule="auto"/>
        <w:tabs>
          <w:tab w:leader="none" w:pos="21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legal and regulatory requirements or corporate policies; and (ii) the implementation of business unit leadership compensation and benefit programs provided by corporate management, managers at individual businesses are the primary decision makers with respect to human capital management and development. Though our individual businesses are primarily responsible for these decisions, because of the importance of human capital to our enterprise, we provide guidance and share best practices on key aspects of selection, development, engagement, and excellence of talent within our workforce.</w:t>
      </w:r>
    </w:p>
    <w:p>
      <w:pPr>
        <w:spacing w:after="0" w:line="272" w:lineRule="exact"/>
        <w:rPr>
          <w:sz w:val="20"/>
          <w:szCs w:val="20"/>
          <w:color w:val="auto"/>
        </w:rPr>
      </w:pPr>
    </w:p>
    <w:p>
      <w:pPr>
        <w:jc w:val="both"/>
        <w:ind w:right="20"/>
        <w:spacing w:after="0" w:line="234"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ʥǉ</w:t>
      </w:r>
      <w:r>
        <w:rPr>
          <w:rFonts w:ascii="PMingLiU" w:cs="PMingLiU" w:eastAsia="PMingLiU" w:hAnsi="PMingLiU"/>
          <w:sz w:val="18"/>
          <w:szCs w:val="18"/>
          <w:color w:val="auto"/>
        </w:rPr>
        <w:t/>
      </w:r>
      <w:r>
        <w:rPr>
          <w:rFonts w:ascii="Arial" w:cs="Arial" w:eastAsia="Arial" w:hAnsi="Arial"/>
          <w:sz w:val="18"/>
          <w:szCs w:val="18"/>
          <w:color w:val="auto"/>
        </w:rPr>
        <w:t xml:space="preserve"> ǉȴɥȢɁʰǉǁ</w:t>
      </w:r>
      <w:r>
        <w:rPr>
          <w:rFonts w:ascii="PMingLiU" w:cs="PMingLiU" w:eastAsia="PMingLiU" w:hAnsi="PMingLiU"/>
          <w:sz w:val="18"/>
          <w:szCs w:val="18"/>
          <w:color w:val="auto"/>
        </w:rPr>
        <w:t/>
      </w:r>
      <w:r>
        <w:rPr>
          <w:rFonts w:ascii="Arial" w:cs="Arial" w:eastAsia="Arial" w:hAnsi="Arial"/>
          <w:sz w:val="18"/>
          <w:szCs w:val="18"/>
          <w:color w:val="auto"/>
        </w:rPr>
        <w:t xml:space="preserve"> ƃɥɥɨɁʯȈȴƃɽǉȢʰ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іўӗљѕѕ</w:t>
      </w:r>
      <w:r>
        <w:rPr>
          <w:rFonts w:ascii="PMingLiU" w:cs="PMingLiU" w:eastAsia="PMingLiU" w:hAnsi="PMingLiU"/>
          <w:sz w:val="18"/>
          <w:szCs w:val="18"/>
          <w:color w:val="auto"/>
        </w:rPr>
        <w:t/>
      </w:r>
      <w:r>
        <w:rPr>
          <w:rFonts w:ascii="Arial" w:cs="Arial" w:eastAsia="Arial" w:hAnsi="Arial"/>
          <w:sz w:val="18"/>
          <w:szCs w:val="18"/>
          <w:color w:val="auto"/>
        </w:rPr>
        <w:t xml:space="preserve"> ɥǉɁɥȢǉ</w:t>
      </w:r>
      <w:r>
        <w:rPr>
          <w:rFonts w:ascii="PMingLiU" w:cs="PMingLiU" w:eastAsia="PMingLiU" w:hAnsi="PMingLiU"/>
          <w:sz w:val="18"/>
          <w:szCs w:val="18"/>
          <w:color w:val="auto"/>
        </w:rPr>
        <w:t/>
      </w:r>
      <w:r>
        <w:rPr>
          <w:rFonts w:ascii="Arial" w:cs="Arial" w:eastAsia="Arial" w:hAnsi="Arial"/>
          <w:sz w:val="18"/>
          <w:szCs w:val="18"/>
          <w:color w:val="auto"/>
        </w:rPr>
        <w:t xml:space="preserve"> ʥɁɨȢǁʥȈǁǉ</w:t>
      </w:r>
      <w:r>
        <w:rPr>
          <w:rFonts w:ascii="PMingLiU" w:cs="PMingLiU" w:eastAsia="PMingLiU" w:hAnsi="PMingLiU"/>
          <w:sz w:val="18"/>
          <w:szCs w:val="18"/>
          <w:color w:val="auto"/>
        </w:rPr>
        <w:t/>
      </w:r>
      <w:r>
        <w:rPr>
          <w:rFonts w:ascii="Arial" w:cs="Arial" w:eastAsia="Arial" w:hAnsi="Arial"/>
          <w:sz w:val="18"/>
          <w:szCs w:val="18"/>
          <w:color w:val="auto"/>
        </w:rPr>
        <w:t xml:space="preserve"> Ɂȶ</w:t>
      </w:r>
      <w:r>
        <w:rPr>
          <w:rFonts w:ascii="PMingLiU" w:cs="PMingLiU" w:eastAsia="PMingLiU" w:hAnsi="PMingLiU"/>
          <w:sz w:val="18"/>
          <w:szCs w:val="18"/>
          <w:color w:val="auto"/>
        </w:rPr>
        <w:t/>
      </w:r>
      <w:r>
        <w:rPr>
          <w:rFonts w:ascii="Arial" w:cs="Arial" w:eastAsia="Arial" w:hAnsi="Arial"/>
          <w:sz w:val="18"/>
          <w:szCs w:val="18"/>
          <w:color w:val="auto"/>
        </w:rPr>
        <w:t xml:space="preserve"> ƃ</w:t>
      </w:r>
      <w:r>
        <w:rPr>
          <w:rFonts w:ascii="PMingLiU" w:cs="PMingLiU" w:eastAsia="PMingLiU" w:hAnsi="PMingLiU"/>
          <w:sz w:val="18"/>
          <w:szCs w:val="18"/>
          <w:color w:val="auto"/>
        </w:rPr>
        <w:t/>
      </w:r>
      <w:r>
        <w:rPr>
          <w:rFonts w:ascii="Arial" w:cs="Arial" w:eastAsia="Arial" w:hAnsi="Arial"/>
          <w:sz w:val="18"/>
          <w:szCs w:val="18"/>
          <w:color w:val="auto"/>
        </w:rPr>
        <w:t xml:space="preserve"> ƺɁȶɰɁȢȈǁƃɽǉǁ</w:t>
      </w:r>
      <w:r>
        <w:rPr>
          <w:rFonts w:ascii="PMingLiU" w:cs="PMingLiU" w:eastAsia="PMingLiU" w:hAnsi="PMingLiU"/>
          <w:sz w:val="18"/>
          <w:szCs w:val="18"/>
          <w:color w:val="auto"/>
        </w:rPr>
        <w:t/>
      </w:r>
      <w:r>
        <w:rPr>
          <w:rFonts w:ascii="Arial" w:cs="Arial" w:eastAsia="Arial" w:hAnsi="Arial"/>
          <w:sz w:val="18"/>
          <w:szCs w:val="18"/>
          <w:color w:val="auto"/>
        </w:rPr>
        <w:t xml:space="preserve"> ƹƃɰȈɰ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ʥȃȈƺȃ</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approximately 13,100 were employed in the U.S. and approximately 6,300 were employed outside of the U.S. Management believes that the Company’s employee relations are favorable.</w:t>
      </w:r>
    </w:p>
    <w:p>
      <w:pPr>
        <w:spacing w:after="0" w:line="69" w:lineRule="exact"/>
        <w:rPr>
          <w:sz w:val="20"/>
          <w:szCs w:val="20"/>
          <w:color w:val="auto"/>
        </w:rPr>
      </w:pPr>
    </w:p>
    <w:p>
      <w:pPr>
        <w:jc w:val="both"/>
        <w:ind w:right="60"/>
        <w:spacing w:after="0" w:line="318" w:lineRule="auto"/>
        <w:rPr>
          <w:sz w:val="20"/>
          <w:szCs w:val="20"/>
          <w:color w:val="auto"/>
        </w:rPr>
      </w:pPr>
      <w:r>
        <w:rPr>
          <w:rFonts w:ascii="Arial" w:cs="Arial" w:eastAsia="Arial" w:hAnsi="Arial"/>
          <w:sz w:val="18"/>
          <w:szCs w:val="18"/>
          <w:color w:val="auto"/>
        </w:rPr>
        <w:t>Outside of the U.S., some employees, particularly in Europe, may be represented by an employee representative orga-nization, such as a union, works council, or employee association.</w:t>
      </w:r>
    </w:p>
    <w:p>
      <w:pPr>
        <w:spacing w:after="0" w:line="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Roper has identified and implemented other human capital priorities, including providing competitive wages and benefits, investing in leadership development, succession planning, performance-based compensation structures that directly align with the Company’s long-term value creation strategy, and promoting a holistic work environment where a breadth of perspectives is valued. The Company is committed to seeking talent from a wide range of back-grounds and fostering an inclusive work environment that supports our large global workforce and helps us innovate for our customers. We continue to focus on building a pipeline for talent that creates more opportunities for growth within the Company. Roper’s human capital strategy centers on accountability, operating autonomy, and a culture of continuous improvement across its business units.</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000041"/>
        </w:rPr>
        <w:t>AVAILABLE INFORMATION</w:t>
      </w:r>
    </w:p>
    <w:p>
      <w:pPr>
        <w:spacing w:after="0" w:line="129"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 xml:space="preserve">All reports we file electronically with the SEC, including our annual reports on Form 10-K, quarterly reports on Form 10-Q, current reports on Form 8- K, and our annual proxy statements, as well as any amendments to those reports, are accessible at no cost on our website at www.ropertech.com as soon as reasonably practicable after we electronically </w:t>
      </w:r>
      <w:r>
        <w:rPr>
          <w:rFonts w:ascii="Arial" w:cs="Arial" w:eastAsia="Arial" w:hAnsi="Arial"/>
          <w:sz w:val="18"/>
          <w:szCs w:val="18"/>
          <w:color w:val="auto"/>
        </w:rPr>
        <w:t>ǹȈȢǉ</w:t>
      </w:r>
      <w:r>
        <w:rPr>
          <w:rFonts w:ascii="PMingLiU" w:cs="PMingLiU" w:eastAsia="PMingLiU" w:hAnsi="PMingLiU"/>
          <w:sz w:val="18"/>
          <w:szCs w:val="18"/>
          <w:color w:val="auto"/>
        </w:rPr>
        <w:t/>
      </w:r>
      <w:r>
        <w:rPr>
          <w:rFonts w:ascii="Arial" w:cs="Arial" w:eastAsia="Arial" w:hAnsi="Arial"/>
          <w:sz w:val="18"/>
          <w:szCs w:val="18"/>
          <w:color w:val="auto"/>
        </w:rPr>
        <w:t xml:space="preserve"> ɰʍƺȃ</w:t>
      </w:r>
      <w:r>
        <w:rPr>
          <w:rFonts w:ascii="PMingLiU" w:cs="PMingLiU" w:eastAsia="PMingLiU" w:hAnsi="PMingLiU"/>
          <w:sz w:val="18"/>
          <w:szCs w:val="18"/>
          <w:color w:val="auto"/>
        </w:rPr>
        <w:t/>
      </w:r>
      <w:r>
        <w:rPr>
          <w:rFonts w:ascii="Arial" w:cs="Arial" w:eastAsia="Arial" w:hAnsi="Arial"/>
          <w:sz w:val="18"/>
          <w:szCs w:val="18"/>
          <w:color w:val="auto"/>
        </w:rPr>
        <w:t xml:space="preserve"> ȴƃɽǉɨȈƃȢ</w:t>
      </w:r>
      <w:r>
        <w:rPr>
          <w:rFonts w:ascii="PMingLiU" w:cs="PMingLiU" w:eastAsia="PMingLiU" w:hAnsi="PMingLiU"/>
          <w:sz w:val="18"/>
          <w:szCs w:val="18"/>
          <w:color w:val="auto"/>
        </w:rPr>
        <w:t/>
      </w:r>
      <w:r>
        <w:rPr>
          <w:rFonts w:ascii="Arial" w:cs="Arial" w:eastAsia="Arial" w:hAnsi="Arial"/>
          <w:sz w:val="18"/>
          <w:szCs w:val="18"/>
          <w:color w:val="auto"/>
        </w:rPr>
        <w:t xml:space="preserve"> ʥȈɽȃ</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Ɂɨ </w:t>
      </w:r>
      <w:r>
        <w:rPr>
          <w:rFonts w:ascii="PMingLiU" w:cs="PMingLiU" w:eastAsia="PMingLiU" w:hAnsi="PMingLiU"/>
          <w:sz w:val="18"/>
          <w:szCs w:val="18"/>
          <w:color w:val="auto"/>
        </w:rPr>
        <w:t/>
      </w:r>
      <w:r>
        <w:rPr>
          <w:rFonts w:ascii="Arial" w:cs="Arial" w:eastAsia="Arial" w:hAnsi="Arial"/>
          <w:sz w:val="18"/>
          <w:szCs w:val="18"/>
          <w:color w:val="auto"/>
        </w:rPr>
        <w:t xml:space="preserve"> ǹʍɨȶȈɰȃ</w:t>
      </w:r>
      <w:r>
        <w:rPr>
          <w:rFonts w:ascii="PMingLiU" w:cs="PMingLiU" w:eastAsia="PMingLiU" w:hAnsi="PMingLiU"/>
          <w:sz w:val="18"/>
          <w:szCs w:val="18"/>
          <w:color w:val="auto"/>
        </w:rPr>
        <w:t/>
      </w:r>
      <w:r>
        <w:rPr>
          <w:rFonts w:ascii="Arial" w:cs="Arial" w:eastAsia="Arial" w:hAnsi="Arial"/>
          <w:sz w:val="18"/>
          <w:szCs w:val="18"/>
          <w:color w:val="auto"/>
        </w:rPr>
        <w:t xml:space="preserve"> Ȉɽ</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ČK:</w:t>
      </w:r>
      <w:r>
        <w:rPr>
          <w:rFonts w:ascii="Arial" w:cs="Arial" w:eastAsia="Arial" w:hAnsi="Arial"/>
          <w:sz w:val="18"/>
          <w:szCs w:val="18"/>
          <w:color w:val="auto"/>
        </w:rPr>
        <w:t>ӝ</w:t>
      </w:r>
      <w:r>
        <w:rPr>
          <w:rFonts w:ascii="Arial" w:cs="Arial" w:eastAsia="Arial" w:hAnsi="Arial"/>
          <w:sz w:val="18"/>
          <w:szCs w:val="18"/>
          <w:color w:val="auto"/>
        </w:rPr>
        <w:t>ԝ ěȃǉɰǉ</w:t>
      </w:r>
      <w:r>
        <w:rPr>
          <w:rFonts w:ascii="PMingLiU" w:cs="PMingLiU" w:eastAsia="PMingLiU" w:hAnsi="PMingLiU"/>
          <w:sz w:val="18"/>
          <w:szCs w:val="18"/>
          <w:color w:val="auto"/>
        </w:rPr>
        <w:t/>
      </w:r>
      <w:r>
        <w:rPr>
          <w:rFonts w:ascii="Arial" w:cs="Arial" w:eastAsia="Arial" w:hAnsi="Arial"/>
          <w:sz w:val="18"/>
          <w:szCs w:val="18"/>
          <w:color w:val="auto"/>
        </w:rPr>
        <w:t xml:space="preserve"> ǹȈȢȈȶǼɰ</w:t>
      </w:r>
      <w:r>
        <w:rPr>
          <w:rFonts w:ascii="PMingLiU" w:cs="PMingLiU" w:eastAsia="PMingLiU" w:hAnsi="PMingLiU"/>
          <w:sz w:val="18"/>
          <w:szCs w:val="18"/>
          <w:color w:val="auto"/>
        </w:rPr>
        <w:t/>
      </w:r>
      <w:r>
        <w:rPr>
          <w:rFonts w:ascii="Arial" w:cs="Arial" w:eastAsia="Arial" w:hAnsi="Arial"/>
          <w:sz w:val="18"/>
          <w:szCs w:val="18"/>
          <w:color w:val="auto"/>
        </w:rPr>
        <w:t xml:space="preserve"> ƃɨǉ</w:t>
      </w:r>
      <w:r>
        <w:rPr>
          <w:rFonts w:ascii="PMingLiU" w:cs="PMingLiU" w:eastAsia="PMingLiU" w:hAnsi="PMingLiU"/>
          <w:sz w:val="18"/>
          <w:szCs w:val="18"/>
          <w:color w:val="auto"/>
        </w:rPr>
        <w:t/>
      </w:r>
      <w:r>
        <w:rPr>
          <w:rFonts w:ascii="Arial" w:cs="Arial" w:eastAsia="Arial" w:hAnsi="Arial"/>
          <w:sz w:val="18"/>
          <w:szCs w:val="18"/>
          <w:color w:val="auto"/>
        </w:rPr>
        <w:t xml:space="preserve"> ƃȢɰɁ</w:t>
      </w:r>
      <w:r>
        <w:rPr>
          <w:rFonts w:ascii="PMingLiU" w:cs="PMingLiU" w:eastAsia="PMingLiU" w:hAnsi="PMingLiU"/>
          <w:sz w:val="18"/>
          <w:szCs w:val="18"/>
          <w:color w:val="auto"/>
        </w:rPr>
        <w:t/>
      </w:r>
      <w:r>
        <w:rPr>
          <w:rFonts w:ascii="Arial" w:cs="Arial" w:eastAsia="Arial" w:hAnsi="Arial"/>
          <w:sz w:val="18"/>
          <w:szCs w:val="18"/>
          <w:color w:val="auto"/>
        </w:rPr>
        <w:t xml:space="preserve"> ƃƺƺǉɰɰȈƹȢǉ </w:t>
      </w:r>
      <w:r>
        <w:rPr>
          <w:rFonts w:ascii="PMingLiU" w:cs="PMingLiU" w:eastAsia="PMingLiU" w:hAnsi="PMingLiU"/>
          <w:sz w:val="18"/>
          <w:szCs w:val="18"/>
          <w:color w:val="auto"/>
        </w:rPr>
        <w:t/>
      </w:r>
      <w:r>
        <w:rPr>
          <w:rFonts w:ascii="Arial" w:cs="Arial" w:eastAsia="Arial" w:hAnsi="Arial"/>
          <w:sz w:val="18"/>
          <w:szCs w:val="18"/>
          <w:color w:val="auto"/>
        </w:rPr>
        <w:t xml:space="preserve"> Ɂȶ</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ČK:ԇɰ </w:t>
      </w:r>
      <w:r>
        <w:rPr>
          <w:rFonts w:ascii="PMingLiU" w:cs="PMingLiU" w:eastAsia="PMingLiU" w:hAnsi="PMingLiU"/>
          <w:sz w:val="18"/>
          <w:szCs w:val="18"/>
          <w:color w:val="auto"/>
        </w:rPr>
        <w:t/>
      </w:r>
      <w:r>
        <w:rPr>
          <w:rFonts w:ascii="Arial" w:cs="Arial" w:eastAsia="Arial" w:hAnsi="Arial"/>
          <w:sz w:val="18"/>
          <w:szCs w:val="18"/>
          <w:color w:val="auto"/>
        </w:rPr>
        <w:t xml:space="preserve"> ʥǉƹɰȈɽǉ</w:t>
      </w:r>
      <w:r>
        <w:rPr>
          <w:rFonts w:ascii="PMingLiU" w:cs="PMingLiU" w:eastAsia="PMingLiU" w:hAnsi="PMingLiU"/>
          <w:sz w:val="18"/>
          <w:szCs w:val="18"/>
          <w:color w:val="auto"/>
        </w:rPr>
        <w:t/>
      </w:r>
      <w:r>
        <w:rPr>
          <w:rFonts w:ascii="Arial" w:cs="Arial" w:eastAsia="Arial" w:hAnsi="Arial"/>
          <w:sz w:val="18"/>
          <w:szCs w:val="18"/>
          <w:color w:val="auto"/>
        </w:rPr>
        <w:t xml:space="preserve"> ƃɽ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www.sec.gov. Our Corporate Governance Guidelines; the charters of our Audit Committee, Compensation Committee, and Nominating and Governance Committee; and our Code of Ethics (the “Code of Ethics”) are also available on our </w:t>
      </w:r>
      <w:r>
        <w:rPr>
          <w:rFonts w:ascii="Arial" w:cs="Arial" w:eastAsia="Arial" w:hAnsi="Arial"/>
          <w:sz w:val="18"/>
          <w:szCs w:val="18"/>
          <w:color w:val="auto"/>
        </w:rPr>
        <w:t>ʥǉƹɰȈɽǉ</w:t>
      </w:r>
      <w:r>
        <w:rPr>
          <w:rFonts w:ascii="Arial" w:cs="Arial" w:eastAsia="Arial" w:hAnsi="Arial"/>
          <w:sz w:val="18"/>
          <w:szCs w:val="18"/>
          <w:color w:val="auto"/>
        </w:rPr>
        <w:t>ӝ</w:t>
      </w:r>
      <w:r>
        <w:rPr>
          <w:rFonts w:ascii="Arial" w:cs="Arial" w:eastAsia="Arial" w:hAnsi="Arial"/>
          <w:sz w:val="18"/>
          <w:szCs w:val="18"/>
          <w:color w:val="auto"/>
        </w:rPr>
        <w:t xml:space="preserve">ԝ </w:t>
      </w:r>
      <w:r>
        <w:rPr>
          <w:rFonts w:ascii="PMingLiU" w:cs="PMingLiU" w:eastAsia="PMingLiU" w:hAnsi="PMingLiU"/>
          <w:sz w:val="18"/>
          <w:szCs w:val="18"/>
          <w:color w:val="auto"/>
        </w:rPr>
        <w:t/>
      </w:r>
      <w:r>
        <w:rPr>
          <w:rFonts w:ascii="Arial" w:cs="Arial" w:eastAsia="Arial" w:hAnsi="Arial"/>
          <w:sz w:val="18"/>
          <w:szCs w:val="18"/>
          <w:color w:val="auto"/>
        </w:rPr>
        <w:t>ȶʰ</w:t>
      </w:r>
      <w:r>
        <w:rPr>
          <w:rFonts w:ascii="PMingLiU" w:cs="PMingLiU" w:eastAsia="PMingLiU" w:hAnsi="PMingLiU"/>
          <w:sz w:val="18"/>
          <w:szCs w:val="18"/>
          <w:color w:val="auto"/>
        </w:rPr>
        <w:t/>
      </w:r>
      <w:r>
        <w:rPr>
          <w:rFonts w:ascii="Arial" w:cs="Arial" w:eastAsia="Arial" w:hAnsi="Arial"/>
          <w:sz w:val="18"/>
          <w:szCs w:val="18"/>
          <w:color w:val="auto"/>
        </w:rPr>
        <w:t xml:space="preserve"> ƃȴǉȶǁȴǉȶɽ</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:Ɂǁǉ</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KɽȃȈƺɰ</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ƃȶʰ</w:t>
      </w:r>
      <w:r>
        <w:rPr>
          <w:rFonts w:ascii="PMingLiU" w:cs="PMingLiU" w:eastAsia="PMingLiU" w:hAnsi="PMingLiU"/>
          <w:sz w:val="18"/>
          <w:szCs w:val="18"/>
          <w:color w:val="auto"/>
        </w:rPr>
        <w:t/>
      </w:r>
      <w:r>
        <w:rPr>
          <w:rFonts w:ascii="Arial" w:cs="Arial" w:eastAsia="Arial" w:hAnsi="Arial"/>
          <w:sz w:val="18"/>
          <w:szCs w:val="18"/>
          <w:color w:val="auto"/>
        </w:rPr>
        <w:t xml:space="preserve"> ʥƃȈʤǉɨ</w:t>
      </w:r>
      <w:r>
        <w:rPr>
          <w:rFonts w:ascii="PMingLiU" w:cs="PMingLiU" w:eastAsia="PMingLiU" w:hAnsi="PMingLiU"/>
          <w:sz w:val="18"/>
          <w:szCs w:val="18"/>
          <w:color w:val="auto"/>
        </w:rPr>
        <w:t/>
      </w:r>
      <w:r>
        <w:rPr>
          <w:rFonts w:ascii="Arial" w:cs="Arial" w:eastAsia="Arial" w:hAnsi="Arial"/>
          <w:sz w:val="18"/>
          <w:szCs w:val="18"/>
          <w:color w:val="auto"/>
        </w:rPr>
        <w:t xml:space="preserve"> ƃɥɥȢȈƺƃƹȢǉ</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 xml:space="preserve"> ǁȈɨǉƺɽɁɨɰ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ǉʯǉƺʍɽȈʤǉ</w:t>
      </w:r>
      <w:r>
        <w:rPr>
          <w:rFonts w:ascii="PMingLiU" w:cs="PMingLiU" w:eastAsia="PMingLiU" w:hAnsi="PMingLiU"/>
          <w:sz w:val="18"/>
          <w:szCs w:val="18"/>
          <w:color w:val="auto"/>
        </w:rPr>
        <w:t/>
      </w:r>
      <w:r>
        <w:rPr>
          <w:rFonts w:ascii="Arial" w:cs="Arial" w:eastAsia="Arial" w:hAnsi="Arial"/>
          <w:sz w:val="18"/>
          <w:szCs w:val="18"/>
          <w:color w:val="auto"/>
        </w:rPr>
        <w:t xml:space="preserve"> ɁǹǹȈƺǉɨɰ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Ɂɨ</w:t>
      </w:r>
      <w:r>
        <w:rPr>
          <w:rFonts w:ascii="PMingLiU" w:cs="PMingLiU" w:eastAsia="PMingLiU" w:hAnsi="PMingLiU"/>
          <w:sz w:val="18"/>
          <w:szCs w:val="18"/>
          <w:color w:val="auto"/>
        </w:rPr>
        <w:t/>
      </w:r>
      <w:r>
        <w:rPr>
          <w:rFonts w:ascii="Arial" w:cs="Arial" w:eastAsia="Arial" w:hAnsi="Arial"/>
          <w:sz w:val="18"/>
          <w:szCs w:val="18"/>
          <w:color w:val="auto"/>
        </w:rPr>
        <w:t xml:space="preserve"> ɰǉȶȈɁɨ</w:t>
      </w:r>
      <w:r>
        <w:rPr>
          <w:rFonts w:ascii="PMingLiU" w:cs="PMingLiU" w:eastAsia="PMingLiU" w:hAnsi="PMingLiU"/>
          <w:sz w:val="18"/>
          <w:szCs w:val="18"/>
          <w:color w:val="auto"/>
        </w:rPr>
        <w:t/>
      </w:r>
      <w:r>
        <w:rPr>
          <w:rFonts w:ascii="Arial" w:cs="Arial" w:eastAsia="Arial" w:hAnsi="Arial"/>
          <w:sz w:val="18"/>
          <w:szCs w:val="18"/>
          <w:color w:val="auto"/>
        </w:rPr>
        <w:t>ǹȈȶƃȶƺȈƃȢ</w:t>
      </w:r>
      <w:r>
        <w:rPr>
          <w:rFonts w:ascii="PMingLiU" w:cs="PMingLiU" w:eastAsia="PMingLiU" w:hAnsi="PMingLiU"/>
          <w:sz w:val="18"/>
          <w:szCs w:val="18"/>
          <w:color w:val="auto"/>
        </w:rPr>
        <w:t/>
      </w:r>
      <w:r>
        <w:rPr>
          <w:rFonts w:ascii="Arial" w:cs="Arial" w:eastAsia="Arial" w:hAnsi="Arial"/>
          <w:sz w:val="18"/>
          <w:szCs w:val="18"/>
          <w:color w:val="auto"/>
        </w:rPr>
        <w:t xml:space="preserve">ɁǹǹȈƺǉɨɰ </w:t>
      </w:r>
      <w:r>
        <w:rPr>
          <w:rFonts w:ascii="PMingLiU" w:cs="PMingLiU" w:eastAsia="PMingLiU" w:hAnsi="PMingLiU"/>
          <w:sz w:val="18"/>
          <w:szCs w:val="18"/>
          <w:color w:val="auto"/>
        </w:rPr>
        <w:t/>
      </w:r>
      <w:r>
        <w:rPr>
          <w:rFonts w:ascii="Arial" w:cs="Arial" w:eastAsia="Arial" w:hAnsi="Arial"/>
          <w:sz w:val="18"/>
          <w:szCs w:val="18"/>
          <w:color w:val="auto"/>
        </w:rPr>
        <w:t xml:space="preserve">ʥȈȢȢ </w:t>
      </w:r>
      <w:r>
        <w:rPr>
          <w:rFonts w:ascii="PMingLiU" w:cs="PMingLiU" w:eastAsia="PMingLiU" w:hAnsi="PMingLiU"/>
          <w:sz w:val="18"/>
          <w:szCs w:val="18"/>
          <w:color w:val="auto"/>
        </w:rPr>
        <w:t/>
      </w:r>
      <w:r>
        <w:rPr>
          <w:rFonts w:ascii="Arial" w:cs="Arial" w:eastAsia="Arial" w:hAnsi="Arial"/>
          <w:sz w:val="18"/>
          <w:szCs w:val="18"/>
          <w:color w:val="auto"/>
        </w:rPr>
        <w:t>ƹǉ</w:t>
      </w:r>
      <w:r>
        <w:rPr>
          <w:rFonts w:ascii="PMingLiU" w:cs="PMingLiU" w:eastAsia="PMingLiU" w:hAnsi="PMingLiU"/>
          <w:sz w:val="18"/>
          <w:szCs w:val="18"/>
          <w:color w:val="auto"/>
        </w:rPr>
        <w:t/>
      </w:r>
      <w:r>
        <w:rPr>
          <w:rFonts w:ascii="Arial" w:cs="Arial" w:eastAsia="Arial" w:hAnsi="Arial"/>
          <w:sz w:val="18"/>
          <w:szCs w:val="18"/>
          <w:color w:val="auto"/>
        </w:rPr>
        <w:t xml:space="preserve">ɥɁɰɽǉǁ </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ʥǉƹɰȈɽǉ</w:t>
      </w:r>
      <w:r>
        <w:rPr>
          <w:rFonts w:ascii="PMingLiU" w:cs="PMingLiU" w:eastAsia="PMingLiU" w:hAnsi="PMingLiU"/>
          <w:sz w:val="18"/>
          <w:szCs w:val="18"/>
          <w:color w:val="auto"/>
        </w:rPr>
        <w:t/>
      </w:r>
      <w:r>
        <w:rPr>
          <w:rFonts w:ascii="Arial" w:cs="Arial" w:eastAsia="Arial" w:hAnsi="Arial"/>
          <w:sz w:val="18"/>
          <w:szCs w:val="18"/>
          <w:color w:val="auto"/>
        </w:rPr>
        <w:t xml:space="preserve">ʥȈɽȃȈȶ </w:t>
      </w:r>
      <w:r>
        <w:rPr>
          <w:rFonts w:ascii="PMingLiU" w:cs="PMingLiU" w:eastAsia="PMingLiU" w:hAnsi="PMingLiU"/>
          <w:sz w:val="18"/>
          <w:szCs w:val="18"/>
          <w:color w:val="auto"/>
        </w:rPr>
        <w:t/>
      </w:r>
      <w:r>
        <w:rPr>
          <w:rFonts w:ascii="Arial" w:cs="Arial" w:eastAsia="Arial" w:hAnsi="Arial"/>
          <w:sz w:val="18"/>
          <w:szCs w:val="18"/>
          <w:color w:val="auto"/>
        </w:rPr>
        <w:t xml:space="preserve">ɽȃǉ </w:t>
      </w:r>
      <w:r>
        <w:rPr>
          <w:rFonts w:ascii="PMingLiU" w:cs="PMingLiU" w:eastAsia="PMingLiU" w:hAnsi="PMingLiU"/>
          <w:sz w:val="18"/>
          <w:szCs w:val="18"/>
          <w:color w:val="auto"/>
        </w:rPr>
        <w:t/>
      </w:r>
      <w:r>
        <w:rPr>
          <w:rFonts w:ascii="Arial" w:cs="Arial" w:eastAsia="Arial" w:hAnsi="Arial"/>
          <w:sz w:val="18"/>
          <w:szCs w:val="18"/>
          <w:color w:val="auto"/>
        </w:rPr>
        <w:t>ɽȈȴǉ</w:t>
      </w:r>
      <w:r>
        <w:rPr>
          <w:rFonts w:ascii="PMingLiU" w:cs="PMingLiU" w:eastAsia="PMingLiU" w:hAnsi="PMingLiU"/>
          <w:sz w:val="18"/>
          <w:szCs w:val="18"/>
          <w:color w:val="auto"/>
        </w:rPr>
        <w:t/>
      </w:r>
      <w:r>
        <w:rPr>
          <w:rFonts w:ascii="Arial" w:cs="Arial" w:eastAsia="Arial" w:hAnsi="Arial"/>
          <w:sz w:val="18"/>
          <w:szCs w:val="18"/>
          <w:color w:val="auto"/>
        </w:rPr>
        <w:t>ɥǉɨȈɁǁ</w:t>
      </w:r>
      <w:r>
        <w:rPr>
          <w:rFonts w:ascii="PMingLiU" w:cs="PMingLiU" w:eastAsia="PMingLiU" w:hAnsi="PMingLiU"/>
          <w:sz w:val="18"/>
          <w:szCs w:val="18"/>
          <w:color w:val="auto"/>
        </w:rPr>
        <w:t/>
      </w:r>
      <w:r>
        <w:rPr>
          <w:rFonts w:ascii="Arial" w:cs="Arial" w:eastAsia="Arial" w:hAnsi="Arial"/>
          <w:sz w:val="18"/>
          <w:szCs w:val="18"/>
          <w:color w:val="auto"/>
        </w:rPr>
        <w:t>ɨǉɧʍȈɨǉǁ</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 xml:space="preserve">ɽȃǉ </w:t>
      </w:r>
      <w:r>
        <w:rPr>
          <w:rFonts w:ascii="PMingLiU" w:cs="PMingLiU" w:eastAsia="PMingLiU" w:hAnsi="PMingLiU"/>
          <w:sz w:val="18"/>
          <w:szCs w:val="18"/>
          <w:color w:val="auto"/>
        </w:rPr>
        <w:t/>
      </w:r>
      <w:r>
        <w:rPr>
          <w:rFonts w:ascii="Arial" w:cs="Arial" w:eastAsia="Arial" w:hAnsi="Arial"/>
          <w:sz w:val="18"/>
          <w:szCs w:val="18"/>
          <w:color w:val="auto"/>
        </w:rPr>
        <w:t>ČK:</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Çƃɰǁƃɧ</w:t>
      </w:r>
      <w:r>
        <w:rPr>
          <w:rFonts w:ascii="Arial" w:cs="Arial" w:eastAsia="Arial" w:hAnsi="Arial"/>
          <w:sz w:val="18"/>
          <w:szCs w:val="18"/>
          <w:color w:val="auto"/>
        </w:rPr>
        <w:t>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information posted on our website is not incorporated into this Annual Report or any other filing made by Roper with the SEC.</w:t>
      </w:r>
    </w:p>
    <w:p>
      <w:pPr>
        <w:sectPr>
          <w:pgSz w:w="12240" w:h="15840" w:orient="portrait"/>
          <w:cols w:equalWidth="0" w:num="1">
            <w:col w:w="10380"/>
          </w:cols>
          <w:pgMar w:left="960" w:top="926" w:right="90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26" w:right="900" w:bottom="90" w:gutter="0" w:footer="0" w:header="0"/>
          <w:type w:val="continuous"/>
        </w:sectPr>
      </w:pPr>
    </w:p>
    <w:bookmarkStart w:id="16" w:name="page17"/>
    <w:bookmarkEnd w:id="16"/>
    <w:p>
      <w:pPr>
        <w:spacing w:after="0"/>
        <w:rPr>
          <w:sz w:val="20"/>
          <w:szCs w:val="20"/>
          <w:color w:val="auto"/>
        </w:rPr>
      </w:pPr>
      <w:r>
        <w:rPr>
          <w:rFonts w:ascii="Arial" w:cs="Arial" w:eastAsia="Arial" w:hAnsi="Arial"/>
          <w:sz w:val="24"/>
          <w:szCs w:val="24"/>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ITEM 1A | RISK FACTORS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41"/>
        </w:rPr>
        <w:t>RISKS RELATED TO OUR BUSINESS OPERATIONS</w:t>
      </w:r>
    </w:p>
    <w:p>
      <w:pPr>
        <w:spacing w:after="0" w:line="176" w:lineRule="exact"/>
        <w:rPr>
          <w:sz w:val="20"/>
          <w:szCs w:val="20"/>
          <w:color w:val="auto"/>
        </w:rPr>
      </w:pPr>
    </w:p>
    <w:p>
      <w:pPr>
        <w:jc w:val="both"/>
        <w:spacing w:after="0" w:line="322" w:lineRule="auto"/>
        <w:rPr>
          <w:sz w:val="20"/>
          <w:szCs w:val="20"/>
          <w:color w:val="auto"/>
        </w:rPr>
      </w:pPr>
      <w:r>
        <w:rPr>
          <w:rFonts w:ascii="Arial" w:cs="Arial" w:eastAsia="Arial" w:hAnsi="Arial"/>
          <w:sz w:val="18"/>
          <w:szCs w:val="18"/>
          <w:i w:val="1"/>
          <w:iCs w:val="1"/>
          <w:color w:val="auto"/>
        </w:rPr>
        <w:t>Our growth strategy includes acquisitions. We may not be able to identify suitable acquisition candidates, complete acquisitions, or integrate acquisitions successfully.</w:t>
      </w:r>
    </w:p>
    <w:p>
      <w:pPr>
        <w:jc w:val="both"/>
        <w:spacing w:after="0" w:line="265" w:lineRule="auto"/>
        <w:rPr>
          <w:sz w:val="20"/>
          <w:szCs w:val="20"/>
          <w:color w:val="auto"/>
        </w:rPr>
      </w:pPr>
      <w:r>
        <w:rPr>
          <w:rFonts w:ascii="Arial" w:cs="Arial" w:eastAsia="Arial" w:hAnsi="Arial"/>
          <w:sz w:val="18"/>
          <w:szCs w:val="18"/>
          <w:color w:val="auto"/>
        </w:rPr>
        <w:t>Our future rate of growth is highly dependent on our ability to acquire and successfully integrate new businesses. We intend to seek additional acquisition opportunities, both to expand into new markets and to enhance our position in existing markets. There are no assurances, however, that we will be able to successfully identify suitable candidates, negotiate appropriate terms, obtain financing on acceptable terms, complete proposed acquisitions, receive the nec-essary regulatory approvals (including clearance under the Hart-Scott-Rodino Act in the U.S. and similar antitrust reg-ulations in foreign countries), successfully integrate acquired businesses, or expand into new markets. Once acquired, operations may not achieve anticipated levels of revenues, profitability, or cash flows.</w:t>
      </w:r>
    </w:p>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including but not limited to cybersecurity risks and susceptibility to market disruption from AI or otherwise, there are no assurances that we will properly ascertain all such risks. Acquisitions may involve significant cash expenditures, debt incurrences, equity issu-ances, and expenses. Difficulties encountered with acquisitions may have a material adverse effect on our business, financial condition, and results of operations.</w:t>
      </w:r>
    </w:p>
    <w:p>
      <w:pPr>
        <w:spacing w:after="0" w:line="322" w:lineRule="exact"/>
        <w:rPr>
          <w:sz w:val="20"/>
          <w:szCs w:val="20"/>
          <w:color w:val="auto"/>
        </w:rPr>
      </w:pPr>
    </w:p>
    <w:p>
      <w:pPr>
        <w:jc w:val="both"/>
        <w:spacing w:after="0" w:line="289" w:lineRule="auto"/>
        <w:rPr>
          <w:sz w:val="20"/>
          <w:szCs w:val="20"/>
          <w:color w:val="auto"/>
        </w:rPr>
      </w:pPr>
      <w:r>
        <w:rPr>
          <w:rFonts w:ascii="Arial" w:cs="Arial" w:eastAsia="Arial" w:hAnsi="Arial"/>
          <w:sz w:val="18"/>
          <w:szCs w:val="18"/>
          <w:i w:val="1"/>
          <w:iCs w:val="1"/>
          <w:color w:val="auto"/>
        </w:rPr>
        <w:t>Our technology is important to our success, and our failure to protect this technology could put us at a competitive disadvantage.</w:t>
      </w:r>
    </w:p>
    <w:p>
      <w:pPr>
        <w:spacing w:after="0" w:line="30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Many of our products and services rely on proprietary technology; therefore, we believe that the development and protection of intellectual property rights through patents, copyrights, trade secrets, trademarks, confidentiality agree-ments, and other contractual provisions are important to the future success of our business. Despite our efforts to protect proprietary rights, unauthorized parties or competitors may copy or otherwise obtain and use our products or technology, including through misappropriation through contractors or other third parties. Actions to enforce these rights may result in substantial costs and diversion of resources, and we make no assurances that any such actions will be successful, particularly given evolving uncertainty regarding protection and ownership of AI-assisted outputs.</w:t>
      </w:r>
    </w:p>
    <w:p>
      <w:pPr>
        <w:spacing w:after="0" w:line="9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We rely on information and technology, including third-party cloud computing platforms and other third-party business partners, for many of our business operations which could fail and cause disruption to our business operations.</w:t>
      </w:r>
    </w:p>
    <w:p>
      <w:pPr>
        <w:spacing w:after="0" w:line="2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business operations are dependent upon information technology networks and systems to securely transmit, pro-cess, and store information and to communicate among our locations around the world and with clients, suppliers, and business partners. A shutdown of, or inability to access, one or more of our facilities, a power outage, or a failure of one or more of our information technology, telecommunications, or other systems could significantly impair our ability to per-form such functions on a timely basis. Our compliance, cybersecurity and data privacy programs, cybersecurity technol-ogy, and risk management cannot eliminate all system risk. Credential compromise and identity-based attacks represent risks, and while we deploy identity threat protection and multi-factor authentication across our enterprise systems, determined attackers may still gain unauthorized access through sophisticated credential theft, session hijacking, social engineering, or privilege escalation techniques. Cybersecurity incidents including ransomware attacks, insider threats, system disruptions, and configuration errors could result in the misappropriation or corruption of data and assets, or disruptions to our business strategy, results of operations, and financial condition, and may require notification to cus-tomers and regulators with associated investigation, remediation, and monitoring obligations. These disruptions may include, but are not limited to, interruptions to business operations, loss of intellectual property, release of confidential information, alteration or corruption of data or systems, costs related to remediation or the payment of ransom, litigation (including individual claims, consumer class actions, or commercial litigation), administrative, civil, or criminal investiga-tions or actions, regulatory intervention and sanctions or fines, investigation and remediation costs, and prolonged neg-ative publicity. While we have experienced disruptions, and our Vertafore business was previously subject to litigation regarding the exposure of data which was dismissed, none of these matters had a significant impact on our business.</w:t>
      </w:r>
    </w:p>
    <w:p>
      <w:pPr>
        <w:spacing w:after="0" w:line="2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business partners such as third-party data centers and cloud platforms, such as Amazon Web Services, Google Cloud Platform, Microsoft Azure, and Oracle Cloud to host certain enterprise and customer systems. Our software devel-opment and business operations rely on open-source components, third-party software libraries, and vendor dependen-cies that could contain undisclosed vulnerabilities, be subject to supply chain attacks, or become unavailable, potentially affecting our products, hosted services, and internal systems. Our ability to monitor such third parties’ security measures and the full impact of the systemic risk is limited, and concentration with a limited number of providers increases expo-sure to outages and pricing changes. If any third-party system or cloud platform that we use is unavailable to us for any reason, our customers may experience service interruptions, which could significantly impact our operations, reputation, business, and financial results. Failure of our systems or those of our third-party service providers, may result in</w:t>
      </w:r>
    </w:p>
    <w:p>
      <w:pPr>
        <w:sectPr>
          <w:pgSz w:w="12240" w:h="15840" w:orient="portrait"/>
          <w:cols w:equalWidth="0" w:num="1">
            <w:col w:w="10320"/>
          </w:cols>
          <w:pgMar w:left="960" w:top="920" w:right="960" w:bottom="90" w:gutter="0" w:footer="0" w:header="0"/>
        </w:sectPr>
      </w:pPr>
    </w:p>
    <w:p>
      <w:pPr>
        <w:spacing w:after="0" w:line="141" w:lineRule="exact"/>
        <w:rPr>
          <w:sz w:val="20"/>
          <w:szCs w:val="20"/>
          <w:color w:val="auto"/>
        </w:rPr>
      </w:pPr>
    </w:p>
    <w:p>
      <w:pPr>
        <w:ind w:left="3500"/>
        <w:spacing w:after="0" w:line="146" w:lineRule="exact"/>
        <w:tabs>
          <w:tab w:leader="none" w:pos="1018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0"/>
          <w:szCs w:val="10"/>
          <w:color w:val="auto"/>
        </w:rPr>
        <w:t>15</w:t>
      </w:r>
    </w:p>
    <w:p>
      <w:pPr>
        <w:sectPr>
          <w:pgSz w:w="12240" w:h="15840" w:orient="portrait"/>
          <w:cols w:equalWidth="0" w:num="1">
            <w:col w:w="10320"/>
          </w:cols>
          <w:pgMar w:left="960" w:top="920" w:right="960" w:bottom="90" w:gutter="0" w:footer="0" w:header="0"/>
          <w:type w:val="continuous"/>
        </w:sectPr>
      </w:pPr>
    </w:p>
    <w:bookmarkStart w:id="17" w:name="page18"/>
    <w:bookmarkEnd w:id="17"/>
    <w:p>
      <w:pPr>
        <w:jc w:val="both"/>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interruptions in our service and loss of data or processing capabilities, all of which may cause a loss in customers, refunds of product fees, and/or material harm to our reputation and operating results. While certain of our businesses have expe-rienced temporary disruptions, their impact has been limited and did not have a significant impact on our businesses.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Global cybersecurity threats are rapidly evolving and attacks to identities, networks, platforms, systems, and end-points can range from uncoordinated individual attempts to sophisticated and targeted measures known as advanced persistent threats, directed at the Company, its businesses, its customers, and/or its third-party service providers, including, but not limited to, cloud providers and providers of network management services. These may include such things as unauthorized access, phishing attacks, denial of service, insider threats, data exfiltration and extortion, introduction of malware or ransomware, and other disruptive problems caused by threat actors. We face emerging risks from AI -powered attacks, including deepfakes used to impersonate executives or customers, AI-assisted social engineering, prompt injection attempts against AI systems, and data poisoning targeting machine learning models. These sophisticated attack techniques may bypass traditional security controls. Additionally, zero -day vulnerabilities, which are previously unknown security flaws with no available patches, pose risks that cannot be fully mitigated through our standard vulnerability management processes, requiring rapid detection and response capabilities to minimize potential damage. While we have experienced and expect to continue to experience these types of cyber-security threats and incidents, none of them to date have been material to the Company.</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deploy measures to protect, detect, respond, and recover from cybersecurity threats and incidents, including identity and access controls, employee training, data protection, vulnerability management, incident response, secure product development, continuous monitoring of our networks, platforms, endpoints, and systems, and maintenance of ransomware resilient backup and recovery capabilities. Our customers are increasingly requiring cybersecurity protec-tions and mandating cybersecurity standards in our products and services, and we may incur additional costs to comply with such demands. Despite these efforts, we can make no assurances that we will be able to mitigate, detect, prevent, timely and adequately respond, or fully recover from the negative effects of cybersecurity incidents, and such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financial loss, reputational damage, damage to our IT systems, data loss, litigation, theft of intellectual property, regulatory fines, customer attrition, diminution in the value of our investments in research and development (“R&amp;D”), and increased cybersecurity protection and remediation costs, which may not be fully covered by insurance and could adversely affect our competitiveness and results of operations. Any imposition of liability, particularly liability that is not covered by insur-ance or is in excess of insurance coverage, could materially harm our operating results and financial condition.</w:t>
      </w:r>
    </w:p>
    <w:p>
      <w:pPr>
        <w:spacing w:after="0" w:line="108" w:lineRule="exact"/>
        <w:rPr>
          <w:sz w:val="20"/>
          <w:szCs w:val="20"/>
          <w:color w:val="auto"/>
        </w:rPr>
      </w:pPr>
    </w:p>
    <w:p>
      <w:pPr>
        <w:jc w:val="both"/>
        <w:spacing w:after="0" w:line="322" w:lineRule="auto"/>
        <w:rPr>
          <w:sz w:val="20"/>
          <w:szCs w:val="20"/>
          <w:color w:val="auto"/>
        </w:rPr>
      </w:pPr>
      <w:r>
        <w:rPr>
          <w:rFonts w:ascii="Arial" w:cs="Arial" w:eastAsia="Arial" w:hAnsi="Arial"/>
          <w:sz w:val="18"/>
          <w:szCs w:val="18"/>
          <w:i w:val="1"/>
          <w:iCs w:val="1"/>
          <w:color w:val="auto"/>
        </w:rPr>
        <w:t>We use AI in our business, and challenges with properly managing its use could result in reputational harm, competitive harm, and legal liability, and adversely affect our results of operations.</w:t>
      </w:r>
    </w:p>
    <w:p>
      <w:pPr>
        <w:jc w:val="both"/>
        <w:spacing w:after="0" w:line="260" w:lineRule="auto"/>
        <w:rPr>
          <w:sz w:val="20"/>
          <w:szCs w:val="20"/>
          <w:color w:val="auto"/>
        </w:rPr>
      </w:pPr>
      <w:r>
        <w:rPr>
          <w:rFonts w:ascii="Arial" w:cs="Arial" w:eastAsia="Arial" w:hAnsi="Arial"/>
          <w:sz w:val="18"/>
          <w:szCs w:val="18"/>
          <w:color w:val="auto"/>
        </w:rPr>
        <w:t>We are increasingly incorporating AI solutions into our platforms, offerings, services, and operations, and we expect that AI will continue to become a more integral part of our business over time. Our competitors, AI companies, or other third parties may incorporate AI into their products or operations more quickly or successfully than us, or develop superior products and services with the aid of AI, which could impair our ability to compete effectively and adversely affect our results of operations. The rapid pace of AI advancement may make it difficult to maintain competitive advantages, and AI capabilities could quickly become commoditized, reducing our ability to differentiate our offerings. Additionally, we may face challenges in protecting AI-generated innovations as intellectual property protections for AI-created materials remain uncertain in many jurisdictions. Competitors may be able to reverse-engineer or replicate our AI capabilities, and questions regarding ownership of AI-generated content or inventions could create legal uncertainties. Furthermore, if we use AI that is based on data, algorithms, or other inputs that are flawed, or if the AI assists in producing content, analyses, or recommendations that are or are alleged to be deficient, inaccurate, violative of third-party intellectual property, or biased, our business, financial condition, and results of operations may be adversely affected.</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rely on third-party AI platforms and services, including proprietary and open-source large language models and other AI technologies provided by companies such as OpenAI, Anthropic, Google, and Microsoft. These providers may change their terms of service, increase pricing, discontinue services, experience outages, decline to provide certain indemnities, or make changes to their AI models that adversely affect our products or operations. As AI becomes more central to our offerings, our exposure to pricing changes from these providers increases, and we may not be able to pass such cost increases on to our customers. We have limited control over these third-party AI systems and their updates, and any disruption in access to these services could have a significant impact on our business. The use of AI applications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reputational, or competitive harm, or legal liability.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 insurance risks, product recalls, and increased insurance costs could harm our operating results.</w:t>
      </w:r>
    </w:p>
    <w:p>
      <w:pPr>
        <w:spacing w:after="0" w:line="129"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Our business exposes us to product liability risks in the design, manufacture, and distribution of our products. Manufacturing or design defects could lead to recalls or safety alerts relating to our products (either voluntary or as</w:t>
      </w:r>
    </w:p>
    <w:p>
      <w:pPr>
        <w:sectPr>
          <w:pgSz w:w="12240" w:h="15840" w:orient="portrait"/>
          <w:cols w:equalWidth="0" w:num="1">
            <w:col w:w="10320"/>
          </w:cols>
          <w:pgMar w:left="960" w:top="935" w:right="960" w:bottom="90" w:gutter="0" w:footer="0" w:header="0"/>
        </w:sectPr>
      </w:pPr>
    </w:p>
    <w:p>
      <w:pPr>
        <w:spacing w:after="0" w:line="136"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16</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20"/>
          </w:cols>
          <w:pgMar w:left="960" w:top="935" w:right="960" w:bottom="90" w:gutter="0" w:footer="0" w:header="0"/>
          <w:type w:val="continuous"/>
        </w:sectPr>
      </w:pPr>
    </w:p>
    <w:bookmarkStart w:id="18" w:name="page19"/>
    <w:bookmarkEnd w:id="18"/>
    <w:p>
      <w:pPr>
        <w:jc w:val="both"/>
        <w:ind w:right="4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required by regulatory authorities), and could result, in certain cases, in the removal of a product from the market which could result in significant costs, lost sales and customers, enforcement actions and/or investigations, as well as negative publicity and damage to our reputation. Personal injuries relating to the use of our products can also result in product liability claims being brought against us. We currently have product liability insurance; however, we may not be able to maintain our insurance at a reasonable cost or in amounts sufficient to adequately protect us against losses, and alleged defects or vulnerabilities in products may lead to claims for data loss, business interruption, or pri-vacy violations that may not be fully covered by insurance. We also maintain other insurance policies, including direc-tors’ and officers’ liability insurance and cybersecurity insurance. We believe we have adequately accrued estimated losses, principally related to deductible amounts under our insurance policies, with respect to all product liability and other claims, based upon our past experience and available facts. However, a successful product liability or other claim or series of claims brought against us could have a material adverse effect on our business, financial condition, and results of operations. In addition, a significant increase in our insurance costs or the imposition of a liability that is not covered by insurance or is in excess of insurance coverage, could have an adverse impact on our operating results.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could be adversely affected by a reduction in business with our large customers.</w:t>
      </w:r>
    </w:p>
    <w:p>
      <w:pPr>
        <w:spacing w:after="0" w:line="129" w:lineRule="exact"/>
        <w:rPr>
          <w:sz w:val="20"/>
          <w:szCs w:val="20"/>
          <w:color w:val="auto"/>
        </w:rPr>
      </w:pPr>
    </w:p>
    <w:p>
      <w:pPr>
        <w:jc w:val="both"/>
        <w:ind w:right="40"/>
        <w:spacing w:after="0" w:line="269" w:lineRule="auto"/>
        <w:rPr>
          <w:sz w:val="20"/>
          <w:szCs w:val="20"/>
          <w:color w:val="auto"/>
        </w:rPr>
      </w:pPr>
      <w:r>
        <w:rPr>
          <w:rFonts w:ascii="Arial" w:cs="Arial" w:eastAsia="Arial" w:hAnsi="Arial"/>
          <w:sz w:val="18"/>
          <w:szCs w:val="18"/>
          <w:color w:val="auto"/>
        </w:rPr>
        <w:t>In some of our businesses, we derive a significant amount of revenue from large customers. The loss or reduction of any significant contracts with any of these customers could reduce our net revenues and cash flows. Additionally, many of our products support projects for government entities. In many situations, government entities can unilater-ally terminate or modify existing contracts without cause and without penalty to the government agency, and gov-ernment contracts may be subject to specialized compliance obligations, audits, investigations, and bid processes that can delay awards and increase costs.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Unfavorable changes in foreign exchange rates may harm our business.</w:t>
      </w:r>
    </w:p>
    <w:p>
      <w:pPr>
        <w:spacing w:after="0" w:line="129"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auto"/>
        </w:rPr>
        <w:t xml:space="preserve">Several of our subsidiaries have transactions and balances denominated in currencies other than the U.S. dollar. Most of these transactions and balances are denominated in British pounds, Canadian dollars, or euros. Sales by our oper-ating companies whose functional currency is not the U.S. dollar represented 9% of our total net revenues for both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ɨǉɰɥǉƺɽȈʤǉȢʰ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ĩȶǹƃʤɁɨƃƹȢǉ</w:t>
      </w:r>
      <w:r>
        <w:rPr>
          <w:rFonts w:ascii="PMingLiU" w:cs="PMingLiU" w:eastAsia="PMingLiU" w:hAnsi="PMingLiU"/>
          <w:sz w:val="18"/>
          <w:szCs w:val="18"/>
          <w:color w:val="auto"/>
        </w:rPr>
        <w:t/>
      </w:r>
      <w:r>
        <w:rPr>
          <w:rFonts w:ascii="Arial" w:cs="Arial" w:eastAsia="Arial" w:hAnsi="Arial"/>
          <w:sz w:val="18"/>
          <w:szCs w:val="18"/>
          <w:color w:val="auto"/>
        </w:rPr>
        <w:t xml:space="preserve"> ƺȃƃȶǼǉɰ</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ǉʯƺȃƃȶǼǉ</w:t>
      </w:r>
      <w:r>
        <w:rPr>
          <w:rFonts w:ascii="PMingLiU" w:cs="PMingLiU" w:eastAsia="PMingLiU" w:hAnsi="PMingLiU"/>
          <w:sz w:val="18"/>
          <w:szCs w:val="18"/>
          <w:color w:val="auto"/>
        </w:rPr>
        <w:t/>
      </w:r>
      <w:r>
        <w:rPr>
          <w:rFonts w:ascii="Arial" w:cs="Arial" w:eastAsia="Arial" w:hAnsi="Arial"/>
          <w:sz w:val="18"/>
          <w:szCs w:val="18"/>
          <w:color w:val="auto"/>
        </w:rPr>
        <w:t>ɨƃɽǉɰ</w:t>
      </w:r>
      <w:r>
        <w:rPr>
          <w:rFonts w:ascii="PMingLiU" w:cs="PMingLiU" w:eastAsia="PMingLiU" w:hAnsi="PMingLiU"/>
          <w:sz w:val="18"/>
          <w:szCs w:val="18"/>
          <w:color w:val="auto"/>
        </w:rPr>
        <w:t/>
      </w:r>
      <w:r>
        <w:rPr>
          <w:rFonts w:ascii="Arial" w:cs="Arial" w:eastAsia="Arial" w:hAnsi="Arial"/>
          <w:sz w:val="18"/>
          <w:szCs w:val="18"/>
          <w:color w:val="auto"/>
        </w:rPr>
        <w:t>ƹǉɽʥǉǉȶ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ĩ</w:t>
      </w:r>
      <w:r>
        <w:rPr>
          <w:rFonts w:ascii="Arial" w:cs="Arial" w:eastAsia="Arial" w:hAnsi="Arial"/>
          <w:sz w:val="18"/>
          <w:szCs w:val="18"/>
          <w:color w:val="auto"/>
        </w:rPr>
        <w:t>ӝ</w:t>
      </w:r>
      <w:r>
        <w:rPr>
          <w:rFonts w:ascii="Arial" w:cs="Arial" w:eastAsia="Arial" w:hAnsi="Arial"/>
          <w:sz w:val="18"/>
          <w:szCs w:val="18"/>
          <w:color w:val="auto"/>
        </w:rPr>
        <w:t>Č</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dollar and those currencies could reduce our reported net revenues and net earnings.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intense competition. If we do not compete effectively, our business may suffer.</w:t>
      </w:r>
    </w:p>
    <w:p>
      <w:pPr>
        <w:spacing w:after="0" w:line="129" w:lineRule="exact"/>
        <w:rPr>
          <w:sz w:val="20"/>
          <w:szCs w:val="20"/>
          <w:color w:val="auto"/>
        </w:rPr>
      </w:pPr>
    </w:p>
    <w:p>
      <w:pPr>
        <w:jc w:val="both"/>
        <w:ind w:right="40"/>
        <w:spacing w:after="0" w:line="265" w:lineRule="auto"/>
        <w:rPr>
          <w:sz w:val="20"/>
          <w:szCs w:val="20"/>
          <w:color w:val="auto"/>
        </w:rPr>
      </w:pPr>
      <w:r>
        <w:rPr>
          <w:rFonts w:ascii="Arial" w:cs="Arial" w:eastAsia="Arial" w:hAnsi="Arial"/>
          <w:sz w:val="18"/>
          <w:szCs w:val="18"/>
          <w:color w:val="auto"/>
        </w:rPr>
        <w:t>We face intense competition from numerous competitors in our various businesses. Our products compete primarily on the basis of product quality, performance, innovation, technology, price, applications expertise, system and service flexibility, distribution channel access, and established customer service capabilities. We may not be able to compete effectively on all of these fronts or with all of our competitors. Moreover, competition may require us to adjust prices to stay competitive. In addition, new competitors may emerge, and product lines may be threatened by new technol-ogies, including AI, or market trends that reduce the value of these product lines. To remain competitive, we must develop new products, respond to new technologies, and enhance our existing products in a timely manner.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indebtedness may affect our business and may restrict our operating flexibility.</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 xml:space="preserve"> ɽɁɽƃȢ</w:t>
      </w:r>
      <w:r>
        <w:rPr>
          <w:rFonts w:ascii="PMingLiU" w:cs="PMingLiU" w:eastAsia="PMingLiU" w:hAnsi="PMingLiU"/>
          <w:sz w:val="18"/>
          <w:szCs w:val="18"/>
          <w:color w:val="auto"/>
        </w:rPr>
        <w:t/>
      </w:r>
      <w:r>
        <w:rPr>
          <w:rFonts w:ascii="Arial" w:cs="Arial" w:eastAsia="Arial" w:hAnsi="Arial"/>
          <w:sz w:val="18"/>
          <w:szCs w:val="18"/>
          <w:color w:val="auto"/>
        </w:rPr>
        <w:t xml:space="preserve"> ƺɁȶɰɁȢȈǁƃɽǉǁ</w:t>
      </w:r>
      <w:r>
        <w:rPr>
          <w:rFonts w:ascii="PMingLiU" w:cs="PMingLiU" w:eastAsia="PMingLiU" w:hAnsi="PMingLiU"/>
          <w:sz w:val="18"/>
          <w:szCs w:val="18"/>
          <w:color w:val="auto"/>
        </w:rPr>
        <w:t/>
      </w:r>
      <w:r>
        <w:rPr>
          <w:rFonts w:ascii="Arial" w:cs="Arial" w:eastAsia="Arial" w:hAnsi="Arial"/>
          <w:sz w:val="18"/>
          <w:szCs w:val="18"/>
          <w:color w:val="auto"/>
        </w:rPr>
        <w:t xml:space="preserve"> ǁǉƹɽ</w:t>
      </w:r>
      <w:r>
        <w:rPr>
          <w:rFonts w:ascii="PMingLiU" w:cs="PMingLiU" w:eastAsia="PMingLiU" w:hAnsi="PMingLiU"/>
          <w:sz w:val="18"/>
          <w:szCs w:val="18"/>
          <w:color w:val="auto"/>
        </w:rPr>
        <w:t/>
      </w:r>
      <w:r>
        <w:rPr>
          <w:rFonts w:ascii="Arial" w:cs="Arial" w:eastAsia="Arial" w:hAnsi="Arial"/>
          <w:sz w:val="18"/>
          <w:szCs w:val="18"/>
          <w:color w:val="auto"/>
        </w:rPr>
        <w:t xml:space="preserve"> ǉʯƺȢʍǁȈȶǼ</w:t>
      </w:r>
      <w:r>
        <w:rPr>
          <w:rFonts w:ascii="PMingLiU" w:cs="PMingLiU" w:eastAsia="PMingLiU" w:hAnsi="PMingLiU"/>
          <w:sz w:val="18"/>
          <w:szCs w:val="18"/>
          <w:color w:val="auto"/>
        </w:rPr>
        <w:t/>
      </w:r>
      <w:r>
        <w:rPr>
          <w:rFonts w:ascii="Arial" w:cs="Arial" w:eastAsia="Arial" w:hAnsi="Arial"/>
          <w:sz w:val="18"/>
          <w:szCs w:val="18"/>
          <w:color w:val="auto"/>
        </w:rPr>
        <w:t xml:space="preserve"> ʍȶƃȴɁɨɽȈ˃ǉǁ</w:t>
      </w:r>
      <w:r>
        <w:rPr>
          <w:rFonts w:ascii="PMingLiU" w:cs="PMingLiU" w:eastAsia="PMingLiU" w:hAnsi="PMingLiU"/>
          <w:sz w:val="18"/>
          <w:szCs w:val="18"/>
          <w:color w:val="auto"/>
        </w:rPr>
        <w:t/>
      </w:r>
      <w:r>
        <w:rPr>
          <w:rFonts w:ascii="Arial" w:cs="Arial" w:eastAsia="Arial" w:hAnsi="Arial"/>
          <w:sz w:val="18"/>
          <w:szCs w:val="18"/>
          <w:color w:val="auto"/>
        </w:rPr>
        <w:t xml:space="preserve"> ǁǉƹɽ</w:t>
      </w:r>
      <w:r>
        <w:rPr>
          <w:rFonts w:ascii="PMingLiU" w:cs="PMingLiU" w:eastAsia="PMingLiU" w:hAnsi="PMingLiU"/>
          <w:sz w:val="18"/>
          <w:szCs w:val="18"/>
          <w:color w:val="auto"/>
        </w:rPr>
        <w:t/>
      </w:r>
      <w:r>
        <w:rPr>
          <w:rFonts w:ascii="Arial" w:cs="Arial" w:eastAsia="Arial" w:hAnsi="Arial"/>
          <w:sz w:val="18"/>
          <w:szCs w:val="18"/>
          <w:color w:val="auto"/>
        </w:rPr>
        <w:t xml:space="preserve"> Ȉɰɰʍƃȶƺǉ</w:t>
      </w:r>
      <w:r>
        <w:rPr>
          <w:rFonts w:ascii="PMingLiU" w:cs="PMingLiU" w:eastAsia="PMingLiU" w:hAnsi="PMingLiU"/>
          <w:sz w:val="18"/>
          <w:szCs w:val="18"/>
          <w:color w:val="auto"/>
        </w:rPr>
        <w:t/>
      </w:r>
      <w:r>
        <w:rPr>
          <w:rFonts w:ascii="Arial" w:cs="Arial" w:eastAsia="Arial" w:hAnsi="Arial"/>
          <w:sz w:val="18"/>
          <w:szCs w:val="18"/>
          <w:color w:val="auto"/>
        </w:rPr>
        <w:t xml:space="preserve"> ƺɁɰɽɰ</w:t>
      </w:r>
      <w:r>
        <w:rPr>
          <w:rFonts w:ascii="PMingLiU" w:cs="PMingLiU" w:eastAsia="PMingLiU" w:hAnsi="PMingLiU"/>
          <w:sz w:val="18"/>
          <w:szCs w:val="18"/>
          <w:color w:val="auto"/>
        </w:rPr>
        <w:t/>
      </w:r>
      <w:r>
        <w:rPr>
          <w:rFonts w:ascii="Arial" w:cs="Arial" w:eastAsia="Arial" w:hAnsi="Arial"/>
          <w:sz w:val="18"/>
          <w:szCs w:val="18"/>
          <w:color w:val="auto"/>
        </w:rPr>
        <w:t xml:space="preserve"> ʥƃɰ</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ўӗјњњӝўӝ</w:t>
      </w:r>
      <w:r>
        <w:rPr>
          <w:rFonts w:ascii="PMingLiU" w:cs="PMingLiU" w:eastAsia="PMingLiU" w:hAnsi="PMingLiU"/>
          <w:sz w:val="18"/>
          <w:szCs w:val="18"/>
          <w:color w:val="auto"/>
        </w:rPr>
        <w:t></w:t>
      </w:r>
      <w:r>
        <w:rPr>
          <w:rFonts w:ascii="Arial" w:cs="Arial" w:eastAsia="Arial" w:hAnsi="Arial"/>
          <w:sz w:val="18"/>
          <w:szCs w:val="18"/>
          <w:color w:val="auto"/>
        </w:rPr>
        <w:t>ȶ</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addition, we had approximately $2,644 of undrawn availability under our unsecured revolving credit facility. Subject to restrictions contained in our credit facility, we may incur additional indebtedness in the future, including indebted-ness incurred to finance acquisitions.</w:t>
      </w:r>
    </w:p>
    <w:p>
      <w:pPr>
        <w:spacing w:after="0" w:line="271"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auto"/>
        </w:rPr>
        <w:t>Our level of indebtedness and the debt servicing costs associated with that indebtedness could have substantial effects on our operations and business strategy. For example, our indebtedness could:</w:t>
      </w:r>
    </w:p>
    <w:p>
      <w:pPr>
        <w:spacing w:after="0" w:line="27" w:lineRule="exact"/>
        <w:rPr>
          <w:sz w:val="20"/>
          <w:szCs w:val="20"/>
          <w:color w:val="auto"/>
        </w:rPr>
      </w:pPr>
    </w:p>
    <w:p>
      <w:pPr>
        <w:ind w:left="540" w:hanging="180"/>
        <w:spacing w:after="0"/>
        <w:tabs>
          <w:tab w:leader="none" w:pos="540" w:val="left"/>
        </w:tabs>
        <w:numPr>
          <w:ilvl w:val="0"/>
          <w:numId w:val="5"/>
        </w:numPr>
        <w:rPr>
          <w:rFonts w:ascii="Arial" w:cs="Arial" w:eastAsia="Arial" w:hAnsi="Arial"/>
          <w:sz w:val="20"/>
          <w:szCs w:val="20"/>
          <w:color w:val="auto"/>
        </w:rPr>
      </w:pPr>
      <w:r>
        <w:rPr>
          <w:rFonts w:ascii="Arial" w:cs="Arial" w:eastAsia="Arial" w:hAnsi="Arial"/>
          <w:sz w:val="18"/>
          <w:szCs w:val="18"/>
          <w:color w:val="auto"/>
        </w:rPr>
        <w:t>limit our ability to borrow additional funds;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5"/>
        </w:numPr>
        <w:rPr>
          <w:rFonts w:ascii="Arial" w:cs="Arial" w:eastAsia="Arial" w:hAnsi="Arial"/>
          <w:sz w:val="20"/>
          <w:szCs w:val="20"/>
          <w:color w:val="auto"/>
        </w:rPr>
      </w:pPr>
      <w:r>
        <w:rPr>
          <w:rFonts w:ascii="Arial" w:cs="Arial" w:eastAsia="Arial" w:hAnsi="Arial"/>
          <w:sz w:val="18"/>
          <w:szCs w:val="18"/>
          <w:color w:val="auto"/>
        </w:rPr>
        <w:t>limit our ability to complete future acquisitions;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5"/>
        </w:numPr>
        <w:rPr>
          <w:rFonts w:ascii="Arial" w:cs="Arial" w:eastAsia="Arial" w:hAnsi="Arial"/>
          <w:sz w:val="20"/>
          <w:szCs w:val="20"/>
          <w:color w:val="auto"/>
        </w:rPr>
      </w:pPr>
      <w:r>
        <w:rPr>
          <w:rFonts w:ascii="Arial" w:cs="Arial" w:eastAsia="Arial" w:hAnsi="Arial"/>
          <w:sz w:val="18"/>
          <w:szCs w:val="18"/>
          <w:color w:val="auto"/>
        </w:rPr>
        <w:t>limit our ability to pay dividends;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5"/>
        </w:numPr>
        <w:rPr>
          <w:rFonts w:ascii="Arial" w:cs="Arial" w:eastAsia="Arial" w:hAnsi="Arial"/>
          <w:sz w:val="20"/>
          <w:szCs w:val="20"/>
          <w:color w:val="auto"/>
        </w:rPr>
      </w:pPr>
      <w:r>
        <w:rPr>
          <w:rFonts w:ascii="Arial" w:cs="Arial" w:eastAsia="Arial" w:hAnsi="Arial"/>
          <w:sz w:val="18"/>
          <w:szCs w:val="18"/>
          <w:color w:val="auto"/>
        </w:rPr>
        <w:t>limit our ability to make capital expenditures;</w:t>
      </w:r>
    </w:p>
    <w:p>
      <w:pPr>
        <w:spacing w:after="0" w:line="45" w:lineRule="exact"/>
        <w:rPr>
          <w:rFonts w:ascii="Arial" w:cs="Arial" w:eastAsia="Arial" w:hAnsi="Arial"/>
          <w:sz w:val="20"/>
          <w:szCs w:val="20"/>
          <w:color w:val="auto"/>
        </w:rPr>
      </w:pPr>
    </w:p>
    <w:p>
      <w:pPr>
        <w:ind w:left="540" w:right="40" w:hanging="180"/>
        <w:spacing w:after="0" w:line="264" w:lineRule="auto"/>
        <w:tabs>
          <w:tab w:leader="none" w:pos="540" w:val="left"/>
        </w:tabs>
        <w:numPr>
          <w:ilvl w:val="0"/>
          <w:numId w:val="5"/>
        </w:numPr>
        <w:rPr>
          <w:rFonts w:ascii="Arial" w:cs="Arial" w:eastAsia="Arial" w:hAnsi="Arial"/>
          <w:sz w:val="20"/>
          <w:szCs w:val="20"/>
          <w:color w:val="auto"/>
        </w:rPr>
      </w:pPr>
      <w:r>
        <w:rPr>
          <w:rFonts w:ascii="Arial" w:cs="Arial" w:eastAsia="Arial" w:hAnsi="Arial"/>
          <w:sz w:val="18"/>
          <w:szCs w:val="18"/>
          <w:color w:val="auto"/>
        </w:rPr>
        <w:t>place us at a competitive disadvantage relative to our competitors, some of which have lower debt service obli-gations and greater financial resources; and</w:t>
      </w:r>
    </w:p>
    <w:p>
      <w:pPr>
        <w:spacing w:after="0" w:line="14" w:lineRule="exact"/>
        <w:rPr>
          <w:rFonts w:ascii="Arial" w:cs="Arial" w:eastAsia="Arial" w:hAnsi="Arial"/>
          <w:sz w:val="20"/>
          <w:szCs w:val="20"/>
          <w:color w:val="auto"/>
        </w:rPr>
      </w:pPr>
    </w:p>
    <w:p>
      <w:pPr>
        <w:ind w:left="540" w:hanging="180"/>
        <w:spacing w:after="0"/>
        <w:tabs>
          <w:tab w:leader="none" w:pos="540" w:val="left"/>
        </w:tabs>
        <w:numPr>
          <w:ilvl w:val="0"/>
          <w:numId w:val="5"/>
        </w:numPr>
        <w:rPr>
          <w:rFonts w:ascii="Arial" w:cs="Arial" w:eastAsia="Arial" w:hAnsi="Arial"/>
          <w:sz w:val="20"/>
          <w:szCs w:val="20"/>
          <w:color w:val="auto"/>
        </w:rPr>
      </w:pPr>
      <w:r>
        <w:rPr>
          <w:rFonts w:ascii="Arial" w:cs="Arial" w:eastAsia="Arial" w:hAnsi="Arial"/>
          <w:sz w:val="18"/>
          <w:szCs w:val="18"/>
          <w:color w:val="auto"/>
        </w:rPr>
        <w:t>increase our vulnerability to general adverse economic and industry conditions.</w:t>
      </w:r>
    </w:p>
    <w:p>
      <w:pPr>
        <w:spacing w:after="0" w:line="100"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Our ability to make scheduled principal payments of, to pay interest on, or to refinance our indebtedness and to sat-isfy our other debt obligations will depend upon our future operating performance, which may be affected by factors beyond our control. In addition, there can be no assurance that future borrowings or equity financing will be available to us on favorable terms for the payment or refinancing of our indebtedness. If we are unable to service our indebted-ness, our business, financial condition, and results of operations would be materially adversely affected.</w:t>
      </w:r>
    </w:p>
    <w:p>
      <w:pPr>
        <w:sectPr>
          <w:pgSz w:w="12240" w:h="15840" w:orient="portrait"/>
          <w:cols w:equalWidth="0" w:num="1">
            <w:col w:w="10360"/>
          </w:cols>
          <w:pgMar w:left="960" w:top="935" w:right="92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line="146" w:lineRule="exact"/>
        <w:tabs>
          <w:tab w:leader="none" w:pos="1018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0"/>
          <w:szCs w:val="10"/>
          <w:color w:val="auto"/>
        </w:rPr>
        <w:t>17</w:t>
      </w:r>
    </w:p>
    <w:p>
      <w:pPr>
        <w:sectPr>
          <w:pgSz w:w="12240" w:h="15840" w:orient="portrait"/>
          <w:cols w:equalWidth="0" w:num="1">
            <w:col w:w="10360"/>
          </w:cols>
          <w:pgMar w:left="960" w:top="935" w:right="920" w:bottom="90" w:gutter="0" w:footer="0" w:header="0"/>
          <w:type w:val="continuous"/>
        </w:sectPr>
      </w:pPr>
    </w:p>
    <w:bookmarkStart w:id="19" w:name="page20"/>
    <w:bookmarkEnd w:id="19"/>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Our credit facility contains covenants requiring us to achieve certain financial and operating results and maintain compliance with a specified financial ratio. Our ability to meet the financial covenants or requirements in our credit facility may be affected by events beyond our control, and we may not be able to satisfy such covenants and require-ments. A breach of these covenants or our inability to comply with the financial ratio, tests, or other restrictions con-tained in our credit facility could result in an event of default under this facility. Upon the occurrence of an event of default under our credit facility, and the expiration of any grace periods, the lenders could elect to declare all amounts outstanding under the facility, together with accrued interest, to be immediately due and payable. If this were to occur, our assets may not be sufficient to fully repay the amounts due under this facility or our other indebtedness.</w:t>
      </w:r>
    </w:p>
    <w:p>
      <w:pPr>
        <w:spacing w:after="0" w:line="97" w:lineRule="exact"/>
        <w:rPr>
          <w:sz w:val="20"/>
          <w:szCs w:val="20"/>
          <w:color w:val="auto"/>
        </w:rPr>
      </w:pPr>
    </w:p>
    <w:p>
      <w:pPr>
        <w:jc w:val="both"/>
        <w:ind w:right="40"/>
        <w:spacing w:after="0" w:line="322" w:lineRule="auto"/>
        <w:rPr>
          <w:sz w:val="20"/>
          <w:szCs w:val="20"/>
          <w:color w:val="auto"/>
        </w:rPr>
      </w:pPr>
      <w:r>
        <w:rPr>
          <w:rFonts w:ascii="Arial" w:cs="Arial" w:eastAsia="Arial" w:hAnsi="Arial"/>
          <w:sz w:val="18"/>
          <w:szCs w:val="18"/>
          <w:i w:val="1"/>
          <w:iCs w:val="1"/>
          <w:color w:val="auto"/>
        </w:rPr>
        <w:t>Our goodwill and other intangible assets are a significant amount of our total assets, and any write-off of our intangible assets would negatively affect our results of operations.</w:t>
      </w:r>
    </w:p>
    <w:p>
      <w:pPr>
        <w:jc w:val="both"/>
        <w:spacing w:after="0" w:line="224" w:lineRule="exact"/>
        <w:rPr>
          <w:sz w:val="20"/>
          <w:szCs w:val="20"/>
          <w:color w:val="auto"/>
        </w:rPr>
      </w:pPr>
      <w:r>
        <w:rPr>
          <w:rFonts w:ascii="Arial" w:cs="Arial" w:eastAsia="Arial" w:hAnsi="Arial"/>
          <w:sz w:val="18"/>
          <w:szCs w:val="18"/>
          <w:color w:val="auto"/>
        </w:rPr>
        <w:t>Ýʍɨ</w:t>
      </w:r>
      <w:r>
        <w:rPr>
          <w:rFonts w:ascii="PMingLiU" w:cs="PMingLiU" w:eastAsia="PMingLiU" w:hAnsi="PMingLiU"/>
          <w:sz w:val="18"/>
          <w:szCs w:val="18"/>
          <w:color w:val="auto"/>
        </w:rPr>
        <w:t/>
      </w:r>
      <w:r>
        <w:rPr>
          <w:rFonts w:ascii="Arial" w:cs="Arial" w:eastAsia="Arial" w:hAnsi="Arial"/>
          <w:sz w:val="18"/>
          <w:szCs w:val="18"/>
          <w:color w:val="auto"/>
        </w:rPr>
        <w:t xml:space="preserve"> ɽɁɽƃȢ</w:t>
      </w:r>
      <w:r>
        <w:rPr>
          <w:rFonts w:ascii="PMingLiU" w:cs="PMingLiU" w:eastAsia="PMingLiU" w:hAnsi="PMingLiU"/>
          <w:sz w:val="18"/>
          <w:szCs w:val="18"/>
          <w:color w:val="auto"/>
        </w:rPr>
        <w:t/>
      </w:r>
      <w:r>
        <w:rPr>
          <w:rFonts w:ascii="Arial" w:cs="Arial" w:eastAsia="Arial" w:hAnsi="Arial"/>
          <w:sz w:val="18"/>
          <w:szCs w:val="18"/>
          <w:color w:val="auto"/>
        </w:rPr>
        <w:t xml:space="preserve"> ƃɰɰǉɽɰ</w:t>
      </w:r>
      <w:r>
        <w:rPr>
          <w:rFonts w:ascii="PMingLiU" w:cs="PMingLiU" w:eastAsia="PMingLiU" w:hAnsi="PMingLiU"/>
          <w:sz w:val="18"/>
          <w:szCs w:val="18"/>
          <w:color w:val="auto"/>
        </w:rPr>
        <w:t/>
      </w:r>
      <w:r>
        <w:rPr>
          <w:rFonts w:ascii="Arial" w:cs="Arial" w:eastAsia="Arial" w:hAnsi="Arial"/>
          <w:sz w:val="18"/>
          <w:szCs w:val="18"/>
          <w:color w:val="auto"/>
        </w:rPr>
        <w:t xml:space="preserve"> ɨǉǹȢǉƺɽ</w:t>
      </w:r>
      <w:r>
        <w:rPr>
          <w:rFonts w:ascii="PMingLiU" w:cs="PMingLiU" w:eastAsia="PMingLiU" w:hAnsi="PMingLiU"/>
          <w:sz w:val="18"/>
          <w:szCs w:val="18"/>
          <w:color w:val="auto"/>
        </w:rPr>
        <w:t/>
      </w:r>
      <w:r>
        <w:rPr>
          <w:rFonts w:ascii="Arial" w:cs="Arial" w:eastAsia="Arial" w:hAnsi="Arial"/>
          <w:sz w:val="18"/>
          <w:szCs w:val="18"/>
          <w:color w:val="auto"/>
        </w:rPr>
        <w:t xml:space="preserve"> ɰʍƹɰɽƃȶɽȈƃȢ</w:t>
      </w:r>
      <w:r>
        <w:rPr>
          <w:rFonts w:ascii="PMingLiU" w:cs="PMingLiU" w:eastAsia="PMingLiU" w:hAnsi="PMingLiU"/>
          <w:sz w:val="18"/>
          <w:szCs w:val="18"/>
          <w:color w:val="auto"/>
        </w:rPr>
        <w:t/>
      </w:r>
      <w:r>
        <w:rPr>
          <w:rFonts w:ascii="Arial" w:cs="Arial" w:eastAsia="Arial" w:hAnsi="Arial"/>
          <w:sz w:val="18"/>
          <w:szCs w:val="18"/>
          <w:color w:val="auto"/>
        </w:rPr>
        <w:t xml:space="preserve"> ȈȶɽƃȶǼȈƹȢǉ</w:t>
      </w:r>
      <w:r>
        <w:rPr>
          <w:rFonts w:ascii="PMingLiU" w:cs="PMingLiU" w:eastAsia="PMingLiU" w:hAnsi="PMingLiU"/>
          <w:sz w:val="18"/>
          <w:szCs w:val="18"/>
          <w:color w:val="auto"/>
        </w:rPr>
        <w:t/>
      </w:r>
      <w:r>
        <w:rPr>
          <w:rFonts w:ascii="Arial" w:cs="Arial" w:eastAsia="Arial" w:hAnsi="Arial"/>
          <w:sz w:val="18"/>
          <w:szCs w:val="18"/>
          <w:color w:val="auto"/>
        </w:rPr>
        <w:t xml:space="preserve"> ƃɰɰǉɽɰ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ɥɨȈȴƃɨȈȢʰ</w:t>
      </w:r>
      <w:r>
        <w:rPr>
          <w:rFonts w:ascii="PMingLiU" w:cs="PMingLiU" w:eastAsia="PMingLiU" w:hAnsi="PMingLiU"/>
          <w:sz w:val="18"/>
          <w:szCs w:val="18"/>
          <w:color w:val="auto"/>
        </w:rPr>
        <w:t/>
      </w:r>
      <w:r>
        <w:rPr>
          <w:rFonts w:ascii="Arial" w:cs="Arial" w:eastAsia="Arial" w:hAnsi="Arial"/>
          <w:sz w:val="18"/>
          <w:szCs w:val="18"/>
          <w:color w:val="auto"/>
        </w:rPr>
        <w:t xml:space="preserve"> ǼɁɁǁʥȈȢȢ</w:t>
      </w:r>
      <w:r>
        <w:rPr>
          <w:rFonts w:ascii="Arial" w:cs="Arial" w:eastAsia="Arial" w:hAnsi="Arial"/>
          <w:sz w:val="18"/>
          <w:szCs w:val="18"/>
          <w:color w:val="auto"/>
        </w:rPr>
        <w:t>ӝ</w:t>
      </w:r>
      <w:r>
        <w:rPr>
          <w:rFonts w:ascii="PMingLiU" w:cs="PMingLiU" w:eastAsia="PMingLiU" w:hAnsi="PMingLiU"/>
          <w:sz w:val="18"/>
          <w:szCs w:val="18"/>
          <w:color w:val="auto"/>
        </w:rPr>
        <w:t>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Arial" w:cs="Arial" w:eastAsia="Arial" w:hAnsi="Arial"/>
          <w:sz w:val="18"/>
          <w:szCs w:val="18"/>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 xml:space="preserve"> ǼɁɁǁʥȈȢȢ</w:t>
      </w:r>
      <w:r>
        <w:rPr>
          <w:rFonts w:ascii="PMingLiU" w:cs="PMingLiU" w:eastAsia="PMingLiU" w:hAnsi="PMingLiU"/>
          <w:sz w:val="18"/>
          <w:szCs w:val="18"/>
          <w:color w:val="auto"/>
        </w:rPr>
        <w:t/>
      </w:r>
      <w:r>
        <w:rPr>
          <w:rFonts w:ascii="Arial" w:cs="Arial" w:eastAsia="Arial" w:hAnsi="Arial"/>
          <w:sz w:val="18"/>
          <w:szCs w:val="18"/>
          <w:color w:val="auto"/>
        </w:rPr>
        <w:t xml:space="preserve"> ɽɁɽƃȢǉǁ</w:t>
      </w:r>
      <w:r>
        <w:rPr>
          <w:rFonts w:ascii="PMingLiU" w:cs="PMingLiU" w:eastAsia="PMingLiU" w:hAnsi="PMingLiU"/>
          <w:sz w:val="18"/>
          <w:szCs w:val="18"/>
          <w:color w:val="auto"/>
        </w:rPr>
        <w:t/>
      </w:r>
      <w:r>
        <w:rPr>
          <w:rFonts w:ascii="Arial" w:cs="Arial" w:eastAsia="Arial" w:hAnsi="Arial"/>
          <w:sz w:val="18"/>
          <w:szCs w:val="18"/>
          <w:color w:val="auto"/>
        </w:rPr>
        <w:t xml:space="preserve"> $21,341.2 as compared to $ 19,881.5 of total stockholders’ equity, and represented approximately 62% of our total assets of $34,577.0. The goodwill results from our acquisitions, representing the excess purchase price over the fair value of the net identifiable assets acquired. We assess at least annually whether there has been an impairment in the value of our goodwill and other indefinite-lived intangible assets. If future operating performance at one or more of our business units were to fall significantly below current or expected levels, if competing or alternative technologies emerge, if discount rates rise, or if business valuations decline, we could incur a non-cash charge to operating income. Any determination requiring the write-off of a significant portion of goodwill or unamortized intangible assets would negatively affect our results of operations, the effect of which could be material.</w:t>
      </w:r>
    </w:p>
    <w:p>
      <w:pPr>
        <w:spacing w:after="0" w:line="124" w:lineRule="exact"/>
        <w:rPr>
          <w:sz w:val="20"/>
          <w:szCs w:val="20"/>
          <w:color w:val="auto"/>
        </w:rPr>
      </w:pPr>
    </w:p>
    <w:p>
      <w:pPr>
        <w:jc w:val="both"/>
        <w:ind w:right="40"/>
        <w:spacing w:after="0" w:line="322" w:lineRule="auto"/>
        <w:rPr>
          <w:sz w:val="20"/>
          <w:szCs w:val="20"/>
          <w:color w:val="auto"/>
        </w:rPr>
      </w:pPr>
      <w:r>
        <w:rPr>
          <w:rFonts w:ascii="Arial" w:cs="Arial" w:eastAsia="Arial" w:hAnsi="Arial"/>
          <w:sz w:val="18"/>
          <w:szCs w:val="18"/>
          <w:i w:val="1"/>
          <w:iCs w:val="1"/>
          <w:color w:val="auto"/>
        </w:rPr>
        <w:t>We depend on our ability to develop new products and software, and any failure to develop or market new products and software could adversely affect our business.</w:t>
      </w:r>
    </w:p>
    <w:p>
      <w:pPr>
        <w:jc w:val="both"/>
        <w:ind w:right="40"/>
        <w:spacing w:after="0" w:line="264" w:lineRule="auto"/>
        <w:rPr>
          <w:sz w:val="20"/>
          <w:szCs w:val="20"/>
          <w:color w:val="auto"/>
        </w:rPr>
      </w:pPr>
      <w:r>
        <w:rPr>
          <w:rFonts w:ascii="Arial" w:cs="Arial" w:eastAsia="Arial" w:hAnsi="Arial"/>
          <w:sz w:val="18"/>
          <w:szCs w:val="18"/>
          <w:color w:val="auto"/>
        </w:rPr>
        <w:t>The future success of our business will depend, in part, on our ability to design and manufacture new competitive products, including the development of software, and to enhance existing product and software offerings, including through the development and deployment of AI. This product development may require substantial internal invest-ment. There can be no assurance that unforeseen problems will not occur with respect to the development, perfor-mance, or market acceptance of new technologies, products, or software or that we will otherwise be able to successfully develop and market new products and software. Failure of our product or software offerings to gain market acceptance or our failure to successfully develop and market new products and software could reduce our margins, which would have an adverse effect on our business, financial condition, and results of operations.</w:t>
      </w:r>
    </w:p>
    <w:p>
      <w:pPr>
        <w:spacing w:after="0" w:line="97" w:lineRule="exact"/>
        <w:rPr>
          <w:sz w:val="20"/>
          <w:szCs w:val="20"/>
          <w:color w:val="auto"/>
        </w:rPr>
      </w:pPr>
    </w:p>
    <w:p>
      <w:pPr>
        <w:jc w:val="both"/>
        <w:ind w:right="40"/>
        <w:spacing w:after="0" w:line="322" w:lineRule="auto"/>
        <w:rPr>
          <w:sz w:val="20"/>
          <w:szCs w:val="20"/>
          <w:color w:val="auto"/>
        </w:rPr>
      </w:pPr>
      <w:r>
        <w:rPr>
          <w:rFonts w:ascii="Arial" w:cs="Arial" w:eastAsia="Arial" w:hAnsi="Arial"/>
          <w:sz w:val="18"/>
          <w:szCs w:val="18"/>
          <w:i w:val="1"/>
          <w:iCs w:val="1"/>
          <w:color w:val="auto"/>
        </w:rPr>
        <w:t>Changes in the supply of, or price for, raw materials, parts, and components used in our products, or third-party services used in the delivery of our SaaS solutions could affect our business.</w:t>
      </w:r>
    </w:p>
    <w:p>
      <w:pPr>
        <w:jc w:val="both"/>
        <w:ind w:right="40"/>
        <w:spacing w:after="0" w:line="263" w:lineRule="auto"/>
        <w:rPr>
          <w:sz w:val="20"/>
          <w:szCs w:val="20"/>
          <w:color w:val="auto"/>
        </w:rPr>
      </w:pPr>
      <w:r>
        <w:rPr>
          <w:rFonts w:ascii="Arial" w:cs="Arial" w:eastAsia="Arial" w:hAnsi="Arial"/>
          <w:sz w:val="18"/>
          <w:szCs w:val="18"/>
          <w:color w:val="auto"/>
        </w:rPr>
        <w:t>The availability and prices of raw materials, parts, and components are subject to curtailment or change due to, among other things, suppliers’ allocations to other purchasers, interruptions in production by suppliers, supply chain delays and disruptions, component shortages, changes in exchange rates, and prevailing price levels. In addition, some of our products are provided by sole source suppliers and our SaaS offerings are increasingly reliant on a limited number of third-party cloud computing platforms, and transitioning to alternative suppliers or platforms may require significant time, redesign, and capital investment, or may not be feasible for certain products or services. Any changes in the supply of, or price for, these parts and components, as well as any increases in commodity prices, or the price and availability of, or any decrease in the reliability of, third-party cloud computing platforms could affect our busi-ness, financial condition, and results of operations.</w:t>
      </w:r>
    </w:p>
    <w:p>
      <w:pPr>
        <w:spacing w:after="0" w:line="324" w:lineRule="exact"/>
        <w:rPr>
          <w:sz w:val="20"/>
          <w:szCs w:val="20"/>
          <w:color w:val="auto"/>
        </w:rPr>
      </w:pPr>
    </w:p>
    <w:p>
      <w:pPr>
        <w:jc w:val="both"/>
        <w:ind w:right="40"/>
        <w:spacing w:after="0" w:line="289" w:lineRule="auto"/>
        <w:rPr>
          <w:sz w:val="20"/>
          <w:szCs w:val="20"/>
          <w:color w:val="auto"/>
        </w:rPr>
      </w:pPr>
      <w:r>
        <w:rPr>
          <w:rFonts w:ascii="Arial" w:cs="Arial" w:eastAsia="Arial" w:hAnsi="Arial"/>
          <w:sz w:val="18"/>
          <w:szCs w:val="18"/>
          <w:i w:val="1"/>
          <w:iCs w:val="1"/>
          <w:color w:val="auto"/>
        </w:rPr>
        <w:t>Our non-operating results may be adversely impacted by the performance of Indicor, in which we own a minority interest.</w:t>
      </w:r>
    </w:p>
    <w:p>
      <w:pPr>
        <w:spacing w:after="0" w:line="3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2022, we divested a majority equity stake in our industrial businesses to CD&amp;R and retained a minority equity inter-est in the new parent entity, Indicor. Although we have certain limited consent, board representation, and other governance rights under existing contractual arrangements, we are a minority owner of Indicor and do not control its management, its policies, or the operation of its business, and have no further funding requirements associated with our investment. As a result, our ability to realize the ultimate anticipated benefits of the transaction depends upon the operation and management of Indicor by CD&amp;R and the Indicor management team. In addition, Indicor is an industrial company that is subject to risks that are different than the risks associated with our existing businesses. Many of these risks are outside of CD&amp;R’s or Indicor’s control and could materially impact Indicor’s business, financial condition, and results of operations. Moreover, CD&amp;R may have economic or other business interests that are inconsis-tent with ours, and we may be unable to prevent strategic decisions that may adversely affect the value of our invest-ment in Indicor. We have applied the fair value option to value our equity investment in Indicor. The assessment of fair value requires significant judgments to be made. Although we believe that our judgments and assumptions are rea-sonable, changes in estimates or the application of alternative assumptions could produce significantly different results. In the event of a decrease in fair value, we would incur a non-cash charge within non- operating income with a corresponding reduction in the balance of our equity investment. See Note 9 of the Notes to Consolidated Financial Statements included in this Annual Report for additional information on this equity investment.</w:t>
      </w:r>
    </w:p>
    <w:p>
      <w:pPr>
        <w:sectPr>
          <w:pgSz w:w="12240" w:h="15840" w:orient="portrait"/>
          <w:cols w:equalWidth="0" w:num="1">
            <w:col w:w="10360"/>
          </w:cols>
          <w:pgMar w:left="960" w:top="935" w:right="920" w:bottom="9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18</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60"/>
          </w:cols>
          <w:pgMar w:left="960" w:top="935" w:right="920" w:bottom="9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Divestitures or other dispositions could negatively impact our business.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Divestitures pose risks and challenges that could negatively impact our business. For example, when we decide to sell or otherwise dispose of a business or assets, we may be unable to do so on satisfactory terms within our anticipated timeframe or at all, and even after reaching a definitive agreement to sell or dispose of a business, the sale is typically subject to the satisfaction of pre-closing conditions which may not become satisfied. The consummation of any dives-titure can be difficult, time-consuming, and costly, and we may not be able to successfully complete identified dives-titures. They may also cause diversion of management time and focus away from operating our business. In addition, divestitures or other dispositions may have other adverse financial and accounting impacts, and disputes may arise with buyers or with partners in businesses in which we own a minority interest that could be difficult or costly to resolve.</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41"/>
        </w:rPr>
        <w:t>RISKS RELATED TO GOVERNMENT REGULATIONS</w:t>
      </w:r>
    </w:p>
    <w:p>
      <w:pPr>
        <w:spacing w:after="0" w:line="178" w:lineRule="exact"/>
        <w:rPr>
          <w:sz w:val="20"/>
          <w:szCs w:val="20"/>
          <w:color w:val="auto"/>
        </w:rPr>
      </w:pPr>
    </w:p>
    <w:p>
      <w:pPr>
        <w:jc w:val="both"/>
        <w:spacing w:after="0" w:line="322" w:lineRule="auto"/>
        <w:rPr>
          <w:sz w:val="20"/>
          <w:szCs w:val="20"/>
          <w:color w:val="auto"/>
        </w:rPr>
      </w:pPr>
      <w:r>
        <w:rPr>
          <w:rFonts w:ascii="Arial" w:cs="Arial" w:eastAsia="Arial" w:hAnsi="Arial"/>
          <w:sz w:val="18"/>
          <w:szCs w:val="18"/>
          <w:i w:val="1"/>
          <w:iCs w:val="1"/>
          <w:color w:val="auto"/>
        </w:rPr>
        <w:t>Regulation of privacy and data security may adversely affect sales of our products and services and result in increased compliance costs.</w:t>
      </w:r>
    </w:p>
    <w:p>
      <w:pPr>
        <w:jc w:val="both"/>
        <w:spacing w:after="0" w:line="262" w:lineRule="auto"/>
        <w:rPr>
          <w:sz w:val="20"/>
          <w:szCs w:val="20"/>
          <w:color w:val="auto"/>
        </w:rPr>
      </w:pPr>
      <w:r>
        <w:rPr>
          <w:rFonts w:ascii="Arial" w:cs="Arial" w:eastAsia="Arial" w:hAnsi="Arial"/>
          <w:sz w:val="18"/>
          <w:szCs w:val="18"/>
          <w:color w:val="auto"/>
        </w:rPr>
        <w:t>There has been, and likely will continue to be, increased regulation with respect to the collection, use, and handling of an individual’s personal and financial information. Regulatory authorities around the world have passed or are consid-ering legislative and regulatory proposals concerning data protection, privacy, and data security. In the U.S., a growing number of states have individually passed comprehensive privacy legislation in directly regulating the collection, use, and sharing of personal information. In addition, there has been an increased focus on industry-specific privacy laws, including in the housing, financial, healthcare, and educational sectors. These statutes and regulations create civil penalties for violations, and in the case of California and some sector-specific laws, create a limited private right of action for data breaches that increase the risk of data breach litigation. Absent a preemptive Federal privacy law, as more states pass privacy legislation, there is a strong possibility that we will be required to comply with a patchwork of inconsistent privacy regulations.</w:t>
      </w: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Globally, personal information collected within the European Union and the United Kingdom remains subject to the GDPR, which is a UK and European Union-wide legal framework that governs data collection, use, and sharing of an individual’s personal data and creates a range of consumer privacy rights. GDPR provides significant penalties for non- compliance (up to 4% of global annual revenue) and EU data protection authorities have already issued signifi-cant fines. Canada (Quebec) has also significantly updated its privacy laws.</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interpretation and application of consumer and data protection laws and industry standards in the U.S., Europe, and elsewhere can be uncertain and currently is in flux, including standards that may require contractual updates, technical safeguards, and other measures. Cloud-based solutions may be subject to further regulations, such as the EU Data Act, including data localization requirements, restrictions on long-term contracts, and other restrictions lim-iting the international transfer of data. The operational and cost impact of these cannot be fully known at this time. In addition to the possibility of fines, the application of these existing laws in a manner inconsistent with our current data and privacy practices requires that we change our data and privacy practices, which could have an adverse effect on our business and results of operations. Complying with these various laws could cause us to incur substantial costs or require us to change our business practices in a manner adverse to our business. Also, any new law or regula-tion imposing greater fees or taxes or restriction on the collection, use, or transfer of information or data internation-ally or over the Internet, could result in a decline in the use of our products and services and adversely affect our sales and results of operations. Finally, as we increasingly provide technological solutions, our customers and regulators will expect that we can demonstrate compliance with current data privacy and security regulations as well as new industry-developed standards, and our inability to do so may adversely impact sales of our solutions and services to certain customers. This is particularly true for customers in highly-regulated industries, such as the healthcare industry and government contractors, and could result in regulatory actions, fines, and legal proceedings as well as negative impacts to our brand, reputation, and business.</w:t>
      </w:r>
    </w:p>
    <w:p>
      <w:pPr>
        <w:spacing w:after="0" w:line="324" w:lineRule="exact"/>
        <w:rPr>
          <w:sz w:val="20"/>
          <w:szCs w:val="20"/>
          <w:color w:val="auto"/>
        </w:rPr>
      </w:pPr>
    </w:p>
    <w:p>
      <w:pPr>
        <w:jc w:val="both"/>
        <w:spacing w:after="0" w:line="322" w:lineRule="auto"/>
        <w:rPr>
          <w:sz w:val="20"/>
          <w:szCs w:val="20"/>
          <w:color w:val="auto"/>
        </w:rPr>
      </w:pPr>
      <w:r>
        <w:rPr>
          <w:rFonts w:ascii="Arial" w:cs="Arial" w:eastAsia="Arial" w:hAnsi="Arial"/>
          <w:sz w:val="18"/>
          <w:szCs w:val="18"/>
          <w:i w:val="1"/>
          <w:iCs w:val="1"/>
          <w:color w:val="auto"/>
        </w:rPr>
        <w:t>Regulation limiting or controlling the use of AI may restrict our ability to use AI, our ability to create new products, and create increased compliance costs.</w:t>
      </w:r>
    </w:p>
    <w:p>
      <w:pPr>
        <w:jc w:val="both"/>
        <w:spacing w:after="0" w:line="263" w:lineRule="auto"/>
        <w:rPr>
          <w:sz w:val="20"/>
          <w:szCs w:val="20"/>
          <w:color w:val="auto"/>
        </w:rPr>
      </w:pPr>
      <w:r>
        <w:rPr>
          <w:rFonts w:ascii="Arial" w:cs="Arial" w:eastAsia="Arial" w:hAnsi="Arial"/>
          <w:sz w:val="18"/>
          <w:szCs w:val="18"/>
          <w:color w:val="auto"/>
        </w:rPr>
        <w:t>We are subject to an evolving landscape of laws and regulations governing the use of AI. The EU AI Act classifies AI systems by risk level and may prohibit certain high-risk applications, requiring significant change to product design, documentation, governance processes, and risk management practices to achieve compliance. In the U.S., several states, including Colorado and California, have enacted or are considering AI-specific regulations addressing transpar-ency, bias, and accountability, particularly in the housing and employment fields. Regulatory uncertainty regarding how these laws will be interpreted and enforced creates additional compliance challenges, and may cause us to modify our data handling and compliance practices, limit our ability to use certain data to support our products or product development efforts, hinder our customers’ ability to adopt or continue to use our products, or require us to cease offering or using certain AI-enabled features or services in particular jurisdictions.</w:t>
      </w:r>
    </w:p>
    <w:p>
      <w:pPr>
        <w:sectPr>
          <w:pgSz w:w="12240" w:h="15840" w:orient="portrait"/>
          <w:cols w:equalWidth="0" w:num="1">
            <w:col w:w="10320"/>
          </w:cols>
          <w:pgMar w:left="960" w:top="930" w:right="960" w:bottom="90" w:gutter="0" w:footer="0" w:header="0"/>
        </w:sectPr>
      </w:pPr>
    </w:p>
    <w:p>
      <w:pPr>
        <w:spacing w:after="0" w:line="200" w:lineRule="exact"/>
        <w:rPr>
          <w:sz w:val="20"/>
          <w:szCs w:val="20"/>
          <w:color w:val="auto"/>
        </w:rPr>
      </w:pPr>
    </w:p>
    <w:p>
      <w:pPr>
        <w:spacing w:after="0" w:line="384" w:lineRule="exact"/>
        <w:rPr>
          <w:sz w:val="20"/>
          <w:szCs w:val="20"/>
          <w:color w:val="auto"/>
        </w:rPr>
      </w:pPr>
    </w:p>
    <w:p>
      <w:pPr>
        <w:ind w:left="3500"/>
        <w:spacing w:after="0" w:line="146" w:lineRule="exact"/>
        <w:tabs>
          <w:tab w:leader="none" w:pos="1018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0"/>
          <w:szCs w:val="10"/>
          <w:color w:val="auto"/>
        </w:rPr>
        <w:t>19</w:t>
      </w:r>
    </w:p>
    <w:p>
      <w:pPr>
        <w:sectPr>
          <w:pgSz w:w="12240" w:h="15840" w:orient="portrait"/>
          <w:cols w:equalWidth="0" w:num="1">
            <w:col w:w="10320"/>
          </w:cols>
          <w:pgMar w:left="960" w:top="930" w:right="960" w:bottom="90" w:gutter="0" w:footer="0" w:header="0"/>
          <w:type w:val="continuous"/>
        </w:sectPr>
      </w:pPr>
    </w:p>
    <w:bookmarkStart w:id="21" w:name="page22"/>
    <w:bookmarkEnd w:id="21"/>
    <w:p>
      <w:pPr>
        <w:jc w:val="both"/>
        <w:ind w:right="60"/>
        <w:spacing w:after="0" w:line="322"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Expectations relating to sustainability considerations expose the Company to potential liabilities, increased costs, reputational harm, and other adverse effects on the Company’s business.</w:t>
      </w:r>
    </w:p>
    <w:p>
      <w:pPr>
        <w:jc w:val="both"/>
        <w:ind w:right="60"/>
        <w:spacing w:after="0" w:line="260" w:lineRule="auto"/>
        <w:rPr>
          <w:sz w:val="20"/>
          <w:szCs w:val="20"/>
          <w:color w:val="auto"/>
        </w:rPr>
      </w:pPr>
      <w:r>
        <w:rPr>
          <w:rFonts w:ascii="Arial" w:cs="Arial" w:eastAsia="Arial" w:hAnsi="Arial"/>
          <w:sz w:val="18"/>
          <w:szCs w:val="18"/>
          <w:color w:val="auto"/>
        </w:rPr>
        <w:t>Many governments, regulators, investors, employees, customers, and other stakeholders are focused on environmen-tal, social, governance, and other sustainability considerations relating to businesses, including climate change and greenhouse gas emissions, human capital, and diversity. The Company makes statements about sustainability goals and initiatives through information provided on its website, press statements, and other communications, including through its annual sustainability report. Responding to these sustainability considerations and implementation of these goals and initiatives involves risks and uncertainties, including those described under “Information About Forward-Looking Statements,” requires investments, and is impacted by factors that may be outside of the Company’s control. In addition, some stakeholders may disagree with the Company’s goals and initiatives and the focus of stake-holders may change and evolve over time. Stakeholders also may have very different views on where focus on sustain-ability topics should be placed, including differing views of regulators in various jurisdictions in which we operate. Any failure, or perceived failure, by the Company to achieve its goals, further its initiatives, adhere to its public statements, comply with federal, state, or international sustainability laws and regulations, or meet evolving and varied stake-holder expectations and standards could result in legal and regulatory proceedings against the Company and mate-rially adversely affect the Company’s business, reputation, results of operations, financial condition, and stock price.</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41"/>
        </w:rPr>
        <w:t>RISKS RELATED TO ECONOMIC AND POLITICAL CONDITIONS</w:t>
      </w:r>
    </w:p>
    <w:p>
      <w:pPr>
        <w:spacing w:after="0" w:line="176" w:lineRule="exact"/>
        <w:rPr>
          <w:sz w:val="20"/>
          <w:szCs w:val="20"/>
          <w:color w:val="auto"/>
        </w:rPr>
      </w:pPr>
    </w:p>
    <w:p>
      <w:pPr>
        <w:jc w:val="both"/>
        <w:ind w:right="60"/>
        <w:spacing w:after="0" w:line="289" w:lineRule="auto"/>
        <w:rPr>
          <w:sz w:val="20"/>
          <w:szCs w:val="20"/>
          <w:color w:val="auto"/>
        </w:rPr>
      </w:pPr>
      <w:r>
        <w:rPr>
          <w:rFonts w:ascii="Arial" w:cs="Arial" w:eastAsia="Arial" w:hAnsi="Arial"/>
          <w:sz w:val="18"/>
          <w:szCs w:val="18"/>
          <w:i w:val="1"/>
          <w:iCs w:val="1"/>
          <w:color w:val="auto"/>
        </w:rPr>
        <w:t>Economic, political, and other risks associated with our international operations could adversely affect our business.</w:t>
      </w:r>
    </w:p>
    <w:p>
      <w:pPr>
        <w:spacing w:after="0" w:line="307" w:lineRule="exact"/>
        <w:rPr>
          <w:sz w:val="20"/>
          <w:szCs w:val="20"/>
          <w:color w:val="auto"/>
        </w:rPr>
      </w:pPr>
    </w:p>
    <w:p>
      <w:pPr>
        <w:jc w:val="both"/>
        <w:spacing w:after="0" w:line="235" w:lineRule="exact"/>
        <w:rPr>
          <w:sz w:val="20"/>
          <w:szCs w:val="20"/>
          <w:color w:val="auto"/>
        </w:rPr>
      </w:pPr>
      <w:r>
        <w:rPr>
          <w:rFonts w:ascii="Arial" w:cs="Arial" w:eastAsia="Arial" w:hAnsi="Arial"/>
          <w:sz w:val="18"/>
          <w:szCs w:val="18"/>
          <w:color w:val="auto"/>
        </w:rPr>
        <w:t>yɁɨ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 xml:space="preserve"> 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іј</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Ǽǉȶǉɨƃɽǉǁ</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
      </w:r>
      <w:r>
        <w:rPr>
          <w:rFonts w:ascii="Arial" w:cs="Arial" w:eastAsia="Arial" w:hAnsi="Arial"/>
          <w:sz w:val="18"/>
          <w:szCs w:val="18"/>
          <w:color w:val="auto"/>
        </w:rPr>
        <w:t>ƺʍɰɽɁȴǉɨɰ</w:t>
      </w:r>
      <w:r>
        <w:rPr>
          <w:rFonts w:ascii="PMingLiU" w:cs="PMingLiU" w:eastAsia="PMingLiU" w:hAnsi="PMingLiU"/>
          <w:sz w:val="18"/>
          <w:szCs w:val="18"/>
          <w:color w:val="auto"/>
        </w:rPr>
        <w:t/>
      </w:r>
      <w:r>
        <w:rPr>
          <w:rFonts w:ascii="Arial" w:cs="Arial" w:eastAsia="Arial" w:hAnsi="Arial"/>
          <w:sz w:val="18"/>
          <w:szCs w:val="18"/>
          <w:color w:val="auto"/>
        </w:rPr>
        <w:t>ɁʍɽɰȈǁǉ</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ĩ</w:t>
      </w:r>
      <w:r>
        <w:rPr>
          <w:rFonts w:ascii="Arial" w:cs="Arial" w:eastAsia="Arial" w:hAnsi="Arial"/>
          <w:sz w:val="18"/>
          <w:szCs w:val="18"/>
          <w:color w:val="auto"/>
        </w:rPr>
        <w:t>ӝ</w:t>
      </w:r>
      <w:r>
        <w:rPr>
          <w:rFonts w:ascii="Arial" w:cs="Arial" w:eastAsia="Arial" w:hAnsi="Arial"/>
          <w:sz w:val="18"/>
          <w:szCs w:val="18"/>
          <w:color w:val="auto"/>
        </w:rPr>
        <w:t>Č</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and 9% of our long-lived assets, excluding goodwill and other intangibles, were attributable to operations outside of the U.S. We expect our international operations to contribute materially to our business for the foreseeable future. Our international operations are subject to varying degrees of risk inherent in doing business outside of the U.S. including, without limitation, the following:</w:t>
      </w:r>
    </w:p>
    <w:p>
      <w:pPr>
        <w:spacing w:after="0" w:line="218" w:lineRule="exact"/>
        <w:rPr>
          <w:sz w:val="20"/>
          <w:szCs w:val="20"/>
          <w:color w:val="auto"/>
        </w:rPr>
      </w:pPr>
    </w:p>
    <w:p>
      <w:pPr>
        <w:ind w:left="540" w:right="60" w:hanging="180"/>
        <w:spacing w:after="0" w:line="251"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18"/>
          <w:szCs w:val="18"/>
          <w:color w:val="auto"/>
        </w:rPr>
        <w:t>adverse changes in a specific country’s or region’s political or economic conditions, particularly in emerging markets;</w:t>
      </w:r>
    </w:p>
    <w:p>
      <w:pPr>
        <w:spacing w:after="0" w:line="254" w:lineRule="exact"/>
        <w:rPr>
          <w:rFonts w:ascii="Arial" w:cs="Arial" w:eastAsia="Arial" w:hAnsi="Arial"/>
          <w:sz w:val="20"/>
          <w:szCs w:val="20"/>
          <w:color w:val="auto"/>
        </w:rPr>
      </w:pPr>
    </w:p>
    <w:p>
      <w:pPr>
        <w:ind w:left="540" w:hanging="18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18"/>
          <w:szCs w:val="18"/>
          <w:color w:val="auto"/>
        </w:rPr>
        <w:t>oil price volatility;</w:t>
      </w:r>
    </w:p>
    <w:p>
      <w:pPr>
        <w:spacing w:after="0" w:line="45" w:lineRule="exact"/>
        <w:rPr>
          <w:rFonts w:ascii="Arial" w:cs="Arial" w:eastAsia="Arial" w:hAnsi="Arial"/>
          <w:sz w:val="20"/>
          <w:szCs w:val="20"/>
          <w:color w:val="auto"/>
        </w:rPr>
      </w:pPr>
    </w:p>
    <w:p>
      <w:pPr>
        <w:jc w:val="both"/>
        <w:ind w:left="540" w:right="60" w:hanging="180"/>
        <w:spacing w:after="0" w:line="266"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18"/>
          <w:szCs w:val="18"/>
          <w:color w:val="auto"/>
        </w:rPr>
        <w:t>trade protection measures, tariffs, and import or export requirements, including volatility and uncertainty about what actions may be taken by governments with respect to tariffs or trade relations, what products may be subject to such actions, and what actions may be taken by foreign countries in retaliation to proposed or imposed U.S. tariffs;</w:t>
      </w:r>
    </w:p>
    <w:p>
      <w:pPr>
        <w:spacing w:after="0" w:line="221" w:lineRule="exact"/>
        <w:rPr>
          <w:rFonts w:ascii="Arial" w:cs="Arial" w:eastAsia="Arial" w:hAnsi="Arial"/>
          <w:sz w:val="20"/>
          <w:szCs w:val="20"/>
          <w:color w:val="auto"/>
        </w:rPr>
      </w:pPr>
    </w:p>
    <w:p>
      <w:pPr>
        <w:ind w:left="540" w:right="60" w:hanging="180"/>
        <w:spacing w:after="0" w:line="264"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18"/>
          <w:szCs w:val="18"/>
          <w:color w:val="auto"/>
        </w:rPr>
        <w:t>subsidies or increased access to capital for firms that are currently, or may emerge as, competitors in countries in which we have operations;</w:t>
      </w:r>
    </w:p>
    <w:p>
      <w:pPr>
        <w:spacing w:after="0" w:line="14" w:lineRule="exact"/>
        <w:rPr>
          <w:rFonts w:ascii="Arial" w:cs="Arial" w:eastAsia="Arial" w:hAnsi="Arial"/>
          <w:sz w:val="20"/>
          <w:szCs w:val="20"/>
          <w:color w:val="auto"/>
        </w:rPr>
      </w:pPr>
    </w:p>
    <w:p>
      <w:pPr>
        <w:ind w:left="540" w:hanging="18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18"/>
          <w:szCs w:val="18"/>
          <w:color w:val="auto"/>
        </w:rPr>
        <w:t>potentially negative consequences from changes in tax laws;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18"/>
          <w:szCs w:val="18"/>
          <w:color w:val="auto"/>
        </w:rPr>
        <w:t>difficulty in staffing and managing widespread operations;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18"/>
          <w:szCs w:val="18"/>
          <w:color w:val="auto"/>
        </w:rPr>
        <w:t>differing labor regulations;</w:t>
      </w:r>
    </w:p>
    <w:p>
      <w:pPr>
        <w:spacing w:after="0" w:line="45" w:lineRule="exact"/>
        <w:rPr>
          <w:rFonts w:ascii="Arial" w:cs="Arial" w:eastAsia="Arial" w:hAnsi="Arial"/>
          <w:sz w:val="20"/>
          <w:szCs w:val="20"/>
          <w:color w:val="auto"/>
        </w:rPr>
      </w:pPr>
    </w:p>
    <w:p>
      <w:pPr>
        <w:ind w:left="540" w:hanging="180"/>
        <w:spacing w:after="0"/>
        <w:tabs>
          <w:tab w:leader="none" w:pos="540" w:val="left"/>
        </w:tabs>
        <w:numPr>
          <w:ilvl w:val="0"/>
          <w:numId w:val="6"/>
        </w:numPr>
        <w:rPr>
          <w:rFonts w:ascii="Arial" w:cs="Arial" w:eastAsia="Arial" w:hAnsi="Arial"/>
          <w:sz w:val="20"/>
          <w:szCs w:val="20"/>
          <w:color w:val="auto"/>
        </w:rPr>
      </w:pPr>
      <w:r>
        <w:rPr>
          <w:rFonts w:ascii="Arial" w:cs="Arial" w:eastAsia="Arial" w:hAnsi="Arial"/>
          <w:sz w:val="18"/>
          <w:szCs w:val="18"/>
          <w:color w:val="auto"/>
        </w:rPr>
        <w:t>differing protection of intellectual property; and</w:t>
      </w:r>
    </w:p>
    <w:p>
      <w:pPr>
        <w:spacing w:after="0" w:line="45" w:lineRule="exact"/>
        <w:rPr>
          <w:rFonts w:ascii="Arial" w:cs="Arial" w:eastAsia="Arial" w:hAnsi="Arial"/>
          <w:sz w:val="20"/>
          <w:szCs w:val="20"/>
          <w:color w:val="auto"/>
        </w:rPr>
      </w:pPr>
    </w:p>
    <w:p>
      <w:pPr>
        <w:ind w:left="540" w:right="60" w:hanging="180"/>
        <w:spacing w:after="0" w:line="292" w:lineRule="auto"/>
        <w:tabs>
          <w:tab w:leader="none" w:pos="540" w:val="left"/>
        </w:tabs>
        <w:numPr>
          <w:ilvl w:val="0"/>
          <w:numId w:val="6"/>
        </w:numPr>
        <w:rPr>
          <w:rFonts w:ascii="Arial" w:cs="Arial" w:eastAsia="Arial" w:hAnsi="Arial"/>
          <w:sz w:val="20"/>
          <w:szCs w:val="20"/>
          <w:color w:val="auto"/>
        </w:rPr>
      </w:pPr>
      <w:r>
        <w:rPr>
          <w:rFonts w:ascii="Arial" w:cs="Arial" w:eastAsia="Arial" w:hAnsi="Arial"/>
          <w:sz w:val="18"/>
          <w:szCs w:val="18"/>
          <w:color w:val="auto"/>
        </w:rPr>
        <w:t>differing and unexpected changes in regulatory requirements, including any measures implemented to address AI, data privacy, cybersecurity, and impacts of climate change.</w:t>
      </w:r>
    </w:p>
    <w:p>
      <w:pPr>
        <w:spacing w:after="0" w:line="67" w:lineRule="exact"/>
        <w:rPr>
          <w:sz w:val="20"/>
          <w:szCs w:val="20"/>
          <w:color w:val="auto"/>
        </w:rPr>
      </w:pPr>
    </w:p>
    <w:p>
      <w:pPr>
        <w:jc w:val="both"/>
        <w:ind w:right="60"/>
        <w:spacing w:after="0" w:line="316" w:lineRule="auto"/>
        <w:rPr>
          <w:sz w:val="20"/>
          <w:szCs w:val="20"/>
          <w:color w:val="auto"/>
        </w:rPr>
      </w:pPr>
      <w:r>
        <w:rPr>
          <w:rFonts w:ascii="Arial" w:cs="Arial" w:eastAsia="Arial" w:hAnsi="Arial"/>
          <w:sz w:val="18"/>
          <w:szCs w:val="18"/>
          <w:i w:val="1"/>
          <w:iCs w:val="1"/>
          <w:color w:val="auto"/>
        </w:rPr>
        <w:t>Any business disruptions due to political instability, armed hostilities, incidents of terrorism, incidents of directed cyberattacks, public health crises, or extreme weather events or other natural disasters could adversely impact our financial performance.</w:t>
      </w:r>
    </w:p>
    <w:p>
      <w:pPr>
        <w:spacing w:after="0" w:line="231"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If terrorist activity, armed conflicts, directed cyberattacks, political instability, public health crises, such as epidemics or pandemics, or extreme weather events or other natural disasters occur in the U.S. or other locations, such events may negatively impact our operations, cause general economic conditions to deteriorate, or cause demand for our products to decline. A prolonged economic slowdown or recession could reduce the demand for our products, and therefore, negatively affect our future sales and profits. Any of these events could have a significant impact on our business, financial condition, or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Political and geopolitical conditions can adversely affect our business.</w:t>
      </w:r>
    </w:p>
    <w:p>
      <w:pPr>
        <w:spacing w:after="0" w:line="129"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Political and geopolitical conditions in the markets in which our products and services are sold have been and could continue to be difficult to predict, resulting in adverse effects on our business. The results of elections, geopolitical events and tensions, and wars and other military conflicts (such as the ongoing conflicts in Ukraine and the Middle East) in these markets have in the past impacted and could continue to impact how existing laws, regulations and government programs or policies are implemented or result in uncertainty as to how such laws, regulations, programs or policies may change, including with respect to the negotiation of new trade agreements, new, expanded or</w:t>
      </w:r>
    </w:p>
    <w:p>
      <w:pPr>
        <w:sectPr>
          <w:pgSz w:w="12240" w:h="15840" w:orient="portrait"/>
          <w:cols w:equalWidth="0" w:num="1">
            <w:col w:w="10380"/>
          </w:cols>
          <w:pgMar w:left="960" w:top="930" w:right="900" w:bottom="90" w:gutter="0" w:footer="0" w:header="0"/>
        </w:sectPr>
      </w:pPr>
    </w:p>
    <w:p>
      <w:pPr>
        <w:spacing w:after="0" w:line="253"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20</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30" w:right="900" w:bottom="90" w:gutter="0" w:footer="0" w:header="0"/>
          <w:type w:val="continuous"/>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retaliatory tariffs against certain countries or covering certain products or materials (including recent U.S. tariffs imposed or threatened to be imposed on China, Canada, Mexico, the UK, and other countries and any retaliatory actions taken by such countries). Changes in political administrations or government shutdowns in the U.S. or else-where may lead to variability in, or reallocation of, government spending priorities, or a reduction or delay in govern-ment spending, which has had, and could continue to have an adverse impact on our businesses that serve governmental entities or governmental contractors. In addition, certain geopolitical events have resulted in and could continue to result in, among other things, cyberattacks, supply disruptions, lower consumer demand, increases in global economic uncertainty, changes to foreign exchange rates and financial markets, and expanded regulatory sanctions and export controls, any of which may adversely affect our business and supply chain.</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41"/>
        </w:rPr>
        <w:t>GENERAL RISK FACTORS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i w:val="1"/>
          <w:iCs w:val="1"/>
          <w:color w:val="auto"/>
        </w:rPr>
        <w:t>The potential insolvency or financial distress of third parties could adversely impact our business and results of operations.</w:t>
      </w:r>
    </w:p>
    <w:p>
      <w:pPr>
        <w:spacing w:after="0" w:line="30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are exposed to the risk that third parties to various arrangements who owe us money or goods and services, or who purchase goods and services from us, will not be able to perform their obligations or continue to place orders due to insolvency or financial distress. If third parties fail to perform their obligations under arrangements with us, we may be forced to replace the underlying commitments at current or above-market prices or on other terms that are less favorable to us. In such events, we may incur losses, or our results of operations, financial condition, or liquidity could otherwise be adversely affected.</w:t>
      </w:r>
    </w:p>
    <w:p>
      <w:pPr>
        <w:spacing w:after="0" w:line="319" w:lineRule="exact"/>
        <w:rPr>
          <w:sz w:val="20"/>
          <w:szCs w:val="20"/>
          <w:color w:val="auto"/>
        </w:rPr>
      </w:pPr>
    </w:p>
    <w:p>
      <w:pPr>
        <w:jc w:val="both"/>
        <w:spacing w:after="0" w:line="322" w:lineRule="auto"/>
        <w:rPr>
          <w:sz w:val="20"/>
          <w:szCs w:val="20"/>
          <w:color w:val="auto"/>
        </w:rPr>
      </w:pPr>
      <w:r>
        <w:rPr>
          <w:rFonts w:ascii="Arial" w:cs="Arial" w:eastAsia="Arial" w:hAnsi="Arial"/>
          <w:sz w:val="18"/>
          <w:szCs w:val="18"/>
          <w:i w:val="1"/>
          <w:iCs w:val="1"/>
          <w:color w:val="auto"/>
        </w:rPr>
        <w:t>Changes to our executive leadership team and any future loss of members of such team, and the resulting management transitions, could harm our operating results.</w:t>
      </w:r>
    </w:p>
    <w:p>
      <w:pPr>
        <w:jc w:val="both"/>
        <w:spacing w:after="0" w:line="276" w:lineRule="auto"/>
        <w:rPr>
          <w:sz w:val="20"/>
          <w:szCs w:val="20"/>
          <w:color w:val="auto"/>
        </w:rPr>
      </w:pPr>
      <w:r>
        <w:rPr>
          <w:rFonts w:ascii="Arial" w:cs="Arial" w:eastAsia="Arial" w:hAnsi="Arial"/>
          <w:sz w:val="18"/>
          <w:szCs w:val="18"/>
          <w:color w:val="auto"/>
        </w:rPr>
        <w:t>We have experienced significant changes to our executive leadership team in the past and may do so in the future. Leadership transitions and changes can be inherently difficult to manage and may cause uncertainty or disruption to our business or may increase the likelihood of turnover in key leadership positions. If we cannot effectively manage leadership transitions and changes, it could make it more difficult to successfully operate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to which we are, or may be, a party may adversely affect us.</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are currently, and may in the future become, subject to legal proceedings and commercial or contractual dis-putes. These are typically claims that arise in the normal course of business including, without limitation, commercial or contractual disputes with our suppliers or customers, intellectual property matters, data privacy matters, third-party liability, including product liability claims, and employment claims.</w:t>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i w:val="1"/>
          <w:iCs w:val="1"/>
          <w:color w:val="auto"/>
        </w:rPr>
        <w:t>A downgrade in the ratings of our debt could restrict our ability to access the debt capital markets and increase our interest costs.</w:t>
      </w:r>
    </w:p>
    <w:p>
      <w:pPr>
        <w:spacing w:after="0" w:line="30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Unfavorable changes in the ratings that rating agencies assign to our debt may ultimately negatively impact our access to the debt capital markets and increase the costs we incur to borrow funds. Additionally, our credit agree-ment includes increases in interest rates if the ratings for our debt are downgraded. Furthermore, an increase in the level of our indebtedness may increase our vulnerability to adverse general economic and industry conditions and may affect our ability to obtain additional financing.</w:t>
      </w:r>
    </w:p>
    <w:p>
      <w:pPr>
        <w:spacing w:after="0" w:line="385" w:lineRule="exact"/>
        <w:rPr>
          <w:sz w:val="20"/>
          <w:szCs w:val="20"/>
          <w:color w:val="auto"/>
        </w:rPr>
      </w:pPr>
    </w:p>
    <w:p>
      <w:pPr>
        <w:spacing w:after="0"/>
        <w:rPr>
          <w:sz w:val="20"/>
          <w:szCs w:val="20"/>
          <w:color w:val="auto"/>
        </w:rPr>
      </w:pPr>
      <w:r>
        <w:rPr>
          <w:rFonts w:ascii="Arial" w:cs="Arial" w:eastAsia="Arial" w:hAnsi="Arial"/>
          <w:sz w:val="24"/>
          <w:szCs w:val="24"/>
          <w:color w:val="000041"/>
        </w:rPr>
        <w:t>ITEM 1B | UNRESOLVED STAFF COMMENTS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2240" w:h="15840" w:orient="portrait"/>
          <w:cols w:equalWidth="0" w:num="1">
            <w:col w:w="10320"/>
          </w:cols>
          <w:pgMar w:left="960" w:top="935"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500"/>
        <w:spacing w:after="0" w:line="146" w:lineRule="exact"/>
        <w:tabs>
          <w:tab w:leader="none" w:pos="1018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0"/>
          <w:szCs w:val="10"/>
          <w:color w:val="auto"/>
        </w:rPr>
        <w:t>21</w:t>
      </w:r>
    </w:p>
    <w:p>
      <w:pPr>
        <w:sectPr>
          <w:pgSz w:w="12240" w:h="15840" w:orient="portrait"/>
          <w:cols w:equalWidth="0" w:num="1">
            <w:col w:w="10320"/>
          </w:cols>
          <w:pgMar w:left="960" w:top="935" w:right="960" w:bottom="90" w:gutter="0" w:footer="0" w:header="0"/>
          <w:type w:val="continuous"/>
        </w:sectPr>
      </w:pPr>
    </w:p>
    <w:bookmarkStart w:id="23" w:name="page24"/>
    <w:bookmarkEnd w:id="23"/>
    <w:p>
      <w:pPr>
        <w:spacing w:after="0"/>
        <w:rPr>
          <w:sz w:val="20"/>
          <w:szCs w:val="20"/>
          <w:color w:val="auto"/>
        </w:rPr>
      </w:pPr>
      <w:r>
        <w:rPr>
          <w:rFonts w:ascii="Arial" w:cs="Arial" w:eastAsia="Arial" w:hAnsi="Arial"/>
          <w:sz w:val="24"/>
          <w:szCs w:val="24"/>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ITEM 1C | CYBERSECURITY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Roper’s Cybersecurity Program</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Roper maintains a global Cybersecurity Program supervised by the Vice President of Cybersecurity that outlines required cybersecurity controls for all Roper businesses. Given the decentralized nature of Roper’s operating model, day-to-day management and implementation of the Cybersecurity Program and deployment of the program’s cyber-security controls are managed locally by each of Roper’s 29 business units, including localized information security management. In addition, because Roper’s businesses generally operate independently and maintain separate infra-structure and systems, we believe the risk of an enterprise-wide cybersecurity incident is somewhat reduced. While cybersecurity technologies and implementation may differ based on the needs and risk profile of each individual business, Roper has also implemented cybersecurity tools and managed services to centrally monitor certain aspects of the Cybersecurity Program.</w:t>
      </w: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Roper performs cybersecurity risk assessments to assess compliance with mandated cybersecurity controls and to assess the likelihood and impact magnitude of specific cyberattacks. Cybersecurity risk assessments are periodically performed to assess internal compliance with cybersecurity strategy and the implementation of cybersecurity con-trols. Cybersecurity assessments are also performed for acquisitions and periodically for our businesses through inde-pendent testing and remediation validation to validate cybersecurity control implementation. Areas identified for enhancement and improvement are monitored and tracked to remediation by the Roper cybersecurity team, includ-ing the Vice President of Cybersecurity. In 2025, Roper engaged a third party to assess its cybersecurity program. The results of the assessment largely aligned with those of the Company’s own assessment, and the Roper cybersecurity team has implemented the suggested enhancements. Cybersecurity risk is also addressed in, and monitored by, the Company’s enterprise risk management program.</w:t>
      </w: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Cybersecurity Program includes controls designed to oversee and identify risks from cybersecurity threats associ-ated with third parties as they are leveraged by Roper’s businesses in their respective software code development processes or for other purposes that require third-party access to critical infrastructure. The controls include, as appro-priate, regularly assessing management of access controls and the cybersecurity risks posed by third parties and their supply chains, and the security posture of open-source components and software dependencies used in our prod-ucts and operations. Roper conducts annual cybersecurity risk assessments for all enterprise-wide systems and cloud service providers, as well as critical enterprise systems.</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Roper deploys cybersecurity practices and tools across all of its businesses designed to protect data, maintain resilient operations, and limit the impact of cybercrime. We deploy a managed detection and response solution across all of our business units and our corporate infrastructure that is designed to address the detection, response, and remedia-tion effectiveness for cybersecurity threats. This solution is intended to provide real-time visibility of the endpoint footprint across the enterprise, including patch management and vulnerabilities, device encryption, and cybersecurity threats and detections. Additionally, this solution is designed to provide real-time monitoring of identity-based attacks, emerging AI-powered threats, as well as monitoring of the deep, dark, and social webs for cybersecurity threats tar-geting Roper’s businesses.</w:t>
      </w: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 centralized incident response process with a third-party forensic partner on retainer. In addition, we have cybersecurity insurance policies in place. Roper maintains a Cybersecurity Incident Response Plan (“CSIRP”), which requires each Roper business to designate a Cybersecurity Incident Response Team that is responsible for receiving, reviewing, and responding to cybersecurity incident reports and activities. Cybersecurity incidents are required to be promptly reported to the Roper cybersecurity team, who then monitors such incidents through their resolution. We work on security awareness with our employees throughout the year with annual cybersecurity train-ing and monthly simulated phishing campaigns to better identify and report unusual behavior and to mitigate the likelihood and impact of possible cybersecurity incidents.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Governance</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Cybersecurity Program is supervised by Roper’s Vice President of Cybersecurity, who has related experience including cybersecurity, IT, cloud, and security compliance. The Vice President of Cybersecurity has obtained a B.S. in Management Information Systems, a Master’s in Business Administration, and a Master’s in Management Information Systems. She also maintains the following industry cybersecurity certifications: CISA, CISSP, GSEC, GCED, GSA, and a Boardroom Certified Qualified Technology Expert (QTE).</w:t>
      </w:r>
    </w:p>
    <w:p>
      <w:pPr>
        <w:spacing w:after="0" w:line="4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Board of Directors (the “Board”) has not delegated responsibility for cybersecurity matters to a committee. Rather, the Board believes that due to the importance and continually evolving nature of risks from cybersecurity threats, all members of the Board should participate in the oversight of these topics. As a result, management briefs the Board on cybersecurity matters during regularly scheduled Board meetings. The Audit Committee also receives briefings on cybersecurity matters and related risks from the Vice President of Audit Services and Chief Compliance Officer, who monitors these matters pursuant to the Company’s enterprise risk management program.</w:t>
      </w:r>
    </w:p>
    <w:p>
      <w:pPr>
        <w:sectPr>
          <w:pgSz w:w="12240" w:h="15840" w:orient="portrait"/>
          <w:cols w:equalWidth="0" w:num="1">
            <w:col w:w="10320"/>
          </w:cols>
          <w:pgMar w:left="960" w:top="920" w:right="960" w:bottom="90" w:gutter="0" w:footer="0" w:header="0"/>
        </w:sectPr>
      </w:pPr>
    </w:p>
    <w:p>
      <w:pPr>
        <w:spacing w:after="0" w:line="200" w:lineRule="exact"/>
        <w:rPr>
          <w:sz w:val="20"/>
          <w:szCs w:val="20"/>
          <w:color w:val="auto"/>
        </w:rPr>
      </w:pPr>
    </w:p>
    <w:p>
      <w:pPr>
        <w:spacing w:after="0" w:line="366"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20"/>
          </w:cols>
          <w:pgMar w:left="960" w:top="920" w:right="960" w:bottom="90" w:gutter="0" w:footer="0" w:header="0"/>
          <w:type w:val="continuous"/>
        </w:sectPr>
      </w:pPr>
    </w:p>
    <w:bookmarkStart w:id="24" w:name="page25"/>
    <w:bookmarkEnd w:id="24"/>
    <w:p>
      <w:pPr>
        <w:jc w:val="both"/>
        <w:ind w:right="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Roper has also established a Cyber Disclosure Committee chaired by the Vice President of Cybersecurity to track and evaluate potentially material cybersecurity incidents and to assess their potential impact on the organization. This process builds upon the CSIRP and provides a framework for Roper management to monitor potentially material cybersecurity incidents. The Cyber Disclosure Committee reports its activities and findings, as appropriate, to the Chief Executive Officer, Chief Financial Officer, Principal Accounting Officer, and General Counsel, and, if appropriate, to the Board of Directors.</w:t>
      </w:r>
    </w:p>
    <w:p>
      <w:pPr>
        <w:spacing w:after="0" w:line="41" w:lineRule="exact"/>
        <w:rPr>
          <w:sz w:val="20"/>
          <w:szCs w:val="20"/>
          <w:color w:val="auto"/>
        </w:rPr>
      </w:pPr>
    </w:p>
    <w:p>
      <w:pPr>
        <w:jc w:val="both"/>
        <w:ind w:right="40"/>
        <w:spacing w:after="0" w:line="265" w:lineRule="auto"/>
        <w:rPr>
          <w:sz w:val="20"/>
          <w:szCs w:val="20"/>
          <w:color w:val="auto"/>
        </w:rPr>
      </w:pPr>
      <w:r>
        <w:rPr>
          <w:rFonts w:ascii="Arial" w:cs="Arial" w:eastAsia="Arial" w:hAnsi="Arial"/>
          <w:sz w:val="18"/>
          <w:szCs w:val="18"/>
          <w:color w:val="auto"/>
        </w:rPr>
        <w:t>Although we have experienced cybersecurity incidents, these incidents have not materially affected Roper, including its business strategy, results of operations, or financial condition. See “Item 1A. Risk Factors, We rely on information and technology, including third-party cloud computing platforms and other third-party business partners, for many of our business operations which could fail and cause disruption to our business operations.” above for more information. While we work to maintain our Cybersecurity Program, there can be no assurance that such actions will be sufficient to prevent cybersecurity incidents or mitigate all risks from cybersecurity threats or potential risks to such systems, networks, and data or those of our third-party providers.</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color w:val="000041"/>
        </w:rPr>
        <w:t>ITEM 2 | PROPERTIES</w:t>
      </w:r>
    </w:p>
    <w:p>
      <w:pPr>
        <w:spacing w:after="0" w:line="128"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 xml:space="preserve">Our corporate offices, consisting of 42,000 square feet of leased space, are located at 6496 University Parkway, </w:t>
      </w:r>
      <w:r>
        <w:rPr>
          <w:rFonts w:ascii="Arial" w:cs="Arial" w:eastAsia="Arial" w:hAnsi="Arial"/>
          <w:sz w:val="18"/>
          <w:szCs w:val="18"/>
          <w:color w:val="auto"/>
        </w:rPr>
        <w:t>ČƃɨƃɰɁɽƃ</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yȢɁɨȈǁƃ</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 xml:space="preserve">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ʥǉ</w:t>
      </w:r>
      <w:r>
        <w:rPr>
          <w:rFonts w:ascii="PMingLiU" w:cs="PMingLiU" w:eastAsia="PMingLiU" w:hAnsi="PMingLiU"/>
          <w:sz w:val="18"/>
          <w:szCs w:val="18"/>
          <w:color w:val="auto"/>
        </w:rPr>
        <w:t/>
      </w:r>
      <w:r>
        <w:rPr>
          <w:rFonts w:ascii="Arial" w:cs="Arial" w:eastAsia="Arial" w:hAnsi="Arial"/>
          <w:sz w:val="18"/>
          <w:szCs w:val="18"/>
          <w:color w:val="auto"/>
        </w:rPr>
        <w:t xml:space="preserve"> Ȣǉƃɰǉǁ</w:t>
      </w:r>
      <w:r>
        <w:rPr>
          <w:rFonts w:ascii="PMingLiU" w:cs="PMingLiU" w:eastAsia="PMingLiU" w:hAnsi="PMingLiU"/>
          <w:sz w:val="18"/>
          <w:szCs w:val="18"/>
          <w:color w:val="auto"/>
        </w:rPr>
        <w:t/>
      </w:r>
      <w:r>
        <w:rPr>
          <w:rFonts w:ascii="Arial" w:cs="Arial" w:eastAsia="Arial" w:hAnsi="Arial"/>
          <w:sz w:val="18"/>
          <w:szCs w:val="18"/>
          <w:color w:val="auto"/>
        </w:rPr>
        <w:t>ǹƃƺȈȢȈɽȈǉɰ</w:t>
      </w:r>
      <w:r>
        <w:rPr>
          <w:rFonts w:ascii="PMingLiU" w:cs="PMingLiU" w:eastAsia="PMingLiU" w:hAnsi="PMingLiU"/>
          <w:sz w:val="18"/>
          <w:szCs w:val="18"/>
          <w:color w:val="auto"/>
        </w:rPr>
        <w:t/>
      </w:r>
      <w:r>
        <w:rPr>
          <w:rFonts w:ascii="Arial" w:cs="Arial" w:eastAsia="Arial" w:hAnsi="Arial"/>
          <w:sz w:val="18"/>
          <w:szCs w:val="18"/>
          <w:color w:val="auto"/>
        </w:rPr>
        <w:t>ɽȃɨɁʍǼȃɁʍɽ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ĩ</w:t>
      </w:r>
      <w:r>
        <w:rPr>
          <w:rFonts w:ascii="Arial" w:cs="Arial" w:eastAsia="Arial" w:hAnsi="Arial"/>
          <w:sz w:val="18"/>
          <w:szCs w:val="18"/>
          <w:color w:val="auto"/>
        </w:rPr>
        <w:t>ӝ</w:t>
      </w:r>
      <w:r>
        <w:rPr>
          <w:rFonts w:ascii="Arial" w:cs="Arial" w:eastAsia="Arial" w:hAnsi="Arial"/>
          <w:sz w:val="18"/>
          <w:szCs w:val="18"/>
          <w:color w:val="auto"/>
        </w:rPr>
        <w:t>Č</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ʤƃɨȈɁʍɰ</w:t>
      </w:r>
      <w:r>
        <w:rPr>
          <w:rFonts w:ascii="PMingLiU" w:cs="PMingLiU" w:eastAsia="PMingLiU" w:hAnsi="PMingLiU"/>
          <w:sz w:val="18"/>
          <w:szCs w:val="18"/>
          <w:color w:val="auto"/>
        </w:rPr>
        <w:t/>
      </w:r>
      <w:r>
        <w:rPr>
          <w:rFonts w:ascii="Arial" w:cs="Arial" w:eastAsia="Arial" w:hAnsi="Arial"/>
          <w:sz w:val="18"/>
          <w:szCs w:val="18"/>
          <w:color w:val="auto"/>
        </w:rPr>
        <w:t>ȢɁƺƃɽȈɁȶɰ</w:t>
      </w:r>
      <w:r>
        <w:rPr>
          <w:rFonts w:ascii="PMingLiU" w:cs="PMingLiU" w:eastAsia="PMingLiU" w:hAnsi="PMingLiU"/>
          <w:sz w:val="18"/>
          <w:szCs w:val="18"/>
          <w:color w:val="auto"/>
        </w:rPr>
        <w:t/>
      </w:r>
      <w:r>
        <w:rPr>
          <w:rFonts w:ascii="Arial" w:cs="Arial" w:eastAsia="Arial" w:hAnsi="Arial"/>
          <w:sz w:val="18"/>
          <w:szCs w:val="18"/>
          <w:color w:val="auto"/>
        </w:rPr>
        <w:t>Ȉȶɽǉɨȶƃ</w:t>
      </w:r>
      <w:r>
        <w:rPr>
          <w:rFonts w:ascii="Arial" w:cs="Arial" w:eastAsia="Arial" w:hAnsi="Arial"/>
          <w:sz w:val="18"/>
          <w:szCs w:val="18"/>
          <w:color w:val="auto"/>
        </w:rPr>
        <w:t xml:space="preserve">-tionally, including North America, Europe, and Asia-Pacific. Additionally, we owned one property in the U.S. as of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їѕїњӝ</w:t>
      </w:r>
      <w:r>
        <w:rPr>
          <w:rFonts w:ascii="PMingLiU" w:cs="PMingLiU" w:eastAsia="PMingLiU" w:hAnsi="PMingLiU"/>
          <w:sz w:val="18"/>
          <w:szCs w:val="18"/>
          <w:color w:val="auto"/>
        </w:rPr>
        <w:t/>
      </w:r>
      <w:r>
        <w:rPr>
          <w:rFonts w:ascii="Arial" w:cs="Arial" w:eastAsia="Arial" w:hAnsi="Arial"/>
          <w:sz w:val="18"/>
          <w:szCs w:val="18"/>
          <w:color w:val="auto"/>
        </w:rPr>
        <w:t xml:space="preserve"> Śǉ</w:t>
      </w:r>
      <w:r>
        <w:rPr>
          <w:rFonts w:ascii="PMingLiU" w:cs="PMingLiU" w:eastAsia="PMingLiU" w:hAnsi="PMingLiU"/>
          <w:sz w:val="18"/>
          <w:szCs w:val="18"/>
          <w:color w:val="auto"/>
        </w:rPr>
        <w:t/>
      </w:r>
      <w:r>
        <w:rPr>
          <w:rFonts w:ascii="Arial" w:cs="Arial" w:eastAsia="Arial" w:hAnsi="Arial"/>
          <w:sz w:val="18"/>
          <w:szCs w:val="18"/>
          <w:color w:val="auto"/>
        </w:rPr>
        <w:t>ƺɁȶɰȈǁǉɨ</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ǹƃƺȈȢȈɽȈǉɰ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ƹǉ</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ǼɁɁǁ</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ƺɁȶǁȈɽȈɁȶ</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ƃǁǉɧʍƃɽǉ</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ɽȃǉȈɨ</w:t>
      </w:r>
      <w:r>
        <w:rPr>
          <w:rFonts w:ascii="PMingLiU" w:cs="PMingLiU" w:eastAsia="PMingLiU" w:hAnsi="PMingLiU"/>
          <w:sz w:val="18"/>
          <w:szCs w:val="18"/>
          <w:color w:val="auto"/>
        </w:rPr>
        <w:t/>
      </w:r>
      <w:r>
        <w:rPr>
          <w:rFonts w:ascii="Arial" w:cs="Arial" w:eastAsia="Arial" w:hAnsi="Arial"/>
          <w:sz w:val="18"/>
          <w:szCs w:val="18"/>
          <w:color w:val="auto"/>
        </w:rPr>
        <w:t>ɥɨǉɰǉȶɽ</w:t>
      </w:r>
      <w:r>
        <w:rPr>
          <w:rFonts w:ascii="PMingLiU" w:cs="PMingLiU" w:eastAsia="PMingLiU" w:hAnsi="PMingLiU"/>
          <w:sz w:val="18"/>
          <w:szCs w:val="18"/>
          <w:color w:val="auto"/>
        </w:rPr>
        <w:t/>
      </w:r>
      <w:r>
        <w:rPr>
          <w:rFonts w:ascii="Arial" w:cs="Arial" w:eastAsia="Arial" w:hAnsi="Arial"/>
          <w:sz w:val="18"/>
          <w:szCs w:val="18"/>
          <w:color w:val="auto"/>
        </w:rPr>
        <w:t>ʍɰǉ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and believe we have sufficient capacity to meet our anticipated operating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000041"/>
        </w:rPr>
        <w:t>ITEM 3 | LEGAL PROCEEDINGS</w:t>
      </w:r>
    </w:p>
    <w:p>
      <w:pPr>
        <w:spacing w:after="0" w:line="128" w:lineRule="exact"/>
        <w:rPr>
          <w:sz w:val="20"/>
          <w:szCs w:val="20"/>
          <w:color w:val="auto"/>
        </w:rPr>
      </w:pPr>
    </w:p>
    <w:p>
      <w:pPr>
        <w:ind w:right="40"/>
        <w:spacing w:after="0" w:line="319" w:lineRule="auto"/>
        <w:rPr>
          <w:sz w:val="20"/>
          <w:szCs w:val="20"/>
          <w:color w:val="auto"/>
        </w:rPr>
      </w:pPr>
      <w:r>
        <w:rPr>
          <w:rFonts w:ascii="Arial" w:cs="Arial" w:eastAsia="Arial" w:hAnsi="Arial"/>
          <w:sz w:val="18"/>
          <w:szCs w:val="18"/>
          <w:color w:val="auto"/>
        </w:rPr>
        <w:t>Information pertaining to legal proceedings can be found in Note 13 to the Consolidated Financial Statements included in this Annual Report, and is incorporated by reference herein.</w:t>
      </w:r>
    </w:p>
    <w:p>
      <w:pPr>
        <w:spacing w:after="0" w:line="116" w:lineRule="exact"/>
        <w:rPr>
          <w:sz w:val="20"/>
          <w:szCs w:val="20"/>
          <w:color w:val="auto"/>
        </w:rPr>
      </w:pPr>
    </w:p>
    <w:p>
      <w:pPr>
        <w:spacing w:after="0"/>
        <w:rPr>
          <w:sz w:val="20"/>
          <w:szCs w:val="20"/>
          <w:color w:val="auto"/>
        </w:rPr>
      </w:pPr>
      <w:r>
        <w:rPr>
          <w:rFonts w:ascii="Arial" w:cs="Arial" w:eastAsia="Arial" w:hAnsi="Arial"/>
          <w:sz w:val="24"/>
          <w:szCs w:val="24"/>
          <w:color w:val="000041"/>
        </w:rPr>
        <w:t>ITEM 4 | MINE SAFETY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color w:val="000041"/>
        </w:rPr>
        <w:t>INFORMATION ABOUT OUR EXECUTIVE OFFICERS</w:t>
      </w:r>
    </w:p>
    <w:p>
      <w:pPr>
        <w:spacing w:after="0" w:line="128" w:lineRule="exact"/>
        <w:rPr>
          <w:sz w:val="20"/>
          <w:szCs w:val="20"/>
          <w:color w:val="auto"/>
        </w:rPr>
      </w:pPr>
    </w:p>
    <w:p>
      <w:pPr>
        <w:jc w:val="both"/>
        <w:spacing w:after="0" w:line="234" w:lineRule="exact"/>
        <w:rPr>
          <w:sz w:val="20"/>
          <w:szCs w:val="20"/>
          <w:color w:val="auto"/>
        </w:rPr>
      </w:pPr>
      <w:r>
        <w:rPr>
          <w:rFonts w:ascii="Arial" w:cs="Arial" w:eastAsia="Arial" w:hAnsi="Arial"/>
          <w:sz w:val="18"/>
          <w:szCs w:val="18"/>
          <w:color w:val="auto"/>
        </w:rPr>
        <w:t xml:space="preserve">Pursuant to General Instruction G(3) of Form 10-K, the following list of executive officers of the Company as of </w:t>
      </w:r>
      <w:r>
        <w:rPr>
          <w:rFonts w:ascii="Arial" w:cs="Arial" w:eastAsia="Arial" w:hAnsi="Arial"/>
          <w:sz w:val="18"/>
          <w:szCs w:val="18"/>
          <w:color w:val="auto"/>
        </w:rPr>
        <w:t>yǉƹɨʍƃɨʰԝ</w:t>
      </w:r>
      <w:r>
        <w:rPr>
          <w:rFonts w:ascii="Arial" w:cs="Arial" w:eastAsia="Arial" w:hAnsi="Arial"/>
          <w:sz w:val="18"/>
          <w:szCs w:val="18"/>
          <w:color w:val="auto"/>
        </w:rPr>
        <w:t>їљӗ</w:t>
      </w:r>
      <w:r>
        <w:rPr>
          <w:rFonts w:ascii="PMingLiU" w:cs="PMingLiU" w:eastAsia="PMingLiU" w:hAnsi="PMingLiU"/>
          <w:sz w:val="18"/>
          <w:szCs w:val="18"/>
          <w:color w:val="auto"/>
        </w:rPr>
        <w:t/>
      </w:r>
      <w:r>
        <w:rPr>
          <w:rFonts w:ascii="Arial" w:cs="Arial" w:eastAsia="Arial" w:hAnsi="Arial"/>
          <w:sz w:val="18"/>
          <w:szCs w:val="18"/>
          <w:color w:val="auto"/>
        </w:rPr>
        <w:t>їѕїћ</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ȈȶƺȢʍǁǉǁ</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ƃȶ</w:t>
      </w:r>
      <w:r>
        <w:rPr>
          <w:rFonts w:ascii="PMingLiU" w:cs="PMingLiU" w:eastAsia="PMingLiU" w:hAnsi="PMingLiU"/>
          <w:sz w:val="18"/>
          <w:szCs w:val="18"/>
          <w:color w:val="auto"/>
        </w:rPr>
        <w:t/>
      </w:r>
      <w:r>
        <w:rPr>
          <w:rFonts w:ascii="Arial" w:cs="Arial" w:eastAsia="Arial" w:hAnsi="Arial"/>
          <w:sz w:val="18"/>
          <w:szCs w:val="18"/>
          <w:color w:val="auto"/>
        </w:rPr>
        <w:t>ʍȶȶʍȴƹǉɨǉǁ</w:t>
      </w:r>
      <w:r>
        <w:rPr>
          <w:rFonts w:ascii="PMingLiU" w:cs="PMingLiU" w:eastAsia="PMingLiU" w:hAnsi="PMingLiU"/>
          <w:sz w:val="18"/>
          <w:szCs w:val="18"/>
          <w:color w:val="auto"/>
        </w:rPr>
        <w:t></w:t>
      </w:r>
      <w:r>
        <w:rPr>
          <w:rFonts w:ascii="Arial" w:cs="Arial" w:eastAsia="Arial" w:hAnsi="Arial"/>
          <w:sz w:val="18"/>
          <w:szCs w:val="18"/>
          <w:color w:val="auto"/>
        </w:rPr>
        <w:t>ɽǉȴ</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Āƃɨɽ</w:t>
      </w:r>
      <w:r>
        <w:rPr>
          <w:rFonts w:ascii="PMingLiU" w:cs="PMingLiU" w:eastAsia="PMingLiU" w:hAnsi="PMingLiU"/>
          <w:sz w:val="18"/>
          <w:szCs w:val="18"/>
          <w:color w:val="auto"/>
        </w:rPr>
        <w:t></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ɽȃȈɰ</w:t>
      </w:r>
      <w:r>
        <w:rPr>
          <w:rFonts w:ascii="PMingLiU" w:cs="PMingLiU" w:eastAsia="PMingLiU" w:hAnsi="PMingLiU"/>
          <w:sz w:val="18"/>
          <w:szCs w:val="18"/>
          <w:color w:val="auto"/>
        </w:rPr>
        <w:t/>
      </w:r>
      <w:r>
        <w:rPr>
          <w:rFonts w:ascii="Arial" w:cs="Arial" w:eastAsia="Arial" w:hAnsi="Arial"/>
          <w:sz w:val="18"/>
          <w:szCs w:val="18"/>
          <w:color w:val="auto"/>
        </w:rPr>
        <w:t>ɨǉɥɁɨɽ</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ȢȈǉʍ</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ƹǉȈȶǼ</w:t>
      </w:r>
      <w:r>
        <w:rPr>
          <w:rFonts w:ascii="PMingLiU" w:cs="PMingLiU" w:eastAsia="PMingLiU" w:hAnsi="PMingLiU"/>
          <w:sz w:val="18"/>
          <w:szCs w:val="18"/>
          <w:color w:val="auto"/>
        </w:rPr>
        <w:t/>
      </w:r>
      <w:r>
        <w:rPr>
          <w:rFonts w:ascii="Arial" w:cs="Arial" w:eastAsia="Arial" w:hAnsi="Arial"/>
          <w:sz w:val="18"/>
          <w:szCs w:val="18"/>
          <w:color w:val="auto"/>
        </w:rPr>
        <w:t>ȈȶƺȢʍǁǉǁ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Proxy Statement relating to the 2026 Annual Meeting of Shareholders.</w:t>
      </w:r>
    </w:p>
    <w:p>
      <w:pPr>
        <w:spacing w:after="0" w:line="69"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i w:val="1"/>
          <w:iCs w:val="1"/>
          <w:color w:val="auto"/>
        </w:rPr>
        <w:t xml:space="preserve">L. Neil Hunn, </w:t>
      </w:r>
      <w:r>
        <w:rPr>
          <w:rFonts w:ascii="Arial" w:cs="Arial" w:eastAsia="Arial" w:hAnsi="Arial"/>
          <w:sz w:val="18"/>
          <w:szCs w:val="18"/>
          <w:color w:val="auto"/>
        </w:rPr>
        <w:t>53, has served as President and Chief Executive Officer since August 2018. He previously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and Chief Operating Officer from 2017 to 2018. Mr. Hunn also served as Group Vice President of Roper’s medical segment from 2011 to 2018 and helped drive significant growth in the Company’s medical technol-ogy and application software businesses. In addition to his operating responsibilities at Roper, Mr. Hunn led the exe-cution of the majority of the Company’s capital deployment since joining Roper. Prior to joining Roper, Mr. Hunn served 10 years as Executive Vice President and Chief Financial Officer at MedAssets, Inc., an Atlanta-based SaaS com-pany, and as President of its revenue cycle technology businesses. He successfully led MedAssets’ initial public offer-ing and the execution of several M&amp;A transactions. Mr. Hunn also held roles at CMGI, an incubator of internet businesses, and Parthenon Group, a strategy consulting firm. Mr. Hunn has been a director of Deere &amp; Company, a global leader in the delivery of agricultural, construction, and forestry equipment, since 2023.</w:t>
      </w:r>
    </w:p>
    <w:p>
      <w:pPr>
        <w:spacing w:after="0" w:line="276" w:lineRule="exact"/>
        <w:rPr>
          <w:sz w:val="20"/>
          <w:szCs w:val="20"/>
          <w:color w:val="auto"/>
        </w:rPr>
      </w:pPr>
    </w:p>
    <w:p>
      <w:pPr>
        <w:jc w:val="both"/>
        <w:ind w:right="40"/>
        <w:spacing w:after="0" w:line="265" w:lineRule="auto"/>
        <w:rPr>
          <w:sz w:val="20"/>
          <w:szCs w:val="20"/>
          <w:color w:val="auto"/>
        </w:rPr>
      </w:pPr>
      <w:r>
        <w:rPr>
          <w:rFonts w:ascii="Arial" w:cs="Arial" w:eastAsia="Arial" w:hAnsi="Arial"/>
          <w:sz w:val="18"/>
          <w:szCs w:val="18"/>
          <w:i w:val="1"/>
          <w:iCs w:val="1"/>
          <w:color w:val="auto"/>
        </w:rPr>
        <w:t>Jason P. Conley</w:t>
      </w:r>
      <w:r>
        <w:rPr>
          <w:rFonts w:ascii="Arial" w:cs="Arial" w:eastAsia="Arial" w:hAnsi="Arial"/>
          <w:sz w:val="18"/>
          <w:szCs w:val="18"/>
          <w:color w:val="auto"/>
        </w:rPr>
        <w:t>, 50, has served as Executive Vice President and Chief Financial Officer since February 2023. Prior</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he served as Vice President and Chief Accounting Officer from 2021 to February 2023 and as Vice President and Controller from 2017 to 2021. He previously served as the Chief Financial Officer at Managed Health Care Associates, a Roper subsidiary, from 2013 to 2017. He also led the financial planning and investor relations activities for Roper from 2006 to 2013. Before joining Roper, Mr. Conley served in various finance and accounting leadership roles at Honeywell International and Deloitte. Mr. Conley has been a director of KLA Corporation, an industry-leading developer of equip-ment and services for the semiconductor and nanoelectronics industries, since 2025.</w:t>
      </w:r>
    </w:p>
    <w:p>
      <w:pPr>
        <w:spacing w:after="0" w:line="5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John K. Stipancich</w:t>
      </w:r>
      <w:r>
        <w:rPr>
          <w:rFonts w:ascii="Arial" w:cs="Arial" w:eastAsia="Arial" w:hAnsi="Arial"/>
          <w:sz w:val="18"/>
          <w:szCs w:val="18"/>
          <w:color w:val="auto"/>
        </w:rPr>
        <w:t>, 57, has served as Executive Vice President, General Counsel and Corporate Secretary since 2018 and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General Counsel and Corporate Secretary from 2016 to 2018. Prior to joining Roper, Mr. Stipancich was with Newell Brands Inc., a consumer products company, from 2004 to May of 2016. At Newell Brands he served as Executive Vice President and Chief Financial Officer from 2015 to 2016. Prior thereto, he served in a number of leadership roles at Newell Brands including General Counsel and Corporate Secretary, and Executive Leader of its operations in Europe, the Middle East, and Africa. Prior to his twelve years at Newell Brands, Mr. Stipancich served as Executive Vice President, General Counsel and Corporate Secretary for Evenflo Company and Assistant General Counsel for Borden, both KKR port-folio companies at the time. He started his legal career in the Cleveland office of the international law firm Squire Patton Boggs. Mr. Stipancich has been a director of Mativ Holdings, Inc., a global leader in specialty materials, since 2024.</w:t>
      </w:r>
    </w:p>
    <w:p>
      <w:pPr>
        <w:sectPr>
          <w:pgSz w:w="12240" w:h="15840" w:orient="portrait"/>
          <w:cols w:equalWidth="0" w:num="1">
            <w:col w:w="10360"/>
          </w:cols>
          <w:pgMar w:left="960" w:top="935" w:right="920" w:bottom="90" w:gutter="0" w:footer="0" w:header="0"/>
        </w:sectPr>
      </w:pPr>
    </w:p>
    <w:p>
      <w:pPr>
        <w:spacing w:after="0" w:line="303"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23</w:t>
      </w:r>
    </w:p>
    <w:p>
      <w:pPr>
        <w:sectPr>
          <w:pgSz w:w="12240" w:h="15840" w:orient="portrait"/>
          <w:cols w:equalWidth="0" w:num="1">
            <w:col w:w="10360"/>
          </w:cols>
          <w:pgMar w:left="960" w:top="935" w:right="920" w:bottom="90" w:gutter="0" w:footer="0" w:header="0"/>
          <w:type w:val="continuous"/>
        </w:sectPr>
      </w:pPr>
    </w:p>
    <w:bookmarkStart w:id="25" w:name="page26"/>
    <w:bookmarkEnd w:id="25"/>
    <w:p>
      <w:pPr>
        <w:spacing w:after="0"/>
        <w:rPr>
          <w:sz w:val="20"/>
          <w:szCs w:val="20"/>
          <w:color w:val="auto"/>
        </w:rPr>
      </w:pPr>
      <w:r>
        <w:rPr>
          <w:rFonts w:ascii="Arial" w:cs="Arial" w:eastAsia="Arial" w:hAnsi="Arial"/>
          <w:sz w:val="27"/>
          <w:szCs w:val="27"/>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PART II</w:t>
      </w:r>
    </w:p>
    <w:p>
      <w:pPr>
        <w:sectPr>
          <w:pgSz w:w="12240" w:h="15840" w:orient="portrait"/>
          <w:cols w:equalWidth="0" w:num="1">
            <w:col w:w="10380"/>
          </w:cols>
          <w:pgMar w:left="960" w:top="913" w:right="900" w:bottom="90" w:gutter="0" w:footer="0" w:header="0"/>
        </w:sectPr>
      </w:pPr>
    </w:p>
    <w:p>
      <w:pPr>
        <w:spacing w:after="0" w:line="254" w:lineRule="exact"/>
        <w:rPr>
          <w:sz w:val="20"/>
          <w:szCs w:val="20"/>
          <w:color w:val="auto"/>
        </w:rPr>
      </w:pPr>
    </w:p>
    <w:p>
      <w:pPr>
        <w:ind w:left="1000" w:right="660" w:hanging="997"/>
        <w:spacing w:after="0" w:line="288" w:lineRule="auto"/>
        <w:rPr>
          <w:sz w:val="20"/>
          <w:szCs w:val="20"/>
          <w:color w:val="auto"/>
        </w:rPr>
      </w:pPr>
      <w:r>
        <w:rPr>
          <w:rFonts w:ascii="Arial" w:cs="Arial" w:eastAsia="Arial" w:hAnsi="Arial"/>
          <w:sz w:val="24"/>
          <w:szCs w:val="24"/>
          <w:color w:val="000041"/>
        </w:rPr>
        <w:t>ITEM 5 | MARKET FOR REGISTRANT’S COMMON EQUITY, RELATED STOCKHOLDER MATTERS AND ISSUER PURCHASES OF EQUITY SECURITIES</w:t>
      </w:r>
    </w:p>
    <w:p>
      <w:pPr>
        <w:spacing w:after="0" w:line="2" w:lineRule="exact"/>
        <w:rPr>
          <w:sz w:val="20"/>
          <w:szCs w:val="20"/>
          <w:color w:val="auto"/>
        </w:rPr>
      </w:pPr>
    </w:p>
    <w:p>
      <w:pPr>
        <w:jc w:val="both"/>
        <w:ind w:right="60"/>
        <w:spacing w:after="0" w:line="241" w:lineRule="exact"/>
        <w:rPr>
          <w:sz w:val="20"/>
          <w:szCs w:val="20"/>
          <w:color w:val="auto"/>
        </w:rPr>
      </w:pPr>
      <w:r>
        <w:rPr>
          <w:rFonts w:ascii="Arial" w:cs="Arial" w:eastAsia="Arial" w:hAnsi="Arial"/>
          <w:sz w:val="18"/>
          <w:szCs w:val="18"/>
          <w:color w:val="auto"/>
        </w:rPr>
        <w:t xml:space="preserve">Our common stock trades on Nasdaq under the symbol “ROP.” Based on information available to us and our transfer </w:t>
      </w:r>
      <w:r>
        <w:rPr>
          <w:rFonts w:ascii="Arial" w:cs="Arial" w:eastAsia="Arial" w:hAnsi="Arial"/>
          <w:sz w:val="18"/>
          <w:szCs w:val="18"/>
          <w:color w:val="auto"/>
        </w:rPr>
        <w:t>ƃǼǉȶɽ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ɽȃǉɨǉ</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ƃɥɥɨɁʯȈȴƃɽǉȢʰ</w:t>
      </w:r>
      <w:r>
        <w:rPr>
          <w:rFonts w:ascii="PMingLiU" w:cs="PMingLiU" w:eastAsia="PMingLiU" w:hAnsi="PMingLiU"/>
          <w:sz w:val="18"/>
          <w:szCs w:val="18"/>
          <w:color w:val="auto"/>
        </w:rPr>
        <w:t/>
      </w:r>
      <w:r>
        <w:rPr>
          <w:rFonts w:ascii="Arial" w:cs="Arial" w:eastAsia="Arial" w:hAnsi="Arial"/>
          <w:sz w:val="18"/>
          <w:szCs w:val="18"/>
          <w:color w:val="auto"/>
        </w:rPr>
        <w:t>њњѝ</w:t>
      </w:r>
      <w:r>
        <w:rPr>
          <w:rFonts w:ascii="PMingLiU" w:cs="PMingLiU" w:eastAsia="PMingLiU" w:hAnsi="PMingLiU"/>
          <w:sz w:val="18"/>
          <w:szCs w:val="18"/>
          <w:color w:val="auto"/>
        </w:rPr>
        <w:t/>
      </w:r>
      <w:r>
        <w:rPr>
          <w:rFonts w:ascii="Arial" w:cs="Arial" w:eastAsia="Arial" w:hAnsi="Arial"/>
          <w:sz w:val="18"/>
          <w:szCs w:val="18"/>
          <w:color w:val="auto"/>
        </w:rPr>
        <w:t>ɨǉƺɁɨǁ</w:t>
      </w:r>
      <w:r>
        <w:rPr>
          <w:rFonts w:ascii="PMingLiU" w:cs="PMingLiU" w:eastAsia="PMingLiU" w:hAnsi="PMingLiU"/>
          <w:sz w:val="18"/>
          <w:szCs w:val="18"/>
          <w:color w:val="auto"/>
        </w:rPr>
        <w:t/>
      </w:r>
      <w:r>
        <w:rPr>
          <w:rFonts w:ascii="Arial" w:cs="Arial" w:eastAsia="Arial" w:hAnsi="Arial"/>
          <w:sz w:val="18"/>
          <w:szCs w:val="18"/>
          <w:color w:val="auto"/>
        </w:rPr>
        <w:t>ȃɁȢǁǉɨɰ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ƺɁȴȴɁȶ</w:t>
      </w:r>
      <w:r>
        <w:rPr>
          <w:rFonts w:ascii="PMingLiU" w:cs="PMingLiU" w:eastAsia="PMingLiU" w:hAnsi="PMingLiU"/>
          <w:sz w:val="18"/>
          <w:szCs w:val="18"/>
          <w:color w:val="auto"/>
        </w:rPr>
        <w:t/>
      </w:r>
      <w:r>
        <w:rPr>
          <w:rFonts w:ascii="Arial" w:cs="Arial" w:eastAsia="Arial" w:hAnsi="Arial"/>
          <w:sz w:val="18"/>
          <w:szCs w:val="18"/>
          <w:color w:val="auto"/>
        </w:rPr>
        <w:t>ɰɽɁƺȟ</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yǉƹɨʍƃɨʰԝ</w:t>
      </w:r>
      <w:r>
        <w:rPr>
          <w:rFonts w:ascii="Arial" w:cs="Arial" w:eastAsia="Arial" w:hAnsi="Arial"/>
          <w:sz w:val="18"/>
          <w:szCs w:val="18"/>
          <w:color w:val="auto"/>
        </w:rPr>
        <w:t>їѕӗ</w:t>
      </w:r>
      <w:r>
        <w:rPr>
          <w:rFonts w:ascii="PMingLiU" w:cs="PMingLiU" w:eastAsia="PMingLiU" w:hAnsi="PMingLiU"/>
          <w:sz w:val="18"/>
          <w:szCs w:val="18"/>
          <w:color w:val="auto"/>
        </w:rPr>
        <w:t/>
      </w:r>
      <w:r>
        <w:rPr>
          <w:rFonts w:ascii="Arial" w:cs="Arial" w:eastAsia="Arial" w:hAnsi="Arial"/>
          <w:sz w:val="18"/>
          <w:szCs w:val="18"/>
          <w:color w:val="auto"/>
        </w:rPr>
        <w:t>їѕїћӝ</w:t>
      </w:r>
    </w:p>
    <w:p>
      <w:pPr>
        <w:spacing w:after="0" w:line="5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We have declared a cash dividend in each quarter since our February 1992 initial public offering and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annually increased our dividend rate since our initial public offering. In November 2025, our Board of Directors increased the quarterly dividend paid January 16, 2026 to $0.91 per share from $0.825 per share, an increase of 10%. This is the thirty-third consecutive year in which the Company has increased its dividend. The timing, declaration, and payment of future dividends will be at the sole discretion of our Board of Directors and will depend upon our profit-ability, cash flows, financial condition, capital needs, future prospects, and other factors deemed relevant by our Board of Directors.</w:t>
      </w:r>
    </w:p>
    <w:p>
      <w:pPr>
        <w:spacing w:after="0" w:line="263" w:lineRule="exact"/>
        <w:rPr>
          <w:sz w:val="20"/>
          <w:szCs w:val="20"/>
          <w:color w:val="auto"/>
        </w:rPr>
      </w:pPr>
    </w:p>
    <w:p>
      <w:pPr>
        <w:jc w:val="both"/>
        <w:ind w:right="60"/>
        <w:spacing w:after="0" w:line="285" w:lineRule="auto"/>
        <w:rPr>
          <w:sz w:val="20"/>
          <w:szCs w:val="20"/>
          <w:color w:val="auto"/>
        </w:rPr>
      </w:pPr>
      <w:r>
        <w:rPr>
          <w:rFonts w:ascii="Arial" w:cs="Arial" w:eastAsia="Arial" w:hAnsi="Arial"/>
          <w:sz w:val="18"/>
          <w:szCs w:val="18"/>
          <w:b w:val="1"/>
          <w:bCs w:val="1"/>
          <w:color w:val="auto"/>
        </w:rPr>
        <w:t>Performance Graph—</w:t>
      </w:r>
      <w:r>
        <w:rPr>
          <w:rFonts w:ascii="Arial" w:cs="Arial" w:eastAsia="Arial" w:hAnsi="Arial"/>
          <w:sz w:val="18"/>
          <w:szCs w:val="18"/>
          <w:color w:val="auto"/>
        </w:rPr>
        <w:t>This performance graph shall not be deemed “filed” for purposes of Section 18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of 1934, as amended (the “Exchange Act”) or otherwise subject to the liabilities under that Section and shall not be deemed incorporated by reference into any of our filings under the Securities Act of 1933, as amended, or the Exchange Act.</w:t>
      </w:r>
    </w:p>
    <w:p>
      <w:pPr>
        <w:spacing w:after="0" w:line="26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ǹɁȢȢɁʥȈȶǼ</w:t>
      </w:r>
      <w:r>
        <w:rPr>
          <w:rFonts w:ascii="PMingLiU" w:cs="PMingLiU" w:eastAsia="PMingLiU" w:hAnsi="PMingLiU"/>
          <w:sz w:val="18"/>
          <w:szCs w:val="18"/>
          <w:color w:val="auto"/>
        </w:rPr>
        <w:t/>
      </w:r>
      <w:r>
        <w:rPr>
          <w:rFonts w:ascii="Arial" w:cs="Arial" w:eastAsia="Arial" w:hAnsi="Arial"/>
          <w:sz w:val="18"/>
          <w:szCs w:val="18"/>
          <w:color w:val="auto"/>
        </w:rPr>
        <w:t>Ǽɨƃɥȃ</w:t>
      </w:r>
      <w:r>
        <w:rPr>
          <w:rFonts w:ascii="PMingLiU" w:cs="PMingLiU" w:eastAsia="PMingLiU" w:hAnsi="PMingLiU"/>
          <w:sz w:val="18"/>
          <w:szCs w:val="18"/>
          <w:color w:val="auto"/>
        </w:rPr>
        <w:t/>
      </w:r>
      <w:r>
        <w:rPr>
          <w:rFonts w:ascii="Arial" w:cs="Arial" w:eastAsia="Arial" w:hAnsi="Arial"/>
          <w:sz w:val="18"/>
          <w:szCs w:val="18"/>
          <w:color w:val="auto"/>
        </w:rPr>
        <w:t>ƺɁȴɥƃɨǉɰ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ǹȈʤǉ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ɥǉɨȈɁǁ</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ƺʍȴʍȢƃɽȈʤǉ</w:t>
      </w:r>
      <w:r>
        <w:rPr>
          <w:rFonts w:ascii="PMingLiU" w:cs="PMingLiU" w:eastAsia="PMingLiU" w:hAnsi="PMingLiU"/>
          <w:sz w:val="18"/>
          <w:szCs w:val="18"/>
          <w:color w:val="auto"/>
        </w:rPr>
        <w:t/>
      </w:r>
      <w:r>
        <w:rPr>
          <w:rFonts w:ascii="Arial" w:cs="Arial" w:eastAsia="Arial" w:hAnsi="Arial"/>
          <w:sz w:val="18"/>
          <w:szCs w:val="18"/>
          <w:color w:val="auto"/>
        </w:rPr>
        <w:t>ɽɁɽƃȢ</w:t>
      </w:r>
      <w:r>
        <w:rPr>
          <w:rFonts w:ascii="PMingLiU" w:cs="PMingLiU" w:eastAsia="PMingLiU" w:hAnsi="PMingLiU"/>
          <w:sz w:val="18"/>
          <w:szCs w:val="18"/>
          <w:color w:val="auto"/>
        </w:rPr>
        <w:t/>
      </w:r>
      <w:r>
        <w:rPr>
          <w:rFonts w:ascii="Arial" w:cs="Arial" w:eastAsia="Arial" w:hAnsi="Arial"/>
          <w:sz w:val="18"/>
          <w:szCs w:val="18"/>
          <w:color w:val="auto"/>
        </w:rPr>
        <w:t>ɰɽɁƺȟȃɁȢǁǉɨ</w:t>
      </w:r>
      <w:r>
        <w:rPr>
          <w:rFonts w:ascii="PMingLiU" w:cs="PMingLiU" w:eastAsia="PMingLiU" w:hAnsi="PMingLiU"/>
          <w:sz w:val="18"/>
          <w:szCs w:val="18"/>
          <w:color w:val="auto"/>
        </w:rPr>
        <w:t/>
      </w:r>
      <w:r>
        <w:rPr>
          <w:rFonts w:ascii="Arial" w:cs="Arial" w:eastAsia="Arial" w:hAnsi="Arial"/>
          <w:sz w:val="18"/>
          <w:szCs w:val="18"/>
          <w:color w:val="auto"/>
        </w:rPr>
        <w:t>ɨǉɽʍɨȶ</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for our common stock, the Standard &amp; Poor’s 500 Stock Index (the “S&amp;P 500”), and the Standard &amp; Poor’s 500 Information Technology Index (the “S&amp;P 500 IT”). Measurement points are the last trading day of each of our fiscal years ended December 31, 2020, 2021, 2022, 2023, 2024, and 2025. The graph assumes that $100.00 was invested on December 31, 2020 in our common stock, the S&amp;P 500, and the S&amp;P 500 IT and assumes the reinvestment of any dividends. The stock price performance on the following graph is not necessarily indicative of future stock price performance.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480" w:type="dxa"/>
            <w:vAlign w:val="bottom"/>
            <w:tcBorders>
              <w:bottom w:val="single" w:sz="8" w:color="000041"/>
            </w:tcBorders>
          </w:tcPr>
          <w:p>
            <w:pPr>
              <w:ind w:left="120"/>
              <w:spacing w:after="0"/>
              <w:rPr>
                <w:sz w:val="20"/>
                <w:szCs w:val="20"/>
                <w:color w:val="auto"/>
              </w:rPr>
            </w:pPr>
            <w:r>
              <w:rPr>
                <w:rFonts w:ascii="Arial" w:cs="Arial" w:eastAsia="Arial" w:hAnsi="Arial"/>
                <w:sz w:val="18"/>
                <w:szCs w:val="18"/>
                <w:color w:val="auto"/>
              </w:rPr>
              <w:t>ԝ</w:t>
            </w:r>
          </w:p>
        </w:tc>
        <w:tc>
          <w:tcPr>
            <w:tcW w:w="1520" w:type="dxa"/>
            <w:vAlign w:val="bottom"/>
            <w:tcBorders>
              <w:bottom w:val="single" w:sz="8" w:color="000041"/>
            </w:tcBorders>
          </w:tcPr>
          <w:p>
            <w:pPr>
              <w:jc w:val="right"/>
              <w:ind w:right="200"/>
              <w:spacing w:after="0"/>
              <w:rPr>
                <w:sz w:val="20"/>
                <w:szCs w:val="20"/>
                <w:color w:val="auto"/>
              </w:rPr>
            </w:pPr>
            <w:r>
              <w:rPr>
                <w:rFonts w:ascii="Arial" w:cs="Arial" w:eastAsia="Arial" w:hAnsi="Arial"/>
                <w:sz w:val="16"/>
                <w:szCs w:val="16"/>
                <w:color w:val="auto"/>
              </w:rPr>
              <w:t>12/31/2020</w:t>
            </w:r>
          </w:p>
        </w:tc>
        <w:tc>
          <w:tcPr>
            <w:tcW w:w="1300" w:type="dxa"/>
            <w:vAlign w:val="bottom"/>
            <w:tcBorders>
              <w:bottom w:val="single" w:sz="8" w:color="000041"/>
            </w:tcBorders>
          </w:tcPr>
          <w:p>
            <w:pPr>
              <w:jc w:val="right"/>
              <w:ind w:right="180"/>
              <w:spacing w:after="0"/>
              <w:rPr>
                <w:sz w:val="20"/>
                <w:szCs w:val="20"/>
                <w:color w:val="auto"/>
              </w:rPr>
            </w:pPr>
            <w:r>
              <w:rPr>
                <w:rFonts w:ascii="Arial" w:cs="Arial" w:eastAsia="Arial" w:hAnsi="Arial"/>
                <w:sz w:val="16"/>
                <w:szCs w:val="16"/>
                <w:color w:val="auto"/>
              </w:rPr>
              <w:t>12/31/2021</w:t>
            </w:r>
          </w:p>
        </w:tc>
        <w:tc>
          <w:tcPr>
            <w:tcW w:w="1320" w:type="dxa"/>
            <w:vAlign w:val="bottom"/>
            <w:tcBorders>
              <w:bottom w:val="single" w:sz="8" w:color="000041"/>
            </w:tcBorders>
          </w:tcPr>
          <w:p>
            <w:pPr>
              <w:jc w:val="right"/>
              <w:ind w:right="180"/>
              <w:spacing w:after="0"/>
              <w:rPr>
                <w:sz w:val="20"/>
                <w:szCs w:val="20"/>
                <w:color w:val="auto"/>
              </w:rPr>
            </w:pPr>
            <w:r>
              <w:rPr>
                <w:rFonts w:ascii="Arial" w:cs="Arial" w:eastAsia="Arial" w:hAnsi="Arial"/>
                <w:sz w:val="16"/>
                <w:szCs w:val="16"/>
                <w:color w:val="auto"/>
              </w:rPr>
              <w:t>12/31/2022</w:t>
            </w:r>
          </w:p>
        </w:tc>
        <w:tc>
          <w:tcPr>
            <w:tcW w:w="1320" w:type="dxa"/>
            <w:vAlign w:val="bottom"/>
            <w:tcBorders>
              <w:bottom w:val="single" w:sz="8" w:color="000041"/>
            </w:tcBorders>
          </w:tcPr>
          <w:p>
            <w:pPr>
              <w:jc w:val="right"/>
              <w:ind w:right="180"/>
              <w:spacing w:after="0"/>
              <w:rPr>
                <w:sz w:val="20"/>
                <w:szCs w:val="20"/>
                <w:color w:val="auto"/>
              </w:rPr>
            </w:pPr>
            <w:r>
              <w:rPr>
                <w:rFonts w:ascii="Arial" w:cs="Arial" w:eastAsia="Arial" w:hAnsi="Arial"/>
                <w:sz w:val="16"/>
                <w:szCs w:val="16"/>
                <w:color w:val="auto"/>
              </w:rPr>
              <w:t>12/31/2023</w:t>
            </w:r>
          </w:p>
        </w:tc>
        <w:tc>
          <w:tcPr>
            <w:tcW w:w="1240" w:type="dxa"/>
            <w:vAlign w:val="bottom"/>
            <w:tcBorders>
              <w:bottom w:val="single" w:sz="8" w:color="000041"/>
            </w:tcBorders>
          </w:tcPr>
          <w:p>
            <w:pPr>
              <w:jc w:val="right"/>
              <w:ind w:right="100"/>
              <w:spacing w:after="0"/>
              <w:rPr>
                <w:sz w:val="20"/>
                <w:szCs w:val="20"/>
                <w:color w:val="auto"/>
              </w:rPr>
            </w:pPr>
            <w:r>
              <w:rPr>
                <w:rFonts w:ascii="Arial" w:cs="Arial" w:eastAsia="Arial" w:hAnsi="Arial"/>
                <w:sz w:val="16"/>
                <w:szCs w:val="16"/>
                <w:color w:val="auto"/>
              </w:rPr>
              <w:t>12/31/2024</w:t>
            </w:r>
          </w:p>
        </w:tc>
        <w:tc>
          <w:tcPr>
            <w:tcW w:w="114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12/31/2025</w:t>
            </w:r>
          </w:p>
        </w:tc>
      </w:tr>
      <w:tr>
        <w:trPr>
          <w:trHeight w:val="254"/>
        </w:trPr>
        <w:tc>
          <w:tcPr>
            <w:tcW w:w="2480" w:type="dxa"/>
            <w:vAlign w:val="bottom"/>
          </w:tcPr>
          <w:p>
            <w:pPr>
              <w:ind w:left="120"/>
              <w:spacing w:after="0"/>
              <w:rPr>
                <w:sz w:val="20"/>
                <w:szCs w:val="20"/>
                <w:color w:val="auto"/>
              </w:rPr>
            </w:pPr>
            <w:r>
              <w:rPr>
                <w:rFonts w:ascii="Arial" w:cs="Arial" w:eastAsia="Arial" w:hAnsi="Arial"/>
                <w:sz w:val="16"/>
                <w:szCs w:val="16"/>
                <w:color w:val="auto"/>
              </w:rPr>
              <w:t>Roper Technologies, Inc.</w:t>
            </w:r>
          </w:p>
        </w:tc>
        <w:tc>
          <w:tcPr>
            <w:tcW w:w="1520" w:type="dxa"/>
            <w:vAlign w:val="bottom"/>
          </w:tcPr>
          <w:p>
            <w:pPr>
              <w:jc w:val="right"/>
              <w:ind w:right="200"/>
              <w:spacing w:after="0"/>
              <w:rPr>
                <w:sz w:val="20"/>
                <w:szCs w:val="20"/>
                <w:color w:val="auto"/>
              </w:rPr>
            </w:pPr>
            <w:r>
              <w:rPr>
                <w:rFonts w:ascii="Arial" w:cs="Arial" w:eastAsia="Arial" w:hAnsi="Arial"/>
                <w:sz w:val="16"/>
                <w:szCs w:val="16"/>
                <w:color w:val="auto"/>
              </w:rPr>
              <w:t>$100.00</w:t>
            </w:r>
          </w:p>
        </w:tc>
        <w:tc>
          <w:tcPr>
            <w:tcW w:w="1300" w:type="dxa"/>
            <w:vAlign w:val="bottom"/>
          </w:tcPr>
          <w:p>
            <w:pPr>
              <w:jc w:val="right"/>
              <w:ind w:right="180"/>
              <w:spacing w:after="0"/>
              <w:rPr>
                <w:sz w:val="20"/>
                <w:szCs w:val="20"/>
                <w:color w:val="auto"/>
              </w:rPr>
            </w:pPr>
            <w:r>
              <w:rPr>
                <w:rFonts w:ascii="Arial" w:cs="Arial" w:eastAsia="Arial" w:hAnsi="Arial"/>
                <w:sz w:val="16"/>
                <w:szCs w:val="16"/>
                <w:color w:val="auto"/>
              </w:rPr>
              <w:t>$114.68</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$101.33</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$128.61</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$123.32</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$106.25</w:t>
            </w:r>
          </w:p>
        </w:tc>
      </w:tr>
      <w:tr>
        <w:trPr>
          <w:trHeight w:val="247"/>
        </w:trPr>
        <w:tc>
          <w:tcPr>
            <w:tcW w:w="2480" w:type="dxa"/>
            <w:vAlign w:val="bottom"/>
          </w:tcPr>
          <w:p>
            <w:pPr>
              <w:ind w:left="120"/>
              <w:spacing w:after="0"/>
              <w:rPr>
                <w:sz w:val="20"/>
                <w:szCs w:val="20"/>
                <w:color w:val="auto"/>
              </w:rPr>
            </w:pPr>
            <w:r>
              <w:rPr>
                <w:rFonts w:ascii="Arial" w:cs="Arial" w:eastAsia="Arial" w:hAnsi="Arial"/>
                <w:sz w:val="16"/>
                <w:szCs w:val="16"/>
                <w:color w:val="auto"/>
              </w:rPr>
              <w:t>S&amp;P 500</w:t>
            </w:r>
          </w:p>
        </w:tc>
        <w:tc>
          <w:tcPr>
            <w:tcW w:w="1520" w:type="dxa"/>
            <w:vAlign w:val="bottom"/>
          </w:tcPr>
          <w:p>
            <w:pPr>
              <w:jc w:val="right"/>
              <w:ind w:right="200"/>
              <w:spacing w:after="0"/>
              <w:rPr>
                <w:sz w:val="20"/>
                <w:szCs w:val="20"/>
                <w:color w:val="auto"/>
              </w:rPr>
            </w:pPr>
            <w:r>
              <w:rPr>
                <w:rFonts w:ascii="Arial" w:cs="Arial" w:eastAsia="Arial" w:hAnsi="Arial"/>
                <w:sz w:val="16"/>
                <w:szCs w:val="16"/>
                <w:color w:val="auto"/>
              </w:rPr>
              <w:t>100.00</w:t>
            </w:r>
          </w:p>
        </w:tc>
        <w:tc>
          <w:tcPr>
            <w:tcW w:w="1300" w:type="dxa"/>
            <w:vAlign w:val="bottom"/>
          </w:tcPr>
          <w:p>
            <w:pPr>
              <w:jc w:val="right"/>
              <w:ind w:right="180"/>
              <w:spacing w:after="0"/>
              <w:rPr>
                <w:sz w:val="20"/>
                <w:szCs w:val="20"/>
                <w:color w:val="auto"/>
              </w:rPr>
            </w:pPr>
            <w:r>
              <w:rPr>
                <w:rFonts w:ascii="Arial" w:cs="Arial" w:eastAsia="Arial" w:hAnsi="Arial"/>
                <w:sz w:val="16"/>
                <w:szCs w:val="16"/>
                <w:color w:val="auto"/>
              </w:rPr>
              <w:t>128.71</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105.40</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133.10</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166.40</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196.16</w:t>
            </w:r>
          </w:p>
        </w:tc>
      </w:tr>
      <w:tr>
        <w:trPr>
          <w:trHeight w:val="233"/>
        </w:trPr>
        <w:tc>
          <w:tcPr>
            <w:tcW w:w="2480" w:type="dxa"/>
            <w:vAlign w:val="bottom"/>
          </w:tcPr>
          <w:p>
            <w:pPr>
              <w:ind w:left="120"/>
              <w:spacing w:after="0"/>
              <w:rPr>
                <w:sz w:val="20"/>
                <w:szCs w:val="20"/>
                <w:color w:val="auto"/>
              </w:rPr>
            </w:pPr>
            <w:r>
              <w:rPr>
                <w:rFonts w:ascii="Arial" w:cs="Arial" w:eastAsia="Arial" w:hAnsi="Arial"/>
                <w:sz w:val="16"/>
                <w:szCs w:val="16"/>
                <w:color w:val="auto"/>
              </w:rPr>
              <w:t>S&amp;P 500 IT</w:t>
            </w:r>
          </w:p>
        </w:tc>
        <w:tc>
          <w:tcPr>
            <w:tcW w:w="1520" w:type="dxa"/>
            <w:vAlign w:val="bottom"/>
          </w:tcPr>
          <w:p>
            <w:pPr>
              <w:jc w:val="right"/>
              <w:ind w:right="200"/>
              <w:spacing w:after="0"/>
              <w:rPr>
                <w:sz w:val="20"/>
                <w:szCs w:val="20"/>
                <w:color w:val="auto"/>
              </w:rPr>
            </w:pPr>
            <w:r>
              <w:rPr>
                <w:rFonts w:ascii="Arial" w:cs="Arial" w:eastAsia="Arial" w:hAnsi="Arial"/>
                <w:sz w:val="16"/>
                <w:szCs w:val="16"/>
                <w:color w:val="auto"/>
              </w:rPr>
              <w:t>100.00</w:t>
            </w:r>
          </w:p>
        </w:tc>
        <w:tc>
          <w:tcPr>
            <w:tcW w:w="1300" w:type="dxa"/>
            <w:vAlign w:val="bottom"/>
          </w:tcPr>
          <w:p>
            <w:pPr>
              <w:jc w:val="right"/>
              <w:ind w:right="180"/>
              <w:spacing w:after="0"/>
              <w:rPr>
                <w:sz w:val="20"/>
                <w:szCs w:val="20"/>
                <w:color w:val="auto"/>
              </w:rPr>
            </w:pPr>
            <w:r>
              <w:rPr>
                <w:rFonts w:ascii="Arial" w:cs="Arial" w:eastAsia="Arial" w:hAnsi="Arial"/>
                <w:sz w:val="16"/>
                <w:szCs w:val="16"/>
                <w:color w:val="auto"/>
              </w:rPr>
              <w:t>134.53</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96.60</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152.48</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208.30</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258.38</w:t>
            </w:r>
          </w:p>
        </w:tc>
      </w:tr>
    </w:tbl>
    <w:p>
      <w:pPr>
        <w:spacing w:after="0" w:line="200" w:lineRule="exact"/>
        <w:rPr>
          <w:sz w:val="20"/>
          <w:szCs w:val="20"/>
          <w:color w:val="auto"/>
        </w:rPr>
      </w:pPr>
    </w:p>
    <w:p>
      <w:pPr>
        <w:spacing w:after="0" w:line="238" w:lineRule="exact"/>
        <w:rPr>
          <w:sz w:val="20"/>
          <w:szCs w:val="20"/>
          <w:color w:val="auto"/>
        </w:rPr>
      </w:pPr>
    </w:p>
    <w:p>
      <w:pPr>
        <w:jc w:val="right"/>
        <w:ind w:right="9020"/>
        <w:spacing w:after="0"/>
        <w:rPr>
          <w:sz w:val="20"/>
          <w:szCs w:val="20"/>
          <w:color w:val="auto"/>
        </w:rPr>
      </w:pPr>
      <w:r>
        <w:rPr>
          <w:rFonts w:ascii="Arial" w:cs="Arial" w:eastAsia="Arial" w:hAnsi="Arial"/>
          <w:sz w:val="13"/>
          <w:szCs w:val="13"/>
          <w:color w:val="auto"/>
        </w:rPr>
        <w:t>$275</w:t>
      </w:r>
    </w:p>
    <w:p>
      <w:pPr>
        <w:spacing w:after="0" w:line="193" w:lineRule="exact"/>
        <w:rPr>
          <w:sz w:val="20"/>
          <w:szCs w:val="20"/>
          <w:color w:val="auto"/>
        </w:rPr>
      </w:pPr>
    </w:p>
    <w:p>
      <w:pPr>
        <w:jc w:val="right"/>
        <w:ind w:right="9020"/>
        <w:spacing w:after="0"/>
        <w:rPr>
          <w:sz w:val="20"/>
          <w:szCs w:val="20"/>
          <w:color w:val="auto"/>
        </w:rPr>
      </w:pPr>
      <w:r>
        <w:rPr>
          <w:rFonts w:ascii="Arial" w:cs="Arial" w:eastAsia="Arial" w:hAnsi="Arial"/>
          <w:sz w:val="13"/>
          <w:szCs w:val="13"/>
          <w:color w:val="auto"/>
        </w:rPr>
        <w:t>$250</w:t>
      </w:r>
    </w:p>
    <w:p>
      <w:pPr>
        <w:spacing w:after="0" w:line="192" w:lineRule="exact"/>
        <w:rPr>
          <w:sz w:val="20"/>
          <w:szCs w:val="20"/>
          <w:color w:val="auto"/>
        </w:rPr>
      </w:pPr>
    </w:p>
    <w:p>
      <w:pPr>
        <w:jc w:val="right"/>
        <w:ind w:right="9020"/>
        <w:spacing w:after="0"/>
        <w:rPr>
          <w:sz w:val="20"/>
          <w:szCs w:val="20"/>
          <w:color w:val="auto"/>
        </w:rPr>
      </w:pPr>
      <w:r>
        <w:rPr>
          <w:rFonts w:ascii="Arial" w:cs="Arial" w:eastAsia="Arial" w:hAnsi="Arial"/>
          <w:sz w:val="13"/>
          <w:szCs w:val="13"/>
          <w:color w:val="auto"/>
        </w:rPr>
        <w:t>$225</w:t>
      </w:r>
    </w:p>
    <w:p>
      <w:pPr>
        <w:spacing w:after="0" w:line="182" w:lineRule="exact"/>
        <w:rPr>
          <w:sz w:val="20"/>
          <w:szCs w:val="20"/>
          <w:color w:val="auto"/>
        </w:rPr>
      </w:pPr>
    </w:p>
    <w:p>
      <w:pPr>
        <w:jc w:val="right"/>
        <w:ind w:right="9020"/>
        <w:spacing w:after="0"/>
        <w:rPr>
          <w:sz w:val="20"/>
          <w:szCs w:val="20"/>
          <w:color w:val="auto"/>
        </w:rPr>
      </w:pPr>
      <w:r>
        <w:rPr>
          <w:rFonts w:ascii="Arial" w:cs="Arial" w:eastAsia="Arial" w:hAnsi="Arial"/>
          <w:sz w:val="13"/>
          <w:szCs w:val="13"/>
          <w:color w:val="auto"/>
        </w:rPr>
        <w:t>$200</w:t>
      </w:r>
    </w:p>
    <w:p>
      <w:pPr>
        <w:spacing w:after="0" w:line="196" w:lineRule="exact"/>
        <w:rPr>
          <w:sz w:val="20"/>
          <w:szCs w:val="20"/>
          <w:color w:val="auto"/>
        </w:rPr>
      </w:pPr>
    </w:p>
    <w:p>
      <w:pPr>
        <w:jc w:val="right"/>
        <w:ind w:right="9020"/>
        <w:spacing w:after="0"/>
        <w:rPr>
          <w:sz w:val="20"/>
          <w:szCs w:val="20"/>
          <w:color w:val="auto"/>
        </w:rPr>
      </w:pPr>
      <w:r>
        <w:rPr>
          <w:rFonts w:ascii="Arial" w:cs="Arial" w:eastAsia="Arial" w:hAnsi="Arial"/>
          <w:sz w:val="13"/>
          <w:szCs w:val="13"/>
          <w:color w:val="auto"/>
        </w:rPr>
        <w:t>$175</w:t>
      </w:r>
    </w:p>
    <w:p>
      <w:pPr>
        <w:spacing w:after="0" w:line="196" w:lineRule="exact"/>
        <w:rPr>
          <w:sz w:val="20"/>
          <w:szCs w:val="20"/>
          <w:color w:val="auto"/>
        </w:rPr>
      </w:pPr>
    </w:p>
    <w:p>
      <w:pPr>
        <w:jc w:val="right"/>
        <w:ind w:right="9020"/>
        <w:spacing w:after="0"/>
        <w:rPr>
          <w:sz w:val="20"/>
          <w:szCs w:val="20"/>
          <w:color w:val="auto"/>
        </w:rPr>
      </w:pPr>
      <w:r>
        <w:rPr>
          <w:rFonts w:ascii="Arial" w:cs="Arial" w:eastAsia="Arial" w:hAnsi="Arial"/>
          <w:sz w:val="13"/>
          <w:szCs w:val="13"/>
          <w:color w:val="auto"/>
        </w:rPr>
        <w:t>$150</w:t>
      </w:r>
    </w:p>
    <w:p>
      <w:pPr>
        <w:spacing w:after="0" w:line="193" w:lineRule="exact"/>
        <w:rPr>
          <w:sz w:val="20"/>
          <w:szCs w:val="20"/>
          <w:color w:val="auto"/>
        </w:rPr>
      </w:pPr>
    </w:p>
    <w:p>
      <w:pPr>
        <w:jc w:val="right"/>
        <w:ind w:right="9020"/>
        <w:spacing w:after="0"/>
        <w:rPr>
          <w:sz w:val="20"/>
          <w:szCs w:val="20"/>
          <w:color w:val="auto"/>
        </w:rPr>
      </w:pPr>
      <w:r>
        <w:rPr>
          <w:rFonts w:ascii="Arial" w:cs="Arial" w:eastAsia="Arial" w:hAnsi="Arial"/>
          <w:sz w:val="13"/>
          <w:szCs w:val="13"/>
          <w:color w:val="auto"/>
        </w:rPr>
        <w:t>$125</w:t>
      </w:r>
    </w:p>
    <w:p>
      <w:pPr>
        <w:spacing w:after="0" w:line="195" w:lineRule="exact"/>
        <w:rPr>
          <w:sz w:val="20"/>
          <w:szCs w:val="20"/>
          <w:color w:val="auto"/>
        </w:rPr>
      </w:pPr>
    </w:p>
    <w:p>
      <w:pPr>
        <w:jc w:val="right"/>
        <w:ind w:right="9020"/>
        <w:spacing w:after="0"/>
        <w:rPr>
          <w:sz w:val="20"/>
          <w:szCs w:val="20"/>
          <w:color w:val="auto"/>
        </w:rPr>
      </w:pPr>
      <w:r>
        <w:rPr>
          <w:rFonts w:ascii="Arial" w:cs="Arial" w:eastAsia="Arial" w:hAnsi="Arial"/>
          <w:sz w:val="13"/>
          <w:szCs w:val="13"/>
          <w:color w:val="auto"/>
        </w:rPr>
        <w:t>$100</w:t>
      </w:r>
    </w:p>
    <w:p>
      <w:pPr>
        <w:spacing w:after="0" w:line="193" w:lineRule="exact"/>
        <w:rPr>
          <w:sz w:val="20"/>
          <w:szCs w:val="20"/>
          <w:color w:val="auto"/>
        </w:rPr>
      </w:pPr>
    </w:p>
    <w:p>
      <w:pPr>
        <w:jc w:val="center"/>
        <w:ind w:right="7840"/>
        <w:spacing w:after="0"/>
        <w:rPr>
          <w:sz w:val="20"/>
          <w:szCs w:val="20"/>
          <w:color w:val="auto"/>
        </w:rPr>
      </w:pPr>
      <w:r>
        <w:rPr>
          <w:rFonts w:ascii="Arial" w:cs="Arial" w:eastAsia="Arial" w:hAnsi="Arial"/>
          <w:sz w:val="13"/>
          <w:szCs w:val="13"/>
          <w:color w:val="auto"/>
        </w:rPr>
        <w:t>$75</w:t>
      </w:r>
    </w:p>
    <w:p>
      <w:pPr>
        <w:spacing w:after="0" w:line="182" w:lineRule="exact"/>
        <w:rPr>
          <w:sz w:val="20"/>
          <w:szCs w:val="20"/>
          <w:color w:val="auto"/>
        </w:rPr>
      </w:pPr>
    </w:p>
    <w:p>
      <w:pPr>
        <w:jc w:val="center"/>
        <w:ind w:right="7840"/>
        <w:spacing w:after="0"/>
        <w:rPr>
          <w:sz w:val="20"/>
          <w:szCs w:val="20"/>
          <w:color w:val="auto"/>
        </w:rPr>
      </w:pPr>
      <w:r>
        <w:rPr>
          <w:rFonts w:ascii="Arial" w:cs="Arial" w:eastAsia="Arial" w:hAnsi="Arial"/>
          <w:sz w:val="13"/>
          <w:szCs w:val="13"/>
          <w:color w:val="auto"/>
        </w:rPr>
        <w:t>$50</w:t>
      </w:r>
    </w:p>
    <w:p>
      <w:pPr>
        <w:spacing w:after="0" w:line="191" w:lineRule="exact"/>
        <w:rPr>
          <w:sz w:val="20"/>
          <w:szCs w:val="20"/>
          <w:color w:val="auto"/>
        </w:rPr>
      </w:pPr>
    </w:p>
    <w:p>
      <w:pPr>
        <w:jc w:val="center"/>
        <w:ind w:right="7840"/>
        <w:spacing w:after="0"/>
        <w:rPr>
          <w:sz w:val="20"/>
          <w:szCs w:val="20"/>
          <w:color w:val="auto"/>
        </w:rPr>
      </w:pPr>
      <w:r>
        <w:rPr>
          <w:rFonts w:ascii="Arial" w:cs="Arial" w:eastAsia="Arial" w:hAnsi="Arial"/>
          <w:sz w:val="13"/>
          <w:szCs w:val="13"/>
          <w:color w:val="auto"/>
        </w:rPr>
        <w:t>$25</w:t>
      </w:r>
    </w:p>
    <w:p>
      <w:pPr>
        <w:spacing w:after="0" w:line="202" w:lineRule="exact"/>
        <w:rPr>
          <w:sz w:val="20"/>
          <w:szCs w:val="20"/>
          <w:color w:val="auto"/>
        </w:rPr>
      </w:pPr>
    </w:p>
    <w:p>
      <w:pPr>
        <w:jc w:val="center"/>
        <w:ind w:right="7840"/>
        <w:spacing w:after="0"/>
        <w:rPr>
          <w:sz w:val="20"/>
          <w:szCs w:val="20"/>
          <w:color w:val="auto"/>
        </w:rPr>
      </w:pPr>
      <w:r>
        <w:rPr>
          <w:rFonts w:ascii="Arial" w:cs="Arial" w:eastAsia="Arial" w:hAnsi="Arial"/>
          <w:sz w:val="13"/>
          <w:szCs w:val="13"/>
          <w:color w:val="auto"/>
        </w:rPr>
        <w:t>$0</w:t>
      </w:r>
    </w:p>
    <w:p>
      <w:pPr>
        <w:spacing w:after="0" w:line="55" w:lineRule="exact"/>
        <w:rPr>
          <w:sz w:val="20"/>
          <w:szCs w:val="20"/>
          <w:color w:val="auto"/>
        </w:rPr>
      </w:pPr>
    </w:p>
    <w:tbl>
      <w:tblPr>
        <w:tblLayout w:type="fixed"/>
        <w:tblInd w:w="1940" w:type="dxa"/>
        <w:tblCellMar>
          <w:top w:w="0" w:type="dxa"/>
          <w:left w:w="0" w:type="dxa"/>
          <w:bottom w:w="0" w:type="dxa"/>
          <w:right w:w="0" w:type="dxa"/>
        </w:tblCellMar>
      </w:tblPr>
      <w:tr>
        <w:trPr>
          <w:trHeight w:val="164"/>
        </w:trPr>
        <w:tc>
          <w:tcPr>
            <w:tcW w:w="520" w:type="dxa"/>
            <w:vAlign w:val="bottom"/>
            <w:gridSpan w:val="2"/>
          </w:tcPr>
          <w:p>
            <w:pPr>
              <w:spacing w:after="0"/>
              <w:rPr>
                <w:sz w:val="20"/>
                <w:szCs w:val="20"/>
                <w:color w:val="auto"/>
              </w:rPr>
            </w:pPr>
            <w:r>
              <w:rPr>
                <w:rFonts w:ascii="Arial" w:cs="Arial" w:eastAsia="Arial" w:hAnsi="Arial"/>
                <w:sz w:val="13"/>
                <w:szCs w:val="13"/>
                <w:color w:val="auto"/>
              </w:rPr>
              <w:t>Dec-20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ind w:left="460"/>
              <w:spacing w:after="0"/>
              <w:rPr>
                <w:sz w:val="20"/>
                <w:szCs w:val="20"/>
                <w:color w:val="auto"/>
              </w:rPr>
            </w:pPr>
            <w:r>
              <w:rPr>
                <w:rFonts w:ascii="Arial" w:cs="Arial" w:eastAsia="Arial" w:hAnsi="Arial"/>
                <w:sz w:val="13"/>
                <w:szCs w:val="13"/>
                <w:color w:val="auto"/>
              </w:rPr>
              <w:t>Dec-21</w:t>
            </w:r>
          </w:p>
        </w:tc>
        <w:tc>
          <w:tcPr>
            <w:tcW w:w="1360" w:type="dxa"/>
            <w:vAlign w:val="bottom"/>
            <w:gridSpan w:val="3"/>
          </w:tcPr>
          <w:p>
            <w:pPr>
              <w:ind w:left="80"/>
              <w:spacing w:after="0"/>
              <w:rPr>
                <w:sz w:val="20"/>
                <w:szCs w:val="20"/>
                <w:color w:val="auto"/>
              </w:rPr>
            </w:pPr>
            <w:r>
              <w:rPr>
                <w:rFonts w:ascii="Arial" w:cs="Arial" w:eastAsia="Arial" w:hAnsi="Arial"/>
                <w:sz w:val="13"/>
                <w:szCs w:val="13"/>
                <w:color w:val="auto"/>
              </w:rPr>
              <w:t>Dec-22</w:t>
            </w:r>
          </w:p>
        </w:tc>
        <w:tc>
          <w:tcPr>
            <w:tcW w:w="460" w:type="dxa"/>
            <w:vAlign w:val="bottom"/>
          </w:tcPr>
          <w:p>
            <w:pPr>
              <w:spacing w:after="0"/>
              <w:rPr>
                <w:sz w:val="20"/>
                <w:szCs w:val="20"/>
                <w:color w:val="auto"/>
              </w:rPr>
            </w:pPr>
            <w:r>
              <w:rPr>
                <w:rFonts w:ascii="Arial" w:cs="Arial" w:eastAsia="Arial" w:hAnsi="Arial"/>
                <w:sz w:val="13"/>
                <w:szCs w:val="13"/>
                <w:color w:val="auto"/>
              </w:rPr>
              <w:t>Dec-23</w:t>
            </w:r>
          </w:p>
        </w:tc>
        <w:tc>
          <w:tcPr>
            <w:tcW w:w="1700" w:type="dxa"/>
            <w:vAlign w:val="bottom"/>
          </w:tcPr>
          <w:p>
            <w:pPr>
              <w:ind w:left="820"/>
              <w:spacing w:after="0"/>
              <w:rPr>
                <w:sz w:val="20"/>
                <w:szCs w:val="20"/>
                <w:color w:val="auto"/>
              </w:rPr>
            </w:pPr>
            <w:r>
              <w:rPr>
                <w:rFonts w:ascii="Arial" w:cs="Arial" w:eastAsia="Arial" w:hAnsi="Arial"/>
                <w:sz w:val="13"/>
                <w:szCs w:val="13"/>
                <w:color w:val="auto"/>
              </w:rPr>
              <w:t>Dec-24</w:t>
            </w:r>
          </w:p>
        </w:tc>
        <w:tc>
          <w:tcPr>
            <w:tcW w:w="860" w:type="dxa"/>
            <w:vAlign w:val="bottom"/>
          </w:tcPr>
          <w:p>
            <w:pPr>
              <w:ind w:left="420"/>
              <w:spacing w:after="0"/>
              <w:rPr>
                <w:sz w:val="20"/>
                <w:szCs w:val="20"/>
                <w:color w:val="auto"/>
              </w:rPr>
            </w:pPr>
            <w:r>
              <w:rPr>
                <w:rFonts w:ascii="Arial" w:cs="Arial" w:eastAsia="Arial" w:hAnsi="Arial"/>
                <w:sz w:val="13"/>
                <w:szCs w:val="13"/>
                <w:color w:val="auto"/>
              </w:rPr>
              <w:t>Dec-25</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vMerge w:val="restart"/>
          </w:tcPr>
          <w:p>
            <w:pPr>
              <w:spacing w:after="0"/>
              <w:rPr>
                <w:sz w:val="13"/>
                <w:szCs w:val="13"/>
                <w:color w:val="auto"/>
              </w:rPr>
            </w:pPr>
          </w:p>
        </w:tc>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Roper Technologies, Inc.</w:t>
            </w:r>
          </w:p>
        </w:tc>
        <w:tc>
          <w:tcPr>
            <w:tcW w:w="100" w:type="dxa"/>
            <w:vAlign w:val="bottom"/>
            <w:vMerge w:val="restart"/>
          </w:tcPr>
          <w:p>
            <w:pPr>
              <w:spacing w:after="0"/>
              <w:rPr>
                <w:sz w:val="13"/>
                <w:szCs w:val="13"/>
                <w:color w:val="auto"/>
              </w:rPr>
            </w:pPr>
          </w:p>
        </w:tc>
        <w:tc>
          <w:tcPr>
            <w:tcW w:w="480" w:type="dxa"/>
            <w:vAlign w:val="bottom"/>
            <w:vMerge w:val="restart"/>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auto"/>
              </w:rPr>
              <w:t>S&amp;P 500</w:t>
            </w:r>
          </w:p>
        </w:tc>
        <w:tc>
          <w:tcPr>
            <w:tcW w:w="460" w:type="dxa"/>
            <w:vAlign w:val="bottom"/>
          </w:tcPr>
          <w:p>
            <w:pPr>
              <w:spacing w:after="0"/>
              <w:rPr>
                <w:sz w:val="13"/>
                <w:szCs w:val="13"/>
                <w:color w:val="auto"/>
              </w:rPr>
            </w:pPr>
          </w:p>
        </w:tc>
        <w:tc>
          <w:tcPr>
            <w:tcW w:w="2560" w:type="dxa"/>
            <w:vAlign w:val="bottom"/>
            <w:gridSpan w:val="2"/>
            <w:vMerge w:val="restart"/>
          </w:tcPr>
          <w:p>
            <w:pPr>
              <w:ind w:left="80"/>
              <w:spacing w:after="0"/>
              <w:rPr>
                <w:sz w:val="20"/>
                <w:szCs w:val="20"/>
                <w:color w:val="auto"/>
              </w:rPr>
            </w:pPr>
            <w:r>
              <w:rPr>
                <w:rFonts w:ascii="Arial" w:cs="Arial" w:eastAsia="Arial" w:hAnsi="Arial"/>
                <w:sz w:val="13"/>
                <w:szCs w:val="13"/>
                <w:color w:val="auto"/>
              </w:rPr>
              <w:t>S&amp;P 500 Information Technology</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60" w:type="dxa"/>
            <w:vAlign w:val="bottom"/>
            <w:tcBorders>
              <w:bottom w:val="single" w:sz="8" w:color="000041"/>
            </w:tcBorders>
          </w:tcPr>
          <w:p>
            <w:pPr>
              <w:spacing w:after="0"/>
              <w:rPr>
                <w:sz w:val="5"/>
                <w:szCs w:val="5"/>
                <w:color w:val="auto"/>
              </w:rPr>
            </w:pPr>
          </w:p>
        </w:tc>
        <w:tc>
          <w:tcPr>
            <w:tcW w:w="160" w:type="dxa"/>
            <w:vAlign w:val="bottom"/>
            <w:tcBorders>
              <w:bottom w:val="single" w:sz="8" w:color="000041"/>
            </w:tcBorders>
            <w:shd w:val="clear" w:color="auto" w:fill="000041"/>
          </w:tcPr>
          <w:p>
            <w:pPr>
              <w:spacing w:after="0"/>
              <w:rPr>
                <w:sz w:val="5"/>
                <w:szCs w:val="5"/>
                <w:color w:val="auto"/>
              </w:rPr>
            </w:pPr>
          </w:p>
        </w:tc>
        <w:tc>
          <w:tcPr>
            <w:tcW w:w="160" w:type="dxa"/>
            <w:vAlign w:val="bottom"/>
            <w:tcBorders>
              <w:bottom w:val="single" w:sz="8" w:color="000041"/>
            </w:tcBorders>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80" w:type="dxa"/>
            <w:vAlign w:val="bottom"/>
            <w:tcBorders>
              <w:bottom w:val="single" w:sz="8" w:color="191919"/>
            </w:tcBorders>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tcBorders>
              <w:bottom w:val="single" w:sz="8" w:color="727272"/>
            </w:tcBorders>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shd w:val="clear" w:color="auto" w:fill="000041"/>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
        <w:spacing w:after="0" w:line="319" w:lineRule="auto"/>
        <w:rPr>
          <w:sz w:val="20"/>
          <w:szCs w:val="20"/>
          <w:color w:val="auto"/>
        </w:rPr>
      </w:pPr>
      <w:r>
        <w:rPr>
          <w:rFonts w:ascii="Arial" w:cs="Arial" w:eastAsia="Arial" w:hAnsi="Arial"/>
          <w:sz w:val="18"/>
          <w:szCs w:val="18"/>
          <w:color w:val="auto"/>
        </w:rPr>
        <w:t>The information set forth in Item 12 under the heading “Securities Authorized for Issuance under Equity Compensation Plans” is incorporated herein by reference.</w:t>
      </w:r>
    </w:p>
    <w:p>
      <w:pPr>
        <w:sectPr>
          <w:pgSz w:w="12240" w:h="15840" w:orient="portrait"/>
          <w:cols w:equalWidth="0" w:num="1">
            <w:col w:w="10380"/>
          </w:cols>
          <w:pgMar w:left="960" w:top="913" w:right="900" w:bottom="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24</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13" w:right="900" w:bottom="90" w:gutter="0" w:footer="0" w:header="0"/>
          <w:type w:val="continuous"/>
        </w:sectPr>
      </w:pPr>
    </w:p>
    <w:bookmarkStart w:id="26" w:name="page27"/>
    <w:bookmarkEnd w:id="26"/>
    <w:p>
      <w:pPr>
        <w:spacing w:after="0"/>
        <w:rPr>
          <w:sz w:val="20"/>
          <w:szCs w:val="20"/>
          <w:color w:val="auto"/>
        </w:rPr>
      </w:pPr>
      <w:r>
        <w:rPr>
          <w:rFonts w:ascii="Arial" w:cs="Arial" w:eastAsia="Arial" w:hAnsi="Arial"/>
          <w:sz w:val="24"/>
          <w:szCs w:val="24"/>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ISSUER PURCHASES OF EQUITY SECURITIES</w:t>
      </w:r>
    </w:p>
    <w:p>
      <w:pPr>
        <w:spacing w:after="0" w:line="20" w:lineRule="exact"/>
        <w:rPr>
          <w:sz w:val="20"/>
          <w:szCs w:val="20"/>
          <w:color w:val="auto"/>
        </w:rPr>
      </w:pP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October 2025, our Board of Directors approved a share repurchase program for the repurchase of up to $3,000.0 of our common stock. The repurchase program, announced on October 23, 2025, does not have a fixed expiration date, does not obligate the Company to acquire any specific number of shares, and may be suspended at any time at the Company’s discretion. Under the program, shares may be repurchased through open market purchases or privately negotiated transactions, including under plans complying with Rule 10b5-1 under the Exchange Act.</w:t>
      </w:r>
    </w:p>
    <w:p>
      <w:pPr>
        <w:spacing w:after="0" w:line="41"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Share repurchases for the three months ended December 31, 2025 were as follows (amounts in millions, except for average price paid per share):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Total Number of</w:t>
            </w:r>
          </w:p>
        </w:tc>
        <w:tc>
          <w:tcPr>
            <w:tcW w:w="1840" w:type="dxa"/>
            <w:vAlign w:val="bottom"/>
          </w:tcPr>
          <w:p>
            <w:pPr>
              <w:jc w:val="right"/>
              <w:spacing w:after="0"/>
              <w:rPr>
                <w:sz w:val="20"/>
                <w:szCs w:val="20"/>
                <w:color w:val="auto"/>
              </w:rPr>
            </w:pPr>
            <w:r>
              <w:rPr>
                <w:rFonts w:ascii="Arial" w:cs="Arial" w:eastAsia="Arial" w:hAnsi="Arial"/>
                <w:sz w:val="16"/>
                <w:szCs w:val="16"/>
                <w:color w:val="auto"/>
              </w:rPr>
              <w:t>Approximate Dollar</w:t>
            </w:r>
          </w:p>
        </w:tc>
      </w:tr>
      <w:tr>
        <w:trPr>
          <w:trHeight w:val="200"/>
        </w:trPr>
        <w:tc>
          <w:tcPr>
            <w:tcW w:w="3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Shares Purchased</w:t>
            </w:r>
          </w:p>
        </w:tc>
        <w:tc>
          <w:tcPr>
            <w:tcW w:w="1840" w:type="dxa"/>
            <w:vAlign w:val="bottom"/>
          </w:tcPr>
          <w:p>
            <w:pPr>
              <w:jc w:val="right"/>
              <w:spacing w:after="0"/>
              <w:rPr>
                <w:sz w:val="20"/>
                <w:szCs w:val="20"/>
                <w:color w:val="auto"/>
              </w:rPr>
            </w:pPr>
            <w:r>
              <w:rPr>
                <w:rFonts w:ascii="Arial" w:cs="Arial" w:eastAsia="Arial" w:hAnsi="Arial"/>
                <w:sz w:val="16"/>
                <w:szCs w:val="16"/>
                <w:color w:val="auto"/>
              </w:rPr>
              <w:t>Value of Shares that</w:t>
            </w:r>
          </w:p>
        </w:tc>
      </w:tr>
      <w:tr>
        <w:trPr>
          <w:trHeight w:val="200"/>
        </w:trPr>
        <w:tc>
          <w:tcPr>
            <w:tcW w:w="3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Total Number of</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Average Price Paid</w:t>
            </w: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as Part of Publicly</w:t>
            </w:r>
          </w:p>
        </w:tc>
        <w:tc>
          <w:tcPr>
            <w:tcW w:w="1840" w:type="dxa"/>
            <w:vAlign w:val="bottom"/>
          </w:tcPr>
          <w:p>
            <w:pPr>
              <w:jc w:val="right"/>
              <w:spacing w:after="0"/>
              <w:rPr>
                <w:sz w:val="20"/>
                <w:szCs w:val="20"/>
                <w:color w:val="auto"/>
              </w:rPr>
            </w:pPr>
            <w:r>
              <w:rPr>
                <w:rFonts w:ascii="Arial" w:cs="Arial" w:eastAsia="Arial" w:hAnsi="Arial"/>
                <w:sz w:val="16"/>
                <w:szCs w:val="16"/>
                <w:color w:val="auto"/>
              </w:rPr>
              <w:t>May Yet be Purchased</w:t>
            </w:r>
          </w:p>
        </w:tc>
      </w:tr>
      <w:tr>
        <w:trPr>
          <w:trHeight w:val="241"/>
        </w:trPr>
        <w:tc>
          <w:tcPr>
            <w:tcW w:w="330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Period</w:t>
            </w:r>
          </w:p>
        </w:tc>
        <w:tc>
          <w:tcPr>
            <w:tcW w:w="176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Shares Purchased</w:t>
            </w:r>
          </w:p>
        </w:tc>
        <w:tc>
          <w:tcPr>
            <w:tcW w:w="1600" w:type="dxa"/>
            <w:vAlign w:val="bottom"/>
            <w:tcBorders>
              <w:bottom w:val="single" w:sz="8" w:color="000041"/>
            </w:tcBorders>
            <w:gridSpan w:val="2"/>
          </w:tcPr>
          <w:p>
            <w:pPr>
              <w:jc w:val="right"/>
              <w:spacing w:after="0"/>
              <w:rPr>
                <w:sz w:val="20"/>
                <w:szCs w:val="20"/>
                <w:color w:val="auto"/>
              </w:rPr>
            </w:pPr>
            <w:r>
              <w:rPr>
                <w:rFonts w:ascii="Arial" w:cs="Arial" w:eastAsia="Arial" w:hAnsi="Arial"/>
                <w:sz w:val="16"/>
                <w:szCs w:val="16"/>
                <w:color w:val="auto"/>
              </w:rPr>
              <w:t>Per Share</w:t>
            </w:r>
            <w:r>
              <w:rPr>
                <w:rFonts w:ascii="Arial" w:cs="Arial" w:eastAsia="Arial" w:hAnsi="Arial"/>
                <w:sz w:val="9"/>
                <w:szCs w:val="9"/>
                <w:color w:val="auto"/>
              </w:rPr>
              <w:t>(1)</w:t>
            </w:r>
          </w:p>
        </w:tc>
        <w:tc>
          <w:tcPr>
            <w:tcW w:w="1820" w:type="dxa"/>
            <w:vAlign w:val="bottom"/>
            <w:tcBorders>
              <w:bottom w:val="single" w:sz="8" w:color="000041"/>
            </w:tcBorders>
          </w:tcPr>
          <w:p>
            <w:pPr>
              <w:jc w:val="right"/>
              <w:ind w:right="20"/>
              <w:spacing w:after="0"/>
              <w:rPr>
                <w:sz w:val="20"/>
                <w:szCs w:val="20"/>
                <w:color w:val="auto"/>
              </w:rPr>
            </w:pPr>
            <w:r>
              <w:rPr>
                <w:rFonts w:ascii="Arial" w:cs="Arial" w:eastAsia="Arial" w:hAnsi="Arial"/>
                <w:sz w:val="16"/>
                <w:szCs w:val="16"/>
                <w:color w:val="auto"/>
              </w:rPr>
              <w:t>Announced Program</w:t>
            </w:r>
          </w:p>
        </w:tc>
        <w:tc>
          <w:tcPr>
            <w:tcW w:w="184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Under the Program</w:t>
            </w:r>
          </w:p>
        </w:tc>
      </w:tr>
      <w:tr>
        <w:trPr>
          <w:trHeight w:val="254"/>
        </w:trPr>
        <w:tc>
          <w:tcPr>
            <w:tcW w:w="3300" w:type="dxa"/>
            <w:vAlign w:val="bottom"/>
          </w:tcPr>
          <w:p>
            <w:pPr>
              <w:spacing w:after="0"/>
              <w:rPr>
                <w:sz w:val="20"/>
                <w:szCs w:val="20"/>
                <w:color w:val="auto"/>
              </w:rPr>
            </w:pPr>
            <w:r>
              <w:rPr>
                <w:rFonts w:ascii="Arial" w:cs="Arial" w:eastAsia="Arial" w:hAnsi="Arial"/>
                <w:sz w:val="16"/>
                <w:szCs w:val="16"/>
                <w:color w:val="auto"/>
              </w:rPr>
              <w:t>October 1, 2025–October 31, 2025</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00"/>
        </w:trPr>
        <w:tc>
          <w:tcPr>
            <w:tcW w:w="3300" w:type="dxa"/>
            <w:vAlign w:val="bottom"/>
          </w:tcPr>
          <w:p>
            <w:pPr>
              <w:spacing w:after="0"/>
              <w:rPr>
                <w:sz w:val="20"/>
                <w:szCs w:val="20"/>
                <w:color w:val="auto"/>
              </w:rPr>
            </w:pPr>
            <w:r>
              <w:rPr>
                <w:rFonts w:ascii="Arial" w:cs="Arial" w:eastAsia="Arial" w:hAnsi="Arial"/>
                <w:sz w:val="16"/>
                <w:szCs w:val="16"/>
                <w:color w:val="auto"/>
              </w:rPr>
              <w:t>November 1, 2025–November 30, 2025</w:t>
            </w:r>
          </w:p>
        </w:tc>
        <w:tc>
          <w:tcPr>
            <w:tcW w:w="1760" w:type="dxa"/>
            <w:vAlign w:val="bottom"/>
          </w:tcPr>
          <w:p>
            <w:pPr>
              <w:jc w:val="right"/>
              <w:spacing w:after="0"/>
              <w:rPr>
                <w:sz w:val="20"/>
                <w:szCs w:val="20"/>
                <w:color w:val="auto"/>
              </w:rPr>
            </w:pPr>
            <w:r>
              <w:rPr>
                <w:rFonts w:ascii="Arial" w:cs="Arial" w:eastAsia="Arial" w:hAnsi="Arial"/>
                <w:sz w:val="16"/>
                <w:szCs w:val="16"/>
                <w:color w:val="auto"/>
              </w:rPr>
              <w:t>0.763</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$446.04</w:t>
            </w: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0.763</w:t>
            </w:r>
          </w:p>
        </w:tc>
        <w:tc>
          <w:tcPr>
            <w:tcW w:w="1840" w:type="dxa"/>
            <w:vAlign w:val="bottom"/>
          </w:tcPr>
          <w:p>
            <w:pPr>
              <w:jc w:val="right"/>
              <w:spacing w:after="0"/>
              <w:rPr>
                <w:sz w:val="20"/>
                <w:szCs w:val="20"/>
                <w:color w:val="auto"/>
              </w:rPr>
            </w:pPr>
            <w:r>
              <w:rPr>
                <w:rFonts w:ascii="Arial" w:cs="Arial" w:eastAsia="Arial" w:hAnsi="Arial"/>
                <w:sz w:val="16"/>
                <w:szCs w:val="16"/>
                <w:color w:val="auto"/>
              </w:rPr>
              <w:t>$ 2,659.4</w:t>
            </w:r>
          </w:p>
        </w:tc>
      </w:tr>
      <w:tr>
        <w:trPr>
          <w:trHeight w:val="241"/>
        </w:trPr>
        <w:tc>
          <w:tcPr>
            <w:tcW w:w="330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December 1, 2025–December 31, 2025</w:t>
            </w:r>
          </w:p>
        </w:tc>
        <w:tc>
          <w:tcPr>
            <w:tcW w:w="176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0.358</w:t>
            </w:r>
          </w:p>
        </w:tc>
        <w:tc>
          <w:tcPr>
            <w:tcW w:w="1600" w:type="dxa"/>
            <w:vAlign w:val="bottom"/>
            <w:tcBorders>
              <w:bottom w:val="single" w:sz="8" w:color="000041"/>
            </w:tcBorders>
            <w:gridSpan w:val="2"/>
          </w:tcPr>
          <w:p>
            <w:pPr>
              <w:jc w:val="right"/>
              <w:spacing w:after="0"/>
              <w:rPr>
                <w:sz w:val="20"/>
                <w:szCs w:val="20"/>
                <w:color w:val="auto"/>
              </w:rPr>
            </w:pPr>
            <w:r>
              <w:rPr>
                <w:rFonts w:ascii="Arial" w:cs="Arial" w:eastAsia="Arial" w:hAnsi="Arial"/>
                <w:sz w:val="16"/>
                <w:szCs w:val="16"/>
                <w:color w:val="auto"/>
              </w:rPr>
              <w:t>$445.50</w:t>
            </w:r>
          </w:p>
        </w:tc>
        <w:tc>
          <w:tcPr>
            <w:tcW w:w="1820" w:type="dxa"/>
            <w:vAlign w:val="bottom"/>
            <w:tcBorders>
              <w:bottom w:val="single" w:sz="8" w:color="000041"/>
            </w:tcBorders>
          </w:tcPr>
          <w:p>
            <w:pPr>
              <w:jc w:val="right"/>
              <w:ind w:right="20"/>
              <w:spacing w:after="0"/>
              <w:rPr>
                <w:sz w:val="20"/>
                <w:szCs w:val="20"/>
                <w:color w:val="auto"/>
              </w:rPr>
            </w:pPr>
            <w:r>
              <w:rPr>
                <w:rFonts w:ascii="Arial" w:cs="Arial" w:eastAsia="Arial" w:hAnsi="Arial"/>
                <w:sz w:val="16"/>
                <w:szCs w:val="16"/>
                <w:color w:val="auto"/>
              </w:rPr>
              <w:t>0.358</w:t>
            </w:r>
          </w:p>
        </w:tc>
        <w:tc>
          <w:tcPr>
            <w:tcW w:w="184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$ 2,500.0</w:t>
            </w:r>
          </w:p>
        </w:tc>
      </w:tr>
      <w:tr>
        <w:trPr>
          <w:trHeight w:val="268"/>
        </w:trPr>
        <w:tc>
          <w:tcPr>
            <w:tcW w:w="3300" w:type="dxa"/>
            <w:vAlign w:val="bottom"/>
            <w:tcBorders>
              <w:bottom w:val="single" w:sz="8" w:color="000041"/>
            </w:tcBorders>
          </w:tcPr>
          <w:p>
            <w:pPr>
              <w:ind w:left="160"/>
              <w:spacing w:after="0"/>
              <w:rPr>
                <w:sz w:val="20"/>
                <w:szCs w:val="20"/>
                <w:color w:val="auto"/>
              </w:rPr>
            </w:pPr>
            <w:r>
              <w:rPr>
                <w:rFonts w:ascii="Arial" w:cs="Arial" w:eastAsia="Arial" w:hAnsi="Arial"/>
                <w:sz w:val="16"/>
                <w:szCs w:val="16"/>
                <w:color w:val="auto"/>
              </w:rPr>
              <w:t>Total</w:t>
            </w:r>
          </w:p>
        </w:tc>
        <w:tc>
          <w:tcPr>
            <w:tcW w:w="176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1.121</w:t>
            </w:r>
          </w:p>
        </w:tc>
        <w:tc>
          <w:tcPr>
            <w:tcW w:w="1180" w:type="dxa"/>
            <w:vAlign w:val="bottom"/>
            <w:tcBorders>
              <w:bottom w:val="single" w:sz="8" w:color="000041"/>
            </w:tcBorders>
          </w:tcPr>
          <w:p>
            <w:pPr>
              <w:spacing w:after="0"/>
              <w:rPr>
                <w:sz w:val="23"/>
                <w:szCs w:val="23"/>
                <w:color w:val="auto"/>
              </w:rPr>
            </w:pPr>
          </w:p>
        </w:tc>
        <w:tc>
          <w:tcPr>
            <w:tcW w:w="420" w:type="dxa"/>
            <w:vAlign w:val="bottom"/>
            <w:tcBorders>
              <w:bottom w:val="single" w:sz="8" w:color="000041"/>
            </w:tcBorders>
          </w:tcPr>
          <w:p>
            <w:pPr>
              <w:spacing w:after="0"/>
              <w:rPr>
                <w:sz w:val="23"/>
                <w:szCs w:val="23"/>
                <w:color w:val="auto"/>
              </w:rPr>
            </w:pPr>
          </w:p>
        </w:tc>
        <w:tc>
          <w:tcPr>
            <w:tcW w:w="1820" w:type="dxa"/>
            <w:vAlign w:val="bottom"/>
            <w:tcBorders>
              <w:bottom w:val="single" w:sz="8" w:color="000041"/>
            </w:tcBorders>
          </w:tcPr>
          <w:p>
            <w:pPr>
              <w:jc w:val="right"/>
              <w:ind w:right="20"/>
              <w:spacing w:after="0"/>
              <w:rPr>
                <w:sz w:val="20"/>
                <w:szCs w:val="20"/>
                <w:color w:val="auto"/>
              </w:rPr>
            </w:pPr>
            <w:r>
              <w:rPr>
                <w:rFonts w:ascii="Arial" w:cs="Arial" w:eastAsia="Arial" w:hAnsi="Arial"/>
                <w:sz w:val="16"/>
                <w:szCs w:val="16"/>
                <w:color w:val="auto"/>
              </w:rPr>
              <w:t>1.121</w:t>
            </w:r>
          </w:p>
        </w:tc>
        <w:tc>
          <w:tcPr>
            <w:tcW w:w="1840" w:type="dxa"/>
            <w:vAlign w:val="bottom"/>
            <w:tcBorders>
              <w:bottom w:val="single" w:sz="8" w:color="000041"/>
            </w:tcBorders>
          </w:tcPr>
          <w:p>
            <w:pPr>
              <w:spacing w:after="0"/>
              <w:rPr>
                <w:sz w:val="23"/>
                <w:szCs w:val="23"/>
                <w:color w:val="auto"/>
              </w:rPr>
            </w:pPr>
          </w:p>
        </w:tc>
      </w:tr>
    </w:tbl>
    <w:p>
      <w:pPr>
        <w:spacing w:after="0" w:line="116" w:lineRule="exact"/>
        <w:rPr>
          <w:sz w:val="20"/>
          <w:szCs w:val="20"/>
          <w:color w:val="auto"/>
        </w:rPr>
      </w:pPr>
    </w:p>
    <w:p>
      <w:pPr>
        <w:ind w:left="240" w:hanging="240"/>
        <w:spacing w:after="0"/>
        <w:tabs>
          <w:tab w:leader="none" w:pos="240" w:val="left"/>
        </w:tabs>
        <w:numPr>
          <w:ilvl w:val="0"/>
          <w:numId w:val="7"/>
        </w:numPr>
        <w:rPr>
          <w:rFonts w:ascii="Arial" w:cs="Arial" w:eastAsia="Arial" w:hAnsi="Arial"/>
          <w:sz w:val="8"/>
          <w:szCs w:val="8"/>
          <w:color w:val="auto"/>
        </w:rPr>
      </w:pPr>
      <w:r>
        <w:rPr>
          <w:rFonts w:ascii="Arial" w:cs="Arial" w:eastAsia="Arial" w:hAnsi="Arial"/>
          <w:sz w:val="14"/>
          <w:szCs w:val="14"/>
          <w:color w:val="auto"/>
        </w:rPr>
        <w:t>Average price paid per share excludes broker commissions, and excise tax required by the Inflation Reduction Act of 2022, as amended.</w:t>
      </w:r>
    </w:p>
    <w:p>
      <w:pPr>
        <w:spacing w:after="0" w:line="240" w:lineRule="exact"/>
        <w:rPr>
          <w:sz w:val="20"/>
          <w:szCs w:val="20"/>
          <w:color w:val="auto"/>
        </w:rPr>
      </w:pPr>
    </w:p>
    <w:p>
      <w:pPr>
        <w:spacing w:after="0" w:line="291" w:lineRule="exact"/>
        <w:rPr>
          <w:sz w:val="20"/>
          <w:szCs w:val="20"/>
          <w:color w:val="auto"/>
        </w:rPr>
      </w:pPr>
      <w:r>
        <w:rPr>
          <w:rFonts w:ascii="PMingLiU" w:cs="PMingLiU" w:eastAsia="PMingLiU" w:hAnsi="PMingLiU"/>
          <w:sz w:val="24"/>
          <w:szCs w:val="24"/>
          <w:color w:val="000041"/>
        </w:rPr>
        <w:t></w:t>
      </w:r>
      <w:r>
        <w:rPr>
          <w:rFonts w:ascii="Arial" w:cs="Arial" w:eastAsia="Arial" w:hAnsi="Arial"/>
          <w:sz w:val="24"/>
          <w:szCs w:val="24"/>
          <w:color w:val="000041"/>
        </w:rPr>
        <w:t>ěKÃ</w:t>
      </w:r>
      <w:r>
        <w:rPr>
          <w:rFonts w:ascii="PMingLiU" w:cs="PMingLiU" w:eastAsia="PMingLiU" w:hAnsi="PMingLiU"/>
          <w:sz w:val="24"/>
          <w:szCs w:val="24"/>
          <w:color w:val="000041"/>
        </w:rPr>
        <w:t/>
      </w:r>
      <w:r>
        <w:rPr>
          <w:rFonts w:ascii="Arial" w:cs="Arial" w:eastAsia="Arial" w:hAnsi="Arial"/>
          <w:sz w:val="24"/>
          <w:szCs w:val="24"/>
          <w:color w:val="000041"/>
        </w:rPr>
        <w:t>ћ</w:t>
      </w:r>
      <w:r>
        <w:rPr>
          <w:rFonts w:ascii="PMingLiU" w:cs="PMingLiU" w:eastAsia="PMingLiU" w:hAnsi="PMingLiU"/>
          <w:sz w:val="24"/>
          <w:szCs w:val="24"/>
          <w:color w:val="000041"/>
        </w:rPr>
        <w:t/>
      </w:r>
      <w:r>
        <w:rPr>
          <w:rFonts w:ascii="Arial" w:cs="Arial" w:eastAsia="Arial" w:hAnsi="Arial"/>
          <w:sz w:val="24"/>
          <w:szCs w:val="24"/>
          <w:color w:val="000041"/>
        </w:rPr>
        <w:t>յ</w:t>
      </w:r>
      <w:r>
        <w:rPr>
          <w:rFonts w:ascii="PMingLiU" w:cs="PMingLiU" w:eastAsia="PMingLiU" w:hAnsi="PMingLiU"/>
          <w:sz w:val="24"/>
          <w:szCs w:val="24"/>
          <w:color w:val="000041"/>
        </w:rPr>
        <w:t/>
      </w:r>
      <w:r>
        <w:rPr>
          <w:rFonts w:ascii="Arial" w:cs="Arial" w:eastAsia="Arial" w:hAnsi="Arial"/>
          <w:sz w:val="24"/>
          <w:szCs w:val="24"/>
          <w:color w:val="000041"/>
        </w:rPr>
        <w:t>ӫ</w:t>
      </w:r>
      <w:r>
        <w:rPr>
          <w:rFonts w:ascii="Arial" w:cs="Arial" w:eastAsia="Arial" w:hAnsi="Arial"/>
          <w:sz w:val="24"/>
          <w:szCs w:val="24"/>
          <w:color w:val="000041"/>
        </w:rPr>
        <w:t>ĄKČKĄřKA</w:t>
      </w:r>
      <w:r>
        <w:rPr>
          <w:rFonts w:ascii="Arial" w:cs="Arial" w:eastAsia="Arial" w:hAnsi="Arial"/>
          <w:sz w:val="24"/>
          <w:szCs w:val="24"/>
          <w:color w:val="000041"/>
        </w:rPr>
        <w:t>Ӭ</w:t>
      </w:r>
    </w:p>
    <w:p>
      <w:pPr>
        <w:spacing w:after="0" w:line="229" w:lineRule="exact"/>
        <w:rPr>
          <w:sz w:val="20"/>
          <w:szCs w:val="20"/>
          <w:color w:val="auto"/>
        </w:rPr>
      </w:pPr>
    </w:p>
    <w:p>
      <w:pPr>
        <w:ind w:left="980" w:right="100" w:hanging="987"/>
        <w:spacing w:after="0" w:line="309" w:lineRule="auto"/>
        <w:rPr>
          <w:sz w:val="20"/>
          <w:szCs w:val="20"/>
          <w:color w:val="auto"/>
        </w:rPr>
      </w:pPr>
      <w:r>
        <w:rPr>
          <w:rFonts w:ascii="Arial" w:cs="Arial" w:eastAsia="Arial" w:hAnsi="Arial"/>
          <w:sz w:val="24"/>
          <w:szCs w:val="24"/>
          <w:color w:val="000041"/>
        </w:rPr>
        <w:t>ITEM 7 | MANAGEMENT’S DISCUSSION AND ANALYSIS OF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000041"/>
        </w:rPr>
        <w:t>AMOUNTS ARE IN MILLIONS UNLESS SPECIFIED, EXCEPT PER SHARE DATA</w:t>
      </w:r>
    </w:p>
    <w:p>
      <w:pPr>
        <w:spacing w:after="0" w:line="129" w:lineRule="exact"/>
        <w:rPr>
          <w:sz w:val="20"/>
          <w:szCs w:val="20"/>
          <w:color w:val="auto"/>
        </w:rPr>
      </w:pPr>
    </w:p>
    <w:p>
      <w:pPr>
        <w:jc w:val="both"/>
        <w:spacing w:after="0" w:line="255" w:lineRule="exact"/>
        <w:rPr>
          <w:sz w:val="20"/>
          <w:szCs w:val="20"/>
          <w:color w:val="auto"/>
        </w:rPr>
      </w:pPr>
      <w:r>
        <w:rPr>
          <w:rFonts w:ascii="Arial" w:cs="Arial" w:eastAsia="Arial" w:hAnsi="Arial"/>
          <w:sz w:val="18"/>
          <w:szCs w:val="18"/>
          <w:color w:val="auto"/>
        </w:rPr>
        <w:t>This item generally discusses our 2025 results compared to our 2024 results. Discussions of our 2024 results compared to our 2023 results can be found within Part II, Item 7 of our Annual Report on Form 10-K for the year ended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їѕїљӝ</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000041"/>
        </w:rPr>
        <w:t>OVERVIEW</w:t>
      </w:r>
    </w:p>
    <w:p>
      <w:pPr>
        <w:spacing w:after="0" w:line="12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Roper Technologies, Inc. (“Roper,” the “Company,” “we,” “our,” or “us”)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spacing w:after="0" w:line="26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pursue consistent and sustainable growth in revenue, earnings, and cash flow by enabling continuous improve-ment in the operating performance of our existing businesses and by acquiring businesses that offer high value-added software, services, technology-enabled products, and solutions that we believe are capable of realizing growth while maintaining high margins.</w:t>
      </w: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November 2022, Roper completed the divestiture of a majority equity stake in its industrial businesses, including its entire historical Process Technologies reportable segment and the industrial businesses within its historical Measurement &amp; Analytical Solutions reportable segment (collectively “Indicor”), to CD&amp;R. Following the sale of the major-ity equity stake, Roper retained a minority equity interest in Indicor. See Note 9 of the Notes to Consolidated Financial Statements included in this Annual Report for additional information regarding Roper’s minority equity interest in Indicor.</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financial results of Indicor are reported as discontinued operations for all periods presented. Unless otherwise noted, discussion within Management’s Discussion and Analysis of Financial Condition and Results of Operations relates to continuing operations.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000041"/>
        </w:rPr>
        <w:t>SEGMENT REPORTING</w:t>
      </w:r>
    </w:p>
    <w:p>
      <w:pPr>
        <w:spacing w:after="0" w:line="127"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Roper’s segment reporting structure is based on business model and delivery of performance obligations. The three reportable segments are as follows:</w:t>
      </w:r>
    </w:p>
    <w:p>
      <w:pPr>
        <w:spacing w:after="0" w:line="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Application Software—Aderant, CentralReach, Clinisys, Data Innovations, Deltek, Frontline, IntelliTrans, PowerPlan, Procare, Strata, Transact/CBORD, and Vertafore;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Network Software—ConstructConnect, DAT, Foundry, iPipeline, iTradeNetwork, MHA, SHP, SoftWriters, and Subsplash;</w:t>
      </w:r>
    </w:p>
    <w:p>
      <w:pPr>
        <w:spacing w:after="0" w:line="123"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Technology Enabled Products—CIVCO Medical Solutions, FMI, Inovonics, IPA, Neptune, Northern Digital, rf IDEAS, and Verathon.</w:t>
      </w:r>
    </w:p>
    <w:p>
      <w:pPr>
        <w:sectPr>
          <w:pgSz w:w="12240" w:h="15840" w:orient="portrait"/>
          <w:cols w:equalWidth="0" w:num="1">
            <w:col w:w="10320"/>
          </w:cols>
          <w:pgMar w:left="960" w:top="920" w:right="960" w:bottom="90" w:gutter="0" w:footer="0" w:header="0"/>
        </w:sectPr>
      </w:pPr>
    </w:p>
    <w:p>
      <w:pPr>
        <w:spacing w:after="0" w:line="195"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25</w:t>
      </w:r>
    </w:p>
    <w:p>
      <w:pPr>
        <w:sectPr>
          <w:pgSz w:w="12240" w:h="15840" w:orient="portrait"/>
          <w:cols w:equalWidth="0" w:num="1">
            <w:col w:w="10320"/>
          </w:cols>
          <w:pgMar w:left="960" w:top="920" w:right="960" w:bottom="90" w:gutter="0" w:footer="0" w:header="0"/>
          <w:type w:val="continuous"/>
        </w:sectPr>
      </w:pPr>
    </w:p>
    <w:bookmarkStart w:id="27" w:name="page28"/>
    <w:bookmarkEnd w:id="27"/>
    <w:p>
      <w:pPr>
        <w:jc w:val="both"/>
        <w:ind w:right="40"/>
        <w:spacing w:after="0" w:line="31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Financial information about our reportable segments is presented in Note 14 of the Notes to Consolidated Financial Statements included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000041"/>
        </w:rPr>
        <w:t>APPLICATION OF CRITICAL ACCOUNTING POLICIES</w:t>
      </w:r>
    </w:p>
    <w:p>
      <w:pPr>
        <w:spacing w:after="0" w:line="129" w:lineRule="exact"/>
        <w:rPr>
          <w:sz w:val="20"/>
          <w:szCs w:val="20"/>
          <w:color w:val="auto"/>
        </w:rPr>
      </w:pPr>
    </w:p>
    <w:p>
      <w:pPr>
        <w:jc w:val="both"/>
        <w:ind w:right="40"/>
        <w:spacing w:after="0" w:line="234" w:lineRule="exact"/>
        <w:rPr>
          <w:sz w:val="20"/>
          <w:szCs w:val="20"/>
          <w:color w:val="auto"/>
        </w:rPr>
      </w:pPr>
      <w:r>
        <w:rPr>
          <w:rFonts w:ascii="Arial" w:cs="Arial" w:eastAsia="Arial" w:hAnsi="Arial"/>
          <w:sz w:val="18"/>
          <w:szCs w:val="18"/>
          <w:color w:val="auto"/>
        </w:rPr>
        <w:t xml:space="preserve">Our Consolidated Financial Statements are prepared in conformity with generally accepted accounting principles in the United States (“GAAP”). A discussion of our significant accounting policies can also be found in the Notes to </w:t>
      </w:r>
      <w:r>
        <w:rPr>
          <w:rFonts w:ascii="Arial" w:cs="Arial" w:eastAsia="Arial" w:hAnsi="Arial"/>
          <w:sz w:val="18"/>
          <w:szCs w:val="18"/>
          <w:color w:val="auto"/>
        </w:rPr>
        <w:t>:ɁȶɰɁȢȈǁƃɽǉǁ</w:t>
      </w:r>
      <w:r>
        <w:rPr>
          <w:rFonts w:ascii="PMingLiU" w:cs="PMingLiU" w:eastAsia="PMingLiU" w:hAnsi="PMingLiU"/>
          <w:sz w:val="18"/>
          <w:szCs w:val="18"/>
          <w:color w:val="auto"/>
        </w:rPr>
        <w:t/>
      </w:r>
      <w:r>
        <w:rPr>
          <w:rFonts w:ascii="Arial" w:cs="Arial" w:eastAsia="Arial" w:hAnsi="Arial"/>
          <w:sz w:val="18"/>
          <w:szCs w:val="18"/>
          <w:color w:val="auto"/>
        </w:rPr>
        <w:t>yȈȶƃȶƺȈƃȢ</w:t>
      </w:r>
      <w:r>
        <w:rPr>
          <w:rFonts w:ascii="PMingLiU" w:cs="PMingLiU" w:eastAsia="PMingLiU" w:hAnsi="PMingLiU"/>
          <w:sz w:val="18"/>
          <w:szCs w:val="18"/>
          <w:color w:val="auto"/>
        </w:rPr>
        <w:t/>
      </w:r>
      <w:r>
        <w:rPr>
          <w:rFonts w:ascii="Arial" w:cs="Arial" w:eastAsia="Arial" w:hAnsi="Arial"/>
          <w:sz w:val="18"/>
          <w:szCs w:val="18"/>
          <w:color w:val="auto"/>
        </w:rPr>
        <w:t>Čɽƃɽǉȴǉȶɽɰ</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ȈȶƺȢʍǁǉǁ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ɽȃȈɰ</w:t>
      </w:r>
      <w:r>
        <w:rPr>
          <w:rFonts w:ascii="PMingLiU" w:cs="PMingLiU" w:eastAsia="PMingLiU" w:hAnsi="PMingLiU"/>
          <w:sz w:val="18"/>
          <w:szCs w:val="18"/>
          <w:color w:val="auto"/>
        </w:rPr>
        <w:t/>
      </w:r>
      <w:r>
        <w:rPr>
          <w:rFonts w:ascii="Arial" w:cs="Arial" w:eastAsia="Arial" w:hAnsi="Arial"/>
          <w:sz w:val="18"/>
          <w:szCs w:val="18"/>
          <w:color w:val="auto"/>
        </w:rPr>
        <w:t>ȶȶʍƃȢ</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Arial" w:cs="Arial" w:eastAsia="Arial" w:hAnsi="Arial"/>
          <w:sz w:val="18"/>
          <w:szCs w:val="18"/>
          <w:color w:val="auto"/>
        </w:rPr>
        <w:t>ӝ</w:t>
      </w:r>
    </w:p>
    <w:p>
      <w:pPr>
        <w:spacing w:after="0" w:line="69"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GAAP offers acceptable alternative methods for accounting for certain issues affecting our financial results, such as determining inventory cost, depreciating long-lived assets, and recognizing revenue. Other than the changes during 2023 as further described in Note 9 of our Notes to Consolidated Financial Statements with respect to the methodol-ogy used to value our equity investment in Indicor, we have not changed the application of acceptable accounting methods or the significant estimates affecting the application of these principles in the last three years in a manner that had a material effect on our Consolidated Financial Statements.</w:t>
      </w:r>
    </w:p>
    <w:p>
      <w:pPr>
        <w:spacing w:after="0" w:line="48"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preparation of financial statements in accordance with GAAP requires the use of estimates, assumptions, judg-ments, and interpretations that can affect the reported amounts of assets, liabilities, revenues and expenses, the dis-closure of contingent assets and liabilities, and other supplemental disclosures.</w:t>
      </w:r>
    </w:p>
    <w:p>
      <w:pPr>
        <w:spacing w:after="0" w:line="27"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The development of accounting estimates is the responsibility of our management. Our management discusses those areas that require significant judgments with the Audit Committee of our Board of Directors. The Audit Committee has reviewed all financial disclosures in our annual filings with the SEC. Although we believe the positions we have taken with regard to uncertainties are reasonable, others might reach different conclusions and our positions can change over time as more information becomes available. If an accounting estimate changes, its effects are accounted for prospectively or through a cumulative catch-up adjustment.</w:t>
      </w:r>
    </w:p>
    <w:p>
      <w:pPr>
        <w:spacing w:after="0" w:line="48"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Our most significant accounting uncertainties are encountered in the areas of income taxes, valuation of other intan-gible assets, goodwill and other indefinite-lived intangibles impairment analyses, and valuation of our equity invest-ment in Indicor. Estimates are considered to be significant if they meet both of the following criteria: (1) the estimate requires assumptions about matters that are uncertain at the time the estimate is made, and (2) changes in the estimate are reasonably likely to have a material financial impact from period-to-period.</w:t>
      </w:r>
    </w:p>
    <w:p>
      <w:pPr>
        <w:spacing w:after="0" w:line="4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Income taxes can be affected by estimates of whether and within which jurisdictions future earnings will occur and if, how, and when cash is repatriated to the U.S., combined with other aspects of an overall income tax strategy. Additionally, taxing jurisdictions could retroactively disagree with our tax treatment of certain items, and some histor-ical transactions have income tax effects going forward. Accounting rules require these future effects to be evaluated using current laws, rules and regulations, each of which can change at any time and in an unpredictable manner. If there is a material change in the actual effective tax rates, the time period within which the underlying temporary differences become taxable or deductible, or if the tax law changes are unfavorable, there could be a resulting increase to income tax expense and the effective tax rate.</w:t>
      </w:r>
    </w:p>
    <w:p>
      <w:pPr>
        <w:spacing w:after="0" w:line="276" w:lineRule="exact"/>
        <w:rPr>
          <w:sz w:val="20"/>
          <w:szCs w:val="20"/>
          <w:color w:val="auto"/>
        </w:rPr>
      </w:pPr>
    </w:p>
    <w:p>
      <w:pPr>
        <w:jc w:val="both"/>
        <w:ind w:right="40"/>
        <w:spacing w:after="0" w:line="318" w:lineRule="auto"/>
        <w:rPr>
          <w:sz w:val="20"/>
          <w:szCs w:val="20"/>
          <w:color w:val="auto"/>
        </w:rPr>
      </w:pPr>
      <w:r>
        <w:rPr>
          <w:rFonts w:ascii="Arial" w:cs="Arial" w:eastAsia="Arial" w:hAnsi="Arial"/>
          <w:sz w:val="18"/>
          <w:szCs w:val="18"/>
          <w:color w:val="auto"/>
        </w:rPr>
        <w:t>Our 2025 effective income tax rate was 20.6% and our 2024 effective income tax rate was 21.2%. We expect the effec-tive tax rate for 2026 to be approximately 21% to 22%.</w:t>
      </w:r>
    </w:p>
    <w:p>
      <w:pPr>
        <w:spacing w:after="0" w:line="1"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We account for goodwill in a purchase business combination as the excess purchase price over the fair value of the net identifiable assets acquired. Goodwill, which is not amortized, is tested for impairment on an annual basis in con-junction with our annual forecast process during the fourth quarter (or an interim basis if an event occurs or circum-stances change that would more likely than not reduce the fair value of a reporting unit below its carrying value).</w:t>
      </w:r>
    </w:p>
    <w:p>
      <w:pPr>
        <w:spacing w:after="0" w:line="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When testing goodwill for impairment, we have the option to first assess qualitative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the quantitative impairment test; otherwise, no further analysis is required. Under the qualitative assessment, we consider various qualitative factors, including macro-economic conditions, relevant industry and market trends, cost factors, overall financial performance, other entity-specific events, and events affecting the reporting unit that could indicate a potential change in the fair value of our reporting unit or the composition of its carrying value. We also consider the specific future outlook for the reporting unit.</w:t>
      </w:r>
    </w:p>
    <w:p>
      <w:pPr>
        <w:spacing w:after="0" w:line="48"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We also may elect not to perform the qualitative assessment and, instead, proceed directly to the quantitative impair-ment test. The quantitative assessment utilizes the equal weighting of both an income approach (discounted cash flow) and a market approach (consisting of a comparable public company earnings multiples methodology) to esti-</w:t>
      </w:r>
      <w:r>
        <w:rPr>
          <w:rFonts w:ascii="Arial" w:cs="Arial" w:eastAsia="Arial" w:hAnsi="Arial"/>
          <w:sz w:val="18"/>
          <w:szCs w:val="18"/>
          <w:color w:val="auto"/>
        </w:rPr>
        <w:t>ȴƃɽǉ</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ɨǉɥɁɨɽȈȶǼ</w:t>
      </w:r>
      <w:r>
        <w:rPr>
          <w:rFonts w:ascii="PMingLiU" w:cs="PMingLiU" w:eastAsia="PMingLiU" w:hAnsi="PMingLiU"/>
          <w:sz w:val="18"/>
          <w:szCs w:val="18"/>
          <w:color w:val="auto"/>
        </w:rPr>
        <w:t/>
      </w:r>
      <w:r>
        <w:rPr>
          <w:rFonts w:ascii="Arial" w:cs="Arial" w:eastAsia="Arial" w:hAnsi="Arial"/>
          <w:sz w:val="18"/>
          <w:szCs w:val="18"/>
          <w:color w:val="auto"/>
        </w:rPr>
        <w:t>ʍȶȈɽ</w:t>
      </w:r>
      <w:r>
        <w:rPr>
          <w:rFonts w:ascii="Arial" w:cs="Arial" w:eastAsia="Arial" w:hAnsi="Arial"/>
          <w:sz w:val="18"/>
          <w:szCs w:val="18"/>
          <w:color w:val="auto"/>
        </w:rPr>
        <w:t>ӝ</w:t>
      </w:r>
      <w:r>
        <w:rPr>
          <w:rFonts w:ascii="Arial" w:cs="Arial" w:eastAsia="Arial" w:hAnsi="Arial"/>
          <w:sz w:val="18"/>
          <w:szCs w:val="18"/>
          <w:color w:val="auto"/>
        </w:rPr>
        <w:t>ԝěɁ</w:t>
      </w:r>
      <w:r>
        <w:rPr>
          <w:rFonts w:ascii="PMingLiU" w:cs="PMingLiU" w:eastAsia="PMingLiU" w:hAnsi="PMingLiU"/>
          <w:sz w:val="18"/>
          <w:szCs w:val="18"/>
          <w:color w:val="auto"/>
        </w:rPr>
        <w:t/>
      </w:r>
      <w:r>
        <w:rPr>
          <w:rFonts w:ascii="Arial" w:cs="Arial" w:eastAsia="Arial" w:hAnsi="Arial"/>
          <w:sz w:val="18"/>
          <w:szCs w:val="18"/>
          <w:color w:val="auto"/>
        </w:rPr>
        <w:t>ǁǉɽǉɨȴȈȶǉ</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ɨǉƃɰɁȶƃƹȢǉȶǉɰɰ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ǉɰɽȈȴƃɽǉǁ</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 xml:space="preserve"> ʤƃȢʍǉɰ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ʥǉ</w:t>
      </w:r>
      <w:r>
        <w:rPr>
          <w:rFonts w:ascii="PMingLiU" w:cs="PMingLiU" w:eastAsia="PMingLiU" w:hAnsi="PMingLiU"/>
          <w:sz w:val="18"/>
          <w:szCs w:val="18"/>
          <w:color w:val="auto"/>
        </w:rPr>
        <w:t/>
      </w:r>
      <w:r>
        <w:rPr>
          <w:rFonts w:ascii="Arial" w:cs="Arial" w:eastAsia="Arial" w:hAnsi="Arial"/>
          <w:sz w:val="18"/>
          <w:szCs w:val="18"/>
          <w:color w:val="auto"/>
        </w:rPr>
        <w:t>ɨǉʤȈǉʥ</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assumptions to ensure that neither the income approach nor the market approach provides significantly different </w:t>
      </w:r>
      <w:r>
        <w:rPr>
          <w:rFonts w:ascii="Arial" w:cs="Arial" w:eastAsia="Arial" w:hAnsi="Arial"/>
          <w:sz w:val="18"/>
          <w:szCs w:val="18"/>
          <w:color w:val="auto"/>
        </w:rPr>
        <w:t>ʤƃȢʍƃɽȈɁȶɰ</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w:t>
      </w:r>
      <w:r>
        <w:rPr>
          <w:rFonts w:ascii="Arial" w:cs="Arial" w:eastAsia="Arial" w:hAnsi="Arial"/>
          <w:sz w:val="18"/>
          <w:szCs w:val="18"/>
          <w:color w:val="auto"/>
        </w:rPr>
        <w:t>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ǉɰɽȈȴƃɽǉǁ</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ǉʯƺǉǉǁɰ</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ƺƃɨɨʰȈȶǼ</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ȶɁ</w:t>
      </w:r>
      <w:r>
        <w:rPr>
          <w:rFonts w:ascii="PMingLiU" w:cs="PMingLiU" w:eastAsia="PMingLiU" w:hAnsi="PMingLiU"/>
          <w:sz w:val="18"/>
          <w:szCs w:val="18"/>
          <w:color w:val="auto"/>
        </w:rPr>
        <w:t/>
      </w:r>
      <w:r>
        <w:rPr>
          <w:rFonts w:ascii="Arial" w:cs="Arial" w:eastAsia="Arial" w:hAnsi="Arial"/>
          <w:sz w:val="18"/>
          <w:szCs w:val="18"/>
          <w:color w:val="auto"/>
        </w:rPr>
        <w:t>ǹʍɨɽȃǉɨ</w:t>
      </w:r>
      <w:r>
        <w:rPr>
          <w:rFonts w:ascii="PMingLiU" w:cs="PMingLiU" w:eastAsia="PMingLiU" w:hAnsi="PMingLiU"/>
          <w:sz w:val="18"/>
          <w:szCs w:val="18"/>
          <w:color w:val="auto"/>
        </w:rPr>
        <w:t/>
      </w:r>
      <w:r>
        <w:rPr>
          <w:rFonts w:ascii="Arial" w:cs="Arial" w:eastAsia="Arial" w:hAnsi="Arial"/>
          <w:sz w:val="18"/>
          <w:szCs w:val="18"/>
          <w:color w:val="auto"/>
        </w:rPr>
        <w:t>ʥɁɨȟ</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ɨǉɧʍȈɨǉǁ</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ȶɁ</w:t>
      </w:r>
      <w:r>
        <w:rPr>
          <w:rFonts w:ascii="PMingLiU" w:cs="PMingLiU" w:eastAsia="PMingLiU" w:hAnsi="PMingLiU"/>
          <w:sz w:val="18"/>
          <w:szCs w:val="18"/>
          <w:color w:val="auto"/>
        </w:rPr>
        <w:t/>
      </w:r>
      <w:r>
        <w:rPr>
          <w:rFonts w:ascii="Arial" w:cs="Arial" w:eastAsia="Arial" w:hAnsi="Arial"/>
          <w:sz w:val="18"/>
          <w:szCs w:val="18"/>
          <w:color w:val="auto"/>
        </w:rPr>
        <w:t>ȈȴɥƃȈɨȴǉȶɽ</w:t>
      </w:r>
      <w:r>
        <w:rPr>
          <w:rFonts w:ascii="PMingLiU" w:cs="PMingLiU" w:eastAsia="PMingLiU" w:hAnsi="PMingLiU"/>
          <w:sz w:val="18"/>
          <w:szCs w:val="18"/>
          <w:color w:val="auto"/>
        </w:rPr>
        <w:t/>
      </w:r>
      <w:r>
        <w:rPr>
          <w:rFonts w:ascii="Arial" w:cs="Arial" w:eastAsia="Arial" w:hAnsi="Arial"/>
          <w:sz w:val="18"/>
          <w:szCs w:val="18"/>
          <w:color w:val="auto"/>
        </w:rPr>
        <w:t>ȢɁɰɰ</w:t>
      </w:r>
      <w:r>
        <w:rPr>
          <w:rFonts w:ascii="PMingLiU" w:cs="PMingLiU" w:eastAsia="PMingLiU" w:hAnsi="PMingLiU"/>
          <w:sz w:val="18"/>
          <w:szCs w:val="18"/>
          <w:color w:val="auto"/>
        </w:rPr>
        <w:t/>
      </w:r>
      <w:r>
        <w:rPr>
          <w:rFonts w:ascii="Arial" w:cs="Arial" w:eastAsia="Arial" w:hAnsi="Arial"/>
          <w:sz w:val="18"/>
          <w:szCs w:val="18"/>
          <w:color w:val="auto"/>
        </w:rPr>
        <w:t xml:space="preserve"> Ȉɰ</w:t>
      </w:r>
      <w:r>
        <w:rPr>
          <w:rFonts w:ascii="PMingLiU" w:cs="PMingLiU" w:eastAsia="PMingLiU" w:hAnsi="PMingLiU"/>
          <w:sz w:val="18"/>
          <w:szCs w:val="18"/>
          <w:color w:val="auto"/>
        </w:rPr>
        <w:t/>
      </w:r>
      <w:r>
        <w:rPr>
          <w:rFonts w:ascii="Arial" w:cs="Arial" w:eastAsia="Arial" w:hAnsi="Arial"/>
          <w:sz w:val="18"/>
          <w:szCs w:val="18"/>
          <w:color w:val="auto"/>
        </w:rPr>
        <w:t>ɨǉƺɁǼȶȈ˃ǉǁ</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w:t>
      </w:r>
      <w:r>
        <w:rPr>
          <w:rFonts w:ascii="Arial" w:cs="Arial" w:eastAsia="Arial" w:hAnsi="Arial"/>
          <w:sz w:val="18"/>
          <w:szCs w:val="18"/>
          <w:color w:val="auto"/>
        </w:rPr>
        <w:t>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ƺƃɨɨʰȈȶǼ</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ǉʯƺǉǉǁɰ</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ǉɰɽȈȴƃɽǉǁ</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ȶɁȶ</w:t>
      </w:r>
      <w:r>
        <w:rPr>
          <w:rFonts w:ascii="Arial" w:cs="Arial" w:eastAsia="Arial" w:hAnsi="Arial"/>
          <w:sz w:val="18"/>
          <w:szCs w:val="18"/>
          <w:color w:val="auto"/>
        </w:rPr>
        <w:t>Ӹ</w:t>
      </w:r>
      <w:r>
        <w:rPr>
          <w:rFonts w:ascii="Arial" w:cs="Arial" w:eastAsia="Arial" w:hAnsi="Arial"/>
          <w:sz w:val="18"/>
          <w:szCs w:val="18"/>
          <w:color w:val="auto"/>
        </w:rPr>
        <w:t>ƺƃɰȃ</w:t>
      </w:r>
      <w:r>
        <w:rPr>
          <w:rFonts w:ascii="PMingLiU" w:cs="PMingLiU" w:eastAsia="PMingLiU" w:hAnsi="PMingLiU"/>
          <w:sz w:val="18"/>
          <w:szCs w:val="18"/>
          <w:color w:val="auto"/>
        </w:rPr>
        <w:t/>
      </w:r>
      <w:r>
        <w:rPr>
          <w:rFonts w:ascii="Arial" w:cs="Arial" w:eastAsia="Arial" w:hAnsi="Arial"/>
          <w:sz w:val="18"/>
          <w:szCs w:val="18"/>
          <w:color w:val="auto"/>
        </w:rPr>
        <w:t>ȈȴɥƃȈɨȴǉȶɽ</w:t>
      </w:r>
      <w:r>
        <w:rPr>
          <w:rFonts w:ascii="PMingLiU" w:cs="PMingLiU" w:eastAsia="PMingLiU" w:hAnsi="PMingLiU"/>
          <w:sz w:val="18"/>
          <w:szCs w:val="18"/>
          <w:color w:val="auto"/>
        </w:rPr>
        <w:t/>
      </w:r>
      <w:r>
        <w:rPr>
          <w:rFonts w:ascii="Arial" w:cs="Arial" w:eastAsia="Arial" w:hAnsi="Arial"/>
          <w:sz w:val="18"/>
          <w:szCs w:val="18"/>
          <w:color w:val="auto"/>
        </w:rPr>
        <w:t>ȢɁɰɰ</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ɨǉƺɁǼȶȈ˃ǉǁ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amount of that excess.</w:t>
      </w:r>
    </w:p>
    <w:p>
      <w:pPr>
        <w:sectPr>
          <w:pgSz w:w="12240" w:h="15840" w:orient="portrait"/>
          <w:cols w:equalWidth="0" w:num="1">
            <w:col w:w="10360"/>
          </w:cols>
          <w:pgMar w:left="960" w:top="935" w:right="920" w:bottom="90" w:gutter="0" w:footer="0" w:header="0"/>
        </w:sectPr>
      </w:pPr>
    </w:p>
    <w:p>
      <w:pPr>
        <w:spacing w:after="0" w:line="391"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26</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60"/>
          </w:cols>
          <w:pgMar w:left="960" w:top="935" w:right="920" w:bottom="90" w:gutter="0" w:footer="0" w:header="0"/>
          <w:type w:val="continuous"/>
        </w:sectPr>
      </w:pPr>
    </w:p>
    <w:bookmarkStart w:id="28" w:name="page29"/>
    <w:bookmarkEnd w:id="28"/>
    <w:p>
      <w:pPr>
        <w:jc w:val="both"/>
        <w:ind w:right="20"/>
        <w:spacing w:after="0" w:line="230"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 xml:space="preserve">Key assumptions used in the income and market approaches are updated when the analysis is performed for </w:t>
      </w:r>
      <w:r>
        <w:rPr>
          <w:rFonts w:ascii="Arial" w:cs="Arial" w:eastAsia="Arial" w:hAnsi="Arial"/>
          <w:sz w:val="18"/>
          <w:szCs w:val="18"/>
          <w:color w:val="auto"/>
        </w:rPr>
        <w:t>ǉƃƺȃ</w:t>
      </w:r>
      <w:r>
        <w:rPr>
          <w:rFonts w:ascii="PMingLiU" w:cs="PMingLiU" w:eastAsia="PMingLiU" w:hAnsi="PMingLiU"/>
          <w:sz w:val="18"/>
          <w:szCs w:val="18"/>
          <w:color w:val="auto"/>
        </w:rPr>
        <w:t/>
      </w:r>
      <w:r>
        <w:rPr>
          <w:rFonts w:ascii="Arial" w:cs="Arial" w:eastAsia="Arial" w:hAnsi="Arial"/>
          <w:sz w:val="18"/>
          <w:szCs w:val="18"/>
          <w:color w:val="auto"/>
        </w:rPr>
        <w:t>ɨǉɥɁɨɽȈȶǼ</w:t>
      </w:r>
      <w:r>
        <w:rPr>
          <w:rFonts w:ascii="PMingLiU" w:cs="PMingLiU" w:eastAsia="PMingLiU" w:hAnsi="PMingLiU"/>
          <w:sz w:val="18"/>
          <w:szCs w:val="18"/>
          <w:color w:val="auto"/>
        </w:rPr>
        <w:t/>
      </w:r>
      <w:r>
        <w:rPr>
          <w:rFonts w:ascii="Arial" w:cs="Arial" w:eastAsia="Arial" w:hAnsi="Arial"/>
          <w:sz w:val="18"/>
          <w:szCs w:val="18"/>
          <w:color w:val="auto"/>
        </w:rPr>
        <w:t>ʍȶȈɽ</w:t>
      </w:r>
      <w:r>
        <w:rPr>
          <w:rFonts w:ascii="Arial" w:cs="Arial" w:eastAsia="Arial" w:hAnsi="Arial"/>
          <w:sz w:val="18"/>
          <w:szCs w:val="18"/>
          <w:color w:val="auto"/>
        </w:rPr>
        <w:t>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ƃɰɰʍȴɥɽȈɁȶɰ</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PMingLiU" w:cs="PMingLiU" w:eastAsia="PMingLiU" w:hAnsi="PMingLiU"/>
          <w:sz w:val="18"/>
          <w:szCs w:val="18"/>
          <w:color w:val="auto"/>
        </w:rPr>
        <w:t/>
      </w:r>
      <w:r>
        <w:rPr>
          <w:rFonts w:ascii="Arial" w:cs="Arial" w:eastAsia="Arial" w:hAnsi="Arial"/>
          <w:sz w:val="18"/>
          <w:szCs w:val="18"/>
          <w:color w:val="auto"/>
        </w:rPr>
        <w:t>ȃƃʤǉ</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ȴɁɰɽ</w:t>
      </w:r>
      <w:r>
        <w:rPr>
          <w:rFonts w:ascii="PMingLiU" w:cs="PMingLiU" w:eastAsia="PMingLiU" w:hAnsi="PMingLiU"/>
          <w:sz w:val="18"/>
          <w:szCs w:val="18"/>
          <w:color w:val="auto"/>
        </w:rPr>
        <w:t/>
      </w:r>
      <w:r>
        <w:rPr>
          <w:rFonts w:ascii="Arial" w:cs="Arial" w:eastAsia="Arial" w:hAnsi="Arial"/>
          <w:sz w:val="18"/>
          <w:szCs w:val="18"/>
          <w:color w:val="auto"/>
        </w:rPr>
        <w:t>ɰȈǼȶȈǹȈƺƃȶɽ</w:t>
      </w:r>
      <w:r>
        <w:rPr>
          <w:rFonts w:ascii="PMingLiU" w:cs="PMingLiU" w:eastAsia="PMingLiU" w:hAnsi="PMingLiU"/>
          <w:sz w:val="18"/>
          <w:szCs w:val="18"/>
          <w:color w:val="auto"/>
        </w:rPr>
        <w:t/>
      </w:r>
      <w:r>
        <w:rPr>
          <w:rFonts w:ascii="Arial" w:cs="Arial" w:eastAsia="Arial" w:hAnsi="Arial"/>
          <w:sz w:val="18"/>
          <w:szCs w:val="18"/>
          <w:color w:val="auto"/>
        </w:rPr>
        <w:t>ǉǹǹǉƺɽ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ƺƃȢƺʍȢƃɽȈɁȶɰ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ɥɨɁ</w:t>
      </w:r>
      <w:r>
        <w:rPr>
          <w:rFonts w:ascii="Arial" w:cs="Arial" w:eastAsia="Arial" w:hAnsi="Arial"/>
          <w:sz w:val="18"/>
          <w:szCs w:val="18"/>
          <w:color w:val="auto"/>
        </w:rPr>
        <w:t>-</w:t>
      </w:r>
      <w:r>
        <w:rPr>
          <w:rFonts w:ascii="Arial" w:cs="Arial" w:eastAsia="Arial" w:hAnsi="Arial"/>
          <w:sz w:val="18"/>
          <w:szCs w:val="18"/>
          <w:color w:val="auto"/>
        </w:rPr>
        <w:t>Țǉƺɽǉǁ</w:t>
      </w:r>
      <w:r>
        <w:rPr>
          <w:rFonts w:ascii="PMingLiU" w:cs="PMingLiU" w:eastAsia="PMingLiU" w:hAnsi="PMingLiU"/>
          <w:sz w:val="18"/>
          <w:szCs w:val="18"/>
          <w:color w:val="auto"/>
        </w:rPr>
        <w:t/>
      </w:r>
      <w:r>
        <w:rPr>
          <w:rFonts w:ascii="Arial" w:cs="Arial" w:eastAsia="Arial" w:hAnsi="Arial"/>
          <w:sz w:val="18"/>
          <w:szCs w:val="18"/>
          <w:color w:val="auto"/>
        </w:rPr>
        <w:t>ɨǉʤǉȶʍǉ</w:t>
      </w:r>
      <w:r>
        <w:rPr>
          <w:rFonts w:ascii="PMingLiU" w:cs="PMingLiU" w:eastAsia="PMingLiU" w:hAnsi="PMingLiU"/>
          <w:sz w:val="18"/>
          <w:szCs w:val="18"/>
          <w:color w:val="auto"/>
        </w:rPr>
        <w:t/>
      </w:r>
      <w:r>
        <w:rPr>
          <w:rFonts w:ascii="Arial" w:cs="Arial" w:eastAsia="Arial" w:hAnsi="Arial"/>
          <w:sz w:val="18"/>
          <w:szCs w:val="18"/>
          <w:color w:val="auto"/>
        </w:rPr>
        <w:t>ǼɨɁʥɽȃ</w:t>
      </w:r>
      <w:r>
        <w:rPr>
          <w:rFonts w:ascii="PMingLiU" w:cs="PMingLiU" w:eastAsia="PMingLiU" w:hAnsi="PMingLiU"/>
          <w:sz w:val="18"/>
          <w:szCs w:val="18"/>
          <w:color w:val="auto"/>
        </w:rPr>
        <w:t/>
      </w:r>
      <w:r>
        <w:rPr>
          <w:rFonts w:ascii="Arial" w:cs="Arial" w:eastAsia="Arial" w:hAnsi="Arial"/>
          <w:sz w:val="18"/>
          <w:szCs w:val="18"/>
          <w:color w:val="auto"/>
        </w:rPr>
        <w:t xml:space="preserve"> ɨƃɽǉɰ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ǹʍɽʍɨǉ</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ȴƃɨǼȈȶɰ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ǁȈɰƺɁʍȶɽ</w:t>
      </w:r>
      <w:r>
        <w:rPr>
          <w:rFonts w:ascii="PMingLiU" w:cs="PMingLiU" w:eastAsia="PMingLiU" w:hAnsi="PMingLiU"/>
          <w:sz w:val="18"/>
          <w:szCs w:val="18"/>
          <w:color w:val="auto"/>
        </w:rPr>
        <w:t/>
      </w:r>
      <w:r>
        <w:rPr>
          <w:rFonts w:ascii="Arial" w:cs="Arial" w:eastAsia="Arial" w:hAnsi="Arial"/>
          <w:sz w:val="18"/>
          <w:szCs w:val="18"/>
          <w:color w:val="auto"/>
        </w:rPr>
        <w:t>ɨƃɽǉɰ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ɽǉɨȴȈȶƃȢ</w:t>
      </w:r>
      <w:r>
        <w:rPr>
          <w:rFonts w:ascii="PMingLiU" w:cs="PMingLiU" w:eastAsia="PMingLiU" w:hAnsi="PMingLiU"/>
          <w:sz w:val="18"/>
          <w:szCs w:val="18"/>
          <w:color w:val="auto"/>
        </w:rPr>
        <w:t/>
      </w:r>
      <w:r>
        <w:rPr>
          <w:rFonts w:ascii="Arial" w:cs="Arial" w:eastAsia="Arial" w:hAnsi="Arial"/>
          <w:sz w:val="18"/>
          <w:szCs w:val="18"/>
          <w:color w:val="auto"/>
        </w:rPr>
        <w:t>ʤƃȢʍǉɰ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ǉƃɨȶȈȶǼɰ</w:t>
      </w:r>
      <w:r>
        <w:rPr>
          <w:rFonts w:ascii="PMingLiU" w:cs="PMingLiU" w:eastAsia="PMingLiU" w:hAnsi="PMingLiU"/>
          <w:sz w:val="18"/>
          <w:szCs w:val="18"/>
          <w:color w:val="auto"/>
        </w:rPr>
        <w:t/>
      </w:r>
      <w:r>
        <w:rPr>
          <w:rFonts w:ascii="Arial" w:cs="Arial" w:eastAsia="Arial" w:hAnsi="Arial"/>
          <w:sz w:val="18"/>
          <w:szCs w:val="18"/>
          <w:color w:val="auto"/>
        </w:rPr>
        <w:t>ȴʍȢɽȈɥȢǉɰ</w:t>
      </w:r>
      <w:r>
        <w:rPr>
          <w:rFonts w:ascii="Arial" w:cs="Arial" w:eastAsia="Arial" w:hAnsi="Arial"/>
          <w:sz w:val="18"/>
          <w:szCs w:val="18"/>
          <w:color w:val="auto"/>
        </w:rPr>
        <w:t>ӝ</w:t>
      </w:r>
      <w:r>
        <w:rPr>
          <w:rFonts w:ascii="Arial" w:cs="Arial" w:eastAsia="Arial" w:hAnsi="Arial"/>
          <w:sz w:val="18"/>
          <w:szCs w:val="18"/>
          <w:color w:val="auto"/>
        </w:rPr>
        <w:t>ԝŚȃȈȢǉ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we use reasonable and timely information to prepare our cash flow and discount rate assumptions, actual future cash flows or market conditions could differ significantly and could result in future non-cash impairment charges related to recorded goodwill balances.</w:t>
      </w:r>
    </w:p>
    <w:p>
      <w:pPr>
        <w:spacing w:after="0" w:line="280" w:lineRule="exact"/>
        <w:rPr>
          <w:sz w:val="20"/>
          <w:szCs w:val="20"/>
          <w:color w:val="auto"/>
        </w:rPr>
      </w:pPr>
    </w:p>
    <w:p>
      <w:pPr>
        <w:jc w:val="both"/>
        <w:ind w:right="20"/>
        <w:spacing w:after="0" w:line="231" w:lineRule="exact"/>
        <w:rPr>
          <w:sz w:val="20"/>
          <w:szCs w:val="20"/>
          <w:color w:val="auto"/>
        </w:rPr>
      </w:pPr>
      <w:r>
        <w:rPr>
          <w:rFonts w:ascii="Arial" w:cs="Arial" w:eastAsia="Arial" w:hAnsi="Arial"/>
          <w:sz w:val="18"/>
          <w:szCs w:val="18"/>
          <w:color w:val="auto"/>
        </w:rPr>
        <w:t xml:space="preserve">Recently acquired reporting units generally represent a higher inherent risk of impairment, which typically decreases as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 xml:space="preserve"> ƹʍɰȈȶǉɰɰǉɰ</w:t>
      </w:r>
      <w:r>
        <w:rPr>
          <w:rFonts w:ascii="PMingLiU" w:cs="PMingLiU" w:eastAsia="PMingLiU" w:hAnsi="PMingLiU"/>
          <w:sz w:val="18"/>
          <w:szCs w:val="18"/>
          <w:color w:val="auto"/>
        </w:rPr>
        <w:t/>
      </w:r>
      <w:r>
        <w:rPr>
          <w:rFonts w:ascii="Arial" w:cs="Arial" w:eastAsia="Arial" w:hAnsi="Arial"/>
          <w:sz w:val="18"/>
          <w:szCs w:val="18"/>
          <w:color w:val="auto"/>
        </w:rPr>
        <w:t xml:space="preserve"> ƃɨǉ</w:t>
      </w:r>
      <w:r>
        <w:rPr>
          <w:rFonts w:ascii="PMingLiU" w:cs="PMingLiU" w:eastAsia="PMingLiU" w:hAnsi="PMingLiU"/>
          <w:sz w:val="18"/>
          <w:szCs w:val="18"/>
          <w:color w:val="auto"/>
        </w:rPr>
        <w:t/>
      </w:r>
      <w:r>
        <w:rPr>
          <w:rFonts w:ascii="Arial" w:cs="Arial" w:eastAsia="Arial" w:hAnsi="Arial"/>
          <w:sz w:val="18"/>
          <w:szCs w:val="18"/>
          <w:color w:val="auto"/>
        </w:rPr>
        <w:t xml:space="preserve"> ȈȶɽǉǼɨƃɽǉǁ</w:t>
      </w:r>
      <w:r>
        <w:rPr>
          <w:rFonts w:ascii="PMingLiU" w:cs="PMingLiU" w:eastAsia="PMingLiU" w:hAnsi="PMingLiU"/>
          <w:sz w:val="18"/>
          <w:szCs w:val="18"/>
          <w:color w:val="auto"/>
        </w:rPr>
        <w:t/>
      </w:r>
      <w:r>
        <w:rPr>
          <w:rFonts w:ascii="Arial" w:cs="Arial" w:eastAsia="Arial" w:hAnsi="Arial"/>
          <w:sz w:val="18"/>
          <w:szCs w:val="18"/>
          <w:color w:val="auto"/>
        </w:rPr>
        <w:t xml:space="preserve"> ȈȶɽɁ</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 xml:space="preserve"> ǉȶɽǉɨɥɨȈɰǉ</w:t>
      </w:r>
      <w:r>
        <w:rPr>
          <w:rFonts w:ascii="Arial" w:cs="Arial" w:eastAsia="Arial" w:hAnsi="Arial"/>
          <w:sz w:val="18"/>
          <w:szCs w:val="18"/>
          <w:color w:val="auto"/>
        </w:rPr>
        <w:t>ӝ</w:t>
      </w:r>
      <w:r>
        <w:rPr>
          <w:rFonts w:ascii="Arial" w:cs="Arial" w:eastAsia="Arial" w:hAnsi="Arial"/>
          <w:sz w:val="18"/>
          <w:szCs w:val="18"/>
          <w:color w:val="auto"/>
        </w:rPr>
        <w:t>ԝÇǉǼƃɽȈʤǉ</w:t>
      </w:r>
      <w:r>
        <w:rPr>
          <w:rFonts w:ascii="PMingLiU" w:cs="PMingLiU" w:eastAsia="PMingLiU" w:hAnsi="PMingLiU"/>
          <w:sz w:val="18"/>
          <w:szCs w:val="18"/>
          <w:color w:val="auto"/>
        </w:rPr>
        <w:t/>
      </w:r>
      <w:r>
        <w:rPr>
          <w:rFonts w:ascii="Arial" w:cs="Arial" w:eastAsia="Arial" w:hAnsi="Arial"/>
          <w:sz w:val="18"/>
          <w:szCs w:val="18"/>
          <w:color w:val="auto"/>
        </w:rPr>
        <w:t xml:space="preserve"> Ȉȶǁʍɰɽɨʰ</w:t>
      </w:r>
      <w:r>
        <w:rPr>
          <w:rFonts w:ascii="PMingLiU" w:cs="PMingLiU" w:eastAsia="PMingLiU" w:hAnsi="PMingLiU"/>
          <w:sz w:val="18"/>
          <w:szCs w:val="18"/>
          <w:color w:val="auto"/>
        </w:rPr>
        <w:t/>
      </w:r>
      <w:r>
        <w:rPr>
          <w:rFonts w:ascii="Arial" w:cs="Arial" w:eastAsia="Arial" w:hAnsi="Arial"/>
          <w:sz w:val="18"/>
          <w:szCs w:val="18"/>
          <w:color w:val="auto"/>
        </w:rPr>
        <w:t xml:space="preserve"> Ɂɨ</w:t>
      </w:r>
      <w:r>
        <w:rPr>
          <w:rFonts w:ascii="PMingLiU" w:cs="PMingLiU" w:eastAsia="PMingLiU" w:hAnsi="PMingLiU"/>
          <w:sz w:val="18"/>
          <w:szCs w:val="18"/>
          <w:color w:val="auto"/>
        </w:rPr>
        <w:t/>
      </w:r>
      <w:r>
        <w:rPr>
          <w:rFonts w:ascii="Arial" w:cs="Arial" w:eastAsia="Arial" w:hAnsi="Arial"/>
          <w:sz w:val="18"/>
          <w:szCs w:val="18"/>
          <w:color w:val="auto"/>
        </w:rPr>
        <w:t xml:space="preserve"> ǉƺɁȶɁȴȈƺ</w:t>
      </w:r>
      <w:r>
        <w:rPr>
          <w:rFonts w:ascii="PMingLiU" w:cs="PMingLiU" w:eastAsia="PMingLiU" w:hAnsi="PMingLiU"/>
          <w:sz w:val="18"/>
          <w:szCs w:val="18"/>
          <w:color w:val="auto"/>
        </w:rPr>
        <w:t/>
      </w:r>
      <w:r>
        <w:rPr>
          <w:rFonts w:ascii="Arial" w:cs="Arial" w:eastAsia="Arial" w:hAnsi="Arial"/>
          <w:sz w:val="18"/>
          <w:szCs w:val="18"/>
          <w:color w:val="auto"/>
        </w:rPr>
        <w:t xml:space="preserve"> ɽɨǉȶǁɰ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ǁȈɰɨʍɥɽȈɁȶɰ</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 xml:space="preserve"> ƹʍɰȈȶǉɰɰ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actual results significantly below projections, unexpected significant changes or planned changes in the use of the assets, divestitures, and market capitalization declines may have a negative effect on the fair value of our reporting units.</w:t>
      </w:r>
    </w:p>
    <w:p>
      <w:pPr>
        <w:spacing w:after="0" w:line="69" w:lineRule="exact"/>
        <w:rPr>
          <w:sz w:val="20"/>
          <w:szCs w:val="20"/>
          <w:color w:val="auto"/>
        </w:rPr>
      </w:pPr>
    </w:p>
    <w:p>
      <w:pPr>
        <w:jc w:val="both"/>
        <w:ind w:right="20"/>
        <w:spacing w:after="0" w:line="230" w:lineRule="exact"/>
        <w:rPr>
          <w:sz w:val="20"/>
          <w:szCs w:val="20"/>
          <w:color w:val="auto"/>
        </w:rPr>
      </w:pPr>
      <w:r>
        <w:rPr>
          <w:rFonts w:ascii="Arial" w:cs="Arial" w:eastAsia="Arial" w:hAnsi="Arial"/>
          <w:sz w:val="18"/>
          <w:szCs w:val="18"/>
          <w:color w:val="auto"/>
        </w:rPr>
        <w:t xml:space="preserve">As of the annual impairment test, Roper has 25 reporting units with individual goodwill amounts ranging from $17.5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јӗјќіӝўӝ</w:t>
      </w:r>
      <w:r>
        <w:rPr>
          <w:rFonts w:ascii="Arial" w:cs="Arial" w:eastAsia="Arial" w:hAnsi="Arial"/>
          <w:sz w:val="18"/>
          <w:szCs w:val="18"/>
          <w:color w:val="auto"/>
        </w:rPr>
        <w:t>ԝ</w:t>
      </w:r>
      <w:r>
        <w:rPr>
          <w:rFonts w:ascii="PMingLiU" w:cs="PMingLiU" w:eastAsia="PMingLiU" w:hAnsi="PMingLiU"/>
          <w:sz w:val="18"/>
          <w:szCs w:val="18"/>
          <w:color w:val="auto"/>
        </w:rPr>
        <w:t></w:t>
      </w:r>
      <w:r>
        <w:rPr>
          <w:rFonts w:ascii="Arial" w:cs="Arial" w:eastAsia="Arial" w:hAnsi="Arial"/>
          <w:sz w:val="18"/>
          <w:szCs w:val="18"/>
          <w:color w:val="auto"/>
        </w:rPr>
        <w:t>ȶ</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ɥǉɨǹɁɨȴǉǁ</w:t>
      </w:r>
      <w:r>
        <w:rPr>
          <w:rFonts w:ascii="PMingLiU" w:cs="PMingLiU" w:eastAsia="PMingLiU" w:hAnsi="PMingLiU"/>
          <w:sz w:val="18"/>
          <w:szCs w:val="18"/>
          <w:color w:val="auto"/>
        </w:rPr>
        <w:t/>
      </w:r>
      <w:r>
        <w:rPr>
          <w:rFonts w:ascii="Arial" w:cs="Arial" w:eastAsia="Arial" w:hAnsi="Arial"/>
          <w:sz w:val="18"/>
          <w:szCs w:val="18"/>
          <w:color w:val="auto"/>
        </w:rPr>
        <w:t>Ȉɽɰ</w:t>
      </w:r>
      <w:r>
        <w:rPr>
          <w:rFonts w:ascii="PMingLiU" w:cs="PMingLiU" w:eastAsia="PMingLiU" w:hAnsi="PMingLiU"/>
          <w:sz w:val="18"/>
          <w:szCs w:val="18"/>
          <w:color w:val="auto"/>
        </w:rPr>
        <w:t/>
      </w:r>
      <w:r>
        <w:rPr>
          <w:rFonts w:ascii="Arial" w:cs="Arial" w:eastAsia="Arial" w:hAnsi="Arial"/>
          <w:sz w:val="18"/>
          <w:szCs w:val="18"/>
          <w:color w:val="auto"/>
        </w:rPr>
        <w:t>ƃȶȶʍƃȢ</w:t>
      </w:r>
      <w:r>
        <w:rPr>
          <w:rFonts w:ascii="PMingLiU" w:cs="PMingLiU" w:eastAsia="PMingLiU" w:hAnsi="PMingLiU"/>
          <w:sz w:val="18"/>
          <w:szCs w:val="18"/>
          <w:color w:val="auto"/>
        </w:rPr>
        <w:t/>
      </w:r>
      <w:r>
        <w:rPr>
          <w:rFonts w:ascii="Arial" w:cs="Arial" w:eastAsia="Arial" w:hAnsi="Arial"/>
          <w:sz w:val="18"/>
          <w:szCs w:val="18"/>
          <w:color w:val="auto"/>
        </w:rPr>
        <w:t>ȈȴɥƃȈɨȴǉȶɽ</w:t>
      </w:r>
      <w:r>
        <w:rPr>
          <w:rFonts w:ascii="PMingLiU" w:cs="PMingLiU" w:eastAsia="PMingLiU" w:hAnsi="PMingLiU"/>
          <w:sz w:val="18"/>
          <w:szCs w:val="18"/>
          <w:color w:val="auto"/>
        </w:rPr>
        <w:t/>
      </w:r>
      <w:r>
        <w:rPr>
          <w:rFonts w:ascii="Arial" w:cs="Arial" w:eastAsia="Arial" w:hAnsi="Arial"/>
          <w:sz w:val="18"/>
          <w:szCs w:val="18"/>
          <w:color w:val="auto"/>
        </w:rPr>
        <w:t>ɽǉɰɽ</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ǹɁʍɨɽȃ</w:t>
      </w:r>
      <w:r>
        <w:rPr>
          <w:rFonts w:ascii="PMingLiU" w:cs="PMingLiU" w:eastAsia="PMingLiU" w:hAnsi="PMingLiU"/>
          <w:sz w:val="18"/>
          <w:szCs w:val="18"/>
          <w:color w:val="auto"/>
        </w:rPr>
        <w:t/>
      </w:r>
      <w:r>
        <w:rPr>
          <w:rFonts w:ascii="Arial" w:cs="Arial" w:eastAsia="Arial" w:hAnsi="Arial"/>
          <w:sz w:val="18"/>
          <w:szCs w:val="18"/>
          <w:color w:val="auto"/>
        </w:rPr>
        <w:t>ɧʍƃɨɽǉɨ</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ƃȢȢ</w:t>
      </w:r>
      <w:r>
        <w:rPr>
          <w:rFonts w:ascii="PMingLiU" w:cs="PMingLiU" w:eastAsia="PMingLiU" w:hAnsi="PMingLiU"/>
          <w:sz w:val="18"/>
          <w:szCs w:val="18"/>
          <w:color w:val="auto"/>
        </w:rPr>
        <w:t/>
      </w:r>
      <w:r>
        <w:rPr>
          <w:rFonts w:ascii="Arial" w:cs="Arial" w:eastAsia="Arial" w:hAnsi="Arial"/>
          <w:sz w:val="18"/>
          <w:szCs w:val="18"/>
          <w:color w:val="auto"/>
        </w:rPr>
        <w:t>ɨǉɥɁɨɽȈȶǼ</w:t>
      </w:r>
      <w:r>
        <w:rPr>
          <w:rFonts w:ascii="PMingLiU" w:cs="PMingLiU" w:eastAsia="PMingLiU" w:hAnsi="PMingLiU"/>
          <w:sz w:val="18"/>
          <w:szCs w:val="18"/>
          <w:color w:val="auto"/>
        </w:rPr>
        <w:t/>
      </w:r>
      <w:r>
        <w:rPr>
          <w:rFonts w:ascii="Arial" w:cs="Arial" w:eastAsia="Arial" w:hAnsi="Arial"/>
          <w:sz w:val="18"/>
          <w:szCs w:val="18"/>
          <w:color w:val="auto"/>
        </w:rPr>
        <w:t>ʍȶȈɽɰ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The Company conducted its analysis qualitatively and assessed whether it was more likely than not that the respec-tive fair values of these reporting units were less than their carrying amounts. The Company determined that impair-ment of goodwill was not likely in any of its reporting units and thus was not required to perform a quantitative assessment for these reporting units as of October 1, 2025.</w:t>
      </w:r>
    </w:p>
    <w:p>
      <w:pPr>
        <w:spacing w:after="0" w:line="28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Trade names that are determined to have an indefinite useful economic life are not amortized, but separately tested for impairment during the fourth quarter of the fiscal year or on an interim basis if an event occurs that indicates the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ȴɁɨǉ</w:t>
      </w:r>
      <w:r>
        <w:rPr>
          <w:rFonts w:ascii="PMingLiU" w:cs="PMingLiU" w:eastAsia="PMingLiU" w:hAnsi="PMingLiU"/>
          <w:sz w:val="18"/>
          <w:szCs w:val="18"/>
          <w:color w:val="auto"/>
        </w:rPr>
        <w:t/>
      </w:r>
      <w:r>
        <w:rPr>
          <w:rFonts w:ascii="Arial" w:cs="Arial" w:eastAsia="Arial" w:hAnsi="Arial"/>
          <w:sz w:val="18"/>
          <w:szCs w:val="18"/>
          <w:color w:val="auto"/>
        </w:rPr>
        <w:t>ȢȈȟǉȢʰ</w:t>
      </w:r>
      <w:r>
        <w:rPr>
          <w:rFonts w:ascii="PMingLiU" w:cs="PMingLiU" w:eastAsia="PMingLiU" w:hAnsi="PMingLiU"/>
          <w:sz w:val="18"/>
          <w:szCs w:val="18"/>
          <w:color w:val="auto"/>
        </w:rPr>
        <w:t/>
      </w:r>
      <w:r>
        <w:rPr>
          <w:rFonts w:ascii="Arial" w:cs="Arial" w:eastAsia="Arial" w:hAnsi="Arial"/>
          <w:sz w:val="18"/>
          <w:szCs w:val="18"/>
          <w:color w:val="auto"/>
        </w:rPr>
        <w:t>ɽȃƃȶ</w:t>
      </w:r>
      <w:r>
        <w:rPr>
          <w:rFonts w:ascii="PMingLiU" w:cs="PMingLiU" w:eastAsia="PMingLiU" w:hAnsi="PMingLiU"/>
          <w:sz w:val="18"/>
          <w:szCs w:val="18"/>
          <w:color w:val="auto"/>
        </w:rPr>
        <w:t/>
      </w:r>
      <w:r>
        <w:rPr>
          <w:rFonts w:ascii="Arial" w:cs="Arial" w:eastAsia="Arial" w:hAnsi="Arial"/>
          <w:sz w:val="18"/>
          <w:szCs w:val="18"/>
          <w:color w:val="auto"/>
        </w:rPr>
        <w:t>ȶɁɽ</w:t>
      </w:r>
      <w:r>
        <w:rPr>
          <w:rFonts w:ascii="PMingLiU" w:cs="PMingLiU" w:eastAsia="PMingLiU" w:hAnsi="PMingLiU"/>
          <w:sz w:val="18"/>
          <w:szCs w:val="18"/>
          <w:color w:val="auto"/>
        </w:rPr>
        <w:t/>
      </w:r>
      <w:r>
        <w:rPr>
          <w:rFonts w:ascii="Arial" w:cs="Arial" w:eastAsia="Arial" w:hAnsi="Arial"/>
          <w:sz w:val="18"/>
          <w:szCs w:val="18"/>
          <w:color w:val="auto"/>
        </w:rPr>
        <w:t>ƹǉȢɁʥ</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ƺƃɨɨʰȈȶǼ</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Arial" w:cs="Arial" w:eastAsia="Arial" w:hAnsi="Arial"/>
          <w:sz w:val="18"/>
          <w:szCs w:val="18"/>
          <w:color w:val="auto"/>
        </w:rPr>
        <w:t>ӝ</w:t>
      </w:r>
      <w:r>
        <w:rPr>
          <w:rFonts w:ascii="Arial" w:cs="Arial" w:eastAsia="Arial" w:hAnsi="Arial"/>
          <w:sz w:val="18"/>
          <w:szCs w:val="18"/>
          <w:color w:val="auto"/>
        </w:rPr>
        <w:t>ԝŚǉ</w:t>
      </w:r>
      <w:r>
        <w:rPr>
          <w:rFonts w:ascii="PMingLiU" w:cs="PMingLiU" w:eastAsia="PMingLiU" w:hAnsi="PMingLiU"/>
          <w:sz w:val="18"/>
          <w:szCs w:val="18"/>
          <w:color w:val="auto"/>
        </w:rPr>
        <w:t/>
      </w:r>
      <w:r>
        <w:rPr>
          <w:rFonts w:ascii="Arial" w:cs="Arial" w:eastAsia="Arial" w:hAnsi="Arial"/>
          <w:sz w:val="18"/>
          <w:szCs w:val="18"/>
          <w:color w:val="auto"/>
        </w:rPr>
        <w:t>ǹȈɨɰɽ</w:t>
      </w:r>
      <w:r>
        <w:rPr>
          <w:rFonts w:ascii="PMingLiU" w:cs="PMingLiU" w:eastAsia="PMingLiU" w:hAnsi="PMingLiU"/>
          <w:sz w:val="18"/>
          <w:szCs w:val="18"/>
          <w:color w:val="auto"/>
        </w:rPr>
        <w:t/>
      </w:r>
      <w:r>
        <w:rPr>
          <w:rFonts w:ascii="Arial" w:cs="Arial" w:eastAsia="Arial" w:hAnsi="Arial"/>
          <w:sz w:val="18"/>
          <w:szCs w:val="18"/>
          <w:color w:val="auto"/>
        </w:rPr>
        <w:t>ɧʍƃȢȈɽƃɽȈʤǉȢʰ</w:t>
      </w:r>
      <w:r>
        <w:rPr>
          <w:rFonts w:ascii="PMingLiU" w:cs="PMingLiU" w:eastAsia="PMingLiU" w:hAnsi="PMingLiU"/>
          <w:sz w:val="18"/>
          <w:szCs w:val="18"/>
          <w:color w:val="auto"/>
        </w:rPr>
        <w:t/>
      </w:r>
      <w:r>
        <w:rPr>
          <w:rFonts w:ascii="Arial" w:cs="Arial" w:eastAsia="Arial" w:hAnsi="Arial"/>
          <w:sz w:val="18"/>
          <w:szCs w:val="18"/>
          <w:color w:val="auto"/>
        </w:rPr>
        <w:t xml:space="preserve"> ƃɰɰǉɰɰ</w:t>
      </w:r>
      <w:r>
        <w:rPr>
          <w:rFonts w:ascii="PMingLiU" w:cs="PMingLiU" w:eastAsia="PMingLiU" w:hAnsi="PMingLiU"/>
          <w:sz w:val="18"/>
          <w:szCs w:val="18"/>
          <w:color w:val="auto"/>
        </w:rPr>
        <w:t/>
      </w:r>
      <w:r>
        <w:rPr>
          <w:rFonts w:ascii="Arial" w:cs="Arial" w:eastAsia="Arial" w:hAnsi="Arial"/>
          <w:sz w:val="18"/>
          <w:szCs w:val="18"/>
          <w:color w:val="auto"/>
        </w:rPr>
        <w:t>ʥȃǉɽȃǉɨ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ǉʯȈɰɽǉȶƺǉ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ǉʤǉȶɽɰ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or circumstances leads to a determination that it is more likely than not that the estimated fair value of the indefinite-lived trade name is less than its carrying amount. If necessary, we conduct a quantitative assessment using the relief-from-royalty method, which we believe to be an acceptable methodology due to its common use by valua-</w:t>
      </w:r>
      <w:r>
        <w:rPr>
          <w:rFonts w:ascii="Arial" w:cs="Arial" w:eastAsia="Arial" w:hAnsi="Arial"/>
          <w:sz w:val="18"/>
          <w:szCs w:val="18"/>
          <w:color w:val="auto"/>
        </w:rPr>
        <w:t>ɽȈɁȶ</w:t>
      </w:r>
      <w:r>
        <w:rPr>
          <w:rFonts w:ascii="PMingLiU" w:cs="PMingLiU" w:eastAsia="PMingLiU" w:hAnsi="PMingLiU"/>
          <w:sz w:val="18"/>
          <w:szCs w:val="18"/>
          <w:color w:val="auto"/>
        </w:rPr>
        <w:t/>
      </w:r>
      <w:r>
        <w:rPr>
          <w:rFonts w:ascii="Arial" w:cs="Arial" w:eastAsia="Arial" w:hAnsi="Arial"/>
          <w:sz w:val="18"/>
          <w:szCs w:val="18"/>
          <w:color w:val="auto"/>
        </w:rPr>
        <w:t>ɰɥǉƺȈƃȢȈɰɽɰ</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ǁǉɽǉɨȴȈȶȈȶǼ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 xml:space="preserve"> ʤƃȢʍǉ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ȈȶɽƃȶǼȈƹȢǉ</w:t>
      </w:r>
      <w:r>
        <w:rPr>
          <w:rFonts w:ascii="PMingLiU" w:cs="PMingLiU" w:eastAsia="PMingLiU" w:hAnsi="PMingLiU"/>
          <w:sz w:val="18"/>
          <w:szCs w:val="18"/>
          <w:color w:val="auto"/>
        </w:rPr>
        <w:t/>
      </w:r>
      <w:r>
        <w:rPr>
          <w:rFonts w:ascii="Arial" w:cs="Arial" w:eastAsia="Arial" w:hAnsi="Arial"/>
          <w:sz w:val="18"/>
          <w:szCs w:val="18"/>
          <w:color w:val="auto"/>
        </w:rPr>
        <w:t>ƃɰɰǉɽɰ</w:t>
      </w:r>
      <w:r>
        <w:rPr>
          <w:rFonts w:ascii="Arial" w:cs="Arial" w:eastAsia="Arial" w:hAnsi="Arial"/>
          <w:sz w:val="18"/>
          <w:szCs w:val="18"/>
          <w:color w:val="auto"/>
        </w:rPr>
        <w:t>ӝ</w:t>
      </w:r>
      <w:r>
        <w:rPr>
          <w:rFonts w:ascii="Arial" w:cs="Arial" w:eastAsia="Arial" w:hAnsi="Arial"/>
          <w:sz w:val="18"/>
          <w:szCs w:val="18"/>
          <w:color w:val="auto"/>
        </w:rPr>
        <w:t>ԝěȃȈɰ</w:t>
      </w:r>
      <w:r>
        <w:rPr>
          <w:rFonts w:ascii="PMingLiU" w:cs="PMingLiU" w:eastAsia="PMingLiU" w:hAnsi="PMingLiU"/>
          <w:sz w:val="18"/>
          <w:szCs w:val="18"/>
          <w:color w:val="auto"/>
        </w:rPr>
        <w:t/>
      </w:r>
      <w:r>
        <w:rPr>
          <w:rFonts w:ascii="Arial" w:cs="Arial" w:eastAsia="Arial" w:hAnsi="Arial"/>
          <w:sz w:val="18"/>
          <w:szCs w:val="18"/>
          <w:color w:val="auto"/>
        </w:rPr>
        <w:t>ȴǉɽȃɁǁɁȢɁǼʰ</w:t>
      </w:r>
      <w:r>
        <w:rPr>
          <w:rFonts w:ascii="PMingLiU" w:cs="PMingLiU" w:eastAsia="PMingLiU" w:hAnsi="PMingLiU"/>
          <w:sz w:val="18"/>
          <w:szCs w:val="18"/>
          <w:color w:val="auto"/>
        </w:rPr>
        <w:t/>
      </w:r>
      <w:r>
        <w:rPr>
          <w:rFonts w:ascii="Arial" w:cs="Arial" w:eastAsia="Arial" w:hAnsi="Arial"/>
          <w:sz w:val="18"/>
          <w:szCs w:val="18"/>
          <w:color w:val="auto"/>
        </w:rPr>
        <w:t>ƃɰɰʍȴǉɰ</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 xml:space="preserve"> ȢȈǉʍ</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ɁʥȶǉɨɰȃȈɥ</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a third party would be willing to pay a royalty in order to exploit the related benefits of these assets. The assumptions that have the most significant effect on the fair value calculations are the royalty rates, projected revenue growth </w:t>
      </w:r>
      <w:r>
        <w:rPr>
          <w:rFonts w:ascii="Arial" w:cs="Arial" w:eastAsia="Arial" w:hAnsi="Arial"/>
          <w:sz w:val="18"/>
          <w:szCs w:val="18"/>
          <w:color w:val="auto"/>
        </w:rPr>
        <w:t>ɨƃɽǉɰ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ǁȈɰƺɁʍȶɽ</w:t>
      </w:r>
      <w:r>
        <w:rPr>
          <w:rFonts w:ascii="PMingLiU" w:cs="PMingLiU" w:eastAsia="PMingLiU" w:hAnsi="PMingLiU"/>
          <w:sz w:val="18"/>
          <w:szCs w:val="18"/>
          <w:color w:val="auto"/>
        </w:rPr>
        <w:t/>
      </w:r>
      <w:r>
        <w:rPr>
          <w:rFonts w:ascii="Arial" w:cs="Arial" w:eastAsia="Arial" w:hAnsi="Arial"/>
          <w:sz w:val="18"/>
          <w:szCs w:val="18"/>
          <w:color w:val="auto"/>
        </w:rPr>
        <w:t>ɨƃɽǉɰ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ɽǉɨȴȈȶƃȢ</w:t>
      </w:r>
      <w:r>
        <w:rPr>
          <w:rFonts w:ascii="PMingLiU" w:cs="PMingLiU" w:eastAsia="PMingLiU" w:hAnsi="PMingLiU"/>
          <w:sz w:val="18"/>
          <w:szCs w:val="18"/>
          <w:color w:val="auto"/>
        </w:rPr>
        <w:t/>
      </w:r>
      <w:r>
        <w:rPr>
          <w:rFonts w:ascii="Arial" w:cs="Arial" w:eastAsia="Arial" w:hAnsi="Arial"/>
          <w:sz w:val="18"/>
          <w:szCs w:val="18"/>
          <w:color w:val="auto"/>
        </w:rPr>
        <w:t>ʤƃȢʍǉɰ</w:t>
      </w:r>
      <w:r>
        <w:rPr>
          <w:rFonts w:ascii="Arial" w:cs="Arial" w:eastAsia="Arial" w:hAnsi="Arial"/>
          <w:sz w:val="18"/>
          <w:szCs w:val="18"/>
          <w:color w:val="auto"/>
        </w:rPr>
        <w:t>ӝ</w:t>
      </w:r>
      <w:r>
        <w:rPr>
          <w:rFonts w:ascii="Arial" w:cs="Arial" w:eastAsia="Arial" w:hAnsi="Arial"/>
          <w:sz w:val="18"/>
          <w:szCs w:val="18"/>
          <w:color w:val="auto"/>
        </w:rPr>
        <w:t>ԝKƃƺȃ</w:t>
      </w:r>
      <w:r>
        <w:rPr>
          <w:rFonts w:ascii="PMingLiU" w:cs="PMingLiU" w:eastAsia="PMingLiU" w:hAnsi="PMingLiU"/>
          <w:sz w:val="18"/>
          <w:szCs w:val="18"/>
          <w:color w:val="auto"/>
        </w:rPr>
        <w:t/>
      </w:r>
      <w:r>
        <w:rPr>
          <w:rFonts w:ascii="Arial" w:cs="Arial" w:eastAsia="Arial" w:hAnsi="Arial"/>
          <w:sz w:val="18"/>
          <w:szCs w:val="18"/>
          <w:color w:val="auto"/>
        </w:rPr>
        <w:t>ɨɁʰƃȢɽʰ</w:t>
      </w:r>
      <w:r>
        <w:rPr>
          <w:rFonts w:ascii="PMingLiU" w:cs="PMingLiU" w:eastAsia="PMingLiU" w:hAnsi="PMingLiU"/>
          <w:sz w:val="18"/>
          <w:szCs w:val="18"/>
          <w:color w:val="auto"/>
        </w:rPr>
        <w:t/>
      </w:r>
      <w:r>
        <w:rPr>
          <w:rFonts w:ascii="Arial" w:cs="Arial" w:eastAsia="Arial" w:hAnsi="Arial"/>
          <w:sz w:val="18"/>
          <w:szCs w:val="18"/>
          <w:color w:val="auto"/>
        </w:rPr>
        <w:t>ɨƃɽǉ</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ǁǉɽǉɨȴȈȶǉǁ</w:t>
      </w:r>
      <w:r>
        <w:rPr>
          <w:rFonts w:ascii="PMingLiU" w:cs="PMingLiU" w:eastAsia="PMingLiU" w:hAnsi="PMingLiU"/>
          <w:sz w:val="18"/>
          <w:szCs w:val="18"/>
          <w:color w:val="auto"/>
        </w:rPr>
        <w:t/>
      </w:r>
      <w:r>
        <w:rPr>
          <w:rFonts w:ascii="Arial" w:cs="Arial" w:eastAsia="Arial" w:hAnsi="Arial"/>
          <w:sz w:val="18"/>
          <w:szCs w:val="18"/>
          <w:color w:val="auto"/>
        </w:rPr>
        <w:t>ƹƃɰǉǁ</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ɥɨɁǹȈɽƃƹȈȢȈɽʰ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ɽɨƃǁǉ</w:t>
      </w:r>
      <w:r>
        <w:rPr>
          <w:rFonts w:ascii="PMingLiU" w:cs="PMingLiU" w:eastAsia="PMingLiU" w:hAnsi="PMingLiU"/>
          <w:sz w:val="18"/>
          <w:szCs w:val="18"/>
          <w:color w:val="auto"/>
        </w:rPr>
        <w:t/>
      </w:r>
      <w:r>
        <w:rPr>
          <w:rFonts w:ascii="Arial" w:cs="Arial" w:eastAsia="Arial" w:hAnsi="Arial"/>
          <w:sz w:val="18"/>
          <w:szCs w:val="18"/>
          <w:color w:val="auto"/>
        </w:rPr>
        <w:t>ȶƃȴǉ</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ʥȃȈƺȃ</w:t>
      </w:r>
      <w:r>
        <w:rPr>
          <w:rFonts w:ascii="PMingLiU" w:cs="PMingLiU" w:eastAsia="PMingLiU" w:hAnsi="PMingLiU"/>
          <w:sz w:val="18"/>
          <w:szCs w:val="18"/>
          <w:color w:val="auto"/>
        </w:rPr>
        <w:t/>
      </w:r>
      <w:r>
        <w:rPr>
          <w:rFonts w:ascii="Arial" w:cs="Arial" w:eastAsia="Arial" w:hAnsi="Arial"/>
          <w:sz w:val="18"/>
          <w:szCs w:val="18"/>
          <w:color w:val="auto"/>
        </w:rPr>
        <w:t>Ȉɽ</w:t>
      </w:r>
      <w:r>
        <w:rPr>
          <w:rFonts w:ascii="PMingLiU" w:cs="PMingLiU" w:eastAsia="PMingLiU" w:hAnsi="PMingLiU"/>
          <w:sz w:val="18"/>
          <w:szCs w:val="18"/>
          <w:color w:val="auto"/>
        </w:rPr>
        <w:t/>
      </w:r>
      <w:r>
        <w:rPr>
          <w:rFonts w:ascii="Arial" w:cs="Arial" w:eastAsia="Arial" w:hAnsi="Arial"/>
          <w:sz w:val="18"/>
          <w:szCs w:val="18"/>
          <w:color w:val="auto"/>
        </w:rPr>
        <w:t xml:space="preserve"> ɨǉȢƃɽǉɰ</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Ɂƹɰǉɨʤǉǁ</w:t>
      </w:r>
      <w:r>
        <w:rPr>
          <w:rFonts w:ascii="PMingLiU" w:cs="PMingLiU" w:eastAsia="PMingLiU" w:hAnsi="PMingLiU"/>
          <w:sz w:val="18"/>
          <w:szCs w:val="18"/>
          <w:color w:val="auto"/>
        </w:rPr>
        <w:t/>
      </w:r>
      <w:r>
        <w:rPr>
          <w:rFonts w:ascii="Arial" w:cs="Arial" w:eastAsia="Arial" w:hAnsi="Arial"/>
          <w:sz w:val="18"/>
          <w:szCs w:val="18"/>
          <w:color w:val="auto"/>
        </w:rPr>
        <w:t>ȴƃɨȟǉɽ</w:t>
      </w:r>
      <w:r>
        <w:rPr>
          <w:rFonts w:ascii="PMingLiU" w:cs="PMingLiU" w:eastAsia="PMingLiU" w:hAnsi="PMingLiU"/>
          <w:sz w:val="18"/>
          <w:szCs w:val="18"/>
          <w:color w:val="auto"/>
        </w:rPr>
        <w:t/>
      </w:r>
      <w:r>
        <w:rPr>
          <w:rFonts w:ascii="Arial" w:cs="Arial" w:eastAsia="Arial" w:hAnsi="Arial"/>
          <w:sz w:val="18"/>
          <w:szCs w:val="18"/>
          <w:color w:val="auto"/>
        </w:rPr>
        <w:t>ɨɁʰƃȢɽʰ</w:t>
      </w:r>
      <w:r>
        <w:rPr>
          <w:rFonts w:ascii="PMingLiU" w:cs="PMingLiU" w:eastAsia="PMingLiU" w:hAnsi="PMingLiU"/>
          <w:sz w:val="18"/>
          <w:szCs w:val="18"/>
          <w:color w:val="auto"/>
        </w:rPr>
        <w:t/>
      </w:r>
      <w:r>
        <w:rPr>
          <w:rFonts w:ascii="Arial" w:cs="Arial" w:eastAsia="Arial" w:hAnsi="Arial"/>
          <w:sz w:val="18"/>
          <w:szCs w:val="18"/>
          <w:color w:val="auto"/>
        </w:rPr>
        <w:t>ɨƃɽǉɰ</w:t>
      </w:r>
      <w:r>
        <w:rPr>
          <w:rFonts w:ascii="Arial" w:cs="Arial" w:eastAsia="Arial" w:hAnsi="Arial"/>
          <w:sz w:val="18"/>
          <w:szCs w:val="18"/>
          <w:color w:val="auto"/>
        </w:rPr>
        <w:t>ӝ</w:t>
      </w:r>
      <w:r>
        <w:rPr>
          <w:rFonts w:ascii="Arial" w:cs="Arial" w:eastAsia="Arial" w:hAnsi="Arial"/>
          <w:sz w:val="18"/>
          <w:szCs w:val="18"/>
          <w:color w:val="auto"/>
        </w:rPr>
        <w:t>ԝĄǉʤǉȶʍǉ</w:t>
      </w:r>
      <w:r>
        <w:rPr>
          <w:rFonts w:ascii="PMingLiU" w:cs="PMingLiU" w:eastAsia="PMingLiU" w:hAnsi="PMingLiU"/>
          <w:sz w:val="18"/>
          <w:szCs w:val="18"/>
          <w:color w:val="auto"/>
        </w:rPr>
        <w:t/>
      </w:r>
      <w:r>
        <w:rPr>
          <w:rFonts w:ascii="Arial" w:cs="Arial" w:eastAsia="Arial" w:hAnsi="Arial"/>
          <w:sz w:val="18"/>
          <w:szCs w:val="18"/>
          <w:color w:val="auto"/>
        </w:rPr>
        <w:t>ǼɨɁʥɽȃ</w:t>
      </w:r>
      <w:r>
        <w:rPr>
          <w:rFonts w:ascii="PMingLiU" w:cs="PMingLiU" w:eastAsia="PMingLiU" w:hAnsi="PMingLiU"/>
          <w:sz w:val="18"/>
          <w:szCs w:val="18"/>
          <w:color w:val="auto"/>
        </w:rPr>
        <w:t/>
      </w:r>
      <w:r>
        <w:rPr>
          <w:rFonts w:ascii="Arial" w:cs="Arial" w:eastAsia="Arial" w:hAnsi="Arial"/>
          <w:sz w:val="18"/>
          <w:szCs w:val="18"/>
          <w:color w:val="auto"/>
        </w:rPr>
        <w:t>ɨƃɽǉɰ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ǁǉɽǉɨȴȈȶǉǁ</w:t>
      </w:r>
      <w:r>
        <w:rPr>
          <w:rFonts w:ascii="PMingLiU" w:cs="PMingLiU" w:eastAsia="PMingLiU" w:hAnsi="PMingLiU"/>
          <w:sz w:val="18"/>
          <w:szCs w:val="18"/>
          <w:color w:val="auto"/>
        </w:rPr>
        <w:t/>
      </w:r>
      <w:r>
        <w:rPr>
          <w:rFonts w:ascii="Arial" w:cs="Arial" w:eastAsia="Arial" w:hAnsi="Arial"/>
          <w:sz w:val="18"/>
          <w:szCs w:val="18"/>
          <w:color w:val="auto"/>
        </w:rPr>
        <w:t>ƃǹɽǉɨ</w:t>
      </w:r>
      <w:r>
        <w:rPr>
          <w:rFonts w:ascii="PMingLiU" w:cs="PMingLiU" w:eastAsia="PMingLiU" w:hAnsi="PMingLiU"/>
          <w:sz w:val="18"/>
          <w:szCs w:val="18"/>
          <w:color w:val="auto"/>
        </w:rPr>
        <w:t/>
      </w:r>
      <w:r>
        <w:rPr>
          <w:rFonts w:ascii="Arial" w:cs="Arial" w:eastAsia="Arial" w:hAnsi="Arial"/>
          <w:sz w:val="18"/>
          <w:szCs w:val="18"/>
          <w:color w:val="auto"/>
        </w:rPr>
        <w:t>ƺɁȶɰȈǁǉɨȈȶǼ</w:t>
      </w:r>
      <w:r>
        <w:rPr>
          <w:rFonts w:ascii="PMingLiU" w:cs="PMingLiU" w:eastAsia="PMingLiU" w:hAnsi="PMingLiU"/>
          <w:sz w:val="18"/>
          <w:szCs w:val="18"/>
          <w:color w:val="auto"/>
        </w:rPr>
        <w:t/>
      </w:r>
      <w:r>
        <w:rPr>
          <w:rFonts w:ascii="Arial" w:cs="Arial" w:eastAsia="Arial" w:hAnsi="Arial"/>
          <w:sz w:val="18"/>
          <w:szCs w:val="18"/>
          <w:color w:val="auto"/>
        </w:rPr>
        <w:t>ƺʍɨɨǉȶɽ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and future economic conditions, recent sales trends, discussions with customers, planned timing of new product </w:t>
      </w:r>
      <w:r>
        <w:rPr>
          <w:rFonts w:ascii="Arial" w:cs="Arial" w:eastAsia="Arial" w:hAnsi="Arial"/>
          <w:sz w:val="18"/>
          <w:szCs w:val="18"/>
          <w:color w:val="auto"/>
        </w:rPr>
        <w:t>Ȣƃʍȶƺȃǉɰ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Ɂɨ</w:t>
      </w:r>
      <w:r>
        <w:rPr>
          <w:rFonts w:ascii="PMingLiU" w:cs="PMingLiU" w:eastAsia="PMingLiU" w:hAnsi="PMingLiU"/>
          <w:sz w:val="18"/>
          <w:szCs w:val="18"/>
          <w:color w:val="auto"/>
        </w:rPr>
        <w:t/>
      </w:r>
      <w:r>
        <w:rPr>
          <w:rFonts w:ascii="Arial" w:cs="Arial" w:eastAsia="Arial" w:hAnsi="Arial"/>
          <w:sz w:val="18"/>
          <w:szCs w:val="18"/>
          <w:color w:val="auto"/>
        </w:rPr>
        <w:t xml:space="preserve"> Ɂɽȃǉɨ</w:t>
      </w:r>
      <w:r>
        <w:rPr>
          <w:rFonts w:ascii="PMingLiU" w:cs="PMingLiU" w:eastAsia="PMingLiU" w:hAnsi="PMingLiU"/>
          <w:sz w:val="18"/>
          <w:szCs w:val="18"/>
          <w:color w:val="auto"/>
        </w:rPr>
        <w:t/>
      </w:r>
      <w:r>
        <w:rPr>
          <w:rFonts w:ascii="Arial" w:cs="Arial" w:eastAsia="Arial" w:hAnsi="Arial"/>
          <w:sz w:val="18"/>
          <w:szCs w:val="18"/>
          <w:color w:val="auto"/>
        </w:rPr>
        <w:t xml:space="preserve"> ʤƃɨȈƃƹȢǉɰ </w:t>
      </w:r>
      <w:r>
        <w:rPr>
          <w:rFonts w:ascii="Arial" w:cs="Arial" w:eastAsia="Arial" w:hAnsi="Arial"/>
          <w:sz w:val="18"/>
          <w:szCs w:val="18"/>
          <w:color w:val="auto"/>
        </w:rPr>
        <w:t>ӝ</w:t>
      </w:r>
      <w:r>
        <w:rPr>
          <w:rFonts w:ascii="Arial" w:cs="Arial" w:eastAsia="Arial" w:hAnsi="Arial"/>
          <w:sz w:val="18"/>
          <w:szCs w:val="18"/>
          <w:color w:val="auto"/>
        </w:rPr>
        <w:t>ԝěɨƃǁǉ</w:t>
      </w:r>
      <w:r>
        <w:rPr>
          <w:rFonts w:ascii="PMingLiU" w:cs="PMingLiU" w:eastAsia="PMingLiU" w:hAnsi="PMingLiU"/>
          <w:sz w:val="18"/>
          <w:szCs w:val="18"/>
          <w:color w:val="auto"/>
        </w:rPr>
        <w:t/>
      </w:r>
      <w:r>
        <w:rPr>
          <w:rFonts w:ascii="Arial" w:cs="Arial" w:eastAsia="Arial" w:hAnsi="Arial"/>
          <w:sz w:val="18"/>
          <w:szCs w:val="18"/>
          <w:color w:val="auto"/>
        </w:rPr>
        <w:t xml:space="preserve"> ȶƃȴǉɰ</w:t>
      </w:r>
      <w:r>
        <w:rPr>
          <w:rFonts w:ascii="PMingLiU" w:cs="PMingLiU" w:eastAsia="PMingLiU" w:hAnsi="PMingLiU"/>
          <w:sz w:val="18"/>
          <w:szCs w:val="18"/>
          <w:color w:val="auto"/>
        </w:rPr>
        <w:t/>
      </w:r>
      <w:r>
        <w:rPr>
          <w:rFonts w:ascii="Arial" w:cs="Arial" w:eastAsia="Arial" w:hAnsi="Arial"/>
          <w:sz w:val="18"/>
          <w:szCs w:val="18"/>
          <w:color w:val="auto"/>
        </w:rPr>
        <w:t xml:space="preserve"> ɨǉɰʍȢɽȈȶǼ</w:t>
      </w:r>
      <w:r>
        <w:rPr>
          <w:rFonts w:ascii="PMingLiU" w:cs="PMingLiU" w:eastAsia="PMingLiU" w:hAnsi="PMingLiU"/>
          <w:sz w:val="18"/>
          <w:szCs w:val="18"/>
          <w:color w:val="auto"/>
        </w:rPr>
        <w:t/>
      </w:r>
      <w:r>
        <w:rPr>
          <w:rFonts w:ascii="Arial" w:cs="Arial" w:eastAsia="Arial" w:hAnsi="Arial"/>
          <w:sz w:val="18"/>
          <w:szCs w:val="18"/>
          <w:color w:val="auto"/>
        </w:rPr>
        <w:t xml:space="preserve"> ǹɨɁȴ</w:t>
      </w:r>
      <w:r>
        <w:rPr>
          <w:rFonts w:ascii="PMingLiU" w:cs="PMingLiU" w:eastAsia="PMingLiU" w:hAnsi="PMingLiU"/>
          <w:sz w:val="18"/>
          <w:szCs w:val="18"/>
          <w:color w:val="auto"/>
        </w:rPr>
        <w:t/>
      </w:r>
      <w:r>
        <w:rPr>
          <w:rFonts w:ascii="Arial" w:cs="Arial" w:eastAsia="Arial" w:hAnsi="Arial"/>
          <w:sz w:val="18"/>
          <w:szCs w:val="18"/>
          <w:color w:val="auto"/>
        </w:rPr>
        <w:t xml:space="preserve"> ɨǉƺǉȶɽ</w:t>
      </w:r>
      <w:r>
        <w:rPr>
          <w:rFonts w:ascii="PMingLiU" w:cs="PMingLiU" w:eastAsia="PMingLiU" w:hAnsi="PMingLiU"/>
          <w:sz w:val="18"/>
          <w:szCs w:val="18"/>
          <w:color w:val="auto"/>
        </w:rPr>
        <w:t/>
      </w:r>
      <w:r>
        <w:rPr>
          <w:rFonts w:ascii="Arial" w:cs="Arial" w:eastAsia="Arial" w:hAnsi="Arial"/>
          <w:sz w:val="18"/>
          <w:szCs w:val="18"/>
          <w:color w:val="auto"/>
        </w:rPr>
        <w:t xml:space="preserve"> ƃƺɧʍȈɰȈɽȈɁȶɰ</w:t>
      </w:r>
      <w:r>
        <w:rPr>
          <w:rFonts w:ascii="PMingLiU" w:cs="PMingLiU" w:eastAsia="PMingLiU" w:hAnsi="PMingLiU"/>
          <w:sz w:val="18"/>
          <w:szCs w:val="18"/>
          <w:color w:val="auto"/>
        </w:rPr>
        <w:t/>
      </w:r>
      <w:r>
        <w:rPr>
          <w:rFonts w:ascii="Arial" w:cs="Arial" w:eastAsia="Arial" w:hAnsi="Arial"/>
          <w:sz w:val="18"/>
          <w:szCs w:val="18"/>
          <w:color w:val="auto"/>
        </w:rPr>
        <w:t xml:space="preserve"> ǼǉȶǉɨƃȢȢʰ</w:t>
      </w:r>
      <w:r>
        <w:rPr>
          <w:rFonts w:ascii="PMingLiU" w:cs="PMingLiU" w:eastAsia="PMingLiU" w:hAnsi="PMingLiU"/>
          <w:sz w:val="18"/>
          <w:szCs w:val="18"/>
          <w:color w:val="auto"/>
        </w:rPr>
        <w:t/>
      </w:r>
      <w:r>
        <w:rPr>
          <w:rFonts w:ascii="Arial" w:cs="Arial" w:eastAsia="Arial" w:hAnsi="Arial"/>
          <w:sz w:val="18"/>
          <w:szCs w:val="18"/>
          <w:color w:val="auto"/>
        </w:rPr>
        <w:t xml:space="preserve"> ɨǉɥɨǉɰǉȶɽ</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ȃȈǼȃǉɰɽ</w:t>
      </w:r>
      <w:r>
        <w:rPr>
          <w:rFonts w:ascii="PMingLiU" w:cs="PMingLiU" w:eastAsia="PMingLiU" w:hAnsi="PMingLiU"/>
          <w:sz w:val="18"/>
          <w:szCs w:val="18"/>
          <w:color w:val="auto"/>
        </w:rPr>
        <w:t/>
      </w:r>
      <w:r>
        <w:rPr>
          <w:rFonts w:ascii="Arial" w:cs="Arial" w:eastAsia="Arial" w:hAnsi="Arial"/>
          <w:sz w:val="18"/>
          <w:szCs w:val="18"/>
          <w:color w:val="auto"/>
        </w:rPr>
        <w:t xml:space="preserve"> ɨȈɰȟ</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impairment, which typically decreases as the businesses are integrated into our enterprise.</w:t>
      </w:r>
    </w:p>
    <w:p>
      <w:pPr>
        <w:spacing w:after="0" w:line="77" w:lineRule="exact"/>
        <w:rPr>
          <w:sz w:val="20"/>
          <w:szCs w:val="20"/>
          <w:color w:val="auto"/>
        </w:rPr>
      </w:pPr>
    </w:p>
    <w:p>
      <w:pPr>
        <w:jc w:val="both"/>
        <w:ind w:right="20"/>
        <w:spacing w:after="0" w:line="228" w:lineRule="exact"/>
        <w:rPr>
          <w:sz w:val="20"/>
          <w:szCs w:val="20"/>
          <w:color w:val="auto"/>
        </w:rPr>
      </w:pPr>
      <w:r>
        <w:rPr>
          <w:rFonts w:ascii="Arial" w:cs="Arial" w:eastAsia="Arial" w:hAnsi="Arial"/>
          <w:sz w:val="18"/>
          <w:szCs w:val="18"/>
          <w:color w:val="auto"/>
        </w:rPr>
        <w:t>The assessment of fair value for impairment purposes requires significant judgments to be made by manage-</w:t>
      </w:r>
      <w:r>
        <w:rPr>
          <w:rFonts w:ascii="Arial" w:cs="Arial" w:eastAsia="Arial" w:hAnsi="Arial"/>
          <w:sz w:val="18"/>
          <w:szCs w:val="18"/>
          <w:color w:val="auto"/>
        </w:rPr>
        <w:t>ȴǉȶɽ</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
      </w:r>
      <w:r>
        <w:rPr>
          <w:rFonts w:ascii="Arial" w:cs="Arial" w:eastAsia="Arial" w:hAnsi="Arial"/>
          <w:sz w:val="18"/>
          <w:szCs w:val="18"/>
          <w:color w:val="auto"/>
        </w:rPr>
        <w:t>ȢɽȃɁʍǼȃ</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ǹɁɨǉƺƃɰɽɰ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ƹƃɰǉǁ</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ƃɰɰʍȴɥɽȈɁȶɰ</w:t>
      </w:r>
      <w:r>
        <w:rPr>
          <w:rFonts w:ascii="PMingLiU" w:cs="PMingLiU" w:eastAsia="PMingLiU" w:hAnsi="PMingLiU"/>
          <w:sz w:val="18"/>
          <w:szCs w:val="18"/>
          <w:color w:val="auto"/>
        </w:rPr>
        <w:t/>
      </w:r>
      <w:r>
        <w:rPr>
          <w:rFonts w:ascii="Arial" w:cs="Arial" w:eastAsia="Arial" w:hAnsi="Arial"/>
          <w:sz w:val="18"/>
          <w:szCs w:val="18"/>
          <w:color w:val="auto"/>
        </w:rPr>
        <w:t xml:space="preserve"> ɽȃƃɽ</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ƺɁȶɰȈǁǉɨǉǁ</w:t>
      </w:r>
      <w:r>
        <w:rPr>
          <w:rFonts w:ascii="PMingLiU" w:cs="PMingLiU" w:eastAsia="PMingLiU" w:hAnsi="PMingLiU"/>
          <w:sz w:val="18"/>
          <w:szCs w:val="18"/>
          <w:color w:val="auto"/>
        </w:rPr>
        <w:t/>
      </w:r>
      <w:r>
        <w:rPr>
          <w:rFonts w:ascii="Arial" w:cs="Arial" w:eastAsia="Arial" w:hAnsi="Arial"/>
          <w:sz w:val="18"/>
          <w:szCs w:val="18"/>
          <w:color w:val="auto"/>
        </w:rPr>
        <w:t>ɨǉƃɰɁȶƃƹȢǉ</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ȴƃȶƃǼǉȴǉȶɽ</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ƺɁȶɰȈɰ</w:t>
      </w:r>
      <w:r>
        <w:rPr>
          <w:rFonts w:ascii="Arial" w:cs="Arial" w:eastAsia="Arial" w:hAnsi="Arial"/>
          <w:sz w:val="18"/>
          <w:szCs w:val="18"/>
          <w:color w:val="auto"/>
        </w:rPr>
        <w:t xml:space="preserve">-tent with the plans and estimates management uses to operate the underlying businesses, there is significant </w:t>
      </w:r>
      <w:r>
        <w:rPr>
          <w:rFonts w:ascii="Arial" w:cs="Arial" w:eastAsia="Arial" w:hAnsi="Arial"/>
          <w:sz w:val="18"/>
          <w:szCs w:val="18"/>
          <w:color w:val="auto"/>
        </w:rPr>
        <w:t>ȚʍǁǼȴǉȶɽ</w:t>
      </w:r>
      <w:r>
        <w:rPr>
          <w:rFonts w:ascii="PMingLiU" w:cs="PMingLiU" w:eastAsia="PMingLiU" w:hAnsi="PMingLiU"/>
          <w:sz w:val="18"/>
          <w:szCs w:val="18"/>
          <w:color w:val="auto"/>
        </w:rPr>
        <w:t/>
      </w:r>
      <w:r>
        <w:rPr>
          <w:rFonts w:ascii="Arial" w:cs="Arial" w:eastAsia="Arial" w:hAnsi="Arial"/>
          <w:sz w:val="18"/>
          <w:szCs w:val="18"/>
          <w:color w:val="auto"/>
        </w:rPr>
        <w:t>ƃɥɥȢȈǉǁ</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ǁǉɽǉɨȴȈȶȈȶǼ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ǉʯɥǉƺɽǉǁ</w:t>
      </w:r>
      <w:r>
        <w:rPr>
          <w:rFonts w:ascii="PMingLiU" w:cs="PMingLiU" w:eastAsia="PMingLiU" w:hAnsi="PMingLiU"/>
          <w:sz w:val="18"/>
          <w:szCs w:val="18"/>
          <w:color w:val="auto"/>
        </w:rPr>
        <w:t/>
      </w:r>
      <w:r>
        <w:rPr>
          <w:rFonts w:ascii="Arial" w:cs="Arial" w:eastAsia="Arial" w:hAnsi="Arial"/>
          <w:sz w:val="18"/>
          <w:szCs w:val="18"/>
          <w:color w:val="auto"/>
        </w:rPr>
        <w:t>ɨǉɰʍȢɽɰ</w:t>
      </w:r>
      <w:r>
        <w:rPr>
          <w:rFonts w:ascii="PMingLiU" w:cs="PMingLiU" w:eastAsia="PMingLiU" w:hAnsi="PMingLiU"/>
          <w:sz w:val="18"/>
          <w:szCs w:val="18"/>
          <w:color w:val="auto"/>
        </w:rPr>
        <w:t/>
      </w:r>
      <w:r>
        <w:rPr>
          <w:rFonts w:ascii="Arial" w:cs="Arial" w:eastAsia="Arial" w:hAnsi="Arial"/>
          <w:sz w:val="18"/>
          <w:szCs w:val="18"/>
          <w:color w:val="auto"/>
        </w:rPr>
        <w:t>ƃɽɽɨȈƹʍɽƃƹȢǉ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ƹʍɰȈȶǉɰɰǉɰ</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Arial" w:cs="Arial" w:eastAsia="Arial" w:hAnsi="Arial"/>
          <w:sz w:val="18"/>
          <w:szCs w:val="18"/>
          <w:color w:val="auto"/>
        </w:rPr>
        <w:t>ӣ</w:t>
      </w:r>
      <w:r>
        <w:rPr>
          <w:rFonts w:ascii="Arial" w:cs="Arial" w:eastAsia="Arial" w:hAnsi="Arial"/>
          <w:sz w:val="18"/>
          <w:szCs w:val="18"/>
          <w:color w:val="auto"/>
        </w:rPr>
        <w:t>Ɂɨ</w:t>
      </w:r>
      <w:r>
        <w:rPr>
          <w:rFonts w:ascii="PMingLiU" w:cs="PMingLiU" w:eastAsia="PMingLiU" w:hAnsi="PMingLiU"/>
          <w:sz w:val="18"/>
          <w:szCs w:val="18"/>
          <w:color w:val="auto"/>
        </w:rPr>
        <w:t/>
      </w:r>
      <w:r>
        <w:rPr>
          <w:rFonts w:ascii="Arial" w:cs="Arial" w:eastAsia="Arial" w:hAnsi="Arial"/>
          <w:sz w:val="18"/>
          <w:szCs w:val="18"/>
          <w:color w:val="auto"/>
        </w:rPr>
        <w:t>ɨǉɥɁɨɽȈȶǼ</w:t>
      </w:r>
      <w:r>
        <w:rPr>
          <w:rFonts w:ascii="PMingLiU" w:cs="PMingLiU" w:eastAsia="PMingLiU" w:hAnsi="PMingLiU"/>
          <w:sz w:val="18"/>
          <w:szCs w:val="18"/>
          <w:color w:val="auto"/>
        </w:rPr>
        <w:t/>
      </w:r>
      <w:r>
        <w:rPr>
          <w:rFonts w:ascii="Arial" w:cs="Arial" w:eastAsia="Arial" w:hAnsi="Arial"/>
          <w:sz w:val="18"/>
          <w:szCs w:val="18"/>
          <w:color w:val="auto"/>
        </w:rPr>
        <w:t>ʍȶȈɽɰ</w:t>
      </w:r>
      <w:r>
        <w:rPr>
          <w:rFonts w:ascii="Arial" w:cs="Arial" w:eastAsia="Arial" w:hAnsi="Arial"/>
          <w:sz w:val="18"/>
          <w:szCs w:val="18"/>
          <w:color w:val="auto"/>
        </w:rPr>
        <w:t>ӝ</w:t>
      </w:r>
      <w:r>
        <w:rPr>
          <w:rFonts w:ascii="Arial" w:cs="Arial" w:eastAsia="Arial" w:hAnsi="Arial"/>
          <w:sz w:val="18"/>
          <w:szCs w:val="18"/>
          <w:color w:val="auto"/>
        </w:rPr>
        <w:t>ԝ:ȃƃȶǼǉɰ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in estimates or the application of alternative assumptions could produce significantly different results.</w:t>
      </w:r>
    </w:p>
    <w:p>
      <w:pPr>
        <w:spacing w:after="0" w:line="7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most significant identifiable intangible assets with definite useful economic lives recognized from our acquisitions are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 When testing customer relationship intangible assets for potential impairment, management considers historical customer attrition rates and projected revenues and profitability related to customers that existed at acquisition. In evaluating the amortizable life for customer relationship intangible assets, management considers historical customer attrition patterns.</w:t>
      </w:r>
    </w:p>
    <w:p>
      <w:pPr>
        <w:spacing w:after="0" w:line="48"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We evaluate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48" w:lineRule="exact"/>
        <w:rPr>
          <w:sz w:val="20"/>
          <w:szCs w:val="20"/>
          <w:color w:val="auto"/>
        </w:rPr>
      </w:pPr>
    </w:p>
    <w:p>
      <w:pPr>
        <w:jc w:val="both"/>
        <w:ind w:right="20"/>
        <w:spacing w:after="0" w:line="227"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 xml:space="preserve"> ĄɁɥǉɨ</w:t>
      </w:r>
      <w:r>
        <w:rPr>
          <w:rFonts w:ascii="PMingLiU" w:cs="PMingLiU" w:eastAsia="PMingLiU" w:hAnsi="PMingLiU"/>
          <w:sz w:val="18"/>
          <w:szCs w:val="18"/>
          <w:color w:val="auto"/>
        </w:rPr>
        <w:t/>
      </w:r>
      <w:r>
        <w:rPr>
          <w:rFonts w:ascii="Arial" w:cs="Arial" w:eastAsia="Arial" w:hAnsi="Arial"/>
          <w:sz w:val="18"/>
          <w:szCs w:val="18"/>
          <w:color w:val="auto"/>
        </w:rPr>
        <w:t xml:space="preserve"> ȃǉȢǁ </w:t>
      </w:r>
      <w:r>
        <w:rPr>
          <w:rFonts w:ascii="PMingLiU" w:cs="PMingLiU" w:eastAsia="PMingLiU" w:hAnsi="PMingLiU"/>
          <w:sz w:val="18"/>
          <w:szCs w:val="18"/>
          <w:color w:val="auto"/>
        </w:rPr>
        <w:t/>
      </w:r>
      <w:r>
        <w:rPr>
          <w:rFonts w:ascii="Arial" w:cs="Arial" w:eastAsia="Arial" w:hAnsi="Arial"/>
          <w:sz w:val="18"/>
          <w:szCs w:val="18"/>
          <w:color w:val="auto"/>
        </w:rPr>
        <w:t xml:space="preserve"> ƃ</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љјӝѝ</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 xml:space="preserve"> ƃȶǁ </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љњӝњ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 xml:space="preserve"> ȴȈȶɁɨȈɽʰ</w:t>
      </w:r>
      <w:r>
        <w:rPr>
          <w:rFonts w:ascii="PMingLiU" w:cs="PMingLiU" w:eastAsia="PMingLiU" w:hAnsi="PMingLiU"/>
          <w:sz w:val="18"/>
          <w:szCs w:val="18"/>
          <w:color w:val="auto"/>
        </w:rPr>
        <w:t/>
      </w:r>
      <w:r>
        <w:rPr>
          <w:rFonts w:ascii="Arial" w:cs="Arial" w:eastAsia="Arial" w:hAnsi="Arial"/>
          <w:sz w:val="18"/>
          <w:szCs w:val="18"/>
          <w:color w:val="auto"/>
        </w:rPr>
        <w:t xml:space="preserve"> ǉɧʍȈɽʰ</w:t>
      </w:r>
      <w:r>
        <w:rPr>
          <w:rFonts w:ascii="PMingLiU" w:cs="PMingLiU" w:eastAsia="PMingLiU" w:hAnsi="PMingLiU"/>
          <w:sz w:val="18"/>
          <w:szCs w:val="18"/>
          <w:color w:val="auto"/>
        </w:rPr>
        <w:t/>
      </w:r>
      <w:r>
        <w:rPr>
          <w:rFonts w:ascii="Arial" w:cs="Arial" w:eastAsia="Arial" w:hAnsi="Arial"/>
          <w:sz w:val="18"/>
          <w:szCs w:val="18"/>
          <w:color w:val="auto"/>
        </w:rPr>
        <w:t xml:space="preserve"> Ȉȶɽǉɨǉɰɽ</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t>
      </w:r>
      <w:r>
        <w:rPr>
          <w:rFonts w:ascii="Arial" w:cs="Arial" w:eastAsia="Arial" w:hAnsi="Arial"/>
          <w:sz w:val="18"/>
          <w:szCs w:val="18"/>
          <w:color w:val="auto"/>
        </w:rPr>
        <w:t>ȶǁȈƺɁɨ</w:t>
      </w:r>
      <w:r>
        <w:rPr>
          <w:rFonts w:ascii="PMingLiU" w:cs="PMingLiU" w:eastAsia="PMingLiU" w:hAnsi="PMingLiU"/>
          <w:sz w:val="18"/>
          <w:szCs w:val="18"/>
          <w:color w:val="auto"/>
        </w:rPr>
        <w:t/>
      </w:r>
      <w:r>
        <w:rPr>
          <w:rFonts w:ascii="Arial" w:cs="Arial" w:eastAsia="Arial" w:hAnsi="Arial"/>
          <w:sz w:val="18"/>
          <w:szCs w:val="18"/>
          <w:color w:val="auto"/>
        </w:rPr>
        <w:t xml:space="preserve"> KɧʍȈɽʰ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respectively. This equity interest provides us with the ability to exercise significant influence, but not control, over the investee. We elected to apply the fair value option as we believe this is the most reasonable method to value this equity investment. This investment is classified within Level 3 of the fair value hierarchy as valuation of the investment reflects management’s estimate of assumptions that market participants would use in pricing the equity interest. Any changes to the valuation estimates or assumptions, as described further in Note 9 of the Notes to Consolidated Financial Statements included in this Annual Report, could produce significantly different results. The fair value of our equity investment in Indicor is estimated on a quarterly basis and the change in fair value is reported as a component of “Equity investments gain, net” in our Consolidated Statements of Earnings.</w:t>
      </w:r>
    </w:p>
    <w:p>
      <w:pPr>
        <w:sectPr>
          <w:pgSz w:w="12240" w:h="15840" w:orient="portrait"/>
          <w:cols w:equalWidth="0" w:num="1">
            <w:col w:w="10380"/>
          </w:cols>
          <w:pgMar w:left="960" w:top="935" w:right="900" w:bottom="90" w:gutter="0" w:footer="0" w:header="0"/>
        </w:sectPr>
      </w:pPr>
    </w:p>
    <w:p>
      <w:pPr>
        <w:spacing w:after="0" w:line="200" w:lineRule="exact"/>
        <w:rPr>
          <w:sz w:val="20"/>
          <w:szCs w:val="20"/>
          <w:color w:val="auto"/>
        </w:rPr>
      </w:pPr>
    </w:p>
    <w:p>
      <w:pPr>
        <w:spacing w:after="0" w:line="323" w:lineRule="exact"/>
        <w:rPr>
          <w:sz w:val="20"/>
          <w:szCs w:val="20"/>
          <w:color w:val="auto"/>
        </w:rPr>
      </w:pPr>
    </w:p>
    <w:p>
      <w:pPr>
        <w:ind w:left="3500"/>
        <w:spacing w:after="0" w:line="146" w:lineRule="exact"/>
        <w:tabs>
          <w:tab w:leader="none" w:pos="1016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27</w:t>
      </w:r>
    </w:p>
    <w:p>
      <w:pPr>
        <w:sectPr>
          <w:pgSz w:w="12240" w:h="15840" w:orient="portrait"/>
          <w:cols w:equalWidth="0" w:num="1">
            <w:col w:w="10380"/>
          </w:cols>
          <w:pgMar w:left="960" w:top="935" w:right="900" w:bottom="9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RESULTS OF CONTINUING OPERATIONS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000041"/>
        </w:rPr>
        <w:t>ALL CURRENCY AMOUNTS ARE IN MILLIONS UNLESS SPECIFIED, PERCENTAGES ARE OF NET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Percentages may not sum due to rounding.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information for the years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r>
              <w:rPr>
                <w:rFonts w:ascii="Arial" w:cs="Arial" w:eastAsia="Arial" w:hAnsi="Arial"/>
                <w:sz w:val="16"/>
                <w:szCs w:val="16"/>
                <w:color w:val="auto"/>
              </w:rPr>
              <w:t>ԝ</w:t>
            </w:r>
          </w:p>
        </w:tc>
        <w:tc>
          <w:tcPr>
            <w:tcW w:w="1660" w:type="dxa"/>
            <w:vAlign w:val="bottom"/>
          </w:tcPr>
          <w:p>
            <w:pPr>
              <w:spacing w:after="0"/>
              <w:rPr>
                <w:sz w:val="20"/>
                <w:szCs w:val="20"/>
                <w:color w:val="auto"/>
              </w:rPr>
            </w:pPr>
          </w:p>
        </w:tc>
        <w:tc>
          <w:tcPr>
            <w:tcW w:w="3500" w:type="dxa"/>
            <w:vAlign w:val="bottom"/>
            <w:tcBorders>
              <w:bottom w:val="single" w:sz="8" w:color="000041"/>
            </w:tcBorders>
            <w:gridSpan w:val="3"/>
          </w:tcPr>
          <w:p>
            <w:pPr>
              <w:jc w:val="right"/>
              <w:ind w:right="800"/>
              <w:spacing w:after="0"/>
              <w:rPr>
                <w:sz w:val="20"/>
                <w:szCs w:val="20"/>
                <w:color w:val="auto"/>
              </w:rPr>
            </w:pPr>
            <w:r>
              <w:rPr>
                <w:rFonts w:ascii="Arial" w:cs="Arial" w:eastAsia="Arial" w:hAnsi="Arial"/>
                <w:sz w:val="16"/>
                <w:szCs w:val="16"/>
                <w:color w:val="auto"/>
              </w:rPr>
              <w:t>Year ended December 31,</w:t>
            </w:r>
          </w:p>
        </w:tc>
      </w:tr>
      <w:tr>
        <w:trPr>
          <w:trHeight w:val="260"/>
        </w:trPr>
        <w:tc>
          <w:tcPr>
            <w:tcW w:w="516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ԝ</w:t>
            </w:r>
          </w:p>
        </w:tc>
        <w:tc>
          <w:tcPr>
            <w:tcW w:w="2860" w:type="dxa"/>
            <w:vAlign w:val="bottom"/>
            <w:tcBorders>
              <w:bottom w:val="single" w:sz="8" w:color="000041"/>
            </w:tcBorders>
            <w:gridSpan w:val="2"/>
          </w:tcPr>
          <w:p>
            <w:pPr>
              <w:jc w:val="right"/>
              <w:ind w:right="220"/>
              <w:spacing w:after="0"/>
              <w:rPr>
                <w:sz w:val="20"/>
                <w:szCs w:val="20"/>
                <w:color w:val="auto"/>
              </w:rPr>
            </w:pPr>
            <w:r>
              <w:rPr>
                <w:rFonts w:ascii="Arial" w:cs="Arial" w:eastAsia="Arial" w:hAnsi="Arial"/>
                <w:sz w:val="16"/>
                <w:szCs w:val="16"/>
                <w:color w:val="auto"/>
              </w:rPr>
              <w:t>2025</w:t>
            </w:r>
          </w:p>
        </w:tc>
        <w:tc>
          <w:tcPr>
            <w:tcW w:w="1180" w:type="dxa"/>
            <w:vAlign w:val="bottom"/>
            <w:tcBorders>
              <w:bottom w:val="single" w:sz="8" w:color="000041"/>
            </w:tcBorders>
          </w:tcPr>
          <w:p>
            <w:pPr>
              <w:jc w:val="right"/>
              <w:ind w:right="220"/>
              <w:spacing w:after="0"/>
              <w:rPr>
                <w:sz w:val="20"/>
                <w:szCs w:val="20"/>
                <w:color w:val="auto"/>
              </w:rPr>
            </w:pPr>
            <w:r>
              <w:rPr>
                <w:rFonts w:ascii="Arial" w:cs="Arial" w:eastAsia="Arial" w:hAnsi="Arial"/>
                <w:sz w:val="16"/>
                <w:szCs w:val="16"/>
                <w:color w:val="auto"/>
              </w:rPr>
              <w:t>2024</w:t>
            </w:r>
          </w:p>
        </w:tc>
        <w:tc>
          <w:tcPr>
            <w:tcW w:w="1120" w:type="dxa"/>
            <w:vAlign w:val="bottom"/>
            <w:tcBorders>
              <w:bottom w:val="single" w:sz="8" w:color="000041"/>
            </w:tcBorders>
          </w:tcPr>
          <w:p>
            <w:pPr>
              <w:jc w:val="right"/>
              <w:ind w:right="160"/>
              <w:spacing w:after="0"/>
              <w:rPr>
                <w:sz w:val="20"/>
                <w:szCs w:val="20"/>
                <w:color w:val="auto"/>
              </w:rPr>
            </w:pPr>
            <w:r>
              <w:rPr>
                <w:rFonts w:ascii="Arial" w:cs="Arial" w:eastAsia="Arial" w:hAnsi="Arial"/>
                <w:sz w:val="16"/>
                <w:szCs w:val="16"/>
                <w:color w:val="auto"/>
              </w:rPr>
              <w:t>2023</w:t>
            </w:r>
          </w:p>
        </w:tc>
      </w:tr>
      <w:tr>
        <w:trPr>
          <w:trHeight w:val="219"/>
        </w:trPr>
        <w:tc>
          <w:tcPr>
            <w:tcW w:w="5160" w:type="dxa"/>
            <w:vAlign w:val="bottom"/>
          </w:tcPr>
          <w:p>
            <w:pPr>
              <w:spacing w:after="0"/>
              <w:rPr>
                <w:sz w:val="20"/>
                <w:szCs w:val="20"/>
                <w:color w:val="auto"/>
              </w:rPr>
            </w:pPr>
            <w:r>
              <w:rPr>
                <w:rFonts w:ascii="Arial" w:cs="Arial" w:eastAsia="Arial" w:hAnsi="Arial"/>
                <w:sz w:val="16"/>
                <w:szCs w:val="16"/>
                <w:color w:val="auto"/>
              </w:rPr>
              <w:t>Net revenues:</w:t>
            </w:r>
          </w:p>
        </w:tc>
        <w:tc>
          <w:tcPr>
            <w:tcW w:w="2860" w:type="dxa"/>
            <w:vAlign w:val="bottom"/>
            <w:gridSpan w:val="2"/>
          </w:tcPr>
          <w:p>
            <w:pPr>
              <w:jc w:val="right"/>
              <w:ind w:right="1080"/>
              <w:spacing w:after="0"/>
              <w:rPr>
                <w:sz w:val="20"/>
                <w:szCs w:val="20"/>
                <w:color w:val="auto"/>
              </w:rPr>
            </w:pPr>
            <w:r>
              <w:rPr>
                <w:rFonts w:ascii="Arial" w:cs="Arial" w:eastAsia="Arial" w:hAnsi="Arial"/>
                <w:sz w:val="16"/>
                <w:szCs w:val="16"/>
                <w:color w:val="auto"/>
              </w:rPr>
              <w:t>ԝ</w:t>
            </w:r>
          </w:p>
        </w:tc>
        <w:tc>
          <w:tcPr>
            <w:tcW w:w="1180" w:type="dxa"/>
            <w:vAlign w:val="bottom"/>
          </w:tcPr>
          <w:p>
            <w:pPr>
              <w:jc w:val="right"/>
              <w:ind w:right="940"/>
              <w:spacing w:after="0"/>
              <w:rPr>
                <w:sz w:val="20"/>
                <w:szCs w:val="20"/>
                <w:color w:val="auto"/>
              </w:rPr>
            </w:pPr>
            <w:r>
              <w:rPr>
                <w:rFonts w:ascii="Arial" w:cs="Arial" w:eastAsia="Arial" w:hAnsi="Arial"/>
                <w:sz w:val="16"/>
                <w:szCs w:val="16"/>
                <w:color w:val="auto"/>
              </w:rPr>
              <w:t>ԝ</w:t>
            </w:r>
          </w:p>
        </w:tc>
        <w:tc>
          <w:tcPr>
            <w:tcW w:w="1120" w:type="dxa"/>
            <w:vAlign w:val="bottom"/>
          </w:tcPr>
          <w:p>
            <w:pPr>
              <w:jc w:val="right"/>
              <w:ind w:right="880"/>
              <w:spacing w:after="0"/>
              <w:rPr>
                <w:sz w:val="20"/>
                <w:szCs w:val="20"/>
                <w:color w:val="auto"/>
              </w:rPr>
            </w:pPr>
            <w:r>
              <w:rPr>
                <w:rFonts w:ascii="Arial" w:cs="Arial" w:eastAsia="Arial" w:hAnsi="Arial"/>
                <w:sz w:val="16"/>
                <w:szCs w:val="16"/>
                <w:color w:val="auto"/>
              </w:rPr>
              <w:t>ԝ</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Application Software</w:t>
            </w:r>
            <w:r>
              <w:rPr>
                <w:rFonts w:ascii="Arial" w:cs="Arial" w:eastAsia="Arial" w:hAnsi="Arial"/>
                <w:sz w:val="9"/>
                <w:szCs w:val="9"/>
                <w:color w:val="auto"/>
              </w:rPr>
              <w:t>(1)</w:t>
            </w:r>
          </w:p>
        </w:tc>
        <w:tc>
          <w:tcPr>
            <w:tcW w:w="2860" w:type="dxa"/>
            <w:vAlign w:val="bottom"/>
            <w:gridSpan w:val="2"/>
          </w:tcPr>
          <w:p>
            <w:pPr>
              <w:jc w:val="right"/>
              <w:ind w:right="220"/>
              <w:spacing w:after="0"/>
              <w:rPr>
                <w:sz w:val="20"/>
                <w:szCs w:val="20"/>
                <w:color w:val="auto"/>
              </w:rPr>
            </w:pPr>
            <w:r>
              <w:rPr>
                <w:rFonts w:ascii="Arial" w:cs="Arial" w:eastAsia="Arial" w:hAnsi="Arial"/>
                <w:sz w:val="16"/>
                <w:szCs w:val="16"/>
                <w:color w:val="auto"/>
              </w:rPr>
              <w:t>$4,483.0</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$3,868.3</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$3,186.9</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Network Software</w:t>
            </w:r>
            <w:r>
              <w:rPr>
                <w:rFonts w:ascii="Arial" w:cs="Arial" w:eastAsia="Arial" w:hAnsi="Arial"/>
                <w:sz w:val="9"/>
                <w:szCs w:val="9"/>
                <w:color w:val="auto"/>
              </w:rPr>
              <w:t>(2)</w:t>
            </w:r>
          </w:p>
        </w:tc>
        <w:tc>
          <w:tcPr>
            <w:tcW w:w="2860" w:type="dxa"/>
            <w:vAlign w:val="bottom"/>
            <w:gridSpan w:val="2"/>
          </w:tcPr>
          <w:p>
            <w:pPr>
              <w:jc w:val="right"/>
              <w:ind w:right="220"/>
              <w:spacing w:after="0"/>
              <w:rPr>
                <w:sz w:val="20"/>
                <w:szCs w:val="20"/>
                <w:color w:val="auto"/>
              </w:rPr>
            </w:pPr>
            <w:r>
              <w:rPr>
                <w:rFonts w:ascii="Arial" w:cs="Arial" w:eastAsia="Arial" w:hAnsi="Arial"/>
                <w:sz w:val="16"/>
                <w:szCs w:val="16"/>
                <w:color w:val="auto"/>
              </w:rPr>
              <w:t>1,600.8</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1,475.6</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1,439.4</w:t>
            </w:r>
          </w:p>
        </w:tc>
      </w:tr>
      <w:tr>
        <w:trPr>
          <w:trHeight w:val="241"/>
        </w:trPr>
        <w:tc>
          <w:tcPr>
            <w:tcW w:w="5160" w:type="dxa"/>
            <w:vAlign w:val="bottom"/>
            <w:tcBorders>
              <w:bottom w:val="single" w:sz="8" w:color="000041"/>
            </w:tcBorders>
          </w:tcPr>
          <w:p>
            <w:pPr>
              <w:ind w:left="160"/>
              <w:spacing w:after="0"/>
              <w:rPr>
                <w:sz w:val="20"/>
                <w:szCs w:val="20"/>
                <w:color w:val="auto"/>
              </w:rPr>
            </w:pPr>
            <w:r>
              <w:rPr>
                <w:rFonts w:ascii="Arial" w:cs="Arial" w:eastAsia="Arial" w:hAnsi="Arial"/>
                <w:sz w:val="16"/>
                <w:szCs w:val="16"/>
                <w:color w:val="auto"/>
              </w:rPr>
              <w:t>Technology Enabled Products</w:t>
            </w:r>
            <w:r>
              <w:rPr>
                <w:rFonts w:ascii="Arial" w:cs="Arial" w:eastAsia="Arial" w:hAnsi="Arial"/>
                <w:sz w:val="9"/>
                <w:szCs w:val="9"/>
                <w:color w:val="auto"/>
              </w:rPr>
              <w:t>(3)</w:t>
            </w:r>
          </w:p>
        </w:tc>
        <w:tc>
          <w:tcPr>
            <w:tcW w:w="2860" w:type="dxa"/>
            <w:vAlign w:val="bottom"/>
            <w:tcBorders>
              <w:bottom w:val="single" w:sz="8" w:color="000041"/>
            </w:tcBorders>
            <w:gridSpan w:val="2"/>
          </w:tcPr>
          <w:p>
            <w:pPr>
              <w:jc w:val="right"/>
              <w:ind w:right="220"/>
              <w:spacing w:after="0"/>
              <w:rPr>
                <w:sz w:val="20"/>
                <w:szCs w:val="20"/>
                <w:color w:val="auto"/>
              </w:rPr>
            </w:pPr>
            <w:r>
              <w:rPr>
                <w:rFonts w:ascii="Arial" w:cs="Arial" w:eastAsia="Arial" w:hAnsi="Arial"/>
                <w:sz w:val="16"/>
                <w:szCs w:val="16"/>
                <w:color w:val="auto"/>
              </w:rPr>
              <w:t>1,818.7</w:t>
            </w:r>
          </w:p>
        </w:tc>
        <w:tc>
          <w:tcPr>
            <w:tcW w:w="1180" w:type="dxa"/>
            <w:vAlign w:val="bottom"/>
            <w:tcBorders>
              <w:bottom w:val="single" w:sz="8" w:color="000041"/>
            </w:tcBorders>
          </w:tcPr>
          <w:p>
            <w:pPr>
              <w:jc w:val="right"/>
              <w:ind w:right="220"/>
              <w:spacing w:after="0"/>
              <w:rPr>
                <w:sz w:val="20"/>
                <w:szCs w:val="20"/>
                <w:color w:val="auto"/>
              </w:rPr>
            </w:pPr>
            <w:r>
              <w:rPr>
                <w:rFonts w:ascii="Arial" w:cs="Arial" w:eastAsia="Arial" w:hAnsi="Arial"/>
                <w:sz w:val="16"/>
                <w:szCs w:val="16"/>
                <w:color w:val="auto"/>
              </w:rPr>
              <w:t>1,695.3</w:t>
            </w:r>
          </w:p>
        </w:tc>
        <w:tc>
          <w:tcPr>
            <w:tcW w:w="1120" w:type="dxa"/>
            <w:vAlign w:val="bottom"/>
            <w:tcBorders>
              <w:bottom w:val="single" w:sz="8" w:color="000041"/>
            </w:tcBorders>
          </w:tcPr>
          <w:p>
            <w:pPr>
              <w:jc w:val="right"/>
              <w:ind w:right="160"/>
              <w:spacing w:after="0"/>
              <w:rPr>
                <w:sz w:val="20"/>
                <w:szCs w:val="20"/>
                <w:color w:val="auto"/>
              </w:rPr>
            </w:pPr>
            <w:r>
              <w:rPr>
                <w:rFonts w:ascii="Arial" w:cs="Arial" w:eastAsia="Arial" w:hAnsi="Arial"/>
                <w:sz w:val="16"/>
                <w:szCs w:val="16"/>
                <w:color w:val="auto"/>
              </w:rPr>
              <w:t>1,551.5</w:t>
            </w:r>
          </w:p>
        </w:tc>
      </w:tr>
      <w:tr>
        <w:trPr>
          <w:trHeight w:val="268"/>
        </w:trPr>
        <w:tc>
          <w:tcPr>
            <w:tcW w:w="516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Total</w:t>
            </w:r>
          </w:p>
        </w:tc>
        <w:tc>
          <w:tcPr>
            <w:tcW w:w="2860" w:type="dxa"/>
            <w:vAlign w:val="bottom"/>
            <w:tcBorders>
              <w:bottom w:val="single" w:sz="8" w:color="000041"/>
            </w:tcBorders>
            <w:gridSpan w:val="2"/>
          </w:tcPr>
          <w:p>
            <w:pPr>
              <w:jc w:val="right"/>
              <w:ind w:right="220"/>
              <w:spacing w:after="0"/>
              <w:rPr>
                <w:sz w:val="20"/>
                <w:szCs w:val="20"/>
                <w:color w:val="auto"/>
              </w:rPr>
            </w:pPr>
            <w:r>
              <w:rPr>
                <w:rFonts w:ascii="Arial" w:cs="Arial" w:eastAsia="Arial" w:hAnsi="Arial"/>
                <w:sz w:val="16"/>
                <w:szCs w:val="16"/>
                <w:color w:val="auto"/>
              </w:rPr>
              <w:t>$7,902.5</w:t>
            </w:r>
          </w:p>
        </w:tc>
        <w:tc>
          <w:tcPr>
            <w:tcW w:w="1180" w:type="dxa"/>
            <w:vAlign w:val="bottom"/>
            <w:tcBorders>
              <w:bottom w:val="single" w:sz="8" w:color="000041"/>
            </w:tcBorders>
          </w:tcPr>
          <w:p>
            <w:pPr>
              <w:jc w:val="right"/>
              <w:ind w:right="220"/>
              <w:spacing w:after="0"/>
              <w:rPr>
                <w:sz w:val="20"/>
                <w:szCs w:val="20"/>
                <w:color w:val="auto"/>
              </w:rPr>
            </w:pPr>
            <w:r>
              <w:rPr>
                <w:rFonts w:ascii="Arial" w:cs="Arial" w:eastAsia="Arial" w:hAnsi="Arial"/>
                <w:sz w:val="16"/>
                <w:szCs w:val="16"/>
                <w:color w:val="auto"/>
              </w:rPr>
              <w:t>$7,039.2</w:t>
            </w:r>
          </w:p>
        </w:tc>
        <w:tc>
          <w:tcPr>
            <w:tcW w:w="1120" w:type="dxa"/>
            <w:vAlign w:val="bottom"/>
            <w:tcBorders>
              <w:bottom w:val="single" w:sz="8" w:color="000041"/>
            </w:tcBorders>
          </w:tcPr>
          <w:p>
            <w:pPr>
              <w:jc w:val="right"/>
              <w:ind w:right="160"/>
              <w:spacing w:after="0"/>
              <w:rPr>
                <w:sz w:val="20"/>
                <w:szCs w:val="20"/>
                <w:color w:val="auto"/>
              </w:rPr>
            </w:pPr>
            <w:r>
              <w:rPr>
                <w:rFonts w:ascii="Arial" w:cs="Arial" w:eastAsia="Arial" w:hAnsi="Arial"/>
                <w:sz w:val="16"/>
                <w:szCs w:val="16"/>
                <w:color w:val="auto"/>
              </w:rPr>
              <w:t>$6,177.8</w:t>
            </w:r>
          </w:p>
        </w:tc>
      </w:tr>
      <w:tr>
        <w:trPr>
          <w:trHeight w:val="215"/>
        </w:trPr>
        <w:tc>
          <w:tcPr>
            <w:tcW w:w="5160" w:type="dxa"/>
            <w:vAlign w:val="bottom"/>
          </w:tcPr>
          <w:p>
            <w:pPr>
              <w:spacing w:after="0"/>
              <w:rPr>
                <w:sz w:val="20"/>
                <w:szCs w:val="20"/>
                <w:color w:val="auto"/>
              </w:rPr>
            </w:pPr>
            <w:r>
              <w:rPr>
                <w:rFonts w:ascii="Arial" w:cs="Arial" w:eastAsia="Arial" w:hAnsi="Arial"/>
                <w:sz w:val="16"/>
                <w:szCs w:val="16"/>
                <w:color w:val="auto"/>
              </w:rPr>
              <w:t>Gross margin:</w:t>
            </w:r>
          </w:p>
        </w:tc>
        <w:tc>
          <w:tcPr>
            <w:tcW w:w="1660" w:type="dxa"/>
            <w:vAlign w:val="bottom"/>
          </w:tcPr>
          <w:p>
            <w:pPr>
              <w:spacing w:after="0"/>
              <w:rPr>
                <w:sz w:val="18"/>
                <w:szCs w:val="18"/>
                <w:color w:val="auto"/>
              </w:rPr>
            </w:pP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ԝ</w:t>
            </w:r>
          </w:p>
        </w:tc>
        <w:tc>
          <w:tcPr>
            <w:tcW w:w="1180" w:type="dxa"/>
            <w:vAlign w:val="bottom"/>
          </w:tcPr>
          <w:p>
            <w:pPr>
              <w:jc w:val="right"/>
              <w:ind w:right="260"/>
              <w:spacing w:after="0"/>
              <w:rPr>
                <w:sz w:val="20"/>
                <w:szCs w:val="20"/>
                <w:color w:val="auto"/>
              </w:rPr>
            </w:pPr>
            <w:r>
              <w:rPr>
                <w:rFonts w:ascii="Arial" w:cs="Arial" w:eastAsia="Arial" w:hAnsi="Arial"/>
                <w:sz w:val="16"/>
                <w:szCs w:val="16"/>
                <w:color w:val="auto"/>
              </w:rPr>
              <w:t>ԝ</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ԝ</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Application Software</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68.5%</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68.4%</w:t>
            </w:r>
          </w:p>
        </w:tc>
        <w:tc>
          <w:tcPr>
            <w:tcW w:w="112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Network Software</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84.1%</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85.0%</w:t>
            </w:r>
          </w:p>
        </w:tc>
        <w:tc>
          <w:tcPr>
            <w:tcW w:w="1120" w:type="dxa"/>
            <w:vAlign w:val="bottom"/>
          </w:tcPr>
          <w:p>
            <w:pPr>
              <w:jc w:val="right"/>
              <w:spacing w:after="0"/>
              <w:rPr>
                <w:sz w:val="20"/>
                <w:szCs w:val="20"/>
                <w:color w:val="auto"/>
              </w:rPr>
            </w:pPr>
            <w:r>
              <w:rPr>
                <w:rFonts w:ascii="Arial" w:cs="Arial" w:eastAsia="Arial" w:hAnsi="Arial"/>
                <w:sz w:val="16"/>
                <w:szCs w:val="16"/>
                <w:color w:val="auto"/>
              </w:rPr>
              <w:t>85.1%</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Technology Enabled Products</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58.1%</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57.6%</w:t>
            </w:r>
          </w:p>
        </w:tc>
        <w:tc>
          <w:tcPr>
            <w:tcW w:w="112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33"/>
        </w:trPr>
        <w:tc>
          <w:tcPr>
            <w:tcW w:w="5160" w:type="dxa"/>
            <w:vAlign w:val="bottom"/>
          </w:tcPr>
          <w:p>
            <w:pPr>
              <w:spacing w:after="0"/>
              <w:rPr>
                <w:sz w:val="20"/>
                <w:szCs w:val="20"/>
                <w:color w:val="auto"/>
              </w:rPr>
            </w:pPr>
            <w:r>
              <w:rPr>
                <w:rFonts w:ascii="Arial" w:cs="Arial" w:eastAsia="Arial" w:hAnsi="Arial"/>
                <w:sz w:val="16"/>
                <w:szCs w:val="16"/>
                <w:color w:val="auto"/>
              </w:rPr>
              <w:t>Total</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69.2%</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69.3%</w:t>
            </w:r>
          </w:p>
        </w:tc>
        <w:tc>
          <w:tcPr>
            <w:tcW w:w="112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47"/>
        </w:trPr>
        <w:tc>
          <w:tcPr>
            <w:tcW w:w="516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Application Software</w:t>
            </w:r>
          </w:p>
        </w:tc>
        <w:tc>
          <w:tcPr>
            <w:tcW w:w="2860" w:type="dxa"/>
            <w:vAlign w:val="bottom"/>
            <w:gridSpan w:val="2"/>
          </w:tcPr>
          <w:p>
            <w:pPr>
              <w:jc w:val="right"/>
              <w:ind w:right="20"/>
              <w:spacing w:after="0"/>
              <w:rPr>
                <w:sz w:val="20"/>
                <w:szCs w:val="20"/>
                <w:color w:val="auto"/>
              </w:rPr>
            </w:pPr>
            <w:r>
              <w:rPr>
                <w:rFonts w:ascii="Arial" w:cs="Arial" w:eastAsia="Arial" w:hAnsi="Arial"/>
                <w:sz w:val="16"/>
                <w:szCs w:val="16"/>
                <w:color w:val="auto"/>
              </w:rPr>
              <w:t>(41.6)%</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(42.0)%</w:t>
            </w:r>
          </w:p>
        </w:tc>
        <w:tc>
          <w:tcPr>
            <w:tcW w:w="112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Network Software</w:t>
            </w:r>
          </w:p>
        </w:tc>
        <w:tc>
          <w:tcPr>
            <w:tcW w:w="2860" w:type="dxa"/>
            <w:vAlign w:val="bottom"/>
            <w:gridSpan w:val="2"/>
          </w:tcPr>
          <w:p>
            <w:pPr>
              <w:jc w:val="right"/>
              <w:ind w:right="20"/>
              <w:spacing w:after="0"/>
              <w:rPr>
                <w:sz w:val="20"/>
                <w:szCs w:val="20"/>
                <w:color w:val="auto"/>
              </w:rPr>
            </w:pPr>
            <w:r>
              <w:rPr>
                <w:rFonts w:ascii="Arial" w:cs="Arial" w:eastAsia="Arial" w:hAnsi="Arial"/>
                <w:sz w:val="16"/>
                <w:szCs w:val="16"/>
                <w:color w:val="auto"/>
              </w:rPr>
              <w:t>(40.6)%</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(39.9)%</w:t>
            </w:r>
          </w:p>
        </w:tc>
        <w:tc>
          <w:tcPr>
            <w:tcW w:w="11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Technology Enabled Products</w:t>
            </w:r>
          </w:p>
        </w:tc>
        <w:tc>
          <w:tcPr>
            <w:tcW w:w="2860" w:type="dxa"/>
            <w:vAlign w:val="bottom"/>
            <w:gridSpan w:val="2"/>
          </w:tcPr>
          <w:p>
            <w:pPr>
              <w:jc w:val="right"/>
              <w:ind w:right="20"/>
              <w:spacing w:after="0"/>
              <w:rPr>
                <w:sz w:val="20"/>
                <w:szCs w:val="20"/>
                <w:color w:val="auto"/>
              </w:rPr>
            </w:pPr>
            <w:r>
              <w:rPr>
                <w:rFonts w:ascii="Arial" w:cs="Arial" w:eastAsia="Arial" w:hAnsi="Arial"/>
                <w:sz w:val="16"/>
                <w:szCs w:val="16"/>
                <w:color w:val="auto"/>
              </w:rPr>
              <w:t>(23.6)%</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(23.7)%</w:t>
            </w:r>
          </w:p>
        </w:tc>
        <w:tc>
          <w:tcPr>
            <w:tcW w:w="11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33"/>
        </w:trPr>
        <w:tc>
          <w:tcPr>
            <w:tcW w:w="5160" w:type="dxa"/>
            <w:vAlign w:val="bottom"/>
          </w:tcPr>
          <w:p>
            <w:pPr>
              <w:spacing w:after="0"/>
              <w:rPr>
                <w:sz w:val="20"/>
                <w:szCs w:val="20"/>
                <w:color w:val="auto"/>
              </w:rPr>
            </w:pPr>
            <w:r>
              <w:rPr>
                <w:rFonts w:ascii="Arial" w:cs="Arial" w:eastAsia="Arial" w:hAnsi="Arial"/>
                <w:sz w:val="16"/>
                <w:szCs w:val="16"/>
                <w:color w:val="auto"/>
              </w:rPr>
              <w:t>Total</w:t>
            </w:r>
          </w:p>
        </w:tc>
        <w:tc>
          <w:tcPr>
            <w:tcW w:w="2860" w:type="dxa"/>
            <w:vAlign w:val="bottom"/>
            <w:gridSpan w:val="2"/>
          </w:tcPr>
          <w:p>
            <w:pPr>
              <w:jc w:val="right"/>
              <w:ind w:right="20"/>
              <w:spacing w:after="0"/>
              <w:rPr>
                <w:sz w:val="20"/>
                <w:szCs w:val="20"/>
                <w:color w:val="auto"/>
              </w:rPr>
            </w:pPr>
            <w:r>
              <w:rPr>
                <w:rFonts w:ascii="Arial" w:cs="Arial" w:eastAsia="Arial" w:hAnsi="Arial"/>
                <w:sz w:val="16"/>
                <w:szCs w:val="16"/>
                <w:color w:val="auto"/>
              </w:rPr>
              <w:t>(37.3)%</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(37.1)%</w:t>
            </w:r>
          </w:p>
        </w:tc>
        <w:tc>
          <w:tcPr>
            <w:tcW w:w="112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47"/>
        </w:trPr>
        <w:tc>
          <w:tcPr>
            <w:tcW w:w="5160" w:type="dxa"/>
            <w:vAlign w:val="bottom"/>
          </w:tcPr>
          <w:p>
            <w:pPr>
              <w:spacing w:after="0"/>
              <w:rPr>
                <w:sz w:val="20"/>
                <w:szCs w:val="20"/>
                <w:color w:val="auto"/>
              </w:rPr>
            </w:pPr>
            <w:r>
              <w:rPr>
                <w:rFonts w:ascii="Arial" w:cs="Arial" w:eastAsia="Arial" w:hAnsi="Arial"/>
                <w:sz w:val="16"/>
                <w:szCs w:val="16"/>
                <w:color w:val="auto"/>
              </w:rPr>
              <w:t>Segment operating margin:</w:t>
            </w:r>
          </w:p>
        </w:tc>
        <w:tc>
          <w:tcPr>
            <w:tcW w:w="1660" w:type="dxa"/>
            <w:vAlign w:val="bottom"/>
          </w:tcPr>
          <w:p>
            <w:pPr>
              <w:spacing w:after="0"/>
              <w:rPr>
                <w:sz w:val="21"/>
                <w:szCs w:val="21"/>
                <w:color w:val="auto"/>
              </w:rPr>
            </w:pP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ԝ</w:t>
            </w:r>
          </w:p>
        </w:tc>
        <w:tc>
          <w:tcPr>
            <w:tcW w:w="1180" w:type="dxa"/>
            <w:vAlign w:val="bottom"/>
          </w:tcPr>
          <w:p>
            <w:pPr>
              <w:jc w:val="right"/>
              <w:ind w:right="260"/>
              <w:spacing w:after="0"/>
              <w:rPr>
                <w:sz w:val="20"/>
                <w:szCs w:val="20"/>
                <w:color w:val="auto"/>
              </w:rPr>
            </w:pPr>
            <w:r>
              <w:rPr>
                <w:rFonts w:ascii="Arial" w:cs="Arial" w:eastAsia="Arial" w:hAnsi="Arial"/>
                <w:sz w:val="16"/>
                <w:szCs w:val="16"/>
                <w:color w:val="auto"/>
              </w:rPr>
              <w:t>ԝ</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ԝ</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Application Software</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26.8%</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26.5%</w:t>
            </w:r>
          </w:p>
        </w:tc>
        <w:tc>
          <w:tcPr>
            <w:tcW w:w="112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Network Software</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43.5%</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45.2%</w:t>
            </w:r>
          </w:p>
        </w:tc>
        <w:tc>
          <w:tcPr>
            <w:tcW w:w="112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00"/>
        </w:trPr>
        <w:tc>
          <w:tcPr>
            <w:tcW w:w="5160" w:type="dxa"/>
            <w:vAlign w:val="bottom"/>
          </w:tcPr>
          <w:p>
            <w:pPr>
              <w:ind w:left="160"/>
              <w:spacing w:after="0"/>
              <w:rPr>
                <w:sz w:val="20"/>
                <w:szCs w:val="20"/>
                <w:color w:val="auto"/>
              </w:rPr>
            </w:pPr>
            <w:r>
              <w:rPr>
                <w:rFonts w:ascii="Arial" w:cs="Arial" w:eastAsia="Arial" w:hAnsi="Arial"/>
                <w:sz w:val="16"/>
                <w:szCs w:val="16"/>
                <w:color w:val="auto"/>
              </w:rPr>
              <w:t>Technology Enabled Products</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34.5%</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33.9%</w:t>
            </w:r>
          </w:p>
        </w:tc>
        <w:tc>
          <w:tcPr>
            <w:tcW w:w="112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33"/>
        </w:trPr>
        <w:tc>
          <w:tcPr>
            <w:tcW w:w="5160" w:type="dxa"/>
            <w:vAlign w:val="bottom"/>
          </w:tcPr>
          <w:p>
            <w:pPr>
              <w:spacing w:after="0"/>
              <w:rPr>
                <w:sz w:val="20"/>
                <w:szCs w:val="20"/>
                <w:color w:val="auto"/>
              </w:rPr>
            </w:pPr>
            <w:r>
              <w:rPr>
                <w:rFonts w:ascii="Arial" w:cs="Arial" w:eastAsia="Arial" w:hAnsi="Arial"/>
                <w:sz w:val="16"/>
                <w:szCs w:val="16"/>
                <w:color w:val="auto"/>
              </w:rPr>
              <w:t>Total</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32.0%</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32.2%</w:t>
            </w:r>
          </w:p>
        </w:tc>
        <w:tc>
          <w:tcPr>
            <w:tcW w:w="112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289"/>
        </w:trPr>
        <w:tc>
          <w:tcPr>
            <w:tcW w:w="516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Corporate administrative expenses</w:t>
            </w:r>
            <w:r>
              <w:rPr>
                <w:rFonts w:ascii="Arial" w:cs="Arial" w:eastAsia="Arial" w:hAnsi="Arial"/>
                <w:sz w:val="9"/>
                <w:szCs w:val="9"/>
                <w:color w:val="auto"/>
              </w:rPr>
              <w:t>(4)</w:t>
            </w:r>
          </w:p>
        </w:tc>
        <w:tc>
          <w:tcPr>
            <w:tcW w:w="2860" w:type="dxa"/>
            <w:vAlign w:val="bottom"/>
            <w:tcBorders>
              <w:bottom w:val="single" w:sz="8" w:color="000041"/>
            </w:tcBorders>
            <w:gridSpan w:val="2"/>
          </w:tcPr>
          <w:p>
            <w:pPr>
              <w:jc w:val="right"/>
              <w:ind w:right="20"/>
              <w:spacing w:after="0"/>
              <w:rPr>
                <w:sz w:val="20"/>
                <w:szCs w:val="20"/>
                <w:color w:val="auto"/>
              </w:rPr>
            </w:pPr>
            <w:r>
              <w:rPr>
                <w:rFonts w:ascii="Arial" w:cs="Arial" w:eastAsia="Arial" w:hAnsi="Arial"/>
                <w:sz w:val="16"/>
                <w:szCs w:val="16"/>
                <w:color w:val="auto"/>
              </w:rPr>
              <w:t>(3.7)%</w:t>
            </w:r>
          </w:p>
        </w:tc>
        <w:tc>
          <w:tcPr>
            <w:tcW w:w="1180" w:type="dxa"/>
            <w:vAlign w:val="bottom"/>
            <w:tcBorders>
              <w:bottom w:val="single" w:sz="8" w:color="000041"/>
            </w:tcBorders>
          </w:tcPr>
          <w:p>
            <w:pPr>
              <w:jc w:val="right"/>
              <w:ind w:right="20"/>
              <w:spacing w:after="0"/>
              <w:rPr>
                <w:sz w:val="20"/>
                <w:szCs w:val="20"/>
                <w:color w:val="auto"/>
              </w:rPr>
            </w:pPr>
            <w:r>
              <w:rPr>
                <w:rFonts w:ascii="Arial" w:cs="Arial" w:eastAsia="Arial" w:hAnsi="Arial"/>
                <w:sz w:val="16"/>
                <w:szCs w:val="16"/>
                <w:color w:val="auto"/>
              </w:rPr>
              <w:t>(3.8)%</w:t>
            </w:r>
          </w:p>
        </w:tc>
        <w:tc>
          <w:tcPr>
            <w:tcW w:w="112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5160" w:type="dxa"/>
            <w:vAlign w:val="bottom"/>
          </w:tcPr>
          <w:p>
            <w:pPr>
              <w:spacing w:after="0"/>
              <w:rPr>
                <w:sz w:val="20"/>
                <w:szCs w:val="20"/>
                <w:color w:val="auto"/>
              </w:rPr>
            </w:pPr>
            <w:r>
              <w:rPr>
                <w:rFonts w:ascii="Arial" w:cs="Arial" w:eastAsia="Arial" w:hAnsi="Arial"/>
                <w:sz w:val="16"/>
                <w:szCs w:val="16"/>
                <w:color w:val="auto"/>
              </w:rPr>
              <w:t>Income from operations</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28.3%</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28.4%</w:t>
            </w:r>
          </w:p>
        </w:tc>
        <w:tc>
          <w:tcPr>
            <w:tcW w:w="11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00"/>
        </w:trPr>
        <w:tc>
          <w:tcPr>
            <w:tcW w:w="5160" w:type="dxa"/>
            <w:vAlign w:val="bottom"/>
          </w:tcPr>
          <w:p>
            <w:pPr>
              <w:spacing w:after="0"/>
              <w:rPr>
                <w:sz w:val="20"/>
                <w:szCs w:val="20"/>
                <w:color w:val="auto"/>
              </w:rPr>
            </w:pPr>
            <w:r>
              <w:rPr>
                <w:rFonts w:ascii="Arial" w:cs="Arial" w:eastAsia="Arial" w:hAnsi="Arial"/>
                <w:sz w:val="16"/>
                <w:szCs w:val="16"/>
                <w:color w:val="auto"/>
              </w:rPr>
              <w:t>Interest expense, net</w:t>
            </w:r>
          </w:p>
        </w:tc>
        <w:tc>
          <w:tcPr>
            <w:tcW w:w="286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0"/>
        </w:trPr>
        <w:tc>
          <w:tcPr>
            <w:tcW w:w="5160" w:type="dxa"/>
            <w:vAlign w:val="bottom"/>
          </w:tcPr>
          <w:p>
            <w:pPr>
              <w:spacing w:after="0"/>
              <w:rPr>
                <w:sz w:val="20"/>
                <w:szCs w:val="20"/>
                <w:color w:val="auto"/>
              </w:rPr>
            </w:pPr>
            <w:r>
              <w:rPr>
                <w:rFonts w:ascii="Arial" w:cs="Arial" w:eastAsia="Arial" w:hAnsi="Arial"/>
                <w:sz w:val="16"/>
                <w:szCs w:val="16"/>
                <w:color w:val="auto"/>
              </w:rPr>
              <w:t>Equity investments gain, net</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1"/>
        </w:trPr>
        <w:tc>
          <w:tcPr>
            <w:tcW w:w="516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Other income (expense), net</w:t>
            </w:r>
          </w:p>
        </w:tc>
        <w:tc>
          <w:tcPr>
            <w:tcW w:w="1660" w:type="dxa"/>
            <w:vAlign w:val="bottom"/>
            <w:tcBorders>
              <w:bottom w:val="single" w:sz="8" w:color="000041"/>
            </w:tcBorders>
          </w:tcPr>
          <w:p>
            <w:pPr>
              <w:spacing w:after="0"/>
              <w:rPr>
                <w:sz w:val="20"/>
                <w:szCs w:val="20"/>
                <w:color w:val="auto"/>
              </w:rPr>
            </w:pPr>
          </w:p>
        </w:tc>
        <w:tc>
          <w:tcPr>
            <w:tcW w:w="120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0041"/>
            </w:tcBorders>
          </w:tcPr>
          <w:p>
            <w:pPr>
              <w:jc w:val="right"/>
              <w:ind w:right="20"/>
              <w:spacing w:after="0"/>
              <w:rPr>
                <w:sz w:val="20"/>
                <w:szCs w:val="20"/>
                <w:color w:val="auto"/>
              </w:rPr>
            </w:pPr>
            <w:r>
              <w:rPr>
                <w:rFonts w:ascii="Arial" w:cs="Arial" w:eastAsia="Arial" w:hAnsi="Arial"/>
                <w:sz w:val="16"/>
                <w:szCs w:val="16"/>
                <w:color w:val="auto"/>
              </w:rPr>
              <w:t>(0.1)%</w:t>
            </w:r>
          </w:p>
        </w:tc>
        <w:tc>
          <w:tcPr>
            <w:tcW w:w="112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160" w:type="dxa"/>
            <w:vAlign w:val="bottom"/>
          </w:tcPr>
          <w:p>
            <w:pPr>
              <w:spacing w:after="0"/>
              <w:rPr>
                <w:sz w:val="20"/>
                <w:szCs w:val="20"/>
                <w:color w:val="auto"/>
              </w:rPr>
            </w:pPr>
            <w:r>
              <w:rPr>
                <w:rFonts w:ascii="Arial" w:cs="Arial" w:eastAsia="Arial" w:hAnsi="Arial"/>
                <w:sz w:val="16"/>
                <w:szCs w:val="16"/>
                <w:color w:val="auto"/>
              </w:rPr>
              <w:t>Earnings before income taxes</w:t>
            </w:r>
          </w:p>
        </w:tc>
        <w:tc>
          <w:tcPr>
            <w:tcW w:w="2860" w:type="dxa"/>
            <w:vAlign w:val="bottom"/>
            <w:gridSpan w:val="2"/>
          </w:tcPr>
          <w:p>
            <w:pPr>
              <w:jc w:val="right"/>
              <w:ind w:right="60"/>
              <w:spacing w:after="0"/>
              <w:rPr>
                <w:sz w:val="20"/>
                <w:szCs w:val="20"/>
                <w:color w:val="auto"/>
              </w:rPr>
            </w:pPr>
            <w:r>
              <w:rPr>
                <w:rFonts w:ascii="Arial" w:cs="Arial" w:eastAsia="Arial" w:hAnsi="Arial"/>
                <w:sz w:val="16"/>
                <w:szCs w:val="16"/>
                <w:color w:val="auto"/>
              </w:rPr>
              <w:t>24.5%</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27.9%</w:t>
            </w:r>
          </w:p>
        </w:tc>
        <w:tc>
          <w:tcPr>
            <w:tcW w:w="11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41"/>
        </w:trPr>
        <w:tc>
          <w:tcPr>
            <w:tcW w:w="516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Income taxes</w:t>
            </w:r>
          </w:p>
        </w:tc>
        <w:tc>
          <w:tcPr>
            <w:tcW w:w="2860" w:type="dxa"/>
            <w:vAlign w:val="bottom"/>
            <w:tcBorders>
              <w:bottom w:val="single" w:sz="8" w:color="000041"/>
            </w:tcBorders>
            <w:gridSpan w:val="2"/>
          </w:tcPr>
          <w:p>
            <w:pPr>
              <w:jc w:val="right"/>
              <w:ind w:right="20"/>
              <w:spacing w:after="0"/>
              <w:rPr>
                <w:sz w:val="20"/>
                <w:szCs w:val="20"/>
                <w:color w:val="auto"/>
              </w:rPr>
            </w:pPr>
            <w:r>
              <w:rPr>
                <w:rFonts w:ascii="Arial" w:cs="Arial" w:eastAsia="Arial" w:hAnsi="Arial"/>
                <w:sz w:val="16"/>
                <w:szCs w:val="16"/>
                <w:color w:val="auto"/>
              </w:rPr>
              <w:t>(5.1)%</w:t>
            </w:r>
          </w:p>
        </w:tc>
        <w:tc>
          <w:tcPr>
            <w:tcW w:w="1180" w:type="dxa"/>
            <w:vAlign w:val="bottom"/>
            <w:tcBorders>
              <w:bottom w:val="single" w:sz="8" w:color="000041"/>
            </w:tcBorders>
          </w:tcPr>
          <w:p>
            <w:pPr>
              <w:jc w:val="right"/>
              <w:ind w:right="20"/>
              <w:spacing w:after="0"/>
              <w:rPr>
                <w:sz w:val="20"/>
                <w:szCs w:val="20"/>
                <w:color w:val="auto"/>
              </w:rPr>
            </w:pPr>
            <w:r>
              <w:rPr>
                <w:rFonts w:ascii="Arial" w:cs="Arial" w:eastAsia="Arial" w:hAnsi="Arial"/>
                <w:sz w:val="16"/>
                <w:szCs w:val="16"/>
                <w:color w:val="auto"/>
              </w:rPr>
              <w:t>(5.9)%</w:t>
            </w:r>
          </w:p>
        </w:tc>
        <w:tc>
          <w:tcPr>
            <w:tcW w:w="112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(6.1)%</w:t>
            </w:r>
          </w:p>
        </w:tc>
      </w:tr>
      <w:tr>
        <w:trPr>
          <w:trHeight w:val="264"/>
        </w:trPr>
        <w:tc>
          <w:tcPr>
            <w:tcW w:w="516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Net earnings from continuing operations</w:t>
            </w:r>
          </w:p>
        </w:tc>
        <w:tc>
          <w:tcPr>
            <w:tcW w:w="2860" w:type="dxa"/>
            <w:vAlign w:val="bottom"/>
            <w:tcBorders>
              <w:bottom w:val="single" w:sz="8" w:color="000041"/>
            </w:tcBorders>
            <w:gridSpan w:val="2"/>
          </w:tcPr>
          <w:p>
            <w:pPr>
              <w:jc w:val="right"/>
              <w:ind w:right="60"/>
              <w:spacing w:after="0"/>
              <w:rPr>
                <w:sz w:val="20"/>
                <w:szCs w:val="20"/>
                <w:color w:val="auto"/>
              </w:rPr>
            </w:pPr>
            <w:r>
              <w:rPr>
                <w:rFonts w:ascii="Arial" w:cs="Arial" w:eastAsia="Arial" w:hAnsi="Arial"/>
                <w:sz w:val="16"/>
                <w:szCs w:val="16"/>
                <w:color w:val="auto"/>
              </w:rPr>
              <w:t>19.4%</w:t>
            </w:r>
          </w:p>
        </w:tc>
        <w:tc>
          <w:tcPr>
            <w:tcW w:w="118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22.0%</w:t>
            </w:r>
          </w:p>
        </w:tc>
        <w:tc>
          <w:tcPr>
            <w:tcW w:w="112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22.2%</w:t>
            </w:r>
          </w:p>
        </w:tc>
      </w:tr>
    </w:tbl>
    <w:p>
      <w:pPr>
        <w:spacing w:after="0" w:line="116" w:lineRule="exact"/>
        <w:rPr>
          <w:sz w:val="20"/>
          <w:szCs w:val="20"/>
          <w:color w:val="auto"/>
        </w:rPr>
      </w:pPr>
    </w:p>
    <w:p>
      <w:pPr>
        <w:jc w:val="both"/>
        <w:ind w:left="240" w:right="60" w:hanging="240"/>
        <w:spacing w:after="0" w:line="289" w:lineRule="auto"/>
        <w:tabs>
          <w:tab w:leader="none" w:pos="240" w:val="left"/>
        </w:tabs>
        <w:numPr>
          <w:ilvl w:val="0"/>
          <w:numId w:val="8"/>
        </w:numPr>
        <w:rPr>
          <w:rFonts w:ascii="Arial" w:cs="Arial" w:eastAsia="Arial" w:hAnsi="Arial"/>
          <w:sz w:val="8"/>
          <w:szCs w:val="8"/>
          <w:color w:val="auto"/>
        </w:rPr>
      </w:pPr>
      <w:r>
        <w:rPr>
          <w:rFonts w:ascii="Arial" w:cs="Arial" w:eastAsia="Arial" w:hAnsi="Arial"/>
          <w:sz w:val="14"/>
          <w:szCs w:val="14"/>
          <w:color w:val="auto"/>
        </w:rPr>
        <w:t>Includes results from the acquisitions of Promium, L.L.C. from May 2, 2023, Syntellis from August 7, 2023, Replicon Inc. from August 21, 2023, ProPricer from December 26, 2023, Procare from February 26, 2024, Transact from August 20, 2024, Surefyre, Inc. from November 4, 2024, CentralReach from April 23, 2025, Orchard Software from July 28, 2025, HerculesAI from August 8, 2025, Spectrum AI, Inc. from August 15, 2025, and Valuation Pricing Director Limited from October 23, 2025.</w:t>
      </w:r>
    </w:p>
    <w:p>
      <w:pPr>
        <w:spacing w:after="0" w:line="34" w:lineRule="exact"/>
        <w:rPr>
          <w:rFonts w:ascii="Arial" w:cs="Arial" w:eastAsia="Arial" w:hAnsi="Arial"/>
          <w:sz w:val="8"/>
          <w:szCs w:val="8"/>
          <w:color w:val="auto"/>
        </w:rPr>
      </w:pPr>
    </w:p>
    <w:p>
      <w:pPr>
        <w:ind w:left="240" w:right="60" w:hanging="240"/>
        <w:spacing w:after="0" w:line="331" w:lineRule="auto"/>
        <w:tabs>
          <w:tab w:leader="none" w:pos="240" w:val="left"/>
        </w:tabs>
        <w:numPr>
          <w:ilvl w:val="0"/>
          <w:numId w:val="8"/>
        </w:numPr>
        <w:rPr>
          <w:rFonts w:ascii="Arial" w:cs="Arial" w:eastAsia="Arial" w:hAnsi="Arial"/>
          <w:sz w:val="8"/>
          <w:szCs w:val="8"/>
          <w:color w:val="auto"/>
        </w:rPr>
      </w:pPr>
      <w:r>
        <w:rPr>
          <w:rFonts w:ascii="Arial" w:cs="Arial" w:eastAsia="Arial" w:hAnsi="Arial"/>
          <w:sz w:val="14"/>
          <w:szCs w:val="14"/>
          <w:color w:val="auto"/>
        </w:rPr>
        <w:t>Includes results from the acquisitions of Trucker Tools, LLC from December 17, 2024, Outgo from May 15, 2025, Subsplash from July 25, 2025, and Convoy from July 30, 2025.</w:t>
      </w:r>
    </w:p>
    <w:p>
      <w:pPr>
        <w:spacing w:after="0" w:line="5" w:lineRule="exact"/>
        <w:rPr>
          <w:rFonts w:ascii="Arial" w:cs="Arial" w:eastAsia="Arial" w:hAnsi="Arial"/>
          <w:sz w:val="8"/>
          <w:szCs w:val="8"/>
          <w:color w:val="auto"/>
        </w:rPr>
      </w:pPr>
    </w:p>
    <w:p>
      <w:pPr>
        <w:ind w:left="240" w:hanging="240"/>
        <w:spacing w:after="0"/>
        <w:tabs>
          <w:tab w:leader="none" w:pos="240" w:val="left"/>
        </w:tabs>
        <w:numPr>
          <w:ilvl w:val="0"/>
          <w:numId w:val="8"/>
        </w:numPr>
        <w:rPr>
          <w:rFonts w:ascii="Arial" w:cs="Arial" w:eastAsia="Arial" w:hAnsi="Arial"/>
          <w:sz w:val="8"/>
          <w:szCs w:val="8"/>
          <w:color w:val="auto"/>
        </w:rPr>
      </w:pPr>
      <w:r>
        <w:rPr>
          <w:rFonts w:ascii="Arial" w:cs="Arial" w:eastAsia="Arial" w:hAnsi="Arial"/>
          <w:sz w:val="14"/>
          <w:szCs w:val="14"/>
          <w:color w:val="auto"/>
        </w:rPr>
        <w:t>Includes results from the acquisition of Muni-Link from February 19, 2025.</w:t>
      </w:r>
    </w:p>
    <w:p>
      <w:pPr>
        <w:spacing w:after="0" w:line="129" w:lineRule="exact"/>
        <w:rPr>
          <w:rFonts w:ascii="Arial" w:cs="Arial" w:eastAsia="Arial" w:hAnsi="Arial"/>
          <w:sz w:val="8"/>
          <w:szCs w:val="8"/>
          <w:color w:val="auto"/>
        </w:rPr>
      </w:pPr>
    </w:p>
    <w:p>
      <w:pPr>
        <w:ind w:left="240" w:hanging="240"/>
        <w:spacing w:after="0"/>
        <w:tabs>
          <w:tab w:leader="none" w:pos="240" w:val="left"/>
        </w:tabs>
        <w:numPr>
          <w:ilvl w:val="0"/>
          <w:numId w:val="8"/>
        </w:numPr>
        <w:rPr>
          <w:rFonts w:ascii="Arial" w:cs="Arial" w:eastAsia="Arial" w:hAnsi="Arial"/>
          <w:sz w:val="8"/>
          <w:szCs w:val="8"/>
          <w:color w:val="auto"/>
        </w:rPr>
      </w:pPr>
      <w:r>
        <w:rPr>
          <w:rFonts w:ascii="Arial" w:cs="Arial" w:eastAsia="Arial" w:hAnsi="Arial"/>
          <w:sz w:val="14"/>
          <w:szCs w:val="14"/>
          <w:color w:val="auto"/>
        </w:rPr>
        <w:t>Includes unallocated corporate general and administrative expenses and enterprise-wide stock-based compensation.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000041"/>
        </w:rPr>
        <w:t>YEAR ENDED DECEMBER 31, 2025 COMPARED TO THE YEAR ENDED DECEMBER 31, 2024</w:t>
      </w:r>
    </w:p>
    <w:p>
      <w:pPr>
        <w:spacing w:after="0" w:line="129" w:lineRule="exact"/>
        <w:rPr>
          <w:sz w:val="20"/>
          <w:szCs w:val="20"/>
          <w:color w:val="auto"/>
        </w:rPr>
      </w:pPr>
    </w:p>
    <w:p>
      <w:pPr>
        <w:jc w:val="both"/>
        <w:spacing w:after="0" w:line="250" w:lineRule="exact"/>
        <w:rPr>
          <w:sz w:val="20"/>
          <w:szCs w:val="20"/>
          <w:color w:val="auto"/>
        </w:rPr>
      </w:pPr>
      <w:r>
        <w:rPr>
          <w:rFonts w:ascii="Arial" w:cs="Arial" w:eastAsia="Arial" w:hAnsi="Arial"/>
          <w:sz w:val="18"/>
          <w:szCs w:val="18"/>
          <w:color w:val="auto"/>
        </w:rPr>
        <w:t>Çǉɽ</w:t>
      </w:r>
      <w:r>
        <w:rPr>
          <w:rFonts w:ascii="PMingLiU" w:cs="PMingLiU" w:eastAsia="PMingLiU" w:hAnsi="PMingLiU"/>
          <w:sz w:val="18"/>
          <w:szCs w:val="18"/>
          <w:color w:val="auto"/>
        </w:rPr>
        <w:t/>
      </w:r>
      <w:r>
        <w:rPr>
          <w:rFonts w:ascii="Arial" w:cs="Arial" w:eastAsia="Arial" w:hAnsi="Arial"/>
          <w:sz w:val="18"/>
          <w:szCs w:val="18"/>
          <w:color w:val="auto"/>
        </w:rPr>
        <w:t xml:space="preserve"> ɨǉʤǉȶʍǉɰ</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ʰǉƃɨ</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ʥǉɨǉ</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ќӗўѕїӝњ</w:t>
      </w:r>
      <w:r>
        <w:rPr>
          <w:rFonts w:ascii="PMingLiU" w:cs="PMingLiU" w:eastAsia="PMingLiU" w:hAnsi="PMingLiU"/>
          <w:sz w:val="18"/>
          <w:szCs w:val="18"/>
          <w:color w:val="auto"/>
        </w:rPr>
        <w:t/>
      </w:r>
      <w:r>
        <w:rPr>
          <w:rFonts w:ascii="Arial" w:cs="Arial" w:eastAsia="Arial" w:hAnsi="Arial"/>
          <w:sz w:val="18"/>
          <w:szCs w:val="18"/>
          <w:color w:val="auto"/>
        </w:rPr>
        <w:t xml:space="preserve"> ƃɰ</w:t>
      </w:r>
      <w:r>
        <w:rPr>
          <w:rFonts w:ascii="PMingLiU" w:cs="PMingLiU" w:eastAsia="PMingLiU" w:hAnsi="PMingLiU"/>
          <w:sz w:val="18"/>
          <w:szCs w:val="18"/>
          <w:color w:val="auto"/>
        </w:rPr>
        <w:t/>
      </w:r>
      <w:r>
        <w:rPr>
          <w:rFonts w:ascii="Arial" w:cs="Arial" w:eastAsia="Arial" w:hAnsi="Arial"/>
          <w:sz w:val="18"/>
          <w:szCs w:val="18"/>
          <w:color w:val="auto"/>
        </w:rPr>
        <w:t xml:space="preserve"> ƺɁȴɥƃɨǉǁ</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ќӗѕјўӝї</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ʰǉƃɨ</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w:t>
      </w:r>
      <w:r>
        <w:rPr>
          <w:rFonts w:ascii="PMingLiU" w:cs="PMingLiU" w:eastAsia="PMingLiU" w:hAnsi="PMingLiU"/>
          <w:sz w:val="18"/>
          <w:szCs w:val="18"/>
          <w:color w:val="auto"/>
        </w:rPr>
        <w:t/>
      </w:r>
      <w:r>
        <w:rPr>
          <w:rFonts w:ascii="Arial" w:cs="Arial" w:eastAsia="Arial" w:hAnsi="Arial"/>
          <w:sz w:val="18"/>
          <w:szCs w:val="18"/>
          <w:color w:val="auto"/>
        </w:rPr>
        <w:t>Ȉȶƺɨǉƃɰǉ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іїӝј</w:t>
      </w:r>
      <w:r>
        <w:rPr>
          <w:rFonts w:ascii="Arial" w:cs="Arial" w:eastAsia="Arial" w:hAnsi="Arial"/>
          <w:sz w:val="18"/>
          <w:szCs w:val="18"/>
          <w:color w:val="auto"/>
        </w:rPr>
        <w:t>Ր</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ƺɁȴɥɁȶǉȶɽɰ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ɨǉʤǉȶʍǉ</w:t>
      </w:r>
      <w:r>
        <w:rPr>
          <w:rFonts w:ascii="PMingLiU" w:cs="PMingLiU" w:eastAsia="PMingLiU" w:hAnsi="PMingLiU"/>
          <w:sz w:val="18"/>
          <w:szCs w:val="18"/>
          <w:color w:val="auto"/>
        </w:rPr>
        <w:t/>
      </w:r>
      <w:r>
        <w:rPr>
          <w:rFonts w:ascii="Arial" w:cs="Arial" w:eastAsia="Arial" w:hAnsi="Arial"/>
          <w:sz w:val="18"/>
          <w:szCs w:val="18"/>
          <w:color w:val="auto"/>
        </w:rPr>
        <w:t>ǼɨɁʥɽȃ</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were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240"/>
              <w:spacing w:after="0"/>
              <w:rPr>
                <w:sz w:val="20"/>
                <w:szCs w:val="20"/>
                <w:color w:val="auto"/>
              </w:rPr>
            </w:pPr>
            <w:r>
              <w:rPr>
                <w:rFonts w:ascii="Arial" w:cs="Arial" w:eastAsia="Arial" w:hAnsi="Arial"/>
                <w:sz w:val="16"/>
                <w:szCs w:val="16"/>
                <w:color w:val="auto"/>
              </w:rPr>
              <w:t>Technology</w:t>
            </w:r>
          </w:p>
        </w:tc>
        <w:tc>
          <w:tcPr>
            <w:tcW w:w="800" w:type="dxa"/>
            <w:vAlign w:val="bottom"/>
          </w:tcPr>
          <w:p>
            <w:pPr>
              <w:spacing w:after="0"/>
              <w:rPr>
                <w:sz w:val="17"/>
                <w:szCs w:val="17"/>
                <w:color w:val="auto"/>
              </w:rPr>
            </w:pPr>
          </w:p>
        </w:tc>
      </w:tr>
      <w:tr>
        <w:trPr>
          <w:trHeight w:val="200"/>
        </w:trPr>
        <w:tc>
          <w:tcPr>
            <w:tcW w:w="3860" w:type="dxa"/>
            <w:vAlign w:val="bottom"/>
          </w:tcPr>
          <w:p>
            <w:pPr>
              <w:spacing w:after="0"/>
              <w:rPr>
                <w:sz w:val="17"/>
                <w:szCs w:val="17"/>
                <w:color w:val="auto"/>
              </w:rPr>
            </w:pPr>
          </w:p>
        </w:tc>
        <w:tc>
          <w:tcPr>
            <w:tcW w:w="3140" w:type="dxa"/>
            <w:vAlign w:val="bottom"/>
          </w:tcPr>
          <w:p>
            <w:pPr>
              <w:jc w:val="right"/>
              <w:ind w:right="260"/>
              <w:spacing w:after="0"/>
              <w:rPr>
                <w:sz w:val="20"/>
                <w:szCs w:val="20"/>
                <w:color w:val="auto"/>
              </w:rPr>
            </w:pPr>
            <w:r>
              <w:rPr>
                <w:rFonts w:ascii="Arial" w:cs="Arial" w:eastAsia="Arial" w:hAnsi="Arial"/>
                <w:sz w:val="16"/>
                <w:szCs w:val="16"/>
                <w:color w:val="auto"/>
              </w:rPr>
              <w:t>Application</w:t>
            </w:r>
          </w:p>
        </w:tc>
        <w:tc>
          <w:tcPr>
            <w:tcW w:w="1160" w:type="dxa"/>
            <w:vAlign w:val="bottom"/>
          </w:tcPr>
          <w:p>
            <w:pPr>
              <w:jc w:val="right"/>
              <w:ind w:right="260"/>
              <w:spacing w:after="0"/>
              <w:rPr>
                <w:sz w:val="20"/>
                <w:szCs w:val="20"/>
                <w:color w:val="auto"/>
              </w:rPr>
            </w:pPr>
            <w:r>
              <w:rPr>
                <w:rFonts w:ascii="Arial" w:cs="Arial" w:eastAsia="Arial" w:hAnsi="Arial"/>
                <w:sz w:val="16"/>
                <w:szCs w:val="16"/>
                <w:color w:val="auto"/>
              </w:rPr>
              <w:t>Network</w:t>
            </w:r>
          </w:p>
        </w:tc>
        <w:tc>
          <w:tcPr>
            <w:tcW w:w="1360" w:type="dxa"/>
            <w:vAlign w:val="bottom"/>
          </w:tcPr>
          <w:p>
            <w:pPr>
              <w:jc w:val="right"/>
              <w:ind w:right="240"/>
              <w:spacing w:after="0"/>
              <w:rPr>
                <w:sz w:val="20"/>
                <w:szCs w:val="20"/>
                <w:color w:val="auto"/>
              </w:rPr>
            </w:pPr>
            <w:r>
              <w:rPr>
                <w:rFonts w:ascii="Arial" w:cs="Arial" w:eastAsia="Arial" w:hAnsi="Arial"/>
                <w:sz w:val="16"/>
                <w:szCs w:val="16"/>
                <w:color w:val="auto"/>
              </w:rPr>
              <w:t>Enabled</w:t>
            </w:r>
          </w:p>
        </w:tc>
        <w:tc>
          <w:tcPr>
            <w:tcW w:w="800" w:type="dxa"/>
            <w:vAlign w:val="bottom"/>
          </w:tcPr>
          <w:p>
            <w:pPr>
              <w:spacing w:after="0"/>
              <w:rPr>
                <w:sz w:val="17"/>
                <w:szCs w:val="17"/>
                <w:color w:val="auto"/>
              </w:rPr>
            </w:pPr>
          </w:p>
        </w:tc>
      </w:tr>
      <w:tr>
        <w:trPr>
          <w:trHeight w:val="241"/>
        </w:trPr>
        <w:tc>
          <w:tcPr>
            <w:tcW w:w="3860" w:type="dxa"/>
            <w:vAlign w:val="bottom"/>
            <w:tcBorders>
              <w:bottom w:val="single" w:sz="8" w:color="000041"/>
            </w:tcBorders>
          </w:tcPr>
          <w:p>
            <w:pPr>
              <w:spacing w:after="0"/>
              <w:rPr>
                <w:sz w:val="20"/>
                <w:szCs w:val="20"/>
                <w:color w:val="auto"/>
              </w:rPr>
            </w:pPr>
          </w:p>
        </w:tc>
        <w:tc>
          <w:tcPr>
            <w:tcW w:w="3140" w:type="dxa"/>
            <w:vAlign w:val="bottom"/>
            <w:tcBorders>
              <w:bottom w:val="single" w:sz="8" w:color="000041"/>
            </w:tcBorders>
          </w:tcPr>
          <w:p>
            <w:pPr>
              <w:jc w:val="right"/>
              <w:ind w:right="260"/>
              <w:spacing w:after="0"/>
              <w:rPr>
                <w:sz w:val="20"/>
                <w:szCs w:val="20"/>
                <w:color w:val="auto"/>
              </w:rPr>
            </w:pPr>
            <w:r>
              <w:rPr>
                <w:rFonts w:ascii="Arial" w:cs="Arial" w:eastAsia="Arial" w:hAnsi="Arial"/>
                <w:sz w:val="16"/>
                <w:szCs w:val="16"/>
                <w:color w:val="auto"/>
              </w:rPr>
              <w:t>Software</w:t>
            </w:r>
          </w:p>
        </w:tc>
        <w:tc>
          <w:tcPr>
            <w:tcW w:w="1160" w:type="dxa"/>
            <w:vAlign w:val="bottom"/>
            <w:tcBorders>
              <w:bottom w:val="single" w:sz="8" w:color="000041"/>
            </w:tcBorders>
          </w:tcPr>
          <w:p>
            <w:pPr>
              <w:jc w:val="right"/>
              <w:ind w:right="260"/>
              <w:spacing w:after="0"/>
              <w:rPr>
                <w:sz w:val="20"/>
                <w:szCs w:val="20"/>
                <w:color w:val="auto"/>
              </w:rPr>
            </w:pPr>
            <w:r>
              <w:rPr>
                <w:rFonts w:ascii="Arial" w:cs="Arial" w:eastAsia="Arial" w:hAnsi="Arial"/>
                <w:sz w:val="16"/>
                <w:szCs w:val="16"/>
                <w:color w:val="auto"/>
              </w:rPr>
              <w:t>Software</w:t>
            </w:r>
          </w:p>
        </w:tc>
        <w:tc>
          <w:tcPr>
            <w:tcW w:w="1360" w:type="dxa"/>
            <w:vAlign w:val="bottom"/>
            <w:tcBorders>
              <w:bottom w:val="single" w:sz="8" w:color="000041"/>
            </w:tcBorders>
          </w:tcPr>
          <w:p>
            <w:pPr>
              <w:jc w:val="right"/>
              <w:ind w:right="240"/>
              <w:spacing w:after="0"/>
              <w:rPr>
                <w:sz w:val="20"/>
                <w:szCs w:val="20"/>
                <w:color w:val="auto"/>
              </w:rPr>
            </w:pPr>
            <w:r>
              <w:rPr>
                <w:rFonts w:ascii="Arial" w:cs="Arial" w:eastAsia="Arial" w:hAnsi="Arial"/>
                <w:sz w:val="16"/>
                <w:szCs w:val="16"/>
                <w:color w:val="auto"/>
              </w:rPr>
              <w:t>Products</w:t>
            </w:r>
          </w:p>
        </w:tc>
        <w:tc>
          <w:tcPr>
            <w:tcW w:w="800" w:type="dxa"/>
            <w:vAlign w:val="bottom"/>
            <w:tcBorders>
              <w:bottom w:val="single" w:sz="8" w:color="000041"/>
            </w:tcBorders>
          </w:tcPr>
          <w:p>
            <w:pPr>
              <w:jc w:val="right"/>
              <w:ind w:right="100"/>
              <w:spacing w:after="0"/>
              <w:rPr>
                <w:sz w:val="20"/>
                <w:szCs w:val="20"/>
                <w:color w:val="auto"/>
              </w:rPr>
            </w:pPr>
            <w:r>
              <w:rPr>
                <w:rFonts w:ascii="Arial" w:cs="Arial" w:eastAsia="Arial" w:hAnsi="Arial"/>
                <w:sz w:val="16"/>
                <w:szCs w:val="16"/>
                <w:color w:val="auto"/>
              </w:rPr>
              <w:t>Roper</w:t>
            </w:r>
          </w:p>
        </w:tc>
      </w:tr>
      <w:tr>
        <w:trPr>
          <w:trHeight w:val="224"/>
        </w:trPr>
        <w:tc>
          <w:tcPr>
            <w:tcW w:w="3860" w:type="dxa"/>
            <w:vAlign w:val="bottom"/>
          </w:tcPr>
          <w:p>
            <w:pPr>
              <w:spacing w:after="0"/>
              <w:rPr>
                <w:sz w:val="20"/>
                <w:szCs w:val="20"/>
                <w:color w:val="auto"/>
              </w:rPr>
            </w:pPr>
            <w:r>
              <w:rPr>
                <w:rFonts w:ascii="Arial" w:cs="Arial" w:eastAsia="Arial" w:hAnsi="Arial"/>
                <w:sz w:val="16"/>
                <w:szCs w:val="16"/>
                <w:color w:val="auto"/>
              </w:rPr>
              <w:t>Total Revenue Growth</w:t>
            </w:r>
          </w:p>
        </w:tc>
        <w:tc>
          <w:tcPr>
            <w:tcW w:w="3140" w:type="dxa"/>
            <w:vAlign w:val="bottom"/>
          </w:tcPr>
          <w:p>
            <w:pPr>
              <w:jc w:val="right"/>
              <w:ind w:right="80"/>
              <w:spacing w:after="0"/>
              <w:rPr>
                <w:sz w:val="20"/>
                <w:szCs w:val="20"/>
                <w:color w:val="auto"/>
              </w:rPr>
            </w:pPr>
            <w:r>
              <w:rPr>
                <w:rFonts w:ascii="Arial" w:cs="Arial" w:eastAsia="Arial" w:hAnsi="Arial"/>
                <w:sz w:val="16"/>
                <w:szCs w:val="16"/>
                <w:color w:val="auto"/>
              </w:rPr>
              <w:t>15.9 %</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8.5 %</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7.3 %</w:t>
            </w:r>
          </w:p>
        </w:tc>
        <w:tc>
          <w:tcPr>
            <w:tcW w:w="800" w:type="dxa"/>
            <w:vAlign w:val="bottom"/>
          </w:tcPr>
          <w:p>
            <w:pPr>
              <w:jc w:val="right"/>
              <w:spacing w:after="0"/>
              <w:rPr>
                <w:sz w:val="20"/>
                <w:szCs w:val="20"/>
                <w:color w:val="auto"/>
              </w:rPr>
            </w:pPr>
            <w:r>
              <w:rPr>
                <w:rFonts w:ascii="Arial" w:cs="Arial" w:eastAsia="Arial" w:hAnsi="Arial"/>
                <w:sz w:val="16"/>
                <w:szCs w:val="16"/>
                <w:color w:val="auto"/>
              </w:rPr>
              <w:t>12.3 %</w:t>
            </w:r>
          </w:p>
        </w:tc>
      </w:tr>
      <w:tr>
        <w:trPr>
          <w:trHeight w:val="200"/>
        </w:trPr>
        <w:tc>
          <w:tcPr>
            <w:tcW w:w="3860" w:type="dxa"/>
            <w:vAlign w:val="bottom"/>
          </w:tcPr>
          <w:p>
            <w:pPr>
              <w:spacing w:after="0"/>
              <w:rPr>
                <w:sz w:val="20"/>
                <w:szCs w:val="20"/>
                <w:color w:val="auto"/>
              </w:rPr>
            </w:pPr>
            <w:r>
              <w:rPr>
                <w:rFonts w:ascii="Arial" w:cs="Arial" w:eastAsia="Arial" w:hAnsi="Arial"/>
                <w:sz w:val="16"/>
                <w:szCs w:val="16"/>
                <w:color w:val="auto"/>
              </w:rPr>
              <w:t>Less Impact of:</w:t>
            </w:r>
          </w:p>
        </w:tc>
        <w:tc>
          <w:tcPr>
            <w:tcW w:w="3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3860" w:type="dxa"/>
            <w:vAlign w:val="bottom"/>
          </w:tcPr>
          <w:p>
            <w:pPr>
              <w:ind w:left="160"/>
              <w:spacing w:after="0"/>
              <w:rPr>
                <w:sz w:val="20"/>
                <w:szCs w:val="20"/>
                <w:color w:val="auto"/>
              </w:rPr>
            </w:pPr>
            <w:r>
              <w:rPr>
                <w:rFonts w:ascii="Arial" w:cs="Arial" w:eastAsia="Arial" w:hAnsi="Arial"/>
                <w:sz w:val="16"/>
                <w:szCs w:val="16"/>
                <w:color w:val="auto"/>
              </w:rPr>
              <w:t>Acquisitions</w:t>
            </w:r>
          </w:p>
        </w:tc>
        <w:tc>
          <w:tcPr>
            <w:tcW w:w="3140" w:type="dxa"/>
            <w:vAlign w:val="bottom"/>
          </w:tcPr>
          <w:p>
            <w:pPr>
              <w:jc w:val="right"/>
              <w:ind w:right="260"/>
              <w:spacing w:after="0"/>
              <w:rPr>
                <w:sz w:val="20"/>
                <w:szCs w:val="20"/>
                <w:color w:val="auto"/>
              </w:rPr>
            </w:pPr>
            <w:r>
              <w:rPr>
                <w:rFonts w:ascii="Arial" w:cs="Arial" w:eastAsia="Arial" w:hAnsi="Arial"/>
                <w:sz w:val="16"/>
                <w:szCs w:val="16"/>
                <w:color w:val="auto"/>
              </w:rPr>
              <w:t>10.2</w:t>
            </w:r>
          </w:p>
        </w:tc>
        <w:tc>
          <w:tcPr>
            <w:tcW w:w="1160" w:type="dxa"/>
            <w:vAlign w:val="bottom"/>
          </w:tcPr>
          <w:p>
            <w:pPr>
              <w:jc w:val="right"/>
              <w:ind w:right="260"/>
              <w:spacing w:after="0"/>
              <w:rPr>
                <w:sz w:val="20"/>
                <w:szCs w:val="20"/>
                <w:color w:val="auto"/>
              </w:rPr>
            </w:pPr>
            <w:r>
              <w:rPr>
                <w:rFonts w:ascii="Arial" w:cs="Arial" w:eastAsia="Arial" w:hAnsi="Arial"/>
                <w:sz w:val="16"/>
                <w:szCs w:val="16"/>
                <w:color w:val="auto"/>
              </w:rPr>
              <w:t>4.4</w:t>
            </w:r>
          </w:p>
        </w:tc>
        <w:tc>
          <w:tcPr>
            <w:tcW w:w="1360" w:type="dxa"/>
            <w:vAlign w:val="bottom"/>
          </w:tcPr>
          <w:p>
            <w:pPr>
              <w:jc w:val="right"/>
              <w:ind w:right="240"/>
              <w:spacing w:after="0"/>
              <w:rPr>
                <w:sz w:val="20"/>
                <w:szCs w:val="20"/>
                <w:color w:val="auto"/>
              </w:rPr>
            </w:pPr>
            <w:r>
              <w:rPr>
                <w:rFonts w:ascii="Arial" w:cs="Arial" w:eastAsia="Arial" w:hAnsi="Arial"/>
                <w:sz w:val="16"/>
                <w:szCs w:val="16"/>
                <w:color w:val="auto"/>
              </w:rPr>
              <w:t>0.8</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6.7</w:t>
            </w:r>
          </w:p>
        </w:tc>
      </w:tr>
      <w:tr>
        <w:trPr>
          <w:trHeight w:val="241"/>
        </w:trPr>
        <w:tc>
          <w:tcPr>
            <w:tcW w:w="3860" w:type="dxa"/>
            <w:vAlign w:val="bottom"/>
            <w:tcBorders>
              <w:bottom w:val="single" w:sz="8" w:color="000041"/>
            </w:tcBorders>
          </w:tcPr>
          <w:p>
            <w:pPr>
              <w:ind w:left="160"/>
              <w:spacing w:after="0"/>
              <w:rPr>
                <w:sz w:val="20"/>
                <w:szCs w:val="20"/>
                <w:color w:val="auto"/>
              </w:rPr>
            </w:pPr>
            <w:r>
              <w:rPr>
                <w:rFonts w:ascii="Arial" w:cs="Arial" w:eastAsia="Arial" w:hAnsi="Arial"/>
                <w:sz w:val="16"/>
                <w:szCs w:val="16"/>
                <w:color w:val="auto"/>
              </w:rPr>
              <w:t>Foreign Exchange</w:t>
            </w:r>
          </w:p>
        </w:tc>
        <w:tc>
          <w:tcPr>
            <w:tcW w:w="3140" w:type="dxa"/>
            <w:vAlign w:val="bottom"/>
            <w:tcBorders>
              <w:bottom w:val="single" w:sz="8" w:color="000041"/>
            </w:tcBorders>
          </w:tcPr>
          <w:p>
            <w:pPr>
              <w:jc w:val="right"/>
              <w:ind w:right="260"/>
              <w:spacing w:after="0"/>
              <w:rPr>
                <w:sz w:val="20"/>
                <w:szCs w:val="20"/>
                <w:color w:val="auto"/>
              </w:rPr>
            </w:pPr>
            <w:r>
              <w:rPr>
                <w:rFonts w:ascii="Arial" w:cs="Arial" w:eastAsia="Arial" w:hAnsi="Arial"/>
                <w:sz w:val="16"/>
                <w:szCs w:val="16"/>
                <w:color w:val="auto"/>
              </w:rPr>
              <w:t>0.3</w:t>
            </w:r>
          </w:p>
        </w:tc>
        <w:tc>
          <w:tcPr>
            <w:tcW w:w="1160" w:type="dxa"/>
            <w:vAlign w:val="bottom"/>
            <w:tcBorders>
              <w:bottom w:val="single" w:sz="8" w:color="000041"/>
            </w:tcBorders>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000041"/>
            </w:tcBorders>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00041"/>
            </w:tcBorders>
          </w:tcPr>
          <w:p>
            <w:pPr>
              <w:jc w:val="right"/>
              <w:ind w:right="100"/>
              <w:spacing w:after="0"/>
              <w:rPr>
                <w:sz w:val="20"/>
                <w:szCs w:val="20"/>
                <w:color w:val="auto"/>
              </w:rPr>
            </w:pPr>
            <w:r>
              <w:rPr>
                <w:rFonts w:ascii="Arial" w:cs="Arial" w:eastAsia="Arial" w:hAnsi="Arial"/>
                <w:sz w:val="16"/>
                <w:szCs w:val="16"/>
                <w:color w:val="auto"/>
              </w:rPr>
              <w:t>0.2</w:t>
            </w:r>
          </w:p>
        </w:tc>
      </w:tr>
      <w:tr>
        <w:trPr>
          <w:trHeight w:val="269"/>
        </w:trPr>
        <w:tc>
          <w:tcPr>
            <w:tcW w:w="386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Organic Revenue Growth</w:t>
            </w:r>
          </w:p>
        </w:tc>
        <w:tc>
          <w:tcPr>
            <w:tcW w:w="3140" w:type="dxa"/>
            <w:vAlign w:val="bottom"/>
            <w:tcBorders>
              <w:bottom w:val="single" w:sz="8" w:color="000041"/>
            </w:tcBorders>
          </w:tcPr>
          <w:p>
            <w:pPr>
              <w:jc w:val="right"/>
              <w:ind w:right="80"/>
              <w:spacing w:after="0"/>
              <w:rPr>
                <w:sz w:val="20"/>
                <w:szCs w:val="20"/>
                <w:color w:val="auto"/>
              </w:rPr>
            </w:pPr>
            <w:r>
              <w:rPr>
                <w:rFonts w:ascii="Arial" w:cs="Arial" w:eastAsia="Arial" w:hAnsi="Arial"/>
                <w:sz w:val="16"/>
                <w:szCs w:val="16"/>
                <w:color w:val="auto"/>
              </w:rPr>
              <w:t>5.4 %</w:t>
            </w:r>
          </w:p>
        </w:tc>
        <w:tc>
          <w:tcPr>
            <w:tcW w:w="1160" w:type="dxa"/>
            <w:vAlign w:val="bottom"/>
            <w:tcBorders>
              <w:bottom w:val="single" w:sz="8" w:color="000041"/>
            </w:tcBorders>
          </w:tcPr>
          <w:p>
            <w:pPr>
              <w:jc w:val="right"/>
              <w:ind w:right="80"/>
              <w:spacing w:after="0"/>
              <w:rPr>
                <w:sz w:val="20"/>
                <w:szCs w:val="20"/>
                <w:color w:val="auto"/>
              </w:rPr>
            </w:pPr>
            <w:r>
              <w:rPr>
                <w:rFonts w:ascii="Arial" w:cs="Arial" w:eastAsia="Arial" w:hAnsi="Arial"/>
                <w:sz w:val="16"/>
                <w:szCs w:val="16"/>
                <w:color w:val="auto"/>
              </w:rPr>
              <w:t>4.1 %</w:t>
            </w:r>
          </w:p>
        </w:tc>
        <w:tc>
          <w:tcPr>
            <w:tcW w:w="136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6.5 %</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5.4 %</w:t>
            </w:r>
          </w:p>
        </w:tc>
      </w:tr>
    </w:tbl>
    <w:p>
      <w:pPr>
        <w:spacing w:after="0" w:line="200" w:lineRule="exact"/>
        <w:rPr>
          <w:sz w:val="20"/>
          <w:szCs w:val="20"/>
          <w:color w:val="auto"/>
        </w:rPr>
      </w:pPr>
    </w:p>
    <w:p>
      <w:pPr>
        <w:sectPr>
          <w:pgSz w:w="12240" w:h="15840" w:orient="portrait"/>
          <w:cols w:equalWidth="0" w:num="1">
            <w:col w:w="10380"/>
          </w:cols>
          <w:pgMar w:left="960" w:top="926" w:right="900" w:bottom="90" w:gutter="0" w:footer="0" w:header="0"/>
        </w:sectPr>
      </w:pPr>
    </w:p>
    <w:p>
      <w:pPr>
        <w:spacing w:after="0" w:line="341"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28</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26" w:right="900" w:bottom="90" w:gutter="0" w:footer="0" w:header="0"/>
          <w:type w:val="continuous"/>
        </w:sectPr>
      </w:pPr>
    </w:p>
    <w:bookmarkStart w:id="30" w:name="page31"/>
    <w:bookmarkEnd w:id="30"/>
    <w:p>
      <w:pPr>
        <w:jc w:val="both"/>
        <w:spacing w:after="0" w:line="223" w:lineRule="exact"/>
        <w:rPr>
          <w:sz w:val="20"/>
          <w:szCs w:val="20"/>
          <w:color w:val="auto"/>
        </w:rPr>
      </w:pPr>
      <w:r>
        <w:rPr>
          <w:rFonts w:ascii="PMingLiU" w:cs="PMingLiU" w:eastAsia="PMingLiU" w:hAnsi="PMingLiU"/>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w:t>
      </w:r>
      <w:r>
        <w:rPr>
          <w:rFonts w:ascii="Arial" w:cs="Arial" w:eastAsia="Arial" w:hAnsi="Arial"/>
          <w:sz w:val="18"/>
          <w:szCs w:val="18"/>
          <w:color w:val="auto"/>
        </w:rPr>
        <w:t>ȶ</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ɥɥȢȈƺƃɽȈɁȶ</w:t>
      </w:r>
      <w:r>
        <w:rPr>
          <w:rFonts w:ascii="PMingLiU" w:cs="PMingLiU" w:eastAsia="PMingLiU" w:hAnsi="PMingLiU"/>
          <w:sz w:val="18"/>
          <w:szCs w:val="18"/>
          <w:color w:val="auto"/>
        </w:rPr>
        <w:t/>
      </w:r>
      <w:r>
        <w:rPr>
          <w:rFonts w:ascii="Arial" w:cs="Arial" w:eastAsia="Arial" w:hAnsi="Arial"/>
          <w:sz w:val="18"/>
          <w:szCs w:val="18"/>
          <w:color w:val="auto"/>
        </w:rPr>
        <w:t>ČɁǹɽʥƃɨǉ</w:t>
      </w:r>
      <w:r>
        <w:rPr>
          <w:rFonts w:ascii="PMingLiU" w:cs="PMingLiU" w:eastAsia="PMingLiU" w:hAnsi="PMingLiU"/>
          <w:sz w:val="18"/>
          <w:szCs w:val="18"/>
          <w:color w:val="auto"/>
        </w:rPr>
        <w:t/>
      </w:r>
      <w:r>
        <w:rPr>
          <w:rFonts w:ascii="Arial" w:cs="Arial" w:eastAsia="Arial" w:hAnsi="Arial"/>
          <w:sz w:val="18"/>
          <w:szCs w:val="18"/>
          <w:color w:val="auto"/>
        </w:rPr>
        <w:t>ɰǉǼȴǉȶɽ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PMingLiU" w:cs="PMingLiU" w:eastAsia="PMingLiU" w:hAnsi="PMingLiU"/>
          <w:sz w:val="18"/>
          <w:szCs w:val="18"/>
          <w:color w:val="auto"/>
        </w:rPr>
        <w:t/>
      </w:r>
      <w:r>
        <w:rPr>
          <w:rFonts w:ascii="Arial" w:cs="Arial" w:eastAsia="Arial" w:hAnsi="Arial"/>
          <w:sz w:val="18"/>
          <w:szCs w:val="18"/>
          <w:color w:val="auto"/>
        </w:rPr>
        <w:t>Ǽɨǉʥ</w:t>
      </w:r>
      <w:r>
        <w:rPr>
          <w:rFonts w:ascii="PMingLiU" w:cs="PMingLiU" w:eastAsia="PMingLiU" w:hAnsi="PMingLiU"/>
          <w:sz w:val="18"/>
          <w:szCs w:val="18"/>
          <w:color w:val="auto"/>
        </w:rPr>
        <w:t/>
      </w:r>
      <w:r>
        <w:rPr>
          <w:rFonts w:ascii="Arial" w:cs="Arial" w:eastAsia="Arial" w:hAnsi="Arial"/>
          <w:sz w:val="18"/>
          <w:szCs w:val="18"/>
          <w:color w:val="auto"/>
        </w:rPr>
        <w:t>іњӝў</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љӗљѝјӝѕ</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 xml:space="preserve"> ƺɁȴɥƃɨǉǁ</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јӗѝћѝӝј</w:t>
      </w:r>
      <w:r>
        <w:rPr>
          <w:rFonts w:ascii="PMingLiU" w:cs="PMingLiU" w:eastAsia="PMingLiU" w:hAnsi="PMingLiU"/>
          <w:sz w:val="18"/>
          <w:szCs w:val="18"/>
          <w:color w:val="auto"/>
        </w:rPr>
        <w:t/>
      </w:r>
      <w:r>
        <w:rPr>
          <w:rFonts w:ascii="Arial" w:cs="Arial" w:eastAsia="Arial" w:hAnsi="Arial"/>
          <w:sz w:val="18"/>
          <w:szCs w:val="18"/>
          <w:color w:val="auto"/>
        </w:rPr>
        <w:t xml:space="preserve"> ǹɁɨ </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ʰǉƃɨ</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 xml:space="preserve"> Ȣǉǁ</w:t>
      </w:r>
      <w:r>
        <w:rPr>
          <w:rFonts w:ascii="PMingLiU" w:cs="PMingLiU" w:eastAsia="PMingLiU" w:hAnsi="PMingLiU"/>
          <w:sz w:val="18"/>
          <w:szCs w:val="18"/>
          <w:color w:val="auto"/>
        </w:rPr>
        <w:t/>
      </w:r>
      <w:r>
        <w:rPr>
          <w:rFonts w:ascii="Arial" w:cs="Arial" w:eastAsia="Arial" w:hAnsi="Arial"/>
          <w:sz w:val="18"/>
          <w:szCs w:val="18"/>
          <w:color w:val="auto"/>
        </w:rPr>
        <w:t xml:space="preserve"> ƹʰ</w:t>
      </w:r>
      <w:r>
        <w:rPr>
          <w:rFonts w:ascii="PMingLiU" w:cs="PMingLiU" w:eastAsia="PMingLiU" w:hAnsi="PMingLiU"/>
          <w:sz w:val="18"/>
          <w:szCs w:val="18"/>
          <w:color w:val="auto"/>
        </w:rPr>
        <w:t/>
      </w:r>
      <w:r>
        <w:rPr>
          <w:rFonts w:ascii="Arial" w:cs="Arial" w:eastAsia="Arial" w:hAnsi="Arial"/>
          <w:sz w:val="18"/>
          <w:szCs w:val="18"/>
          <w:color w:val="auto"/>
        </w:rPr>
        <w:t xml:space="preserve"> ƃƺɧʍȈɰȈɽȈɁȶ</w:t>
      </w:r>
      <w:r>
        <w:rPr>
          <w:rFonts w:ascii="PMingLiU" w:cs="PMingLiU" w:eastAsia="PMingLiU" w:hAnsi="PMingLiU"/>
          <w:sz w:val="18"/>
          <w:szCs w:val="18"/>
          <w:color w:val="auto"/>
        </w:rPr>
        <w:t/>
      </w:r>
      <w:r>
        <w:rPr>
          <w:rFonts w:ascii="Arial" w:cs="Arial" w:eastAsia="Arial" w:hAnsi="Arial"/>
          <w:sz w:val="18"/>
          <w:szCs w:val="18"/>
          <w:color w:val="auto"/>
        </w:rPr>
        <w:t xml:space="preserve"> ƺɁȶɽɨȈƹʍɽȈɁȶ</w:t>
      </w:r>
      <w:r>
        <w:rPr>
          <w:rFonts w:ascii="PMingLiU" w:cs="PMingLiU" w:eastAsia="PMingLiU" w:hAnsi="PMingLiU"/>
          <w:sz w:val="18"/>
          <w:szCs w:val="18"/>
          <w:color w:val="auto"/>
        </w:rPr>
        <w:t/>
      </w:r>
      <w:r>
        <w:rPr>
          <w:rFonts w:ascii="Arial" w:cs="Arial" w:eastAsia="Arial" w:hAnsi="Arial"/>
          <w:sz w:val="18"/>
          <w:szCs w:val="18"/>
          <w:color w:val="auto"/>
        </w:rPr>
        <w:t xml:space="preserve"> ǹɨɁȴ</w:t>
      </w:r>
      <w:r>
        <w:rPr>
          <w:rFonts w:ascii="PMingLiU" w:cs="PMingLiU" w:eastAsia="PMingLiU" w:hAnsi="PMingLiU"/>
          <w:sz w:val="18"/>
          <w:szCs w:val="18"/>
          <w:color w:val="auto"/>
        </w:rPr>
        <w:t/>
      </w:r>
      <w:r>
        <w:rPr>
          <w:rFonts w:ascii="Arial" w:cs="Arial" w:eastAsia="Arial" w:hAnsi="Arial"/>
          <w:sz w:val="18"/>
          <w:szCs w:val="18"/>
          <w:color w:val="auto"/>
        </w:rPr>
        <w:t xml:space="preserve"> ěɨƃȶɰƃƺɽ</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CentralReach. The growth of 5.4% in organic revenues was broad-based across the segment led by our businesses serving the acute healthcare, property and casualty insurance, and legal markets, partially offset by a decrease in organic non-recurring revenue driven primarily by our business serving the government contracting market. Gross </w:t>
      </w:r>
      <w:r>
        <w:rPr>
          <w:rFonts w:ascii="Arial" w:cs="Arial" w:eastAsia="Arial" w:hAnsi="Arial"/>
          <w:sz w:val="18"/>
          <w:szCs w:val="18"/>
          <w:color w:val="auto"/>
        </w:rPr>
        <w:t>ȴƃɨǼȈȶ</w:t>
      </w:r>
      <w:r>
        <w:rPr>
          <w:rFonts w:ascii="PMingLiU" w:cs="PMingLiU" w:eastAsia="PMingLiU" w:hAnsi="PMingLiU"/>
          <w:sz w:val="18"/>
          <w:szCs w:val="18"/>
          <w:color w:val="auto"/>
        </w:rPr>
        <w:t/>
      </w:r>
      <w:r>
        <w:rPr>
          <w:rFonts w:ascii="Arial" w:cs="Arial" w:eastAsia="Arial" w:hAnsi="Arial"/>
          <w:sz w:val="18"/>
          <w:szCs w:val="18"/>
          <w:color w:val="auto"/>
        </w:rPr>
        <w:t>Ȉȶƺɨǉƃɰǉǁ</w:t>
      </w:r>
      <w:r>
        <w:rPr>
          <w:rFonts w:ascii="PMingLiU" w:cs="PMingLiU" w:eastAsia="PMingLiU" w:hAnsi="PMingLiU"/>
          <w:sz w:val="18"/>
          <w:szCs w:val="18"/>
          <w:color w:val="auto"/>
        </w:rPr>
        <w:t/>
      </w:r>
      <w:r>
        <w:rPr>
          <w:rFonts w:ascii="Arial" w:cs="Arial" w:eastAsia="Arial" w:hAnsi="Arial"/>
          <w:sz w:val="18"/>
          <w:szCs w:val="18"/>
          <w:color w:val="auto"/>
        </w:rPr>
        <w:t>ɰȢȈǼȃɽȢʰ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ћѝӝњ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ћѝӝљ</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 xml:space="preserve">ɽɁ </w:t>
      </w:r>
      <w:r>
        <w:rPr>
          <w:rFonts w:ascii="PMingLiU" w:cs="PMingLiU" w:eastAsia="PMingLiU" w:hAnsi="PMingLiU"/>
          <w:sz w:val="18"/>
          <w:szCs w:val="18"/>
          <w:color w:val="auto"/>
        </w:rPr>
        <w:t/>
      </w:r>
      <w:r>
        <w:rPr>
          <w:rFonts w:ascii="Arial" w:cs="Arial" w:eastAsia="Arial" w:hAnsi="Arial"/>
          <w:sz w:val="18"/>
          <w:szCs w:val="18"/>
          <w:color w:val="auto"/>
        </w:rPr>
        <w:t>ȈȴɥɨɁʤǉǁ</w:t>
      </w:r>
      <w:r>
        <w:rPr>
          <w:rFonts w:ascii="PMingLiU" w:cs="PMingLiU" w:eastAsia="PMingLiU" w:hAnsi="PMingLiU"/>
          <w:sz w:val="18"/>
          <w:szCs w:val="18"/>
          <w:color w:val="auto"/>
        </w:rPr>
        <w:t/>
      </w:r>
      <w:r>
        <w:rPr>
          <w:rFonts w:ascii="Arial" w:cs="Arial" w:eastAsia="Arial" w:hAnsi="Arial"/>
          <w:sz w:val="18"/>
          <w:szCs w:val="18"/>
          <w:color w:val="auto"/>
        </w:rPr>
        <w:t>ȢǉʤǉɨƃǼǉ</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ȃȈǼȃǉɨ</w:t>
      </w:r>
      <w:r>
        <w:rPr>
          <w:rFonts w:ascii="PMingLiU" w:cs="PMingLiU" w:eastAsia="PMingLiU" w:hAnsi="PMingLiU"/>
          <w:sz w:val="18"/>
          <w:szCs w:val="18"/>
          <w:color w:val="auto"/>
        </w:rPr>
        <w:t/>
      </w:r>
      <w:r>
        <w:rPr>
          <w:rFonts w:ascii="Arial" w:cs="Arial" w:eastAsia="Arial" w:hAnsi="Arial"/>
          <w:sz w:val="18"/>
          <w:szCs w:val="18"/>
          <w:color w:val="auto"/>
        </w:rPr>
        <w:t>ɁɨǼƃȶȈƺ</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ʥȃȈƺȃ</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Ɂǹǹɰǉɽ</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ȢɁʥǉɨ</w:t>
      </w:r>
      <w:r>
        <w:rPr>
          <w:rFonts w:ascii="PMingLiU" w:cs="PMingLiU" w:eastAsia="PMingLiU" w:hAnsi="PMingLiU"/>
          <w:sz w:val="18"/>
          <w:szCs w:val="18"/>
          <w:color w:val="auto"/>
        </w:rPr>
        <w:t/>
      </w:r>
      <w:r>
        <w:rPr>
          <w:rFonts w:ascii="Arial" w:cs="Arial" w:eastAsia="Arial" w:hAnsi="Arial"/>
          <w:sz w:val="18"/>
          <w:szCs w:val="18"/>
          <w:color w:val="auto"/>
        </w:rPr>
        <w:t>ǼɨɁɰɰ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margin profile associated with the higher payments revenue mix at Transact. Selling, general and administrative </w:t>
      </w:r>
      <w:r>
        <w:rPr>
          <w:rFonts w:ascii="Arial" w:cs="Arial" w:eastAsia="Arial" w:hAnsi="Arial"/>
          <w:sz w:val="18"/>
          <w:szCs w:val="18"/>
          <w:color w:val="auto"/>
        </w:rPr>
        <w:t>ӯ</w:t>
      </w:r>
      <w:r>
        <w:rPr>
          <w:rFonts w:ascii="Arial" w:cs="Arial" w:eastAsia="Arial" w:hAnsi="Arial"/>
          <w:sz w:val="18"/>
          <w:szCs w:val="18"/>
          <w:color w:val="auto"/>
        </w:rPr>
        <w:t>ԄČ{ծ</w:t>
      </w:r>
      <w:r>
        <w:rPr>
          <w:rFonts w:ascii="PMingLiU" w:cs="PMingLiU" w:eastAsia="PMingLiU" w:hAnsi="PMingLiU"/>
          <w:sz w:val="18"/>
          <w:szCs w:val="18"/>
          <w:color w:val="auto"/>
        </w:rPr>
        <w:t/>
      </w:r>
      <w:r>
        <w:rPr>
          <w:rFonts w:ascii="Arial" w:cs="Arial" w:eastAsia="Arial" w:hAnsi="Arial"/>
          <w:sz w:val="18"/>
          <w:szCs w:val="18"/>
          <w:color w:val="auto"/>
        </w:rPr>
        <w:t>ԅ</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ǉʯɥǉȶɰǉɰ</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ɥǉɨƺǉȶɽƃǼǉ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PMingLiU" w:cs="PMingLiU" w:eastAsia="PMingLiU" w:hAnsi="PMingLiU"/>
          <w:sz w:val="18"/>
          <w:szCs w:val="18"/>
          <w:color w:val="auto"/>
        </w:rPr>
        <w:t/>
      </w:r>
      <w:r>
        <w:rPr>
          <w:rFonts w:ascii="Arial" w:cs="Arial" w:eastAsia="Arial" w:hAnsi="Arial"/>
          <w:sz w:val="18"/>
          <w:szCs w:val="18"/>
          <w:color w:val="auto"/>
        </w:rPr>
        <w:t>ȈȴɥɨɁʤǉǁ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љіӝћ</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w:t>
      </w:r>
      <w:r>
        <w:rPr>
          <w:rFonts w:ascii="Arial" w:cs="Arial" w:eastAsia="Arial" w:hAnsi="Arial"/>
          <w:sz w:val="18"/>
          <w:szCs w:val="18"/>
          <w:color w:val="auto"/>
        </w:rPr>
        <w:t>-</w:t>
      </w:r>
      <w:r>
        <w:rPr>
          <w:rFonts w:ascii="Arial" w:cs="Arial" w:eastAsia="Arial" w:hAnsi="Arial"/>
          <w:sz w:val="18"/>
          <w:szCs w:val="18"/>
          <w:color w:val="auto"/>
        </w:rPr>
        <w:t>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љїӝѕ</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ȢǉʤǉɨƃǼǉ</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ȃȈǼȃǉɨ</w:t>
      </w:r>
      <w:r>
        <w:rPr>
          <w:rFonts w:ascii="PMingLiU" w:cs="PMingLiU" w:eastAsia="PMingLiU" w:hAnsi="PMingLiU"/>
          <w:sz w:val="18"/>
          <w:szCs w:val="18"/>
          <w:color w:val="auto"/>
        </w:rPr>
        <w:t/>
      </w:r>
      <w:r>
        <w:rPr>
          <w:rFonts w:ascii="Arial" w:cs="Arial" w:eastAsia="Arial" w:hAnsi="Arial"/>
          <w:sz w:val="18"/>
          <w:szCs w:val="18"/>
          <w:color w:val="auto"/>
        </w:rPr>
        <w:t>ɁɨǼƃȶȈƺ</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and cost synergies resulting from the integration of Transact with CBORD, partially offset by higher amortization of acquired intangibles from the acquisition of CentralReach. The resulting operating margin was 26.8% in the year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їћӝњ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їѕїљӝ</w:t>
      </w:r>
    </w:p>
    <w:p>
      <w:pPr>
        <w:spacing w:after="0" w:line="74" w:lineRule="exact"/>
        <w:rPr>
          <w:sz w:val="20"/>
          <w:szCs w:val="20"/>
          <w:color w:val="auto"/>
        </w:rPr>
      </w:pPr>
    </w:p>
    <w:p>
      <w:pPr>
        <w:jc w:val="both"/>
        <w:ind w:right="20"/>
        <w:spacing w:after="0" w:line="224" w:lineRule="exact"/>
        <w:rPr>
          <w:sz w:val="20"/>
          <w:szCs w:val="20"/>
          <w:color w:val="auto"/>
        </w:rPr>
      </w:pPr>
      <w:r>
        <w:rPr>
          <w:rFonts w:ascii="PMingLiU" w:cs="PMingLiU" w:eastAsia="PMingLiU" w:hAnsi="PMingLiU"/>
          <w:sz w:val="18"/>
          <w:szCs w:val="18"/>
          <w:color w:val="auto"/>
        </w:rPr>
        <w:t></w:t>
      </w:r>
      <w:r>
        <w:rPr>
          <w:rFonts w:ascii="Arial" w:cs="Arial" w:eastAsia="Arial" w:hAnsi="Arial"/>
          <w:sz w:val="18"/>
          <w:szCs w:val="18"/>
          <w:color w:val="auto"/>
        </w:rPr>
        <w:t>ȶ</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ÇǉɽʥɁɨȟ</w:t>
      </w:r>
      <w:r>
        <w:rPr>
          <w:rFonts w:ascii="PMingLiU" w:cs="PMingLiU" w:eastAsia="PMingLiU" w:hAnsi="PMingLiU"/>
          <w:sz w:val="18"/>
          <w:szCs w:val="18"/>
          <w:color w:val="auto"/>
        </w:rPr>
        <w:t/>
      </w:r>
      <w:r>
        <w:rPr>
          <w:rFonts w:ascii="Arial" w:cs="Arial" w:eastAsia="Arial" w:hAnsi="Arial"/>
          <w:sz w:val="18"/>
          <w:szCs w:val="18"/>
          <w:color w:val="auto"/>
        </w:rPr>
        <w:t>ČɁǹɽʥƃɨǉ</w:t>
      </w:r>
      <w:r>
        <w:rPr>
          <w:rFonts w:ascii="PMingLiU" w:cs="PMingLiU" w:eastAsia="PMingLiU" w:hAnsi="PMingLiU"/>
          <w:sz w:val="18"/>
          <w:szCs w:val="18"/>
          <w:color w:val="auto"/>
        </w:rPr>
        <w:t/>
      </w:r>
      <w:r>
        <w:rPr>
          <w:rFonts w:ascii="Arial" w:cs="Arial" w:eastAsia="Arial" w:hAnsi="Arial"/>
          <w:sz w:val="18"/>
          <w:szCs w:val="18"/>
          <w:color w:val="auto"/>
        </w:rPr>
        <w:t>ɰǉǼȴǉȶɽ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PMingLiU" w:cs="PMingLiU" w:eastAsia="PMingLiU" w:hAnsi="PMingLiU"/>
          <w:sz w:val="18"/>
          <w:szCs w:val="18"/>
          <w:color w:val="auto"/>
        </w:rPr>
        <w:t/>
      </w:r>
      <w:r>
        <w:rPr>
          <w:rFonts w:ascii="Arial" w:cs="Arial" w:eastAsia="Arial" w:hAnsi="Arial"/>
          <w:sz w:val="18"/>
          <w:szCs w:val="18"/>
          <w:color w:val="auto"/>
        </w:rPr>
        <w:t>Ǽɨǉʥ</w:t>
      </w:r>
      <w:r>
        <w:rPr>
          <w:rFonts w:ascii="PMingLiU" w:cs="PMingLiU" w:eastAsia="PMingLiU" w:hAnsi="PMingLiU"/>
          <w:sz w:val="18"/>
          <w:szCs w:val="18"/>
          <w:color w:val="auto"/>
        </w:rPr>
        <w:t/>
      </w:r>
      <w:r>
        <w:rPr>
          <w:rFonts w:ascii="Arial" w:cs="Arial" w:eastAsia="Arial" w:hAnsi="Arial"/>
          <w:sz w:val="18"/>
          <w:szCs w:val="18"/>
          <w:color w:val="auto"/>
        </w:rPr>
        <w:t>ѝӝњ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іӗћѕѕӝѝ</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w:t>
      </w:r>
      <w:r>
        <w:rPr>
          <w:rFonts w:ascii="Arial" w:cs="Arial" w:eastAsia="Arial" w:hAnsi="Arial"/>
          <w:sz w:val="18"/>
          <w:szCs w:val="18"/>
          <w:color w:val="auto"/>
        </w:rPr>
        <w:t>-</w:t>
      </w:r>
      <w:r>
        <w:rPr>
          <w:rFonts w:ascii="Arial" w:cs="Arial" w:eastAsia="Arial" w:hAnsi="Arial"/>
          <w:sz w:val="18"/>
          <w:szCs w:val="18"/>
          <w:color w:val="auto"/>
        </w:rPr>
        <w:t>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іӗљќњӝћ</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Ȣǉǁ</w:t>
      </w:r>
      <w:r>
        <w:rPr>
          <w:rFonts w:ascii="PMingLiU" w:cs="PMingLiU" w:eastAsia="PMingLiU" w:hAnsi="PMingLiU"/>
          <w:sz w:val="18"/>
          <w:szCs w:val="18"/>
          <w:color w:val="auto"/>
        </w:rPr>
        <w:t/>
      </w:r>
      <w:r>
        <w:rPr>
          <w:rFonts w:ascii="Arial" w:cs="Arial" w:eastAsia="Arial" w:hAnsi="Arial"/>
          <w:sz w:val="18"/>
          <w:szCs w:val="18"/>
          <w:color w:val="auto"/>
        </w:rPr>
        <w:t xml:space="preserve"> ƹʰ</w:t>
      </w:r>
      <w:r>
        <w:rPr>
          <w:rFonts w:ascii="PMingLiU" w:cs="PMingLiU" w:eastAsia="PMingLiU" w:hAnsi="PMingLiU"/>
          <w:sz w:val="18"/>
          <w:szCs w:val="18"/>
          <w:color w:val="auto"/>
        </w:rPr>
        <w:t/>
      </w:r>
      <w:r>
        <w:rPr>
          <w:rFonts w:ascii="Arial" w:cs="Arial" w:eastAsia="Arial" w:hAnsi="Arial"/>
          <w:sz w:val="18"/>
          <w:szCs w:val="18"/>
          <w:color w:val="auto"/>
        </w:rPr>
        <w:t>ƃƺɧʍȈɰȈɽȈɁȶ</w:t>
      </w:r>
      <w:r>
        <w:rPr>
          <w:rFonts w:ascii="PMingLiU" w:cs="PMingLiU" w:eastAsia="PMingLiU" w:hAnsi="PMingLiU"/>
          <w:sz w:val="18"/>
          <w:szCs w:val="18"/>
          <w:color w:val="auto"/>
        </w:rPr>
        <w:t/>
      </w:r>
      <w:r>
        <w:rPr>
          <w:rFonts w:ascii="Arial" w:cs="Arial" w:eastAsia="Arial" w:hAnsi="Arial"/>
          <w:sz w:val="18"/>
          <w:szCs w:val="18"/>
          <w:color w:val="auto"/>
        </w:rPr>
        <w:t>ƺɁȶɽɨȈƹʍɽȈɁȶ</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
      </w:r>
      <w:r>
        <w:rPr>
          <w:rFonts w:ascii="Arial" w:cs="Arial" w:eastAsia="Arial" w:hAnsi="Arial"/>
          <w:sz w:val="18"/>
          <w:szCs w:val="18"/>
          <w:color w:val="auto"/>
        </w:rPr>
        <w:t>ČʍƹɰɥȢƃɰȃ</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ǼɨɁʥɽȃ</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of 4.1% in organic revenues was led by our network software businesses serving the freight match, construction, and alternate site healthcare markets, partially offset by a decline in our media and entertainment software business </w:t>
      </w:r>
      <w:r>
        <w:rPr>
          <w:rFonts w:ascii="Arial" w:cs="Arial" w:eastAsia="Arial" w:hAnsi="Arial"/>
          <w:sz w:val="18"/>
          <w:szCs w:val="18"/>
          <w:color w:val="auto"/>
        </w:rPr>
        <w:t>ɨǉȢƃɽǉǁ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ǉȶǁ</w:t>
      </w:r>
      <w:r>
        <w:rPr>
          <w:rFonts w:ascii="Arial" w:cs="Arial" w:eastAsia="Arial" w:hAnsi="Arial"/>
          <w:sz w:val="18"/>
          <w:szCs w:val="18"/>
          <w:color w:val="auto"/>
        </w:rPr>
        <w:t>Ӹ</w:t>
      </w:r>
      <w:r>
        <w:rPr>
          <w:rFonts w:ascii="Arial" w:cs="Arial" w:eastAsia="Arial" w:hAnsi="Arial"/>
          <w:sz w:val="18"/>
          <w:szCs w:val="18"/>
          <w:color w:val="auto"/>
        </w:rPr>
        <w:t>ȴƃɨȟǉɽ</w:t>
      </w:r>
      <w:r>
        <w:rPr>
          <w:rFonts w:ascii="PMingLiU" w:cs="PMingLiU" w:eastAsia="PMingLiU" w:hAnsi="PMingLiU"/>
          <w:sz w:val="18"/>
          <w:szCs w:val="18"/>
          <w:color w:val="auto"/>
        </w:rPr>
        <w:t/>
      </w:r>
      <w:r>
        <w:rPr>
          <w:rFonts w:ascii="Arial" w:cs="Arial" w:eastAsia="Arial" w:hAnsi="Arial"/>
          <w:sz w:val="18"/>
          <w:szCs w:val="18"/>
          <w:color w:val="auto"/>
        </w:rPr>
        <w:t>ƺɁȶǁȈɽȈɁȶɰ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{ɨɁɰɰ</w:t>
      </w:r>
      <w:r>
        <w:rPr>
          <w:rFonts w:ascii="PMingLiU" w:cs="PMingLiU" w:eastAsia="PMingLiU" w:hAnsi="PMingLiU"/>
          <w:sz w:val="18"/>
          <w:szCs w:val="18"/>
          <w:color w:val="auto"/>
        </w:rPr>
        <w:t/>
      </w:r>
      <w:r>
        <w:rPr>
          <w:rFonts w:ascii="Arial" w:cs="Arial" w:eastAsia="Arial" w:hAnsi="Arial"/>
          <w:sz w:val="18"/>
          <w:szCs w:val="18"/>
          <w:color w:val="auto"/>
        </w:rPr>
        <w:t>ȴƃɨǼȈȶ</w:t>
      </w:r>
      <w:r>
        <w:rPr>
          <w:rFonts w:ascii="PMingLiU" w:cs="PMingLiU" w:eastAsia="PMingLiU" w:hAnsi="PMingLiU"/>
          <w:sz w:val="18"/>
          <w:szCs w:val="18"/>
          <w:color w:val="auto"/>
        </w:rPr>
        <w:t/>
      </w:r>
      <w:r>
        <w:rPr>
          <w:rFonts w:ascii="Arial" w:cs="Arial" w:eastAsia="Arial" w:hAnsi="Arial"/>
          <w:sz w:val="18"/>
          <w:szCs w:val="18"/>
          <w:color w:val="auto"/>
        </w:rPr>
        <w:t>ǁǉƺɨǉƃɰǉǁ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ѝљӝі</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w:t>
      </w:r>
      <w:r>
        <w:rPr>
          <w:rFonts w:ascii="Arial" w:cs="Arial" w:eastAsia="Arial" w:hAnsi="Arial"/>
          <w:sz w:val="18"/>
          <w:szCs w:val="18"/>
          <w:color w:val="auto"/>
        </w:rPr>
        <w:t>-</w:t>
      </w:r>
      <w:r>
        <w:rPr>
          <w:rFonts w:ascii="Arial" w:cs="Arial" w:eastAsia="Arial" w:hAnsi="Arial"/>
          <w:sz w:val="18"/>
          <w:szCs w:val="18"/>
          <w:color w:val="auto"/>
        </w:rPr>
        <w:t>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ѝњӝѕ</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ǼɨɁɰɰ</w:t>
      </w:r>
      <w:r>
        <w:rPr>
          <w:rFonts w:ascii="PMingLiU" w:cs="PMingLiU" w:eastAsia="PMingLiU" w:hAnsi="PMingLiU"/>
          <w:sz w:val="18"/>
          <w:szCs w:val="18"/>
          <w:color w:val="auto"/>
        </w:rPr>
        <w:t/>
      </w:r>
      <w:r>
        <w:rPr>
          <w:rFonts w:ascii="Arial" w:cs="Arial" w:eastAsia="Arial" w:hAnsi="Arial"/>
          <w:sz w:val="18"/>
          <w:szCs w:val="18"/>
          <w:color w:val="auto"/>
        </w:rPr>
        <w:t>ȴƃɨǼȈȶ</w:t>
      </w:r>
      <w:r>
        <w:rPr>
          <w:rFonts w:ascii="PMingLiU" w:cs="PMingLiU" w:eastAsia="PMingLiU" w:hAnsi="PMingLiU"/>
          <w:sz w:val="18"/>
          <w:szCs w:val="18"/>
          <w:color w:val="auto"/>
        </w:rPr>
        <w:t/>
      </w:r>
      <w:r>
        <w:rPr>
          <w:rFonts w:ascii="Arial" w:cs="Arial" w:eastAsia="Arial" w:hAnsi="Arial"/>
          <w:sz w:val="18"/>
          <w:szCs w:val="18"/>
          <w:color w:val="auto"/>
        </w:rPr>
        <w:t>ɥɨɁǹȈȢǉɰ</w:t>
      </w:r>
      <w:r>
        <w:rPr>
          <w:rFonts w:ascii="PMingLiU" w:cs="PMingLiU" w:eastAsia="PMingLiU" w:hAnsi="PMingLiU"/>
          <w:sz w:val="18"/>
          <w:szCs w:val="18"/>
          <w:color w:val="auto"/>
        </w:rPr>
        <w:t/>
      </w:r>
      <w:r>
        <w:rPr>
          <w:rFonts w:ascii="Arial" w:cs="Arial" w:eastAsia="Arial" w:hAnsi="Arial"/>
          <w:sz w:val="18"/>
          <w:szCs w:val="18"/>
          <w:color w:val="auto"/>
        </w:rPr>
        <w:t>ƃɰɰɁƺȈƃɽǉǁ</w:t>
      </w:r>
      <w:r>
        <w:rPr>
          <w:rFonts w:ascii="PMingLiU" w:cs="PMingLiU" w:eastAsia="PMingLiU" w:hAnsi="PMingLiU"/>
          <w:sz w:val="18"/>
          <w:szCs w:val="18"/>
          <w:color w:val="auto"/>
        </w:rPr>
        <w:t/>
      </w:r>
      <w:r>
        <w:rPr>
          <w:rFonts w:ascii="Arial" w:cs="Arial" w:eastAsia="Arial" w:hAnsi="Arial"/>
          <w:sz w:val="18"/>
          <w:szCs w:val="18"/>
          <w:color w:val="auto"/>
        </w:rPr>
        <w:t>ʥȈɽȃ</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acquisitions, predominantly driven by the payments revenue mix at Subsplash. SG&amp;A expenses as a percentage of net </w:t>
      </w:r>
      <w:r>
        <w:rPr>
          <w:rFonts w:ascii="Arial" w:cs="Arial" w:eastAsia="Arial" w:hAnsi="Arial"/>
          <w:sz w:val="18"/>
          <w:szCs w:val="18"/>
          <w:color w:val="auto"/>
        </w:rPr>
        <w:t>ɨǉʤǉȶʍǉɰ</w:t>
      </w:r>
      <w:r>
        <w:rPr>
          <w:rFonts w:ascii="PMingLiU" w:cs="PMingLiU" w:eastAsia="PMingLiU" w:hAnsi="PMingLiU"/>
          <w:sz w:val="18"/>
          <w:szCs w:val="18"/>
          <w:color w:val="auto"/>
        </w:rPr>
        <w:t/>
      </w:r>
      <w:r>
        <w:rPr>
          <w:rFonts w:ascii="Arial" w:cs="Arial" w:eastAsia="Arial" w:hAnsi="Arial"/>
          <w:sz w:val="18"/>
          <w:szCs w:val="18"/>
          <w:color w:val="auto"/>
        </w:rPr>
        <w:t xml:space="preserve"> Ȉȶƺɨǉƃɰǉǁ</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љѕӝћ</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ʰǉƃɨ</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ƃɰ</w:t>
      </w:r>
      <w:r>
        <w:rPr>
          <w:rFonts w:ascii="PMingLiU" w:cs="PMingLiU" w:eastAsia="PMingLiU" w:hAnsi="PMingLiU"/>
          <w:sz w:val="18"/>
          <w:szCs w:val="18"/>
          <w:color w:val="auto"/>
        </w:rPr>
        <w:t/>
      </w:r>
      <w:r>
        <w:rPr>
          <w:rFonts w:ascii="Arial" w:cs="Arial" w:eastAsia="Arial" w:hAnsi="Arial"/>
          <w:sz w:val="18"/>
          <w:szCs w:val="18"/>
          <w:color w:val="auto"/>
        </w:rPr>
        <w:t xml:space="preserve"> ƺɁȴɥƃɨǉǁ</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јўӝў</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ʰǉƃɨ</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ȃȈǼȃǉɨ</w:t>
      </w:r>
      <w:r>
        <w:rPr>
          <w:rFonts w:ascii="PMingLiU" w:cs="PMingLiU" w:eastAsia="PMingLiU" w:hAnsi="PMingLiU"/>
          <w:sz w:val="18"/>
          <w:szCs w:val="18"/>
          <w:color w:val="auto"/>
        </w:rPr>
        <w:t/>
      </w:r>
      <w:r>
        <w:rPr>
          <w:rFonts w:ascii="Arial" w:cs="Arial" w:eastAsia="Arial" w:hAnsi="Arial"/>
          <w:sz w:val="18"/>
          <w:szCs w:val="18"/>
          <w:color w:val="auto"/>
        </w:rPr>
        <w:t>ƃȴɁɨɽȈ˃ƃɽȈɁȶ</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ƃƺɧʍȈɨǉǁ</w:t>
      </w:r>
      <w:r>
        <w:rPr>
          <w:rFonts w:ascii="PMingLiU" w:cs="PMingLiU" w:eastAsia="PMingLiU" w:hAnsi="PMingLiU"/>
          <w:sz w:val="18"/>
          <w:szCs w:val="18"/>
          <w:color w:val="auto"/>
        </w:rPr>
        <w:t/>
      </w:r>
      <w:r>
        <w:rPr>
          <w:rFonts w:ascii="Arial" w:cs="Arial" w:eastAsia="Arial" w:hAnsi="Arial"/>
          <w:sz w:val="18"/>
          <w:szCs w:val="18"/>
          <w:color w:val="auto"/>
        </w:rPr>
        <w:t>ȈȶɽƃȶǼȈƹȢǉɰ</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Č{ծ</w:t>
      </w:r>
      <w:r>
        <w:rPr>
          <w:rFonts w:ascii="PMingLiU" w:cs="PMingLiU" w:eastAsia="PMingLiU" w:hAnsi="PMingLiU"/>
          <w:sz w:val="18"/>
          <w:szCs w:val="18"/>
          <w:color w:val="auto"/>
        </w:rPr>
        <w:t/>
      </w:r>
      <w:r>
        <w:rPr>
          <w:rFonts w:ascii="Arial" w:cs="Arial" w:eastAsia="Arial" w:hAnsi="Arial"/>
          <w:sz w:val="18"/>
          <w:szCs w:val="18"/>
          <w:color w:val="auto"/>
        </w:rPr>
        <w:t>ɥɨɁǹȈȢǉɰ</w:t>
      </w:r>
      <w:r>
        <w:rPr>
          <w:rFonts w:ascii="PMingLiU" w:cs="PMingLiU" w:eastAsia="PMingLiU" w:hAnsi="PMingLiU"/>
          <w:sz w:val="18"/>
          <w:szCs w:val="18"/>
          <w:color w:val="auto"/>
        </w:rPr>
        <w:t/>
      </w:r>
      <w:r>
        <w:rPr>
          <w:rFonts w:ascii="Arial" w:cs="Arial" w:eastAsia="Arial" w:hAnsi="Arial"/>
          <w:sz w:val="18"/>
          <w:szCs w:val="18"/>
          <w:color w:val="auto"/>
        </w:rPr>
        <w:t>ƃɰɰɁƺȈƃɽǉǁ</w:t>
      </w:r>
      <w:r>
        <w:rPr>
          <w:rFonts w:ascii="PMingLiU" w:cs="PMingLiU" w:eastAsia="PMingLiU" w:hAnsi="PMingLiU"/>
          <w:sz w:val="18"/>
          <w:szCs w:val="18"/>
          <w:color w:val="auto"/>
        </w:rPr>
        <w:t/>
      </w:r>
      <w:r>
        <w:rPr>
          <w:rFonts w:ascii="Arial" w:cs="Arial" w:eastAsia="Arial" w:hAnsi="Arial"/>
          <w:sz w:val="18"/>
          <w:szCs w:val="18"/>
          <w:color w:val="auto"/>
        </w:rPr>
        <w:t>ʥȈɽȃ</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ƃƺɧʍȈɰȈɽȈɁȶɰ</w:t>
      </w:r>
      <w:r>
        <w:rPr>
          <w:rFonts w:ascii="Arial" w:cs="Arial" w:eastAsia="Arial" w:hAnsi="Arial"/>
          <w:sz w:val="18"/>
          <w:szCs w:val="18"/>
          <w:color w:val="auto"/>
        </w:rPr>
        <w:t>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ɨǉɰʍȢɽȈȶǼ</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ȴƃɨǼȈȶ</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љјӝњ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љњӝї</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їѕїљӝ</w:t>
      </w:r>
    </w:p>
    <w:p>
      <w:pPr>
        <w:spacing w:after="0" w:line="73" w:lineRule="exact"/>
        <w:rPr>
          <w:sz w:val="20"/>
          <w:szCs w:val="20"/>
          <w:color w:val="auto"/>
        </w:rPr>
      </w:pPr>
    </w:p>
    <w:p>
      <w:pPr>
        <w:jc w:val="both"/>
        <w:spacing w:after="0" w:line="224" w:lineRule="exact"/>
        <w:rPr>
          <w:sz w:val="20"/>
          <w:szCs w:val="20"/>
          <w:color w:val="auto"/>
        </w:rPr>
      </w:pPr>
      <w:r>
        <w:rPr>
          <w:rFonts w:ascii="PMingLiU" w:cs="PMingLiU" w:eastAsia="PMingLiU" w:hAnsi="PMingLiU"/>
          <w:sz w:val="18"/>
          <w:szCs w:val="18"/>
          <w:color w:val="auto"/>
        </w:rPr>
        <w:t></w:t>
      </w:r>
      <w:r>
        <w:rPr>
          <w:rFonts w:ascii="Arial" w:cs="Arial" w:eastAsia="Arial" w:hAnsi="Arial"/>
          <w:sz w:val="18"/>
          <w:szCs w:val="18"/>
          <w:color w:val="auto"/>
        </w:rPr>
        <w:t>ȶ</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ěǉƺȃȶɁȢɁǼʰ</w:t>
      </w:r>
      <w:r>
        <w:rPr>
          <w:rFonts w:ascii="PMingLiU" w:cs="PMingLiU" w:eastAsia="PMingLiU" w:hAnsi="PMingLiU"/>
          <w:sz w:val="18"/>
          <w:szCs w:val="18"/>
          <w:color w:val="auto"/>
        </w:rPr>
        <w:t/>
      </w:r>
      <w:r>
        <w:rPr>
          <w:rFonts w:ascii="Arial" w:cs="Arial" w:eastAsia="Arial" w:hAnsi="Arial"/>
          <w:sz w:val="18"/>
          <w:szCs w:val="18"/>
          <w:color w:val="auto"/>
        </w:rPr>
        <w:t>KȶƃƹȢǉǁ</w:t>
      </w:r>
      <w:r>
        <w:rPr>
          <w:rFonts w:ascii="PMingLiU" w:cs="PMingLiU" w:eastAsia="PMingLiU" w:hAnsi="PMingLiU"/>
          <w:sz w:val="18"/>
          <w:szCs w:val="18"/>
          <w:color w:val="auto"/>
        </w:rPr>
        <w:t/>
      </w:r>
      <w:r>
        <w:rPr>
          <w:rFonts w:ascii="Arial" w:cs="Arial" w:eastAsia="Arial" w:hAnsi="Arial"/>
          <w:sz w:val="18"/>
          <w:szCs w:val="18"/>
          <w:color w:val="auto"/>
        </w:rPr>
        <w:t>ĀɨɁǁʍƺɽɰ</w:t>
      </w:r>
      <w:r>
        <w:rPr>
          <w:rFonts w:ascii="PMingLiU" w:cs="PMingLiU" w:eastAsia="PMingLiU" w:hAnsi="PMingLiU"/>
          <w:sz w:val="18"/>
          <w:szCs w:val="18"/>
          <w:color w:val="auto"/>
        </w:rPr>
        <w:t/>
      </w:r>
      <w:r>
        <w:rPr>
          <w:rFonts w:ascii="Arial" w:cs="Arial" w:eastAsia="Arial" w:hAnsi="Arial"/>
          <w:sz w:val="18"/>
          <w:szCs w:val="18"/>
          <w:color w:val="auto"/>
        </w:rPr>
        <w:t>ɰǉǼȴǉȶɽ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PMingLiU" w:cs="PMingLiU" w:eastAsia="PMingLiU" w:hAnsi="PMingLiU"/>
          <w:sz w:val="18"/>
          <w:szCs w:val="18"/>
          <w:color w:val="auto"/>
        </w:rPr>
        <w:t/>
      </w:r>
      <w:r>
        <w:rPr>
          <w:rFonts w:ascii="Arial" w:cs="Arial" w:eastAsia="Arial" w:hAnsi="Arial"/>
          <w:sz w:val="18"/>
          <w:szCs w:val="18"/>
          <w:color w:val="auto"/>
        </w:rPr>
        <w:t>Ǽɨǉʥ</w:t>
      </w:r>
      <w:r>
        <w:rPr>
          <w:rFonts w:ascii="PMingLiU" w:cs="PMingLiU" w:eastAsia="PMingLiU" w:hAnsi="PMingLiU"/>
          <w:sz w:val="18"/>
          <w:szCs w:val="18"/>
          <w:color w:val="auto"/>
        </w:rPr>
        <w:t/>
      </w:r>
      <w:r>
        <w:rPr>
          <w:rFonts w:ascii="Arial" w:cs="Arial" w:eastAsia="Arial" w:hAnsi="Arial"/>
          <w:sz w:val="18"/>
          <w:szCs w:val="18"/>
          <w:color w:val="auto"/>
        </w:rPr>
        <w:t>ќӝј</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іӗѝіѝӝќ</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 xml:space="preserve"> іӗћўњӝј</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 xml:space="preserve"> јіӗ</w:t>
      </w:r>
      <w:r>
        <w:rPr>
          <w:rFonts w:ascii="PMingLiU" w:cs="PMingLiU" w:eastAsia="PMingLiU" w:hAnsi="PMingLiU"/>
          <w:sz w:val="18"/>
          <w:szCs w:val="18"/>
          <w:color w:val="auto"/>
        </w:rPr>
        <w:t/>
      </w:r>
      <w:r>
        <w:rPr>
          <w:rFonts w:ascii="Arial" w:cs="Arial" w:eastAsia="Arial" w:hAnsi="Arial"/>
          <w:sz w:val="18"/>
          <w:szCs w:val="18"/>
          <w:color w:val="auto"/>
        </w:rPr>
        <w:t>їѕїљӝ</w:t>
      </w:r>
      <w:r>
        <w:rPr>
          <w:rFonts w:ascii="PMingLiU" w:cs="PMingLiU" w:eastAsia="PMingLiU" w:hAnsi="PMingLiU"/>
          <w:sz w:val="18"/>
          <w:szCs w:val="18"/>
          <w:color w:val="auto"/>
        </w:rPr>
        <w:t/>
      </w: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ǼɨɁʥɽȃ</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ћӝњ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ɁɨǼƃȶȈƺ</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broad-based across the segment, led by our medical products businesses, highlighted by our precision measurement </w:t>
      </w:r>
      <w:r>
        <w:rPr>
          <w:rFonts w:ascii="Arial" w:cs="Arial" w:eastAsia="Arial" w:hAnsi="Arial"/>
          <w:sz w:val="18"/>
          <w:szCs w:val="18"/>
          <w:color w:val="auto"/>
        </w:rPr>
        <w:t>ƹʍɰȈȶǉɰɰ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ǼɨɁʥɽȃ</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 xml:space="preserve"> ƃƺƺǉɰɰ</w:t>
      </w:r>
      <w:r>
        <w:rPr>
          <w:rFonts w:ascii="PMingLiU" w:cs="PMingLiU" w:eastAsia="PMingLiU" w:hAnsi="PMingLiU"/>
          <w:sz w:val="18"/>
          <w:szCs w:val="18"/>
          <w:color w:val="auto"/>
        </w:rPr>
        <w:t/>
      </w:r>
      <w:r>
        <w:rPr>
          <w:rFonts w:ascii="Arial" w:cs="Arial" w:eastAsia="Arial" w:hAnsi="Arial"/>
          <w:sz w:val="18"/>
          <w:szCs w:val="18"/>
          <w:color w:val="auto"/>
        </w:rPr>
        <w:t xml:space="preserve"> ȴƃȶƃǼǉȴǉȶɽ</w:t>
      </w:r>
      <w:r>
        <w:rPr>
          <w:rFonts w:ascii="PMingLiU" w:cs="PMingLiU" w:eastAsia="PMingLiU" w:hAnsi="PMingLiU"/>
          <w:sz w:val="18"/>
          <w:szCs w:val="18"/>
          <w:color w:val="auto"/>
        </w:rPr>
        <w:t/>
      </w:r>
      <w:r>
        <w:rPr>
          <w:rFonts w:ascii="Arial" w:cs="Arial" w:eastAsia="Arial" w:hAnsi="Arial"/>
          <w:sz w:val="18"/>
          <w:szCs w:val="18"/>
          <w:color w:val="auto"/>
        </w:rPr>
        <w:t xml:space="preserve"> ƹʍɰȈȶǉɰɰǉɰ</w:t>
      </w:r>
      <w:r>
        <w:rPr>
          <w:rFonts w:ascii="Arial" w:cs="Arial" w:eastAsia="Arial" w:hAnsi="Arial"/>
          <w:sz w:val="18"/>
          <w:szCs w:val="18"/>
          <w:color w:val="auto"/>
        </w:rPr>
        <w:t>ӝ</w:t>
      </w:r>
      <w:r>
        <w:rPr>
          <w:rFonts w:ascii="Arial" w:cs="Arial" w:eastAsia="Arial" w:hAnsi="Arial"/>
          <w:sz w:val="18"/>
          <w:szCs w:val="18"/>
          <w:color w:val="auto"/>
        </w:rPr>
        <w:t>ԝ {ɨɁɰɰ</w:t>
      </w:r>
      <w:r>
        <w:rPr>
          <w:rFonts w:ascii="PMingLiU" w:cs="PMingLiU" w:eastAsia="PMingLiU" w:hAnsi="PMingLiU"/>
          <w:sz w:val="18"/>
          <w:szCs w:val="18"/>
          <w:color w:val="auto"/>
        </w:rPr>
        <w:t/>
      </w:r>
      <w:r>
        <w:rPr>
          <w:rFonts w:ascii="Arial" w:cs="Arial" w:eastAsia="Arial" w:hAnsi="Arial"/>
          <w:sz w:val="18"/>
          <w:szCs w:val="18"/>
          <w:color w:val="auto"/>
        </w:rPr>
        <w:t xml:space="preserve"> ȴƃɨǼȈȶ</w:t>
      </w:r>
      <w:r>
        <w:rPr>
          <w:rFonts w:ascii="PMingLiU" w:cs="PMingLiU" w:eastAsia="PMingLiU" w:hAnsi="PMingLiU"/>
          <w:sz w:val="18"/>
          <w:szCs w:val="18"/>
          <w:color w:val="auto"/>
        </w:rPr>
        <w:t/>
      </w:r>
      <w:r>
        <w:rPr>
          <w:rFonts w:ascii="Arial" w:cs="Arial" w:eastAsia="Arial" w:hAnsi="Arial"/>
          <w:sz w:val="18"/>
          <w:szCs w:val="18"/>
          <w:color w:val="auto"/>
        </w:rPr>
        <w:t xml:space="preserve"> Ȉȶƺɨǉƃɰǉǁ</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њѝӝі</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ʰǉƃɨ</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њќӝћ</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 xml:space="preserve"> ȈȴɥɨɁʤǉǁ</w:t>
      </w:r>
      <w:r>
        <w:rPr>
          <w:rFonts w:ascii="PMingLiU" w:cs="PMingLiU" w:eastAsia="PMingLiU" w:hAnsi="PMingLiU"/>
          <w:sz w:val="18"/>
          <w:szCs w:val="18"/>
          <w:color w:val="auto"/>
        </w:rPr>
        <w:t/>
      </w:r>
      <w:r>
        <w:rPr>
          <w:rFonts w:ascii="Arial" w:cs="Arial" w:eastAsia="Arial" w:hAnsi="Arial"/>
          <w:sz w:val="18"/>
          <w:szCs w:val="18"/>
          <w:color w:val="auto"/>
        </w:rPr>
        <w:t>ȢǉʤǉɨƃǼǉ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on higher organic revenues at our precision measurement business as well as revenue mix. SG&amp;A expenses as a per-</w:t>
      </w:r>
      <w:r>
        <w:rPr>
          <w:rFonts w:ascii="Arial" w:cs="Arial" w:eastAsia="Arial" w:hAnsi="Arial"/>
          <w:sz w:val="18"/>
          <w:szCs w:val="18"/>
          <w:color w:val="auto"/>
        </w:rPr>
        <w:t>ƺǉȶɽƃǼǉ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PMingLiU" w:cs="PMingLiU" w:eastAsia="PMingLiU" w:hAnsi="PMingLiU"/>
          <w:sz w:val="18"/>
          <w:szCs w:val="18"/>
          <w:color w:val="auto"/>
        </w:rPr>
        <w:t/>
      </w:r>
      <w:r>
        <w:rPr>
          <w:rFonts w:ascii="Arial" w:cs="Arial" w:eastAsia="Arial" w:hAnsi="Arial"/>
          <w:sz w:val="18"/>
          <w:szCs w:val="18"/>
          <w:color w:val="auto"/>
        </w:rPr>
        <w:t>ȈȴɥɨɁʤǉǁ</w:t>
      </w:r>
      <w:r>
        <w:rPr>
          <w:rFonts w:ascii="PMingLiU" w:cs="PMingLiU" w:eastAsia="PMingLiU" w:hAnsi="PMingLiU"/>
          <w:sz w:val="18"/>
          <w:szCs w:val="18"/>
          <w:color w:val="auto"/>
        </w:rPr>
        <w:t/>
      </w:r>
      <w:r>
        <w:rPr>
          <w:rFonts w:ascii="Arial" w:cs="Arial" w:eastAsia="Arial" w:hAnsi="Arial"/>
          <w:sz w:val="18"/>
          <w:szCs w:val="18"/>
          <w:color w:val="auto"/>
        </w:rPr>
        <w:t>ɰȢȈǼȃɽȢʰ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їјӝћ</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їјӝќ</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 xml:space="preserve"> 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ȢǉʤǉɨƃǼǉ</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ȃȈǼȃǉɨ</w:t>
      </w:r>
      <w:r>
        <w:rPr>
          <w:rFonts w:ascii="PMingLiU" w:cs="PMingLiU" w:eastAsia="PMingLiU" w:hAnsi="PMingLiU"/>
          <w:sz w:val="18"/>
          <w:szCs w:val="18"/>
          <w:color w:val="auto"/>
        </w:rPr>
        <w:t/>
      </w:r>
      <w:r>
        <w:rPr>
          <w:rFonts w:ascii="Arial" w:cs="Arial" w:eastAsia="Arial" w:hAnsi="Arial"/>
          <w:sz w:val="18"/>
          <w:szCs w:val="18"/>
          <w:color w:val="auto"/>
        </w:rPr>
        <w:t>ɁɨǼƃȶȈƺ</w:t>
      </w:r>
      <w:r>
        <w:rPr>
          <w:rFonts w:ascii="PMingLiU" w:cs="PMingLiU" w:eastAsia="PMingLiU" w:hAnsi="PMingLiU"/>
          <w:sz w:val="18"/>
          <w:szCs w:val="18"/>
          <w:color w:val="auto"/>
        </w:rPr>
        <w:t/>
      </w:r>
      <w:r>
        <w:rPr>
          <w:rFonts w:ascii="Arial" w:cs="Arial" w:eastAsia="Arial" w:hAnsi="Arial"/>
          <w:sz w:val="18"/>
          <w:szCs w:val="18"/>
          <w:color w:val="auto"/>
        </w:rPr>
        <w:t>ɨǉʤǉȶʍǉɰ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ȴɁɰɽȢʰ</w:t>
      </w:r>
      <w:r>
        <w:rPr>
          <w:rFonts w:ascii="PMingLiU" w:cs="PMingLiU" w:eastAsia="PMingLiU" w:hAnsi="PMingLiU"/>
          <w:sz w:val="18"/>
          <w:szCs w:val="18"/>
          <w:color w:val="auto"/>
        </w:rPr>
        <w:t/>
      </w:r>
      <w:r>
        <w:rPr>
          <w:rFonts w:ascii="Arial" w:cs="Arial" w:eastAsia="Arial" w:hAnsi="Arial"/>
          <w:sz w:val="18"/>
          <w:szCs w:val="18"/>
          <w:color w:val="auto"/>
        </w:rPr>
        <w:t>Ɂǹǹɰǉɽ</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ɨǉʤ</w:t>
      </w:r>
      <w:r>
        <w:rPr>
          <w:rFonts w:ascii="Arial" w:cs="Arial" w:eastAsia="Arial" w:hAnsi="Arial"/>
          <w:sz w:val="18"/>
          <w:szCs w:val="18"/>
          <w:color w:val="auto"/>
        </w:rPr>
        <w:t>-</w:t>
      </w:r>
      <w:r>
        <w:rPr>
          <w:rFonts w:ascii="Arial" w:cs="Arial" w:eastAsia="Arial" w:hAnsi="Arial"/>
          <w:sz w:val="18"/>
          <w:szCs w:val="18"/>
          <w:color w:val="auto"/>
        </w:rPr>
        <w:t>ǉȶʍǉ</w:t>
      </w:r>
      <w:r>
        <w:rPr>
          <w:rFonts w:ascii="PMingLiU" w:cs="PMingLiU" w:eastAsia="PMingLiU" w:hAnsi="PMingLiU"/>
          <w:sz w:val="18"/>
          <w:szCs w:val="18"/>
          <w:color w:val="auto"/>
        </w:rPr>
        <w:t/>
      </w:r>
      <w:r>
        <w:rPr>
          <w:rFonts w:ascii="Arial" w:cs="Arial" w:eastAsia="Arial" w:hAnsi="Arial"/>
          <w:sz w:val="18"/>
          <w:szCs w:val="18"/>
          <w:color w:val="auto"/>
        </w:rPr>
        <w:t>ȴȈʯ</w:t>
      </w:r>
      <w:r>
        <w:rPr>
          <w:rFonts w:ascii="Arial" w:cs="Arial" w:eastAsia="Arial" w:hAnsi="Arial"/>
          <w:sz w:val="18"/>
          <w:szCs w:val="18"/>
          <w:color w:val="auto"/>
        </w:rPr>
        <w:t>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ɨǉɰʍȢɽȈȶǼ</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ȴƃɨǼȈȶ</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јљӝњ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јјӝў</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їѕїљӝ</w:t>
      </w:r>
    </w:p>
    <w:p>
      <w:pPr>
        <w:spacing w:after="0" w:line="76"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color w:val="auto"/>
        </w:rPr>
        <w:t>Corporate expenses increased by $22.8 to $290.2, or 3.7% of net revenues, in 2025 as compared to $267.4, or 3.8% of net revenues, in 2024. The dollar increase was due primarily to higher stock-based compensation expense.</w:t>
      </w:r>
    </w:p>
    <w:p>
      <w:pPr>
        <w:spacing w:after="0" w:line="1" w:lineRule="exact"/>
        <w:rPr>
          <w:sz w:val="20"/>
          <w:szCs w:val="20"/>
          <w:color w:val="auto"/>
        </w:rPr>
      </w:pPr>
    </w:p>
    <w:p>
      <w:pPr>
        <w:jc w:val="both"/>
        <w:spacing w:after="0" w:line="234" w:lineRule="exact"/>
        <w:rPr>
          <w:sz w:val="20"/>
          <w:szCs w:val="20"/>
          <w:color w:val="auto"/>
        </w:rPr>
      </w:pPr>
      <w:r>
        <w:rPr>
          <w:rFonts w:ascii="PMingLiU" w:cs="PMingLiU" w:eastAsia="PMingLiU" w:hAnsi="PMingLiU"/>
          <w:sz w:val="18"/>
          <w:szCs w:val="18"/>
          <w:color w:val="auto"/>
        </w:rPr>
        <w:t></w:t>
      </w:r>
      <w:r>
        <w:rPr>
          <w:rFonts w:ascii="Arial" w:cs="Arial" w:eastAsia="Arial" w:hAnsi="Arial"/>
          <w:sz w:val="18"/>
          <w:szCs w:val="18"/>
          <w:color w:val="auto"/>
        </w:rPr>
        <w:t>ȶɽǉɨǉɰɽ</w:t>
      </w:r>
      <w:r>
        <w:rPr>
          <w:rFonts w:ascii="PMingLiU" w:cs="PMingLiU" w:eastAsia="PMingLiU" w:hAnsi="PMingLiU"/>
          <w:sz w:val="18"/>
          <w:szCs w:val="18"/>
          <w:color w:val="auto"/>
        </w:rPr>
        <w:t/>
      </w:r>
      <w:r>
        <w:rPr>
          <w:rFonts w:ascii="Arial" w:cs="Arial" w:eastAsia="Arial" w:hAnsi="Arial"/>
          <w:sz w:val="18"/>
          <w:szCs w:val="18"/>
          <w:color w:val="auto"/>
        </w:rPr>
        <w:t>ǉʯɥǉȶɰǉ</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ȶǉɽ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Ȉȶƺɨǉƃɰǉǁ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јїњӝѕ</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їњўӝї</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Ȉȶƺɨǉƃɰǉ</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ȃȈǼȃǉɨ</w:t>
      </w:r>
      <w:r>
        <w:rPr>
          <w:rFonts w:ascii="PMingLiU" w:cs="PMingLiU" w:eastAsia="PMingLiU" w:hAnsi="PMingLiU"/>
          <w:sz w:val="18"/>
          <w:szCs w:val="18"/>
          <w:color w:val="auto"/>
        </w:rPr>
        <w:t/>
      </w:r>
      <w:r>
        <w:rPr>
          <w:rFonts w:ascii="Arial" w:cs="Arial" w:eastAsia="Arial" w:hAnsi="Arial"/>
          <w:sz w:val="18"/>
          <w:szCs w:val="18"/>
          <w:color w:val="auto"/>
        </w:rPr>
        <w:t xml:space="preserve"> ʥǉȈǼȃɽǉǁ</w:t>
      </w:r>
      <w:r>
        <w:rPr>
          <w:rFonts w:ascii="Arial" w:cs="Arial" w:eastAsia="Arial" w:hAnsi="Arial"/>
          <w:sz w:val="18"/>
          <w:szCs w:val="18"/>
          <w:color w:val="auto"/>
        </w:rPr>
        <w:t>Ӹ</w:t>
      </w:r>
      <w:r>
        <w:rPr>
          <w:rFonts w:ascii="Arial" w:cs="Arial" w:eastAsia="Arial" w:hAnsi="Arial"/>
          <w:sz w:val="18"/>
          <w:szCs w:val="18"/>
          <w:color w:val="auto"/>
        </w:rPr>
        <w:t>ƃʤǉɨƃǼǉ</w:t>
      </w:r>
      <w:r>
        <w:rPr>
          <w:rFonts w:ascii="PMingLiU" w:cs="PMingLiU" w:eastAsia="PMingLiU" w:hAnsi="PMingLiU"/>
          <w:sz w:val="18"/>
          <w:szCs w:val="18"/>
          <w:color w:val="auto"/>
        </w:rPr>
        <w:t/>
      </w:r>
      <w:r>
        <w:rPr>
          <w:rFonts w:ascii="Arial" w:cs="Arial" w:eastAsia="Arial" w:hAnsi="Arial"/>
          <w:sz w:val="18"/>
          <w:szCs w:val="18"/>
          <w:color w:val="auto"/>
        </w:rPr>
        <w:t>ǹȈʯǉǁ</w:t>
      </w:r>
      <w:r>
        <w:rPr>
          <w:rFonts w:ascii="Arial" w:cs="Arial" w:eastAsia="Arial" w:hAnsi="Arial"/>
          <w:sz w:val="18"/>
          <w:szCs w:val="18"/>
          <w:color w:val="auto"/>
        </w:rPr>
        <w:t>Ӹ</w:t>
      </w:r>
      <w:r>
        <w:rPr>
          <w:rFonts w:ascii="Arial" w:cs="Arial" w:eastAsia="Arial" w:hAnsi="Arial"/>
          <w:sz w:val="18"/>
          <w:szCs w:val="18"/>
          <w:color w:val="auto"/>
        </w:rPr>
        <w:t>ɨƃɽǉ</w:t>
      </w:r>
      <w:r>
        <w:rPr>
          <w:rFonts w:ascii="PMingLiU" w:cs="PMingLiU" w:eastAsia="PMingLiU" w:hAnsi="PMingLiU"/>
          <w:sz w:val="18"/>
          <w:szCs w:val="18"/>
          <w:color w:val="auto"/>
        </w:rPr>
        <w:t/>
      </w:r>
      <w:r>
        <w:rPr>
          <w:rFonts w:ascii="Arial" w:cs="Arial" w:eastAsia="Arial" w:hAnsi="Arial"/>
          <w:sz w:val="18"/>
          <w:szCs w:val="18"/>
          <w:color w:val="auto"/>
        </w:rPr>
        <w:t xml:space="preserve"> ǁǉƹɽ</w:t>
      </w:r>
      <w:r>
        <w:rPr>
          <w:rFonts w:ascii="PMingLiU" w:cs="PMingLiU" w:eastAsia="PMingLiU" w:hAnsi="PMingLiU"/>
          <w:sz w:val="18"/>
          <w:szCs w:val="18"/>
          <w:color w:val="auto"/>
        </w:rPr>
        <w:t/>
      </w:r>
      <w:r>
        <w:rPr>
          <w:rFonts w:ascii="Arial" w:cs="Arial" w:eastAsia="Arial" w:hAnsi="Arial"/>
          <w:sz w:val="18"/>
          <w:szCs w:val="18"/>
          <w:color w:val="auto"/>
        </w:rPr>
        <w:t>ƹƃȢƃȶƺǉ</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fixed-rate debt interest rate, partially offset by lower weighted-average borrowings on our revolving credit facility.</w:t>
      </w:r>
    </w:p>
    <w:p>
      <w:pPr>
        <w:spacing w:after="0" w:line="70" w:lineRule="exact"/>
        <w:rPr>
          <w:sz w:val="20"/>
          <w:szCs w:val="20"/>
          <w:color w:val="auto"/>
        </w:rPr>
      </w:pPr>
    </w:p>
    <w:p>
      <w:pPr>
        <w:jc w:val="both"/>
        <w:ind w:right="20"/>
        <w:spacing w:after="0" w:line="228" w:lineRule="exact"/>
        <w:rPr>
          <w:sz w:val="20"/>
          <w:szCs w:val="20"/>
          <w:color w:val="auto"/>
        </w:rPr>
      </w:pPr>
      <w:r>
        <w:rPr>
          <w:rFonts w:ascii="Arial" w:cs="Arial" w:eastAsia="Arial" w:hAnsi="Arial"/>
          <w:sz w:val="18"/>
          <w:szCs w:val="18"/>
          <w:color w:val="auto"/>
        </w:rPr>
        <w:t>KɧʍȈɽʰ</w:t>
      </w:r>
      <w:r>
        <w:rPr>
          <w:rFonts w:ascii="PMingLiU" w:cs="PMingLiU" w:eastAsia="PMingLiU" w:hAnsi="PMingLiU"/>
          <w:sz w:val="18"/>
          <w:szCs w:val="18"/>
          <w:color w:val="auto"/>
        </w:rPr>
        <w:t/>
      </w:r>
      <w:r>
        <w:rPr>
          <w:rFonts w:ascii="Arial" w:cs="Arial" w:eastAsia="Arial" w:hAnsi="Arial"/>
          <w:sz w:val="18"/>
          <w:szCs w:val="18"/>
          <w:color w:val="auto"/>
        </w:rPr>
        <w:t>Ȉȶʤǉɰɽȴǉȶɽɰ</w:t>
      </w:r>
      <w:r>
        <w:rPr>
          <w:rFonts w:ascii="PMingLiU" w:cs="PMingLiU" w:eastAsia="PMingLiU" w:hAnsi="PMingLiU"/>
          <w:sz w:val="18"/>
          <w:szCs w:val="18"/>
          <w:color w:val="auto"/>
        </w:rPr>
        <w:t/>
      </w:r>
      <w:r>
        <w:rPr>
          <w:rFonts w:ascii="Arial" w:cs="Arial" w:eastAsia="Arial" w:hAnsi="Arial"/>
          <w:sz w:val="18"/>
          <w:szCs w:val="18"/>
          <w:color w:val="auto"/>
        </w:rPr>
        <w:t>ƃƺɽȈʤȈɽʰ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ȶǉɽ </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ǼƃȈȶ</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їњӝњ</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 xml:space="preserve"> 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ǁʍǉ</w:t>
      </w:r>
      <w:r>
        <w:rPr>
          <w:rFonts w:ascii="PMingLiU" w:cs="PMingLiU" w:eastAsia="PMingLiU" w:hAnsi="PMingLiU"/>
          <w:sz w:val="18"/>
          <w:szCs w:val="18"/>
          <w:color w:val="auto"/>
        </w:rPr>
        <w:t/>
      </w:r>
      <w:r>
        <w:rPr>
          <w:rFonts w:ascii="Arial" w:cs="Arial" w:eastAsia="Arial" w:hAnsi="Arial"/>
          <w:sz w:val="18"/>
          <w:szCs w:val="18"/>
          <w:color w:val="auto"/>
        </w:rPr>
        <w:t xml:space="preserve"> ɥɨȈȴƃɨȈȢʰ</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їљӝѕ</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increase in the fair value of our equity investment in Indicor. Equity investments activity, net, was a gain of $234.6 for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 xml:space="preserve">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 xml:space="preserve"> ɥɨȈȴƃɨȈȢʰ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іјњӝћ</w:t>
      </w:r>
      <w:r>
        <w:rPr>
          <w:rFonts w:ascii="PMingLiU" w:cs="PMingLiU" w:eastAsia="PMingLiU" w:hAnsi="PMingLiU"/>
          <w:sz w:val="18"/>
          <w:szCs w:val="18"/>
          <w:color w:val="auto"/>
        </w:rPr>
        <w:t/>
      </w:r>
      <w:r>
        <w:rPr>
          <w:rFonts w:ascii="Arial" w:cs="Arial" w:eastAsia="Arial" w:hAnsi="Arial"/>
          <w:sz w:val="18"/>
          <w:szCs w:val="18"/>
          <w:color w:val="auto"/>
        </w:rPr>
        <w:t>ǼƃȈȶ</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ɰƃȢǉ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ǉɧʍȈɽʰ</w:t>
      </w:r>
      <w:r>
        <w:rPr>
          <w:rFonts w:ascii="PMingLiU" w:cs="PMingLiU" w:eastAsia="PMingLiU" w:hAnsi="PMingLiU"/>
          <w:sz w:val="18"/>
          <w:szCs w:val="18"/>
          <w:color w:val="auto"/>
        </w:rPr>
        <w:t/>
      </w:r>
      <w:r>
        <w:rPr>
          <w:rFonts w:ascii="Arial" w:cs="Arial" w:eastAsia="Arial" w:hAnsi="Arial"/>
          <w:sz w:val="18"/>
          <w:szCs w:val="18"/>
          <w:color w:val="auto"/>
        </w:rPr>
        <w:t>Ȉȶʤǉɰɽȴǉȶɽ</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:ǉɨɽȈȶȈƃ</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 $96.4 increase in the fair value of our equity investment in Indicor. Changes in the fair value of our Indicor equity investment are primarily due to fluctuations in the equity values of comparable guideline public companies.</w:t>
      </w:r>
    </w:p>
    <w:p>
      <w:pPr>
        <w:spacing w:after="0" w:line="70"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Our 2025 effective income tax rate of 20.6% decreased as compared to our 2024 tax rate of 21.2%, due primarily to favorable rate impacts from the recognition of a net tax benefit associated with legal entity restructuring and a reduc-tion in state taxes, partially offset by the non-recurrence of prior year valuation allowance releases.</w:t>
      </w:r>
    </w:p>
    <w:p>
      <w:pPr>
        <w:spacing w:after="0" w:line="27" w:lineRule="exact"/>
        <w:rPr>
          <w:sz w:val="20"/>
          <w:szCs w:val="20"/>
          <w:color w:val="auto"/>
        </w:rPr>
      </w:pPr>
    </w:p>
    <w:p>
      <w:pPr>
        <w:jc w:val="both"/>
        <w:ind w:right="20"/>
        <w:spacing w:after="0" w:line="231" w:lineRule="exact"/>
        <w:rPr>
          <w:sz w:val="20"/>
          <w:szCs w:val="20"/>
          <w:color w:val="auto"/>
        </w:rPr>
      </w:pPr>
      <w:r>
        <w:rPr>
          <w:rFonts w:ascii="Arial" w:cs="Arial" w:eastAsia="Arial" w:hAnsi="Arial"/>
          <w:sz w:val="18"/>
          <w:szCs w:val="18"/>
          <w:color w:val="auto"/>
        </w:rPr>
        <w:t xml:space="preserve">Backlog is equal to our remaining performance obligations expected to be recognized as revenue within the next 12 months, as discussed within Note 1 of the Notes to Consolidated Financial Statements. Backlog increased 10.3% to </w:t>
      </w:r>
      <w:r>
        <w:rPr>
          <w:rFonts w:ascii="Arial" w:cs="Arial" w:eastAsia="Arial" w:hAnsi="Arial"/>
          <w:sz w:val="18"/>
          <w:szCs w:val="18"/>
          <w:color w:val="auto"/>
        </w:rPr>
        <w:t>Ԥ</w:t>
      </w:r>
      <w:r>
        <w:rPr>
          <w:rFonts w:ascii="Arial" w:cs="Arial" w:eastAsia="Arial" w:hAnsi="Arial"/>
          <w:sz w:val="18"/>
          <w:szCs w:val="18"/>
          <w:color w:val="auto"/>
        </w:rPr>
        <w:t>јӗљїљӝћ</w:t>
      </w:r>
      <w:r>
        <w:rPr>
          <w:rFonts w:ascii="PMingLiU" w:cs="PMingLiU" w:eastAsia="PMingLiU" w:hAnsi="PMingLiU"/>
          <w:sz w:val="18"/>
          <w:szCs w:val="18"/>
          <w:color w:val="auto"/>
        </w:rPr>
        <w:t/>
      </w:r>
      <w:r>
        <w:rPr>
          <w:rFonts w:ascii="Arial" w:cs="Arial" w:eastAsia="Arial" w:hAnsi="Arial"/>
          <w:sz w:val="18"/>
          <w:szCs w:val="18"/>
          <w:color w:val="auto"/>
        </w:rPr>
        <w:t xml:space="preserve"> ƃɽ</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ƃɰ</w:t>
      </w:r>
      <w:r>
        <w:rPr>
          <w:rFonts w:ascii="PMingLiU" w:cs="PMingLiU" w:eastAsia="PMingLiU" w:hAnsi="PMingLiU"/>
          <w:sz w:val="18"/>
          <w:szCs w:val="18"/>
          <w:color w:val="auto"/>
        </w:rPr>
        <w:t/>
      </w:r>
      <w:r>
        <w:rPr>
          <w:rFonts w:ascii="Arial" w:cs="Arial" w:eastAsia="Arial" w:hAnsi="Arial"/>
          <w:sz w:val="18"/>
          <w:szCs w:val="18"/>
          <w:color w:val="auto"/>
        </w:rPr>
        <w:t xml:space="preserve"> ƺɁȴɥƃɨǉǁ</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јӗіѕњӝљ</w:t>
      </w:r>
      <w:r>
        <w:rPr>
          <w:rFonts w:ascii="PMingLiU" w:cs="PMingLiU" w:eastAsia="PMingLiU" w:hAnsi="PMingLiU"/>
          <w:sz w:val="18"/>
          <w:szCs w:val="18"/>
          <w:color w:val="auto"/>
        </w:rPr>
        <w:t/>
      </w:r>
      <w:r>
        <w:rPr>
          <w:rFonts w:ascii="Arial" w:cs="Arial" w:eastAsia="Arial" w:hAnsi="Arial"/>
          <w:sz w:val="18"/>
          <w:szCs w:val="18"/>
          <w:color w:val="auto"/>
        </w:rPr>
        <w:t xml:space="preserve"> ƃɽ</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 xml:space="preserve"> ǁʍǉ</w:t>
      </w:r>
      <w:r>
        <w:rPr>
          <w:rFonts w:ascii="PMingLiU" w:cs="PMingLiU" w:eastAsia="PMingLiU" w:hAnsi="PMingLiU"/>
          <w:sz w:val="18"/>
          <w:szCs w:val="18"/>
          <w:color w:val="auto"/>
        </w:rPr>
        <w:t/>
      </w:r>
      <w:r>
        <w:rPr>
          <w:rFonts w:ascii="Arial" w:cs="Arial" w:eastAsia="Arial" w:hAnsi="Arial"/>
          <w:sz w:val="18"/>
          <w:szCs w:val="18"/>
          <w:color w:val="auto"/>
        </w:rPr>
        <w:t xml:space="preserve"> ɥɨȈȴƃɨȈȢʰ</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ƃƺɧʍȈɰȈɽȈɁȶɰ</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organic growth in our software segments.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Pr>
          <w:p>
            <w:pPr>
              <w:spacing w:after="0"/>
              <w:rPr>
                <w:sz w:val="20"/>
                <w:szCs w:val="20"/>
                <w:color w:val="auto"/>
              </w:rPr>
            </w:pPr>
          </w:p>
        </w:tc>
        <w:tc>
          <w:tcPr>
            <w:tcW w:w="2300" w:type="dxa"/>
            <w:vAlign w:val="bottom"/>
            <w:tcBorders>
              <w:bottom w:val="single" w:sz="8" w:color="000041"/>
            </w:tcBorders>
            <w:gridSpan w:val="2"/>
          </w:tcPr>
          <w:p>
            <w:pPr>
              <w:jc w:val="right"/>
              <w:spacing w:after="0"/>
              <w:rPr>
                <w:sz w:val="20"/>
                <w:szCs w:val="20"/>
                <w:color w:val="auto"/>
              </w:rPr>
            </w:pPr>
            <w:r>
              <w:rPr>
                <w:rFonts w:ascii="Arial" w:cs="Arial" w:eastAsia="Arial" w:hAnsi="Arial"/>
                <w:sz w:val="16"/>
                <w:szCs w:val="16"/>
                <w:color w:val="auto"/>
              </w:rPr>
              <w:t>Backlog as of December 31,</w:t>
            </w:r>
          </w:p>
        </w:tc>
        <w:tc>
          <w:tcPr>
            <w:tcW w:w="1220" w:type="dxa"/>
            <w:vAlign w:val="bottom"/>
          </w:tcPr>
          <w:p>
            <w:pPr>
              <w:spacing w:after="0"/>
              <w:rPr>
                <w:sz w:val="20"/>
                <w:szCs w:val="20"/>
                <w:color w:val="auto"/>
              </w:rPr>
            </w:pPr>
          </w:p>
        </w:tc>
      </w:tr>
      <w:tr>
        <w:trPr>
          <w:trHeight w:val="265"/>
        </w:trPr>
        <w:tc>
          <w:tcPr>
            <w:tcW w:w="680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ԝ</w:t>
            </w:r>
          </w:p>
        </w:tc>
        <w:tc>
          <w:tcPr>
            <w:tcW w:w="1300" w:type="dxa"/>
            <w:vAlign w:val="bottom"/>
            <w:tcBorders>
              <w:bottom w:val="single" w:sz="8" w:color="000041"/>
            </w:tcBorders>
          </w:tcPr>
          <w:p>
            <w:pPr>
              <w:jc w:val="right"/>
              <w:ind w:right="280"/>
              <w:spacing w:after="0"/>
              <w:rPr>
                <w:sz w:val="20"/>
                <w:szCs w:val="20"/>
                <w:color w:val="auto"/>
              </w:rPr>
            </w:pPr>
            <w:r>
              <w:rPr>
                <w:rFonts w:ascii="Arial" w:cs="Arial" w:eastAsia="Arial" w:hAnsi="Arial"/>
                <w:sz w:val="16"/>
                <w:szCs w:val="16"/>
                <w:color w:val="auto"/>
              </w:rPr>
              <w:t>2025</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2024</w:t>
            </w:r>
          </w:p>
        </w:tc>
        <w:tc>
          <w:tcPr>
            <w:tcW w:w="1220" w:type="dxa"/>
            <w:vAlign w:val="bottom"/>
            <w:tcBorders>
              <w:bottom w:val="single" w:sz="8" w:color="000041"/>
            </w:tcBorders>
          </w:tcPr>
          <w:p>
            <w:pPr>
              <w:jc w:val="right"/>
              <w:ind w:right="160"/>
              <w:spacing w:after="0"/>
              <w:rPr>
                <w:sz w:val="20"/>
                <w:szCs w:val="20"/>
                <w:color w:val="auto"/>
              </w:rPr>
            </w:pPr>
            <w:r>
              <w:rPr>
                <w:rFonts w:ascii="Arial" w:cs="Arial" w:eastAsia="Arial" w:hAnsi="Arial"/>
                <w:sz w:val="16"/>
                <w:szCs w:val="16"/>
                <w:color w:val="auto"/>
              </w:rPr>
              <w:t>Change</w:t>
            </w:r>
          </w:p>
        </w:tc>
      </w:tr>
      <w:tr>
        <w:trPr>
          <w:trHeight w:val="219"/>
        </w:trPr>
        <w:tc>
          <w:tcPr>
            <w:tcW w:w="6800" w:type="dxa"/>
            <w:vAlign w:val="bottom"/>
          </w:tcPr>
          <w:p>
            <w:pPr>
              <w:spacing w:after="0"/>
              <w:rPr>
                <w:sz w:val="20"/>
                <w:szCs w:val="20"/>
                <w:color w:val="auto"/>
              </w:rPr>
            </w:pPr>
            <w:r>
              <w:rPr>
                <w:rFonts w:ascii="Arial" w:cs="Arial" w:eastAsia="Arial" w:hAnsi="Arial"/>
                <w:sz w:val="16"/>
                <w:szCs w:val="16"/>
                <w:color w:val="auto"/>
              </w:rPr>
              <w:t>Application Software</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$2,533.2</w:t>
            </w:r>
          </w:p>
        </w:tc>
        <w:tc>
          <w:tcPr>
            <w:tcW w:w="1000" w:type="dxa"/>
            <w:vAlign w:val="bottom"/>
          </w:tcPr>
          <w:p>
            <w:pPr>
              <w:jc w:val="right"/>
              <w:spacing w:after="0"/>
              <w:rPr>
                <w:sz w:val="20"/>
                <w:szCs w:val="20"/>
                <w:color w:val="auto"/>
              </w:rPr>
            </w:pPr>
            <w:r>
              <w:rPr>
                <w:rFonts w:ascii="Arial" w:cs="Arial" w:eastAsia="Arial" w:hAnsi="Arial"/>
                <w:sz w:val="16"/>
                <w:szCs w:val="16"/>
                <w:color w:val="auto"/>
              </w:rPr>
              <w:t>$2,274.6</w:t>
            </w:r>
          </w:p>
        </w:tc>
        <w:tc>
          <w:tcPr>
            <w:tcW w:w="12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00"/>
        </w:trPr>
        <w:tc>
          <w:tcPr>
            <w:tcW w:w="6800" w:type="dxa"/>
            <w:vAlign w:val="bottom"/>
          </w:tcPr>
          <w:p>
            <w:pPr>
              <w:spacing w:after="0"/>
              <w:rPr>
                <w:sz w:val="20"/>
                <w:szCs w:val="20"/>
                <w:color w:val="auto"/>
              </w:rPr>
            </w:pPr>
            <w:r>
              <w:rPr>
                <w:rFonts w:ascii="Arial" w:cs="Arial" w:eastAsia="Arial" w:hAnsi="Arial"/>
                <w:sz w:val="16"/>
                <w:szCs w:val="16"/>
                <w:color w:val="auto"/>
              </w:rPr>
              <w:t>Network Software</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578.1</w:t>
            </w:r>
          </w:p>
        </w:tc>
        <w:tc>
          <w:tcPr>
            <w:tcW w:w="1000" w:type="dxa"/>
            <w:vAlign w:val="bottom"/>
          </w:tcPr>
          <w:p>
            <w:pPr>
              <w:jc w:val="right"/>
              <w:spacing w:after="0"/>
              <w:rPr>
                <w:sz w:val="20"/>
                <w:szCs w:val="20"/>
                <w:color w:val="auto"/>
              </w:rPr>
            </w:pPr>
            <w:r>
              <w:rPr>
                <w:rFonts w:ascii="Arial" w:cs="Arial" w:eastAsia="Arial" w:hAnsi="Arial"/>
                <w:sz w:val="16"/>
                <w:szCs w:val="16"/>
                <w:color w:val="auto"/>
              </w:rPr>
              <w:t>515.8</w:t>
            </w: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41"/>
        </w:trPr>
        <w:tc>
          <w:tcPr>
            <w:tcW w:w="680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Technology Enabled Products</w:t>
            </w:r>
          </w:p>
        </w:tc>
        <w:tc>
          <w:tcPr>
            <w:tcW w:w="1300" w:type="dxa"/>
            <w:vAlign w:val="bottom"/>
            <w:tcBorders>
              <w:bottom w:val="single" w:sz="8" w:color="000041"/>
            </w:tcBorders>
          </w:tcPr>
          <w:p>
            <w:pPr>
              <w:jc w:val="right"/>
              <w:ind w:right="280"/>
              <w:spacing w:after="0"/>
              <w:rPr>
                <w:sz w:val="20"/>
                <w:szCs w:val="20"/>
                <w:color w:val="auto"/>
              </w:rPr>
            </w:pPr>
            <w:r>
              <w:rPr>
                <w:rFonts w:ascii="Arial" w:cs="Arial" w:eastAsia="Arial" w:hAnsi="Arial"/>
                <w:sz w:val="16"/>
                <w:szCs w:val="16"/>
                <w:color w:val="auto"/>
              </w:rPr>
              <w:t>313.3</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315.0</w:t>
            </w:r>
          </w:p>
        </w:tc>
        <w:tc>
          <w:tcPr>
            <w:tcW w:w="122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(0.5)%</w:t>
            </w:r>
          </w:p>
        </w:tc>
      </w:tr>
      <w:tr>
        <w:trPr>
          <w:trHeight w:val="269"/>
        </w:trPr>
        <w:tc>
          <w:tcPr>
            <w:tcW w:w="6800" w:type="dxa"/>
            <w:vAlign w:val="bottom"/>
            <w:tcBorders>
              <w:bottom w:val="single" w:sz="8" w:color="000041"/>
            </w:tcBorders>
          </w:tcPr>
          <w:p>
            <w:pPr>
              <w:ind w:left="16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000041"/>
            </w:tcBorders>
          </w:tcPr>
          <w:p>
            <w:pPr>
              <w:jc w:val="right"/>
              <w:ind w:right="280"/>
              <w:spacing w:after="0"/>
              <w:rPr>
                <w:sz w:val="20"/>
                <w:szCs w:val="20"/>
                <w:color w:val="auto"/>
              </w:rPr>
            </w:pPr>
            <w:r>
              <w:rPr>
                <w:rFonts w:ascii="Arial" w:cs="Arial" w:eastAsia="Arial" w:hAnsi="Arial"/>
                <w:sz w:val="16"/>
                <w:szCs w:val="16"/>
                <w:color w:val="auto"/>
              </w:rPr>
              <w:t>$3,424.6</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$3,105.4</w:t>
            </w:r>
          </w:p>
        </w:tc>
        <w:tc>
          <w:tcPr>
            <w:tcW w:w="1220" w:type="dxa"/>
            <w:vAlign w:val="bottom"/>
            <w:tcBorders>
              <w:bottom w:val="single" w:sz="8" w:color="000041"/>
            </w:tcBorders>
          </w:tcPr>
          <w:p>
            <w:pPr>
              <w:jc w:val="right"/>
              <w:spacing w:after="0"/>
              <w:rPr>
                <w:sz w:val="20"/>
                <w:szCs w:val="20"/>
                <w:color w:val="auto"/>
              </w:rPr>
            </w:pPr>
            <w:r>
              <w:rPr>
                <w:rFonts w:ascii="Arial" w:cs="Arial" w:eastAsia="Arial" w:hAnsi="Arial"/>
                <w:sz w:val="16"/>
                <w:szCs w:val="16"/>
                <w:color w:val="auto"/>
              </w:rPr>
              <w:t>10.3%</w:t>
            </w:r>
          </w:p>
        </w:tc>
      </w:tr>
    </w:tbl>
    <w:p>
      <w:pPr>
        <w:spacing w:after="0" w:line="200" w:lineRule="exact"/>
        <w:rPr>
          <w:sz w:val="20"/>
          <w:szCs w:val="20"/>
          <w:color w:val="auto"/>
        </w:rPr>
      </w:pPr>
    </w:p>
    <w:p>
      <w:pPr>
        <w:sectPr>
          <w:pgSz w:w="12240" w:h="15840" w:orient="portrait"/>
          <w:cols w:equalWidth="0" w:num="1">
            <w:col w:w="10380"/>
          </w:cols>
          <w:pgMar w:left="960" w:top="935" w:right="900" w:bottom="90" w:gutter="0" w:footer="0" w:header="0"/>
        </w:sectPr>
      </w:pPr>
    </w:p>
    <w:p>
      <w:pPr>
        <w:spacing w:after="0" w:line="201"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29</w:t>
      </w:r>
    </w:p>
    <w:p>
      <w:pPr>
        <w:sectPr>
          <w:pgSz w:w="12240" w:h="15840" w:orient="portrait"/>
          <w:cols w:equalWidth="0" w:num="1">
            <w:col w:w="10380"/>
          </w:cols>
          <w:pgMar w:left="960" w:top="935" w:right="900" w:bottom="9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FINANCIAL CONDITION, 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000041"/>
        </w:rPr>
        <w:t>AMOUNTS ARE IN MILLIONS UNLESS SPECIFIED, EXCEPT PER SHARE DATA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Selected cash flows for the years ended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ԝ</w:t>
            </w:r>
          </w:p>
        </w:tc>
        <w:tc>
          <w:tcPr>
            <w:tcW w:w="4100" w:type="dxa"/>
            <w:vAlign w:val="bottom"/>
            <w:tcBorders>
              <w:bottom w:val="single" w:sz="8" w:color="000041"/>
            </w:tcBorders>
          </w:tcPr>
          <w:p>
            <w:pPr>
              <w:jc w:val="right"/>
              <w:ind w:right="180"/>
              <w:spacing w:after="0"/>
              <w:rPr>
                <w:sz w:val="20"/>
                <w:szCs w:val="20"/>
                <w:color w:val="auto"/>
              </w:rPr>
            </w:pPr>
            <w:r>
              <w:rPr>
                <w:rFonts w:ascii="Arial" w:cs="Arial" w:eastAsia="Arial" w:hAnsi="Arial"/>
                <w:sz w:val="16"/>
                <w:szCs w:val="16"/>
                <w:color w:val="auto"/>
              </w:rPr>
              <w:t>2025</w:t>
            </w:r>
          </w:p>
        </w:tc>
        <w:tc>
          <w:tcPr>
            <w:tcW w:w="1020" w:type="dxa"/>
            <w:vAlign w:val="bottom"/>
            <w:tcBorders>
              <w:bottom w:val="single" w:sz="8" w:color="000041"/>
            </w:tcBorders>
          </w:tcPr>
          <w:p>
            <w:pPr>
              <w:jc w:val="right"/>
              <w:ind w:right="40"/>
              <w:spacing w:after="0"/>
              <w:rPr>
                <w:sz w:val="20"/>
                <w:szCs w:val="20"/>
                <w:color w:val="auto"/>
              </w:rPr>
            </w:pPr>
            <w:r>
              <w:rPr>
                <w:rFonts w:ascii="Arial" w:cs="Arial" w:eastAsia="Arial" w:hAnsi="Arial"/>
                <w:sz w:val="16"/>
                <w:szCs w:val="16"/>
                <w:color w:val="auto"/>
              </w:rPr>
              <w:t>2024</w:t>
            </w:r>
          </w:p>
        </w:tc>
      </w:tr>
      <w:tr>
        <w:trPr>
          <w:trHeight w:val="219"/>
        </w:trPr>
        <w:tc>
          <w:tcPr>
            <w:tcW w:w="5200" w:type="dxa"/>
            <w:vAlign w:val="bottom"/>
          </w:tcPr>
          <w:p>
            <w:pPr>
              <w:spacing w:after="0"/>
              <w:rPr>
                <w:sz w:val="20"/>
                <w:szCs w:val="20"/>
                <w:color w:val="auto"/>
              </w:rPr>
            </w:pPr>
            <w:r>
              <w:rPr>
                <w:rFonts w:ascii="Arial" w:cs="Arial" w:eastAsia="Arial" w:hAnsi="Arial"/>
                <w:sz w:val="16"/>
                <w:szCs w:val="16"/>
                <w:color w:val="auto"/>
              </w:rPr>
              <w:t>Cash provided by (used in):</w:t>
            </w:r>
          </w:p>
        </w:tc>
        <w:tc>
          <w:tcPr>
            <w:tcW w:w="4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0"/>
        </w:trPr>
        <w:tc>
          <w:tcPr>
            <w:tcW w:w="5200" w:type="dxa"/>
            <w:vAlign w:val="bottom"/>
          </w:tcPr>
          <w:p>
            <w:pPr>
              <w:ind w:left="160"/>
              <w:spacing w:after="0"/>
              <w:rPr>
                <w:sz w:val="20"/>
                <w:szCs w:val="20"/>
                <w:color w:val="auto"/>
              </w:rPr>
            </w:pPr>
            <w:r>
              <w:rPr>
                <w:rFonts w:ascii="Arial" w:cs="Arial" w:eastAsia="Arial" w:hAnsi="Arial"/>
                <w:sz w:val="16"/>
                <w:szCs w:val="16"/>
                <w:color w:val="auto"/>
              </w:rPr>
              <w:t>Operating activities</w:t>
            </w:r>
          </w:p>
        </w:tc>
        <w:tc>
          <w:tcPr>
            <w:tcW w:w="4100" w:type="dxa"/>
            <w:vAlign w:val="bottom"/>
          </w:tcPr>
          <w:p>
            <w:pPr>
              <w:jc w:val="right"/>
              <w:ind w:right="180"/>
              <w:spacing w:after="0"/>
              <w:rPr>
                <w:sz w:val="20"/>
                <w:szCs w:val="20"/>
                <w:color w:val="auto"/>
              </w:rPr>
            </w:pPr>
            <w:r>
              <w:rPr>
                <w:rFonts w:ascii="Arial" w:cs="Arial" w:eastAsia="Arial" w:hAnsi="Arial"/>
                <w:sz w:val="16"/>
                <w:szCs w:val="16"/>
                <w:color w:val="auto"/>
              </w:rPr>
              <w:t>$ 2,540.3</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$ 2,393.2</w:t>
            </w:r>
          </w:p>
        </w:tc>
      </w:tr>
      <w:tr>
        <w:trPr>
          <w:trHeight w:val="210"/>
        </w:trPr>
        <w:tc>
          <w:tcPr>
            <w:tcW w:w="5200" w:type="dxa"/>
            <w:vAlign w:val="bottom"/>
          </w:tcPr>
          <w:p>
            <w:pPr>
              <w:ind w:left="160"/>
              <w:spacing w:after="0"/>
              <w:rPr>
                <w:sz w:val="20"/>
                <w:szCs w:val="20"/>
                <w:color w:val="auto"/>
              </w:rPr>
            </w:pPr>
            <w:r>
              <w:rPr>
                <w:rFonts w:ascii="Arial" w:cs="Arial" w:eastAsia="Arial" w:hAnsi="Arial"/>
                <w:sz w:val="16"/>
                <w:szCs w:val="16"/>
                <w:color w:val="auto"/>
              </w:rPr>
              <w:t>Investing activities</w:t>
            </w:r>
          </w:p>
        </w:tc>
        <w:tc>
          <w:tcPr>
            <w:tcW w:w="4100" w:type="dxa"/>
            <w:vAlign w:val="bottom"/>
          </w:tcPr>
          <w:p>
            <w:pPr>
              <w:jc w:val="right"/>
              <w:ind w:right="140"/>
              <w:spacing w:after="0"/>
              <w:rPr>
                <w:sz w:val="20"/>
                <w:szCs w:val="20"/>
                <w:color w:val="auto"/>
              </w:rPr>
            </w:pPr>
            <w:r>
              <w:rPr>
                <w:rFonts w:ascii="Arial" w:cs="Arial" w:eastAsia="Arial" w:hAnsi="Arial"/>
                <w:sz w:val="16"/>
                <w:szCs w:val="16"/>
                <w:color w:val="auto"/>
              </w:rPr>
              <w:t>$(3,388.0)</w:t>
            </w:r>
          </w:p>
        </w:tc>
        <w:tc>
          <w:tcPr>
            <w:tcW w:w="1020" w:type="dxa"/>
            <w:vAlign w:val="bottom"/>
          </w:tcPr>
          <w:p>
            <w:pPr>
              <w:jc w:val="right"/>
              <w:spacing w:after="0"/>
              <w:rPr>
                <w:sz w:val="20"/>
                <w:szCs w:val="20"/>
                <w:color w:val="auto"/>
              </w:rPr>
            </w:pPr>
            <w:r>
              <w:rPr>
                <w:rFonts w:ascii="Arial" w:cs="Arial" w:eastAsia="Arial" w:hAnsi="Arial"/>
                <w:sz w:val="16"/>
                <w:szCs w:val="16"/>
                <w:color w:val="auto"/>
              </w:rPr>
              <w:t>$(3,468.5)</w:t>
            </w:r>
          </w:p>
        </w:tc>
      </w:tr>
      <w:tr>
        <w:trPr>
          <w:trHeight w:val="245"/>
        </w:trPr>
        <w:tc>
          <w:tcPr>
            <w:tcW w:w="5200" w:type="dxa"/>
            <w:vAlign w:val="bottom"/>
            <w:tcBorders>
              <w:bottom w:val="single" w:sz="8" w:color="000041"/>
            </w:tcBorders>
          </w:tcPr>
          <w:p>
            <w:pPr>
              <w:ind w:left="160"/>
              <w:spacing w:after="0"/>
              <w:rPr>
                <w:sz w:val="20"/>
                <w:szCs w:val="20"/>
                <w:color w:val="auto"/>
              </w:rPr>
            </w:pPr>
            <w:r>
              <w:rPr>
                <w:rFonts w:ascii="Arial" w:cs="Arial" w:eastAsia="Arial" w:hAnsi="Arial"/>
                <w:sz w:val="16"/>
                <w:szCs w:val="16"/>
                <w:color w:val="auto"/>
              </w:rPr>
              <w:t>Financing activities</w:t>
            </w:r>
          </w:p>
        </w:tc>
        <w:tc>
          <w:tcPr>
            <w:tcW w:w="4100" w:type="dxa"/>
            <w:vAlign w:val="bottom"/>
            <w:tcBorders>
              <w:bottom w:val="single" w:sz="8" w:color="000041"/>
            </w:tcBorders>
          </w:tcPr>
          <w:p>
            <w:pPr>
              <w:jc w:val="right"/>
              <w:ind w:right="180"/>
              <w:spacing w:after="0"/>
              <w:rPr>
                <w:sz w:val="20"/>
                <w:szCs w:val="20"/>
                <w:color w:val="auto"/>
              </w:rPr>
            </w:pPr>
            <w:r>
              <w:rPr>
                <w:rFonts w:ascii="Arial" w:cs="Arial" w:eastAsia="Arial" w:hAnsi="Arial"/>
                <w:sz w:val="16"/>
                <w:szCs w:val="16"/>
                <w:color w:val="auto"/>
              </w:rPr>
              <w:t>$923.6</w:t>
            </w:r>
          </w:p>
        </w:tc>
        <w:tc>
          <w:tcPr>
            <w:tcW w:w="1020" w:type="dxa"/>
            <w:vAlign w:val="bottom"/>
            <w:tcBorders>
              <w:bottom w:val="single" w:sz="8" w:color="000041"/>
            </w:tcBorders>
          </w:tcPr>
          <w:p>
            <w:pPr>
              <w:jc w:val="right"/>
              <w:ind w:right="40"/>
              <w:spacing w:after="0"/>
              <w:rPr>
                <w:sz w:val="20"/>
                <w:szCs w:val="20"/>
                <w:color w:val="auto"/>
              </w:rPr>
            </w:pPr>
            <w:r>
              <w:rPr>
                <w:rFonts w:ascii="Arial" w:cs="Arial" w:eastAsia="Arial" w:hAnsi="Arial"/>
                <w:sz w:val="16"/>
                <w:szCs w:val="16"/>
                <w:color w:val="auto"/>
              </w:rPr>
              <w:t>$ 1,069.5</w:t>
            </w:r>
          </w:p>
        </w:tc>
      </w:tr>
    </w:tbl>
    <w:p>
      <w:pPr>
        <w:spacing w:after="0" w:line="142"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Operating activities—Net cash provided by operating activities increased by 6% to $2,540.3 in 2025 as compared to $2,393.2 in 2024 due primarily to the change in net earnings before non-cash expenses, and a benefit to cash income taxes paid in connection with the repeal of the requirement to capitalize and amortize domestic R&amp;D expenditures under Internal Revenue Code Section 174 (“Section 174”) associated with the enactment of the One Big Beautiful Bill Act (the “OBBBA”). These increases were partially offset by less cash provided by net working capital primarily related to changes in the balances of accounts receivable and accrued expenses.</w:t>
      </w:r>
    </w:p>
    <w:p>
      <w:pPr>
        <w:spacing w:after="0" w:line="48" w:lineRule="exact"/>
        <w:rPr>
          <w:sz w:val="20"/>
          <w:szCs w:val="20"/>
          <w:color w:val="auto"/>
        </w:rPr>
      </w:pPr>
    </w:p>
    <w:p>
      <w:pPr>
        <w:jc w:val="both"/>
        <w:ind w:right="60"/>
        <w:spacing w:after="0" w:line="280" w:lineRule="auto"/>
        <w:rPr>
          <w:sz w:val="20"/>
          <w:szCs w:val="20"/>
          <w:color w:val="auto"/>
        </w:rPr>
      </w:pPr>
      <w:r>
        <w:rPr>
          <w:rFonts w:ascii="Arial" w:cs="Arial" w:eastAsia="Arial" w:hAnsi="Arial"/>
          <w:sz w:val="18"/>
          <w:szCs w:val="18"/>
          <w:color w:val="auto"/>
        </w:rPr>
        <w:t>Investing activities—Cash used in investing activities during 2025 was primarily for the acquisitions of CentralReach, Subsplash, Convoy, and Orchard Software. Cash used in investing activities during 2024 was primarily for business acquisitions, most notably Procare and Transact, partially offset by proceeds from the sale of our equity investment in Certinia.</w:t>
      </w:r>
    </w:p>
    <w:p>
      <w:pPr>
        <w:spacing w:after="0" w:line="265"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Financing activities—Cash provided by financing activities during 2025 was primarily from the issuance of $2,000.0 of senior notes in August 2025, net borrowings of $725.0 under our unsecured revolving credit facility, and net proceeds from stock-based compensation, partially offset by $1,000.0 of senior notes repaid at maturity, $500.0 in repurchases of our common stock, and dividend payments. Cash provided by financing activities during 2024 was primarily from the issuance of $2,000.0 of senior notes in August 2024 and net proceeds from stock-based compensation, partially offset by $500.0 of senior notes repaid at maturity, dividend payments, and $235.0 of net repayments on our unse-cured revolving credit facility.</w:t>
      </w:r>
    </w:p>
    <w:p>
      <w:pPr>
        <w:spacing w:after="0" w:line="273" w:lineRule="exact"/>
        <w:rPr>
          <w:sz w:val="20"/>
          <w:szCs w:val="20"/>
          <w:color w:val="auto"/>
        </w:rPr>
      </w:pPr>
    </w:p>
    <w:p>
      <w:pPr>
        <w:jc w:val="both"/>
        <w:ind w:right="60"/>
        <w:spacing w:after="0" w:line="229" w:lineRule="exact"/>
        <w:rPr>
          <w:sz w:val="20"/>
          <w:szCs w:val="20"/>
          <w:color w:val="auto"/>
        </w:rPr>
      </w:pPr>
      <w:r>
        <w:rPr>
          <w:rFonts w:ascii="Arial" w:cs="Arial" w:eastAsia="Arial" w:hAnsi="Arial"/>
          <w:sz w:val="18"/>
          <w:szCs w:val="18"/>
          <w:color w:val="auto"/>
        </w:rPr>
        <w:t xml:space="preserve">Net working capital—Net working capital (total current assets, excluding cash, less total current liabilities, excluding </w:t>
      </w:r>
      <w:r>
        <w:rPr>
          <w:rFonts w:ascii="Arial" w:cs="Arial" w:eastAsia="Arial" w:hAnsi="Arial"/>
          <w:sz w:val="18"/>
          <w:szCs w:val="18"/>
          <w:color w:val="auto"/>
        </w:rPr>
        <w:t>ǁǉƹɽ</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ȶǉǼƃɽȈʤǉ</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іӗјѝўӝќ</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ȶǉǼƃɽȈʤǉ</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іӗљјљӝћ</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ɥɨȈ</w:t>
      </w:r>
      <w:r>
        <w:rPr>
          <w:rFonts w:ascii="Arial" w:cs="Arial" w:eastAsia="Arial" w:hAnsi="Arial"/>
          <w:sz w:val="18"/>
          <w:szCs w:val="18"/>
          <w:color w:val="auto"/>
        </w:rPr>
        <w:t>-marily to an increase in accounts receivable, changes in tax-related balances, and an increase in prepaid expenses and other current assets, partially offset by increases in deferred revenue and other accrued liabilities. Consistent neg-ative net working capital demonstrates Roper’s continued focus on asset-light business models.</w:t>
      </w:r>
    </w:p>
    <w:p>
      <w:pPr>
        <w:spacing w:after="0" w:line="68" w:lineRule="exact"/>
        <w:rPr>
          <w:sz w:val="20"/>
          <w:szCs w:val="20"/>
          <w:color w:val="auto"/>
        </w:rPr>
      </w:pPr>
    </w:p>
    <w:p>
      <w:pPr>
        <w:jc w:val="both"/>
        <w:ind w:right="20"/>
        <w:spacing w:after="0" w:line="225" w:lineRule="exact"/>
        <w:rPr>
          <w:sz w:val="20"/>
          <w:szCs w:val="20"/>
          <w:color w:val="auto"/>
        </w:rPr>
      </w:pPr>
      <w:r>
        <w:rPr>
          <w:rFonts w:ascii="Arial" w:cs="Arial" w:eastAsia="Arial" w:hAnsi="Arial"/>
          <w:sz w:val="18"/>
          <w:szCs w:val="18"/>
          <w:color w:val="auto"/>
        </w:rPr>
        <w:t>Aǉƹɽ</w:t>
      </w:r>
      <w:r>
        <w:rPr>
          <w:rFonts w:ascii="Arial" w:cs="Arial" w:eastAsia="Arial" w:hAnsi="Arial"/>
          <w:sz w:val="18"/>
          <w:szCs w:val="18"/>
          <w:color w:val="auto"/>
        </w:rPr>
        <w:t>Ӵ</w:t>
      </w:r>
      <w:r>
        <w:rPr>
          <w:rFonts w:ascii="Arial" w:cs="Arial" w:eastAsia="Arial" w:hAnsi="Arial"/>
          <w:sz w:val="18"/>
          <w:szCs w:val="18"/>
          <w:color w:val="auto"/>
        </w:rPr>
        <w:t>ěɁɽƃȢ</w:t>
      </w:r>
      <w:r>
        <w:rPr>
          <w:rFonts w:ascii="PMingLiU" w:cs="PMingLiU" w:eastAsia="PMingLiU" w:hAnsi="PMingLiU"/>
          <w:sz w:val="18"/>
          <w:szCs w:val="18"/>
          <w:color w:val="auto"/>
        </w:rPr>
        <w:t/>
      </w:r>
      <w:r>
        <w:rPr>
          <w:rFonts w:ascii="Arial" w:cs="Arial" w:eastAsia="Arial" w:hAnsi="Arial"/>
          <w:sz w:val="18"/>
          <w:szCs w:val="18"/>
          <w:color w:val="auto"/>
        </w:rPr>
        <w:t>ǁǉƹɽ</w:t>
      </w:r>
      <w:r>
        <w:rPr>
          <w:rFonts w:ascii="PMingLiU" w:cs="PMingLiU" w:eastAsia="PMingLiU" w:hAnsi="PMingLiU"/>
          <w:sz w:val="18"/>
          <w:szCs w:val="18"/>
          <w:color w:val="auto"/>
        </w:rPr>
        <w:t/>
      </w:r>
      <w:r>
        <w:rPr>
          <w:rFonts w:ascii="Arial" w:cs="Arial" w:eastAsia="Arial" w:hAnsi="Arial"/>
          <w:sz w:val="18"/>
          <w:szCs w:val="18"/>
          <w:color w:val="auto"/>
        </w:rPr>
        <w:t>ǉʯƺȢʍǁȈȶǼ</w:t>
      </w:r>
      <w:r>
        <w:rPr>
          <w:rFonts w:ascii="PMingLiU" w:cs="PMingLiU" w:eastAsia="PMingLiU" w:hAnsi="PMingLiU"/>
          <w:sz w:val="18"/>
          <w:szCs w:val="18"/>
          <w:color w:val="auto"/>
        </w:rPr>
        <w:t/>
      </w:r>
      <w:r>
        <w:rPr>
          <w:rFonts w:ascii="Arial" w:cs="Arial" w:eastAsia="Arial" w:hAnsi="Arial"/>
          <w:sz w:val="18"/>
          <w:szCs w:val="18"/>
          <w:color w:val="auto"/>
        </w:rPr>
        <w:t>ʍȶƃȴɁɨɽȈ˃ǉǁ</w:t>
      </w:r>
      <w:r>
        <w:rPr>
          <w:rFonts w:ascii="PMingLiU" w:cs="PMingLiU" w:eastAsia="PMingLiU" w:hAnsi="PMingLiU"/>
          <w:sz w:val="18"/>
          <w:szCs w:val="18"/>
          <w:color w:val="auto"/>
        </w:rPr>
        <w:t/>
      </w:r>
      <w:r>
        <w:rPr>
          <w:rFonts w:ascii="Arial" w:cs="Arial" w:eastAsia="Arial" w:hAnsi="Arial"/>
          <w:sz w:val="18"/>
          <w:szCs w:val="18"/>
          <w:color w:val="auto"/>
        </w:rPr>
        <w:t>ǁǉƹɽ</w:t>
      </w:r>
      <w:r>
        <w:rPr>
          <w:rFonts w:ascii="PMingLiU" w:cs="PMingLiU" w:eastAsia="PMingLiU" w:hAnsi="PMingLiU"/>
          <w:sz w:val="18"/>
          <w:szCs w:val="18"/>
          <w:color w:val="auto"/>
        </w:rPr>
        <w:t/>
      </w:r>
      <w:r>
        <w:rPr>
          <w:rFonts w:ascii="Arial" w:cs="Arial" w:eastAsia="Arial" w:hAnsi="Arial"/>
          <w:sz w:val="18"/>
          <w:szCs w:val="18"/>
          <w:color w:val="auto"/>
        </w:rPr>
        <w:t>Ȉɰɰʍƃȶƺǉ</w:t>
      </w:r>
      <w:r>
        <w:rPr>
          <w:rFonts w:ascii="PMingLiU" w:cs="PMingLiU" w:eastAsia="PMingLiU" w:hAnsi="PMingLiU"/>
          <w:sz w:val="18"/>
          <w:szCs w:val="18"/>
          <w:color w:val="auto"/>
        </w:rPr>
        <w:t/>
      </w:r>
      <w:r>
        <w:rPr>
          <w:rFonts w:ascii="Arial" w:cs="Arial" w:eastAsia="Arial" w:hAnsi="Arial"/>
          <w:sz w:val="18"/>
          <w:szCs w:val="18"/>
          <w:color w:val="auto"/>
        </w:rPr>
        <w:t>ƺɁɰɽɰ</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ўӗјњњӝў</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ӯјїӝѕ</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ɽɁɽƃȢ</w:t>
      </w:r>
      <w:r>
        <w:rPr>
          <w:rFonts w:ascii="PMingLiU" w:cs="PMingLiU" w:eastAsia="PMingLiU" w:hAnsi="PMingLiU"/>
          <w:sz w:val="18"/>
          <w:szCs w:val="18"/>
          <w:color w:val="auto"/>
        </w:rPr>
        <w:t/>
      </w:r>
      <w:r>
        <w:rPr>
          <w:rFonts w:ascii="Arial" w:cs="Arial" w:eastAsia="Arial" w:hAnsi="Arial"/>
          <w:sz w:val="18"/>
          <w:szCs w:val="18"/>
          <w:color w:val="auto"/>
        </w:rPr>
        <w:t>ƺƃɥȈ</w:t>
      </w:r>
      <w:r>
        <w:rPr>
          <w:rFonts w:ascii="Arial" w:cs="Arial" w:eastAsia="Arial" w:hAnsi="Arial"/>
          <w:sz w:val="18"/>
          <w:szCs w:val="18"/>
          <w:color w:val="auto"/>
        </w:rPr>
        <w:t>-</w:t>
      </w:r>
      <w:r>
        <w:rPr>
          <w:rFonts w:ascii="Arial" w:cs="Arial" w:eastAsia="Arial" w:hAnsi="Arial"/>
          <w:sz w:val="18"/>
          <w:szCs w:val="18"/>
          <w:color w:val="auto"/>
        </w:rPr>
        <w:t>ɽƃȢ</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ќӗћћўӝї</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ӯїѝӝў</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ɽɁɽƃȢ</w:t>
      </w:r>
      <w:r>
        <w:rPr>
          <w:rFonts w:ascii="PMingLiU" w:cs="PMingLiU" w:eastAsia="PMingLiU" w:hAnsi="PMingLiU"/>
          <w:sz w:val="18"/>
          <w:szCs w:val="18"/>
          <w:color w:val="auto"/>
        </w:rPr>
        <w:t/>
      </w:r>
      <w:r>
        <w:rPr>
          <w:rFonts w:ascii="Arial" w:cs="Arial" w:eastAsia="Arial" w:hAnsi="Arial"/>
          <w:sz w:val="18"/>
          <w:szCs w:val="18"/>
          <w:color w:val="auto"/>
        </w:rPr>
        <w:t>ƺƃɥȈɽƃȢ</w:t>
      </w:r>
      <w:r>
        <w:rPr>
          <w:rFonts w:ascii="Arial" w:cs="Arial" w:eastAsia="Arial" w:hAnsi="Arial"/>
          <w:sz w:val="18"/>
          <w:szCs w:val="18"/>
          <w:color w:val="auto"/>
        </w:rPr>
        <w:t>Ӱӝ</w:t>
      </w:r>
      <w:r>
        <w:rPr>
          <w:rFonts w:ascii="PMingLiU" w:cs="PMingLiU" w:eastAsia="PMingLiU" w:hAnsi="PMingLiU"/>
          <w:sz w:val="18"/>
          <w:szCs w:val="18"/>
          <w:color w:val="auto"/>
        </w:rPr>
        <w:t/>
      </w:r>
      <w:r>
        <w:rPr>
          <w:rFonts w:ascii="Arial" w:cs="Arial" w:eastAsia="Arial" w:hAnsi="Arial"/>
          <w:sz w:val="18"/>
          <w:szCs w:val="18"/>
          <w:color w:val="auto"/>
        </w:rPr>
        <w:t>Ýʍɨ</w:t>
      </w:r>
      <w:r>
        <w:rPr>
          <w:rFonts w:ascii="PMingLiU" w:cs="PMingLiU" w:eastAsia="PMingLiU" w:hAnsi="PMingLiU"/>
          <w:sz w:val="18"/>
          <w:szCs w:val="18"/>
          <w:color w:val="auto"/>
        </w:rPr>
        <w:t/>
      </w:r>
      <w:r>
        <w:rPr>
          <w:rFonts w:ascii="Arial" w:cs="Arial" w:eastAsia="Arial" w:hAnsi="Arial"/>
          <w:sz w:val="18"/>
          <w:szCs w:val="18"/>
          <w:color w:val="auto"/>
        </w:rPr>
        <w:t>ɽɁɽƃȢ</w:t>
      </w:r>
      <w:r>
        <w:rPr>
          <w:rFonts w:ascii="PMingLiU" w:cs="PMingLiU" w:eastAsia="PMingLiU" w:hAnsi="PMingLiU"/>
          <w:sz w:val="18"/>
          <w:szCs w:val="18"/>
          <w:color w:val="auto"/>
        </w:rPr>
        <w:t/>
      </w:r>
      <w:r>
        <w:rPr>
          <w:rFonts w:ascii="Arial" w:cs="Arial" w:eastAsia="Arial" w:hAnsi="Arial"/>
          <w:sz w:val="18"/>
          <w:szCs w:val="18"/>
          <w:color w:val="auto"/>
        </w:rPr>
        <w:t>ǁǉƹɽ</w:t>
      </w:r>
      <w:r>
        <w:rPr>
          <w:rFonts w:ascii="PMingLiU" w:cs="PMingLiU" w:eastAsia="PMingLiU" w:hAnsi="PMingLiU"/>
          <w:sz w:val="18"/>
          <w:szCs w:val="18"/>
          <w:color w:val="auto"/>
        </w:rPr>
        <w:t/>
      </w:r>
      <w:r>
        <w:rPr>
          <w:rFonts w:ascii="Arial" w:cs="Arial" w:eastAsia="Arial" w:hAnsi="Arial"/>
          <w:sz w:val="18"/>
          <w:szCs w:val="18"/>
          <w:color w:val="auto"/>
        </w:rPr>
        <w:t>Ȉȶƺɨǉƃɰǉǁ</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Ȉɰɰʍƃȶƺǉ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їӗѕѕѕӝѕ</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ɰǉȶȈɁɨ</w:t>
      </w:r>
      <w:r>
        <w:rPr>
          <w:rFonts w:ascii="PMingLiU" w:cs="PMingLiU" w:eastAsia="PMingLiU" w:hAnsi="PMingLiU"/>
          <w:sz w:val="18"/>
          <w:szCs w:val="18"/>
          <w:color w:val="auto"/>
        </w:rPr>
        <w:t/>
      </w:r>
      <w:r>
        <w:rPr>
          <w:rFonts w:ascii="Arial" w:cs="Arial" w:eastAsia="Arial" w:hAnsi="Arial"/>
          <w:sz w:val="18"/>
          <w:szCs w:val="18"/>
          <w:color w:val="auto"/>
        </w:rPr>
        <w:t>ȶɁɽǉɰ</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ʍǼʍɰɽ</w:t>
      </w:r>
      <w:r>
        <w:rPr>
          <w:rFonts w:ascii="PMingLiU" w:cs="PMingLiU" w:eastAsia="PMingLiU" w:hAnsi="PMingLiU"/>
          <w:sz w:val="18"/>
          <w:szCs w:val="18"/>
          <w:color w:val="auto"/>
        </w:rPr>
        <w:t/>
      </w:r>
      <w:r>
        <w:rPr>
          <w:rFonts w:ascii="Arial" w:cs="Arial" w:eastAsia="Arial" w:hAnsi="Arial"/>
          <w:sz w:val="18"/>
          <w:szCs w:val="18"/>
          <w:color w:val="auto"/>
        </w:rPr>
        <w:t xml:space="preserve"> їѕїњӗ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and $725.0 of net borrowings under our unsecured revolving credit facility, partially offset by $1,000.0 of senior notes repaid at maturity. The net proceeds from the issuance of senior notes were used to repay a portion of the borrowings outstanding under our unsecured credit facility associated with our 2025 acquisitions, as well as to repay a portion of the senior notes due in September 2025. The remaining portion of senior notes due in September 2025 and the senior notes due in December 2025 were repaid using borrowings under our unsecured credit facility.</w:t>
      </w:r>
    </w:p>
    <w:p>
      <w:pPr>
        <w:spacing w:after="0" w:line="7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July 21, 2022, we entered into a five-year unsecured credit facility (the “Credit Agreement”) among Roper, the finan-cial institutions from time to time party thereto, JPMorgan Chase Bank, N.A., as administrative agent, Bank of America, N.A. and Wells Fargo Bank, N.A., as syndication agents, and Mizuho Bank, Ltd., MUFG Bank, Ltd., PNC Bank, National Association, TD Bank, N.A., Truist Bank, and U.S. Bank, National Association, as documentation agents, which replaced the previous $3,000.0 unsecured credit facility, dated as of September 2, 2020, as amended. The Credit Agreement comprises a five-year $3,500.0 revolving credit facility, which includes availability of up to $150.0 for letters of credit. We may also, subject to compliance with specified conditions, request additional term loans or revolving credit com-mitments in an aggregate amount not to exceed $500.0.</w:t>
      </w:r>
    </w:p>
    <w:p>
      <w:pPr>
        <w:spacing w:after="0" w:line="48"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The Credit Agreement requires Roper to maintain a Total Debt to Total Capital Ratio (as defined in the Credit Agreement) of 0.65 to 1.00, or less. Borrowings under the Credit Agreement are prepayable at Roper’s option at any time in whole or in part without premium or penalty.</w:t>
      </w:r>
    </w:p>
    <w:p>
      <w:pPr>
        <w:spacing w:after="0" w:line="27" w:lineRule="exact"/>
        <w:rPr>
          <w:sz w:val="20"/>
          <w:szCs w:val="20"/>
          <w:color w:val="auto"/>
        </w:rPr>
      </w:pPr>
    </w:p>
    <w:p>
      <w:pPr>
        <w:jc w:val="both"/>
        <w:ind w:right="60"/>
        <w:spacing w:after="0" w:line="241" w:lineRule="exact"/>
        <w:rPr>
          <w:sz w:val="20"/>
          <w:szCs w:val="20"/>
          <w:color w:val="auto"/>
        </w:rPr>
      </w:pPr>
      <w:r>
        <w:rPr>
          <w:rFonts w:ascii="Arial" w:cs="Arial" w:eastAsia="Arial" w:hAnsi="Arial"/>
          <w:sz w:val="18"/>
          <w:szCs w:val="18"/>
          <w:color w:val="auto"/>
        </w:rPr>
        <w:t xml:space="preserve">We were in compliance with all debt covenants related to our unsecured credit facility throughout the years ended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їѕїљӝ</w:t>
      </w:r>
    </w:p>
    <w:p>
      <w:pPr>
        <w:spacing w:after="0" w:line="68" w:lineRule="exact"/>
        <w:rPr>
          <w:sz w:val="20"/>
          <w:szCs w:val="20"/>
          <w:color w:val="auto"/>
        </w:rPr>
      </w:pPr>
    </w:p>
    <w:p>
      <w:pPr>
        <w:jc w:val="both"/>
        <w:spacing w:after="0" w:line="230"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ʥǉ</w:t>
      </w:r>
      <w:r>
        <w:rPr>
          <w:rFonts w:ascii="PMingLiU" w:cs="PMingLiU" w:eastAsia="PMingLiU" w:hAnsi="PMingLiU"/>
          <w:sz w:val="18"/>
          <w:szCs w:val="18"/>
          <w:color w:val="auto"/>
        </w:rPr>
        <w:t/>
      </w:r>
      <w:r>
        <w:rPr>
          <w:rFonts w:ascii="Arial" w:cs="Arial" w:eastAsia="Arial" w:hAnsi="Arial"/>
          <w:sz w:val="18"/>
          <w:szCs w:val="18"/>
          <w:color w:val="auto"/>
        </w:rPr>
        <w:t xml:space="preserve"> ȃƃǁ</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ѝӗњѕѕӝѕ</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ɰǉȶȈɁɨ</w:t>
      </w:r>
      <w:r>
        <w:rPr>
          <w:rFonts w:ascii="PMingLiU" w:cs="PMingLiU" w:eastAsia="PMingLiU" w:hAnsi="PMingLiU"/>
          <w:sz w:val="18"/>
          <w:szCs w:val="18"/>
          <w:color w:val="auto"/>
        </w:rPr>
        <w:t/>
      </w:r>
      <w:r>
        <w:rPr>
          <w:rFonts w:ascii="Arial" w:cs="Arial" w:eastAsia="Arial" w:hAnsi="Arial"/>
          <w:sz w:val="18"/>
          <w:szCs w:val="18"/>
          <w:color w:val="auto"/>
        </w:rPr>
        <w:t xml:space="preserve"> ʍȶɰǉƺʍɨǉǁ</w:t>
      </w:r>
      <w:r>
        <w:rPr>
          <w:rFonts w:ascii="PMingLiU" w:cs="PMingLiU" w:eastAsia="PMingLiU" w:hAnsi="PMingLiU"/>
          <w:sz w:val="18"/>
          <w:szCs w:val="18"/>
          <w:color w:val="auto"/>
        </w:rPr>
        <w:t/>
      </w:r>
      <w:r>
        <w:rPr>
          <w:rFonts w:ascii="Arial" w:cs="Arial" w:eastAsia="Arial" w:hAnsi="Arial"/>
          <w:sz w:val="18"/>
          <w:szCs w:val="18"/>
          <w:color w:val="auto"/>
        </w:rPr>
        <w:t xml:space="preserve"> ȶɁɽǉɰ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ѝњѕӝѕ</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ƹɁɨɨɁʥȈȶǼɰ</w:t>
      </w:r>
      <w:r>
        <w:rPr>
          <w:rFonts w:ascii="PMingLiU" w:cs="PMingLiU" w:eastAsia="PMingLiU" w:hAnsi="PMingLiU"/>
          <w:sz w:val="18"/>
          <w:szCs w:val="18"/>
          <w:color w:val="auto"/>
        </w:rPr>
        <w:t/>
      </w:r>
      <w:r>
        <w:rPr>
          <w:rFonts w:ascii="Arial" w:cs="Arial" w:eastAsia="Arial" w:hAnsi="Arial"/>
          <w:sz w:val="18"/>
          <w:szCs w:val="18"/>
          <w:color w:val="auto"/>
        </w:rPr>
        <w:t xml:space="preserve"> ɁʍɽɰɽƃȶǁȈȶǼ</w:t>
      </w:r>
      <w:r>
        <w:rPr>
          <w:rFonts w:ascii="PMingLiU" w:cs="PMingLiU" w:eastAsia="PMingLiU" w:hAnsi="PMingLiU"/>
          <w:sz w:val="18"/>
          <w:szCs w:val="18"/>
          <w:color w:val="auto"/>
        </w:rPr>
        <w:t/>
      </w:r>
      <w:r>
        <w:rPr>
          <w:rFonts w:ascii="Arial" w:cs="Arial" w:eastAsia="Arial" w:hAnsi="Arial"/>
          <w:sz w:val="18"/>
          <w:szCs w:val="18"/>
          <w:color w:val="auto"/>
        </w:rPr>
        <w:t xml:space="preserve"> ʍȶǁǉɨ</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 xml:space="preserve"> ʍȶɰǉƺʍɨǉǁ</w:t>
      </w:r>
      <w:r>
        <w:rPr>
          <w:rFonts w:ascii="PMingLiU" w:cs="PMingLiU" w:eastAsia="PMingLiU" w:hAnsi="PMingLiU"/>
          <w:sz w:val="18"/>
          <w:szCs w:val="18"/>
          <w:color w:val="auto"/>
        </w:rPr>
        <w:t/>
      </w:r>
      <w:r>
        <w:rPr>
          <w:rFonts w:ascii="Arial" w:cs="Arial" w:eastAsia="Arial" w:hAnsi="Arial"/>
          <w:sz w:val="18"/>
          <w:szCs w:val="18"/>
          <w:color w:val="auto"/>
        </w:rPr>
        <w:t>ɨǉʤɁȢʤȈȶǼ</w:t>
      </w:r>
      <w:r>
        <w:rPr>
          <w:rFonts w:ascii="PMingLiU" w:cs="PMingLiU" w:eastAsia="PMingLiU" w:hAnsi="PMingLiU"/>
          <w:sz w:val="18"/>
          <w:szCs w:val="18"/>
          <w:color w:val="auto"/>
        </w:rPr>
        <w:t/>
      </w:r>
      <w:r>
        <w:rPr>
          <w:rFonts w:ascii="Arial" w:cs="Arial" w:eastAsia="Arial" w:hAnsi="Arial"/>
          <w:sz w:val="18"/>
          <w:szCs w:val="18"/>
          <w:color w:val="auto"/>
        </w:rPr>
        <w:t>ƺɨǉǁȈɽ</w:t>
      </w:r>
      <w:r>
        <w:rPr>
          <w:rFonts w:ascii="PMingLiU" w:cs="PMingLiU" w:eastAsia="PMingLiU" w:hAnsi="PMingLiU"/>
          <w:sz w:val="18"/>
          <w:szCs w:val="18"/>
          <w:color w:val="auto"/>
        </w:rPr>
        <w:t/>
      </w:r>
      <w:r>
        <w:rPr>
          <w:rFonts w:ascii="Arial" w:cs="Arial" w:eastAsia="Arial" w:hAnsi="Arial"/>
          <w:sz w:val="18"/>
          <w:szCs w:val="18"/>
          <w:color w:val="auto"/>
        </w:rPr>
        <w:t>ǹƃƺȈȢȈɽʰ</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ѝӝі</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ɁʍɽɰɽƃȶǁȈȶǼ</w:t>
      </w:r>
      <w:r>
        <w:rPr>
          <w:rFonts w:ascii="PMingLiU" w:cs="PMingLiU" w:eastAsia="PMingLiU" w:hAnsi="PMingLiU"/>
          <w:sz w:val="18"/>
          <w:szCs w:val="18"/>
          <w:color w:val="auto"/>
        </w:rPr>
        <w:t/>
      </w:r>
      <w:r>
        <w:rPr>
          <w:rFonts w:ascii="Arial" w:cs="Arial" w:eastAsia="Arial" w:hAnsi="Arial"/>
          <w:sz w:val="18"/>
          <w:szCs w:val="18"/>
          <w:color w:val="auto"/>
        </w:rPr>
        <w:t>Ȣǉɽɽǉɨɰ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ƺɨǉǁȈɽ</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ʥȃȈƺȃ</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ћӝї</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 xml:space="preserve"> ƺɁʤǉɨǉǁ</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ȢǉȶǁȈȶǼ</w:t>
      </w:r>
      <w:r>
        <w:rPr>
          <w:rFonts w:ascii="PMingLiU" w:cs="PMingLiU" w:eastAsia="PMingLiU" w:hAnsi="PMingLiU"/>
          <w:sz w:val="18"/>
          <w:szCs w:val="18"/>
          <w:color w:val="auto"/>
        </w:rPr>
        <w:t/>
      </w:r>
      <w:r>
        <w:rPr>
          <w:rFonts w:ascii="Arial" w:cs="Arial" w:eastAsia="Arial" w:hAnsi="Arial"/>
          <w:sz w:val="18"/>
          <w:szCs w:val="18"/>
          <w:color w:val="auto"/>
        </w:rPr>
        <w:t>ǼɨɁʍɥ</w:t>
      </w:r>
      <w:r>
        <w:rPr>
          <w:rFonts w:ascii="PMingLiU" w:cs="PMingLiU" w:eastAsia="PMingLiU" w:hAnsi="PMingLiU"/>
          <w:sz w:val="18"/>
          <w:szCs w:val="18"/>
          <w:color w:val="auto"/>
        </w:rPr>
        <w:t/>
      </w:r>
      <w:r>
        <w:rPr>
          <w:rFonts w:ascii="Arial" w:cs="Arial" w:eastAsia="Arial" w:hAnsi="Arial"/>
          <w:sz w:val="18"/>
          <w:szCs w:val="18"/>
          <w:color w:val="auto"/>
        </w:rPr>
        <w:t>ɽȃǉɨǉƹʰ</w:t>
      </w:r>
      <w:r>
        <w:rPr>
          <w:rFonts w:ascii="PMingLiU" w:cs="PMingLiU" w:eastAsia="PMingLiU" w:hAnsi="PMingLiU"/>
          <w:sz w:val="18"/>
          <w:szCs w:val="18"/>
          <w:color w:val="auto"/>
        </w:rPr>
        <w:t/>
      </w:r>
      <w:r>
        <w:rPr>
          <w:rFonts w:ascii="Arial" w:cs="Arial" w:eastAsia="Arial" w:hAnsi="Arial"/>
          <w:sz w:val="18"/>
          <w:szCs w:val="18"/>
          <w:color w:val="auto"/>
        </w:rPr>
        <w:t>ɨǉǁʍƺȈȶǼ</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ɨǉʤɁȢʤȈȶǼ</w:t>
      </w:r>
      <w:r>
        <w:rPr>
          <w:rFonts w:ascii="PMingLiU" w:cs="PMingLiU" w:eastAsia="PMingLiU" w:hAnsi="PMingLiU"/>
          <w:sz w:val="18"/>
          <w:szCs w:val="18"/>
          <w:color w:val="auto"/>
        </w:rPr>
        <w:t/>
      </w:r>
      <w:r>
        <w:rPr>
          <w:rFonts w:ascii="Arial" w:cs="Arial" w:eastAsia="Arial" w:hAnsi="Arial"/>
          <w:sz w:val="18"/>
          <w:szCs w:val="18"/>
          <w:color w:val="auto"/>
        </w:rPr>
        <w:t>ƺɨǉǁȈɽ</w:t>
      </w:r>
      <w:r>
        <w:rPr>
          <w:rFonts w:ascii="PMingLiU" w:cs="PMingLiU" w:eastAsia="PMingLiU" w:hAnsi="PMingLiU"/>
          <w:sz w:val="18"/>
          <w:szCs w:val="18"/>
          <w:color w:val="auto"/>
        </w:rPr>
        <w:t/>
      </w:r>
      <w:r>
        <w:rPr>
          <w:rFonts w:ascii="Arial" w:cs="Arial" w:eastAsia="Arial" w:hAnsi="Arial"/>
          <w:sz w:val="18"/>
          <w:szCs w:val="18"/>
          <w:color w:val="auto"/>
        </w:rPr>
        <w:t>ƺƃɥƃƺȈɽʰ</w:t>
      </w:r>
      <w:r>
        <w:rPr>
          <w:rFonts w:ascii="PMingLiU" w:cs="PMingLiU" w:eastAsia="PMingLiU" w:hAnsi="PMingLiU"/>
          <w:sz w:val="18"/>
          <w:szCs w:val="18"/>
          <w:color w:val="auto"/>
        </w:rPr>
        <w:t/>
      </w:r>
      <w:r>
        <w:rPr>
          <w:rFonts w:ascii="Arial" w:cs="Arial" w:eastAsia="Arial" w:hAnsi="Arial"/>
          <w:sz w:val="18"/>
          <w:szCs w:val="18"/>
          <w:color w:val="auto"/>
        </w:rPr>
        <w:t>ƺɁȴȴǉȶɰʍɨƃɽǉȢʰ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we also had $5.9 of other debt in the form of short-term borrowings and finance leases.</w:t>
      </w:r>
    </w:p>
    <w:p>
      <w:pPr>
        <w:sectPr>
          <w:pgSz w:w="12240" w:h="15840" w:orient="portrait"/>
          <w:cols w:equalWidth="0" w:num="1">
            <w:col w:w="10380"/>
          </w:cols>
          <w:pgMar w:left="960" w:top="926" w:right="900" w:bottom="90" w:gutter="0" w:footer="0" w:header="0"/>
        </w:sectPr>
      </w:pPr>
    </w:p>
    <w:p>
      <w:pPr>
        <w:spacing w:after="0" w:line="298"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30</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26" w:right="900" w:bottom="90" w:gutter="0" w:footer="0" w:header="0"/>
          <w:type w:val="continuous"/>
        </w:sectPr>
      </w:pPr>
    </w:p>
    <w:bookmarkStart w:id="32" w:name="page33"/>
    <w:bookmarkEnd w:id="32"/>
    <w:p>
      <w:pPr>
        <w:jc w:val="both"/>
        <w:ind w:right="6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We may redeem some or all of each outstanding series of senior notes at any time or from time to time, at 100% of their principal amount, plus a make-whole premium based on a spread to U.S. Treasury securities. We are also entitled to redeem some or all of each outstanding series of senior notes at 100% of their principal amount plus accrued and unpaid interest, on or after applicable dates in advance of maturity.</w:t>
      </w:r>
    </w:p>
    <w:p>
      <w:pPr>
        <w:spacing w:after="0" w:line="38" w:lineRule="exact"/>
        <w:rPr>
          <w:sz w:val="20"/>
          <w:szCs w:val="20"/>
          <w:color w:val="auto"/>
        </w:rPr>
      </w:pPr>
    </w:p>
    <w:p>
      <w:pPr>
        <w:jc w:val="both"/>
        <w:ind w:right="60"/>
        <w:spacing w:after="0" w:line="318" w:lineRule="auto"/>
        <w:rPr>
          <w:sz w:val="20"/>
          <w:szCs w:val="20"/>
          <w:color w:val="auto"/>
        </w:rPr>
      </w:pPr>
      <w:r>
        <w:rPr>
          <w:rFonts w:ascii="Arial" w:cs="Arial" w:eastAsia="Arial" w:hAnsi="Arial"/>
          <w:sz w:val="18"/>
          <w:szCs w:val="18"/>
          <w:color w:val="auto"/>
        </w:rPr>
        <w:t>See Note 8 of the Notes to Consolidated Financial Statements included in this Annual Report for additional informa-tion regarding our debt.</w:t>
      </w:r>
    </w:p>
    <w:p>
      <w:pPr>
        <w:spacing w:after="0" w:line="1"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Foreign cash, and cash equivalents—Cash and cash equivalents held at our foreign subsidiaries totaled $171.2 at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ƺɁȴɥƃɨǉǁ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іјѕӝѝ</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w:t>
      </w:r>
      <w:r>
        <w:rPr>
          <w:rFonts w:ascii="PMingLiU" w:cs="PMingLiU" w:eastAsia="PMingLiU" w:hAnsi="PMingLiU"/>
          <w:sz w:val="18"/>
          <w:szCs w:val="18"/>
          <w:color w:val="auto"/>
        </w:rPr>
        <w:t/>
      </w:r>
      <w:r>
        <w:rPr>
          <w:rFonts w:ascii="Arial" w:cs="Arial" w:eastAsia="Arial" w:hAnsi="Arial"/>
          <w:sz w:val="18"/>
          <w:szCs w:val="18"/>
          <w:color w:val="auto"/>
        </w:rPr>
        <w:t>Ȉȶƺɨǉƃɰǉ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јѕӝў</w:t>
      </w:r>
      <w:r>
        <w:rPr>
          <w:rFonts w:ascii="Arial" w:cs="Arial" w:eastAsia="Arial" w:hAnsi="Arial"/>
          <w:sz w:val="18"/>
          <w:szCs w:val="18"/>
          <w:color w:val="auto"/>
        </w:rPr>
        <w:t>Ր</w:t>
      </w:r>
      <w:r>
        <w:rPr>
          <w:rFonts w:ascii="Arial" w:cs="Arial" w:eastAsia="Arial" w:hAnsi="Arial"/>
          <w:sz w:val="18"/>
          <w:szCs w:val="18"/>
          <w:color w:val="auto"/>
        </w:rPr>
        <w:t>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Ȉȶƺɨǉƃɰǉ</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to cash generated at our foreign subsidiaries, partially offset by cash repatriation of $305.7. We intend to repatriate substantially all historical and future foreign earnings that can be repatriated without incremental U.S. federal tax cost.</w:t>
      </w:r>
    </w:p>
    <w:p>
      <w:pPr>
        <w:spacing w:after="0" w:line="70"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Capitalized expenditures—Capital expenditures were $47.4 and $66.0 during 2025 and 2024, respectively. Capitalized software expenditures were $57.3 and $45.0 during 2025 and 2024, respectively. Capital expenditures and capitalized software expenditures were relatively consistent as a percentage of annual net revenues in 2025 as compared to 2024. In the future, we expect the aggregate of capital expenditures and capitalized software expenditures as a percentage of annual net revenues to be between 1.0% and 1.5%.</w:t>
      </w:r>
    </w:p>
    <w:p>
      <w:pPr>
        <w:spacing w:after="0" w:line="41"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Tax legislation—The enactment of the OBBBA on July 4, 2025, introduced various tax reform provisions, including the repeal of the requirement to capitalize and amortize domestic R&amp;D expenditures under Section 174. The legislation includes multiple effective dates and, as enacted, did not have a material impact on our 2025 annual effective tax rate and is not expected to have a significant impact on our annual effective tax rate in future years. We continue to assess the broader impacts of the OBBBA.</w:t>
      </w:r>
    </w:p>
    <w:p>
      <w:pPr>
        <w:spacing w:after="0" w:line="268"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color w:val="auto"/>
        </w:rPr>
        <w:t>The OBBBA repealed the domestic capitalization of R&amp;D under Section 174, which resulted in a cash tax benefit of approximately $150 in 2025. The remaining cash tax benefit associated with the enactment of the OBBBA is expected to be utilized over the next three to five years. Management expects annual cash tax payments as a percentage of pre-tax earnings to be relatively consistent on a go-forward basis.</w:t>
      </w:r>
    </w:p>
    <w:p>
      <w:pPr>
        <w:spacing w:after="0" w:line="38"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Share repurchase program—In October 2025, our Board approved a share repurchase program for the repurchase of up to $3,000.0 of our common stock. During the fourth quarter of 2025, we repurchased 1.121 shares of our common stock for an aggregate purchase price of $500.0 and an average price paid per share of $445.87, excluding broker commissions and excise tax. As of December 31, 2025, $2,500.0 of the originally authorized amount under the share repurchase program remained available for future repurchases.</w:t>
      </w:r>
    </w:p>
    <w:p>
      <w:pPr>
        <w:spacing w:after="0" w:line="41"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color w:val="auto"/>
        </w:rPr>
        <w:t>From January 1, 2026 to February 20, 2026, we repurchased 3.723 shares of our common stock for an aggregate pur-chase price of $1,313.5 and an average price paid per share of $352.80, excluding broker commissions and excise tax. As of February 20, 2026, $1,186.5 of the originally authorized amount under the share repurchase program remained available for future repurchases.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000041"/>
        </w:rPr>
        <w:t>MATERIAL CONTRACTUAL CASH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000041"/>
        </w:rPr>
        <w:t>ALL CURRENCY AMOUNTS ARE IN MILLIONS</w:t>
      </w:r>
    </w:p>
    <w:p>
      <w:pPr>
        <w:spacing w:after="0" w:line="12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ǹɁȢȢɁʥȈȶǼ</w:t>
      </w:r>
      <w:r>
        <w:rPr>
          <w:rFonts w:ascii="PMingLiU" w:cs="PMingLiU" w:eastAsia="PMingLiU" w:hAnsi="PMingLiU"/>
          <w:sz w:val="18"/>
          <w:szCs w:val="18"/>
          <w:color w:val="auto"/>
        </w:rPr>
        <w:t/>
      </w:r>
      <w:r>
        <w:rPr>
          <w:rFonts w:ascii="Arial" w:cs="Arial" w:eastAsia="Arial" w:hAnsi="Arial"/>
          <w:sz w:val="18"/>
          <w:szCs w:val="18"/>
          <w:color w:val="auto"/>
        </w:rPr>
        <w:t>ɽƃƹȢǉ</w:t>
      </w:r>
      <w:r>
        <w:rPr>
          <w:rFonts w:ascii="PMingLiU" w:cs="PMingLiU" w:eastAsia="PMingLiU" w:hAnsi="PMingLiU"/>
          <w:sz w:val="18"/>
          <w:szCs w:val="18"/>
          <w:color w:val="auto"/>
        </w:rPr>
        <w:t/>
      </w:r>
      <w:r>
        <w:rPr>
          <w:rFonts w:ascii="Arial" w:cs="Arial" w:eastAsia="Arial" w:hAnsi="Arial"/>
          <w:sz w:val="18"/>
          <w:szCs w:val="18"/>
          <w:color w:val="auto"/>
        </w:rPr>
        <w:t>ɧʍƃȶɽȈǹȈǉɰ</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ȴƃɽǉɨȈƃȢ</w:t>
      </w:r>
      <w:r>
        <w:rPr>
          <w:rFonts w:ascii="PMingLiU" w:cs="PMingLiU" w:eastAsia="PMingLiU" w:hAnsi="PMingLiU"/>
          <w:sz w:val="18"/>
          <w:szCs w:val="18"/>
          <w:color w:val="auto"/>
        </w:rPr>
        <w:t/>
      </w:r>
      <w:r>
        <w:rPr>
          <w:rFonts w:ascii="Arial" w:cs="Arial" w:eastAsia="Arial" w:hAnsi="Arial"/>
          <w:sz w:val="18"/>
          <w:szCs w:val="18"/>
          <w:color w:val="auto"/>
        </w:rPr>
        <w:t>ƺɁȶɽɨƃƺɽʍƃȢ</w:t>
      </w:r>
      <w:r>
        <w:rPr>
          <w:rFonts w:ascii="PMingLiU" w:cs="PMingLiU" w:eastAsia="PMingLiU" w:hAnsi="PMingLiU"/>
          <w:sz w:val="18"/>
          <w:szCs w:val="18"/>
          <w:color w:val="auto"/>
        </w:rPr>
        <w:t/>
      </w:r>
      <w:r>
        <w:rPr>
          <w:rFonts w:ascii="Arial" w:cs="Arial" w:eastAsia="Arial" w:hAnsi="Arial"/>
          <w:sz w:val="18"/>
          <w:szCs w:val="18"/>
          <w:color w:val="auto"/>
        </w:rPr>
        <w:t>ƺƃɰȃ</w:t>
      </w:r>
      <w:r>
        <w:rPr>
          <w:rFonts w:ascii="PMingLiU" w:cs="PMingLiU" w:eastAsia="PMingLiU" w:hAnsi="PMingLiU"/>
          <w:sz w:val="18"/>
          <w:szCs w:val="18"/>
          <w:color w:val="auto"/>
        </w:rPr>
        <w:t/>
      </w:r>
      <w:r>
        <w:rPr>
          <w:rFonts w:ascii="Arial" w:cs="Arial" w:eastAsia="Arial" w:hAnsi="Arial"/>
          <w:sz w:val="18"/>
          <w:szCs w:val="18"/>
          <w:color w:val="auto"/>
        </w:rPr>
        <w:t>ɁƹȢȈǼƃɽȈɁȶɰ</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000041"/>
            </w:tcBorders>
          </w:tcPr>
          <w:p>
            <w:pPr>
              <w:spacing w:after="0"/>
              <w:rPr>
                <w:sz w:val="20"/>
                <w:szCs w:val="20"/>
                <w:color w:val="auto"/>
              </w:rPr>
            </w:pPr>
          </w:p>
        </w:tc>
        <w:tc>
          <w:tcPr>
            <w:tcW w:w="640" w:type="dxa"/>
            <w:vAlign w:val="bottom"/>
            <w:tcBorders>
              <w:bottom w:val="single" w:sz="8" w:color="000041"/>
            </w:tcBorders>
          </w:tcPr>
          <w:p>
            <w:pPr>
              <w:spacing w:after="0"/>
              <w:rPr>
                <w:sz w:val="20"/>
                <w:szCs w:val="20"/>
                <w:color w:val="auto"/>
              </w:rPr>
            </w:pPr>
          </w:p>
        </w:tc>
        <w:tc>
          <w:tcPr>
            <w:tcW w:w="2880" w:type="dxa"/>
            <w:vAlign w:val="bottom"/>
            <w:tcBorders>
              <w:bottom w:val="single" w:sz="8" w:color="000041"/>
            </w:tcBorders>
            <w:gridSpan w:val="3"/>
          </w:tcPr>
          <w:p>
            <w:pPr>
              <w:jc w:val="right"/>
              <w:spacing w:after="0" w:line="194" w:lineRule="exact"/>
              <w:rPr>
                <w:sz w:val="20"/>
                <w:szCs w:val="20"/>
                <w:color w:val="auto"/>
              </w:rPr>
            </w:pPr>
            <w:r>
              <w:rPr>
                <w:rFonts w:ascii="Arial" w:cs="Arial" w:eastAsia="Arial" w:hAnsi="Arial"/>
                <w:sz w:val="16"/>
                <w:szCs w:val="16"/>
                <w:color w:val="auto"/>
              </w:rPr>
              <w:t>Āƃʰȴǉȶɽɰ</w:t>
            </w:r>
            <w:r>
              <w:rPr>
                <w:rFonts w:ascii="PMingLiU" w:cs="PMingLiU" w:eastAsia="PMingLiU" w:hAnsi="PMingLiU"/>
                <w:sz w:val="16"/>
                <w:szCs w:val="16"/>
                <w:color w:val="auto"/>
              </w:rPr>
              <w:t/>
            </w:r>
            <w:r>
              <w:rPr>
                <w:rFonts w:ascii="Arial" w:cs="Arial" w:eastAsia="Arial" w:hAnsi="Arial"/>
                <w:sz w:val="16"/>
                <w:szCs w:val="16"/>
                <w:color w:val="auto"/>
              </w:rPr>
              <w:t>ǁʍǉ</w:t>
            </w:r>
            <w:r>
              <w:rPr>
                <w:rFonts w:ascii="PMingLiU" w:cs="PMingLiU" w:eastAsia="PMingLiU" w:hAnsi="PMingLiU"/>
                <w:sz w:val="16"/>
                <w:szCs w:val="16"/>
                <w:color w:val="auto"/>
              </w:rPr>
              <w:t/>
            </w:r>
            <w:r>
              <w:rPr>
                <w:rFonts w:ascii="Arial" w:cs="Arial" w:eastAsia="Arial" w:hAnsi="Arial"/>
                <w:sz w:val="16"/>
                <w:szCs w:val="16"/>
                <w:color w:val="auto"/>
              </w:rPr>
              <w:t>Ȉȶ</w:t>
            </w:r>
            <w:r>
              <w:rPr>
                <w:rFonts w:ascii="PMingLiU" w:cs="PMingLiU" w:eastAsia="PMingLiU" w:hAnsi="PMingLiU"/>
                <w:sz w:val="16"/>
                <w:szCs w:val="16"/>
                <w:color w:val="auto"/>
              </w:rPr>
              <w:t/>
            </w:r>
            <w:r>
              <w:rPr>
                <w:rFonts w:ascii="Arial" w:cs="Arial" w:eastAsia="Arial" w:hAnsi="Arial"/>
                <w:sz w:val="16"/>
                <w:szCs w:val="16"/>
                <w:color w:val="auto"/>
              </w:rPr>
              <w:t>ˎɰƺƃȢ</w:t>
            </w:r>
            <w:r>
              <w:rPr>
                <w:rFonts w:ascii="PMingLiU" w:cs="PMingLiU" w:eastAsia="PMingLiU" w:hAnsi="PMingLiU"/>
                <w:sz w:val="16"/>
                <w:szCs w:val="16"/>
                <w:color w:val="auto"/>
              </w:rPr>
              <w:t/>
            </w:r>
            <w:r>
              <w:rPr>
                <w:rFonts w:ascii="Arial" w:cs="Arial" w:eastAsia="Arial" w:hAnsi="Arial"/>
                <w:sz w:val="16"/>
                <w:szCs w:val="16"/>
                <w:color w:val="auto"/>
              </w:rPr>
              <w:t>ʰǉƃɨ</w:t>
            </w:r>
          </w:p>
        </w:tc>
        <w:tc>
          <w:tcPr>
            <w:tcW w:w="740" w:type="dxa"/>
            <w:vAlign w:val="bottom"/>
            <w:tcBorders>
              <w:bottom w:val="single" w:sz="8" w:color="000041"/>
            </w:tcBorders>
          </w:tcPr>
          <w:p>
            <w:pPr>
              <w:spacing w:after="0"/>
              <w:rPr>
                <w:sz w:val="20"/>
                <w:szCs w:val="20"/>
                <w:color w:val="auto"/>
              </w:rPr>
            </w:pPr>
          </w:p>
        </w:tc>
        <w:tc>
          <w:tcPr>
            <w:tcW w:w="1000" w:type="dxa"/>
            <w:vAlign w:val="bottom"/>
            <w:tcBorders>
              <w:bottom w:val="single" w:sz="8" w:color="000041"/>
            </w:tcBorders>
          </w:tcPr>
          <w:p>
            <w:pPr>
              <w:spacing w:after="0"/>
              <w:rPr>
                <w:sz w:val="20"/>
                <w:szCs w:val="20"/>
                <w:color w:val="auto"/>
              </w:rPr>
            </w:pPr>
          </w:p>
        </w:tc>
      </w:tr>
      <w:tr>
        <w:trPr>
          <w:trHeight w:val="241"/>
        </w:trPr>
        <w:tc>
          <w:tcPr>
            <w:tcW w:w="344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Material contractual cash obligations</w:t>
            </w:r>
            <w:r>
              <w:rPr>
                <w:rFonts w:ascii="Arial" w:cs="Arial" w:eastAsia="Arial" w:hAnsi="Arial"/>
                <w:sz w:val="9"/>
                <w:szCs w:val="9"/>
                <w:color w:val="auto"/>
              </w:rPr>
              <w:t>(1)</w:t>
            </w:r>
          </w:p>
        </w:tc>
        <w:tc>
          <w:tcPr>
            <w:tcW w:w="1360" w:type="dxa"/>
            <w:vAlign w:val="bottom"/>
            <w:tcBorders>
              <w:bottom w:val="single" w:sz="8" w:color="000041"/>
            </w:tcBorders>
          </w:tcPr>
          <w:p>
            <w:pPr>
              <w:jc w:val="right"/>
              <w:ind w:right="10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000041"/>
            </w:tcBorders>
          </w:tcPr>
          <w:p>
            <w:pPr>
              <w:spacing w:after="0"/>
              <w:rPr>
                <w:sz w:val="21"/>
                <w:szCs w:val="21"/>
                <w:color w:val="auto"/>
              </w:rPr>
            </w:pPr>
          </w:p>
        </w:tc>
        <w:tc>
          <w:tcPr>
            <w:tcW w:w="640" w:type="dxa"/>
            <w:vAlign w:val="bottom"/>
            <w:tcBorders>
              <w:bottom w:val="single" w:sz="8" w:color="000041"/>
            </w:tcBorders>
          </w:tcPr>
          <w:p>
            <w:pPr>
              <w:jc w:val="right"/>
              <w:ind w:right="80"/>
              <w:spacing w:after="0"/>
              <w:rPr>
                <w:sz w:val="20"/>
                <w:szCs w:val="20"/>
                <w:color w:val="auto"/>
              </w:rPr>
            </w:pPr>
            <w:r>
              <w:rPr>
                <w:rFonts w:ascii="Arial" w:cs="Arial" w:eastAsia="Arial" w:hAnsi="Arial"/>
                <w:sz w:val="16"/>
                <w:szCs w:val="16"/>
                <w:color w:val="auto"/>
              </w:rPr>
              <w:t>2026</w:t>
            </w:r>
          </w:p>
        </w:tc>
        <w:tc>
          <w:tcPr>
            <w:tcW w:w="90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2027</w:t>
            </w:r>
          </w:p>
        </w:tc>
        <w:tc>
          <w:tcPr>
            <w:tcW w:w="92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2028</w:t>
            </w:r>
          </w:p>
        </w:tc>
        <w:tc>
          <w:tcPr>
            <w:tcW w:w="1060" w:type="dxa"/>
            <w:vAlign w:val="bottom"/>
            <w:tcBorders>
              <w:bottom w:val="single" w:sz="8" w:color="000041"/>
            </w:tcBorders>
          </w:tcPr>
          <w:p>
            <w:pPr>
              <w:jc w:val="right"/>
              <w:ind w:right="200"/>
              <w:spacing w:after="0"/>
              <w:rPr>
                <w:sz w:val="20"/>
                <w:szCs w:val="20"/>
                <w:color w:val="auto"/>
              </w:rPr>
            </w:pPr>
            <w:r>
              <w:rPr>
                <w:rFonts w:ascii="Arial" w:cs="Arial" w:eastAsia="Arial" w:hAnsi="Arial"/>
                <w:sz w:val="16"/>
                <w:szCs w:val="16"/>
                <w:color w:val="auto"/>
              </w:rPr>
              <w:t>2029</w:t>
            </w:r>
          </w:p>
        </w:tc>
        <w:tc>
          <w:tcPr>
            <w:tcW w:w="740" w:type="dxa"/>
            <w:vAlign w:val="bottom"/>
            <w:tcBorders>
              <w:bottom w:val="single" w:sz="8" w:color="000041"/>
            </w:tcBorders>
          </w:tcPr>
          <w:p>
            <w:pPr>
              <w:jc w:val="right"/>
              <w:ind w:right="20"/>
              <w:spacing w:after="0"/>
              <w:rPr>
                <w:sz w:val="20"/>
                <w:szCs w:val="20"/>
                <w:color w:val="auto"/>
              </w:rPr>
            </w:pPr>
            <w:r>
              <w:rPr>
                <w:rFonts w:ascii="Arial" w:cs="Arial" w:eastAsia="Arial" w:hAnsi="Arial"/>
                <w:sz w:val="16"/>
                <w:szCs w:val="16"/>
                <w:color w:val="auto"/>
              </w:rPr>
              <w:t>2030</w:t>
            </w:r>
          </w:p>
        </w:tc>
        <w:tc>
          <w:tcPr>
            <w:tcW w:w="1000" w:type="dxa"/>
            <w:vAlign w:val="bottom"/>
            <w:tcBorders>
              <w:bottom w:val="single" w:sz="8" w:color="000041"/>
            </w:tcBorders>
          </w:tcPr>
          <w:p>
            <w:pPr>
              <w:jc w:val="right"/>
              <w:ind w:right="40"/>
              <w:spacing w:after="0"/>
              <w:rPr>
                <w:sz w:val="20"/>
                <w:szCs w:val="20"/>
                <w:color w:val="auto"/>
              </w:rPr>
            </w:pPr>
            <w:r>
              <w:rPr>
                <w:rFonts w:ascii="Arial" w:cs="Arial" w:eastAsia="Arial" w:hAnsi="Arial"/>
                <w:sz w:val="16"/>
                <w:szCs w:val="16"/>
                <w:color w:val="auto"/>
              </w:rPr>
              <w:t>Thereafter</w:t>
            </w:r>
          </w:p>
        </w:tc>
      </w:tr>
      <w:tr>
        <w:trPr>
          <w:trHeight w:val="231"/>
        </w:trPr>
        <w:tc>
          <w:tcPr>
            <w:tcW w:w="3440" w:type="dxa"/>
            <w:vAlign w:val="bottom"/>
          </w:tcPr>
          <w:p>
            <w:pPr>
              <w:spacing w:after="0"/>
              <w:rPr>
                <w:sz w:val="20"/>
                <w:szCs w:val="20"/>
                <w:color w:val="auto"/>
              </w:rPr>
            </w:pPr>
            <w:r>
              <w:rPr>
                <w:rFonts w:ascii="Arial" w:cs="Arial" w:eastAsia="Arial" w:hAnsi="Arial"/>
                <w:sz w:val="16"/>
                <w:szCs w:val="16"/>
                <w:color w:val="auto"/>
              </w:rPr>
              <w:t>Total debt</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$ 9,355.9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705.8</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$ 1,550.1</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$1,300.0</w:t>
            </w: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$1,200.0</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w w:val="99"/>
              </w:rPr>
              <w:t>$1,100.0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$3,500.0</w:t>
            </w:r>
          </w:p>
        </w:tc>
      </w:tr>
      <w:tr>
        <w:trPr>
          <w:trHeight w:val="260"/>
        </w:trPr>
        <w:tc>
          <w:tcPr>
            <w:tcW w:w="3440" w:type="dxa"/>
            <w:vAlign w:val="bottom"/>
          </w:tcPr>
          <w:p>
            <w:pPr>
              <w:spacing w:after="0"/>
              <w:rPr>
                <w:sz w:val="20"/>
                <w:szCs w:val="20"/>
                <w:color w:val="auto"/>
              </w:rPr>
            </w:pPr>
            <w:r>
              <w:rPr>
                <w:rFonts w:ascii="Arial" w:cs="Arial" w:eastAsia="Arial" w:hAnsi="Arial"/>
                <w:sz w:val="16"/>
                <w:szCs w:val="16"/>
                <w:color w:val="auto"/>
              </w:rPr>
              <w:t>Senior note interest</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1,758.6</w:t>
            </w:r>
          </w:p>
        </w:tc>
        <w:tc>
          <w:tcPr>
            <w:tcW w:w="260" w:type="dxa"/>
            <w:vAlign w:val="bottom"/>
          </w:tcPr>
          <w:p>
            <w:pPr>
              <w:spacing w:after="0"/>
              <w:rPr>
                <w:sz w:val="22"/>
                <w:szCs w:val="22"/>
                <w:color w:val="auto"/>
              </w:rPr>
            </w:pP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318.3</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283.3</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273.5</w:t>
            </w: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218.6</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169.5</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495.4</w:t>
            </w:r>
          </w:p>
        </w:tc>
      </w:tr>
      <w:tr>
        <w:trPr>
          <w:trHeight w:val="260"/>
        </w:trPr>
        <w:tc>
          <w:tcPr>
            <w:tcW w:w="3440" w:type="dxa"/>
            <w:vAlign w:val="bottom"/>
          </w:tcPr>
          <w:p>
            <w:pPr>
              <w:spacing w:after="0"/>
              <w:rPr>
                <w:sz w:val="20"/>
                <w:szCs w:val="20"/>
                <w:color w:val="auto"/>
              </w:rPr>
            </w:pPr>
            <w:r>
              <w:rPr>
                <w:rFonts w:ascii="Arial" w:cs="Arial" w:eastAsia="Arial" w:hAnsi="Arial"/>
                <w:sz w:val="16"/>
                <w:szCs w:val="16"/>
                <w:color w:val="auto"/>
              </w:rPr>
              <w:t>Operating leases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267.1</w:t>
            </w:r>
          </w:p>
        </w:tc>
        <w:tc>
          <w:tcPr>
            <w:tcW w:w="260" w:type="dxa"/>
            <w:vAlign w:val="bottom"/>
          </w:tcPr>
          <w:p>
            <w:pPr>
              <w:spacing w:after="0"/>
              <w:rPr>
                <w:sz w:val="22"/>
                <w:szCs w:val="22"/>
                <w:color w:val="auto"/>
              </w:rPr>
            </w:pP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56.1</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49.7</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40.6</w:t>
            </w: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31.3</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23.9</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65.5</w:t>
            </w:r>
          </w:p>
        </w:tc>
      </w:tr>
      <w:tr>
        <w:trPr>
          <w:trHeight w:val="269"/>
        </w:trPr>
        <w:tc>
          <w:tcPr>
            <w:tcW w:w="3440" w:type="dxa"/>
            <w:vAlign w:val="bottom"/>
            <w:tcBorders>
              <w:bottom w:val="single" w:sz="8" w:color="000041"/>
            </w:tcBorders>
          </w:tcPr>
          <w:p>
            <w:pPr>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9"/>
                <w:szCs w:val="9"/>
                <w:color w:val="auto"/>
              </w:rPr>
              <w:t>(2)</w:t>
            </w:r>
          </w:p>
        </w:tc>
        <w:tc>
          <w:tcPr>
            <w:tcW w:w="1360" w:type="dxa"/>
            <w:vAlign w:val="bottom"/>
            <w:tcBorders>
              <w:bottom w:val="single" w:sz="8" w:color="000041"/>
            </w:tcBorders>
          </w:tcPr>
          <w:p>
            <w:pPr>
              <w:jc w:val="right"/>
              <w:ind w:right="100"/>
              <w:spacing w:after="0"/>
              <w:rPr>
                <w:sz w:val="20"/>
                <w:szCs w:val="20"/>
                <w:color w:val="auto"/>
              </w:rPr>
            </w:pPr>
            <w:r>
              <w:rPr>
                <w:rFonts w:ascii="Arial" w:cs="Arial" w:eastAsia="Arial" w:hAnsi="Arial"/>
                <w:sz w:val="16"/>
                <w:szCs w:val="16"/>
                <w:color w:val="auto"/>
              </w:rPr>
              <w:t>1,391.4</w:t>
            </w:r>
          </w:p>
        </w:tc>
        <w:tc>
          <w:tcPr>
            <w:tcW w:w="260" w:type="dxa"/>
            <w:vAlign w:val="bottom"/>
            <w:tcBorders>
              <w:bottom w:val="single" w:sz="8" w:color="000041"/>
            </w:tcBorders>
          </w:tcPr>
          <w:p>
            <w:pPr>
              <w:spacing w:after="0"/>
              <w:rPr>
                <w:sz w:val="23"/>
                <w:szCs w:val="23"/>
                <w:color w:val="auto"/>
              </w:rPr>
            </w:pPr>
          </w:p>
        </w:tc>
        <w:tc>
          <w:tcPr>
            <w:tcW w:w="640" w:type="dxa"/>
            <w:vAlign w:val="bottom"/>
            <w:tcBorders>
              <w:bottom w:val="single" w:sz="8" w:color="000041"/>
            </w:tcBorders>
          </w:tcPr>
          <w:p>
            <w:pPr>
              <w:jc w:val="right"/>
              <w:ind w:right="80"/>
              <w:spacing w:after="0"/>
              <w:rPr>
                <w:sz w:val="20"/>
                <w:szCs w:val="20"/>
                <w:color w:val="auto"/>
              </w:rPr>
            </w:pPr>
            <w:r>
              <w:rPr>
                <w:rFonts w:ascii="Arial" w:cs="Arial" w:eastAsia="Arial" w:hAnsi="Arial"/>
                <w:sz w:val="16"/>
                <w:szCs w:val="16"/>
                <w:color w:val="auto"/>
              </w:rPr>
              <w:t>620.5</w:t>
            </w:r>
          </w:p>
        </w:tc>
        <w:tc>
          <w:tcPr>
            <w:tcW w:w="90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336.7</w:t>
            </w:r>
          </w:p>
        </w:tc>
        <w:tc>
          <w:tcPr>
            <w:tcW w:w="92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258.6</w:t>
            </w:r>
          </w:p>
        </w:tc>
        <w:tc>
          <w:tcPr>
            <w:tcW w:w="1060" w:type="dxa"/>
            <w:vAlign w:val="bottom"/>
            <w:tcBorders>
              <w:bottom w:val="single" w:sz="8" w:color="000041"/>
            </w:tcBorders>
          </w:tcPr>
          <w:p>
            <w:pPr>
              <w:jc w:val="right"/>
              <w:ind w:right="200"/>
              <w:spacing w:after="0"/>
              <w:rPr>
                <w:sz w:val="20"/>
                <w:szCs w:val="20"/>
                <w:color w:val="auto"/>
              </w:rPr>
            </w:pPr>
            <w:r>
              <w:rPr>
                <w:rFonts w:ascii="Arial" w:cs="Arial" w:eastAsia="Arial" w:hAnsi="Arial"/>
                <w:sz w:val="16"/>
                <w:szCs w:val="16"/>
                <w:color w:val="auto"/>
              </w:rPr>
              <w:t>160.4</w:t>
            </w:r>
          </w:p>
        </w:tc>
        <w:tc>
          <w:tcPr>
            <w:tcW w:w="740" w:type="dxa"/>
            <w:vAlign w:val="bottom"/>
            <w:tcBorders>
              <w:bottom w:val="single" w:sz="8" w:color="000041"/>
            </w:tcBorders>
          </w:tcPr>
          <w:p>
            <w:pPr>
              <w:jc w:val="right"/>
              <w:ind w:right="20"/>
              <w:spacing w:after="0"/>
              <w:rPr>
                <w:sz w:val="20"/>
                <w:szCs w:val="20"/>
                <w:color w:val="auto"/>
              </w:rPr>
            </w:pPr>
            <w:r>
              <w:rPr>
                <w:rFonts w:ascii="Arial" w:cs="Arial" w:eastAsia="Arial" w:hAnsi="Arial"/>
                <w:sz w:val="16"/>
                <w:szCs w:val="16"/>
                <w:color w:val="auto"/>
              </w:rPr>
              <w:t>7.9</w:t>
            </w:r>
          </w:p>
        </w:tc>
        <w:tc>
          <w:tcPr>
            <w:tcW w:w="1000" w:type="dxa"/>
            <w:vAlign w:val="bottom"/>
            <w:tcBorders>
              <w:bottom w:val="single" w:sz="8" w:color="000041"/>
            </w:tcBorders>
          </w:tcPr>
          <w:p>
            <w:pPr>
              <w:jc w:val="right"/>
              <w:ind w:right="40"/>
              <w:spacing w:after="0"/>
              <w:rPr>
                <w:sz w:val="20"/>
                <w:szCs w:val="20"/>
                <w:color w:val="auto"/>
              </w:rPr>
            </w:pPr>
            <w:r>
              <w:rPr>
                <w:rFonts w:ascii="Arial" w:cs="Arial" w:eastAsia="Arial" w:hAnsi="Arial"/>
                <w:sz w:val="16"/>
                <w:szCs w:val="16"/>
                <w:color w:val="auto"/>
              </w:rPr>
              <w:t>7.3</w:t>
            </w:r>
          </w:p>
        </w:tc>
      </w:tr>
      <w:tr>
        <w:trPr>
          <w:trHeight w:val="268"/>
        </w:trPr>
        <w:tc>
          <w:tcPr>
            <w:tcW w:w="3440" w:type="dxa"/>
            <w:vAlign w:val="bottom"/>
            <w:tcBorders>
              <w:bottom w:val="single" w:sz="8" w:color="000041"/>
            </w:tcBorders>
          </w:tcPr>
          <w:p>
            <w:pPr>
              <w:ind w:left="16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000041"/>
            </w:tcBorders>
          </w:tcPr>
          <w:p>
            <w:pPr>
              <w:jc w:val="right"/>
              <w:ind w:right="100"/>
              <w:spacing w:after="0"/>
              <w:rPr>
                <w:sz w:val="20"/>
                <w:szCs w:val="20"/>
                <w:color w:val="auto"/>
              </w:rPr>
            </w:pPr>
            <w:r>
              <w:rPr>
                <w:rFonts w:ascii="Arial" w:cs="Arial" w:eastAsia="Arial" w:hAnsi="Arial"/>
                <w:sz w:val="16"/>
                <w:szCs w:val="16"/>
                <w:color w:val="auto"/>
              </w:rPr>
              <w:t>$12,773.0</w:t>
            </w:r>
          </w:p>
        </w:tc>
        <w:tc>
          <w:tcPr>
            <w:tcW w:w="900" w:type="dxa"/>
            <w:vAlign w:val="bottom"/>
            <w:tcBorders>
              <w:bottom w:val="single" w:sz="8" w:color="000041"/>
            </w:tcBorders>
            <w:gridSpan w:val="2"/>
          </w:tcPr>
          <w:p>
            <w:pPr>
              <w:jc w:val="right"/>
              <w:ind w:right="80"/>
              <w:spacing w:after="0"/>
              <w:rPr>
                <w:sz w:val="20"/>
                <w:szCs w:val="20"/>
                <w:color w:val="auto"/>
              </w:rPr>
            </w:pPr>
            <w:r>
              <w:rPr>
                <w:rFonts w:ascii="Arial" w:cs="Arial" w:eastAsia="Arial" w:hAnsi="Arial"/>
                <w:sz w:val="16"/>
                <w:szCs w:val="16"/>
                <w:color w:val="auto"/>
              </w:rPr>
              <w:t>$1,700.7</w:t>
            </w:r>
          </w:p>
        </w:tc>
        <w:tc>
          <w:tcPr>
            <w:tcW w:w="90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$2,219.8</w:t>
            </w:r>
          </w:p>
        </w:tc>
        <w:tc>
          <w:tcPr>
            <w:tcW w:w="920" w:type="dxa"/>
            <w:vAlign w:val="bottom"/>
            <w:tcBorders>
              <w:bottom w:val="single" w:sz="8" w:color="000041"/>
            </w:tcBorders>
          </w:tcPr>
          <w:p>
            <w:pPr>
              <w:jc w:val="right"/>
              <w:ind w:right="60"/>
              <w:spacing w:after="0"/>
              <w:rPr>
                <w:sz w:val="20"/>
                <w:szCs w:val="20"/>
                <w:color w:val="auto"/>
              </w:rPr>
            </w:pPr>
            <w:r>
              <w:rPr>
                <w:rFonts w:ascii="Arial" w:cs="Arial" w:eastAsia="Arial" w:hAnsi="Arial"/>
                <w:sz w:val="16"/>
                <w:szCs w:val="16"/>
                <w:color w:val="auto"/>
              </w:rPr>
              <w:t>$ 1,872.7</w:t>
            </w:r>
          </w:p>
        </w:tc>
        <w:tc>
          <w:tcPr>
            <w:tcW w:w="1060" w:type="dxa"/>
            <w:vAlign w:val="bottom"/>
            <w:tcBorders>
              <w:bottom w:val="single" w:sz="8" w:color="000041"/>
            </w:tcBorders>
          </w:tcPr>
          <w:p>
            <w:pPr>
              <w:jc w:val="right"/>
              <w:ind w:right="200"/>
              <w:spacing w:after="0"/>
              <w:rPr>
                <w:sz w:val="20"/>
                <w:szCs w:val="20"/>
                <w:color w:val="auto"/>
              </w:rPr>
            </w:pPr>
            <w:r>
              <w:rPr>
                <w:rFonts w:ascii="Arial" w:cs="Arial" w:eastAsia="Arial" w:hAnsi="Arial"/>
                <w:sz w:val="16"/>
                <w:szCs w:val="16"/>
                <w:color w:val="auto"/>
              </w:rPr>
              <w:t>$ 1,610.3</w:t>
            </w:r>
          </w:p>
        </w:tc>
        <w:tc>
          <w:tcPr>
            <w:tcW w:w="740" w:type="dxa"/>
            <w:vAlign w:val="bottom"/>
            <w:tcBorders>
              <w:bottom w:val="single" w:sz="8" w:color="000041"/>
            </w:tcBorders>
          </w:tcPr>
          <w:p>
            <w:pPr>
              <w:jc w:val="right"/>
              <w:ind w:right="20"/>
              <w:spacing w:after="0"/>
              <w:rPr>
                <w:sz w:val="20"/>
                <w:szCs w:val="20"/>
                <w:color w:val="auto"/>
              </w:rPr>
            </w:pPr>
            <w:r>
              <w:rPr>
                <w:rFonts w:ascii="Arial" w:cs="Arial" w:eastAsia="Arial" w:hAnsi="Arial"/>
                <w:sz w:val="16"/>
                <w:szCs w:val="16"/>
                <w:color w:val="auto"/>
                <w:w w:val="92"/>
              </w:rPr>
              <w:t>$ 1,301.3</w:t>
            </w:r>
          </w:p>
        </w:tc>
        <w:tc>
          <w:tcPr>
            <w:tcW w:w="1000" w:type="dxa"/>
            <w:vAlign w:val="bottom"/>
            <w:tcBorders>
              <w:bottom w:val="single" w:sz="8" w:color="000041"/>
            </w:tcBorders>
          </w:tcPr>
          <w:p>
            <w:pPr>
              <w:jc w:val="right"/>
              <w:ind w:right="40"/>
              <w:spacing w:after="0"/>
              <w:rPr>
                <w:sz w:val="20"/>
                <w:szCs w:val="20"/>
                <w:color w:val="auto"/>
              </w:rPr>
            </w:pPr>
            <w:r>
              <w:rPr>
                <w:rFonts w:ascii="Arial" w:cs="Arial" w:eastAsia="Arial" w:hAnsi="Arial"/>
                <w:sz w:val="16"/>
                <w:szCs w:val="16"/>
                <w:color w:val="auto"/>
              </w:rPr>
              <w:t>$4,068.2</w:t>
            </w:r>
          </w:p>
        </w:tc>
      </w:tr>
    </w:tbl>
    <w:p>
      <w:pPr>
        <w:spacing w:after="0" w:line="116" w:lineRule="exact"/>
        <w:rPr>
          <w:sz w:val="20"/>
          <w:szCs w:val="20"/>
          <w:color w:val="auto"/>
        </w:rPr>
      </w:pPr>
    </w:p>
    <w:p>
      <w:pPr>
        <w:ind w:left="200" w:right="60" w:hanging="200"/>
        <w:spacing w:after="0" w:line="331" w:lineRule="auto"/>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have excluded the liability for uncertain tax positions and certain other tax liabilities as we are not able to reasonably estimate the timing of the payments. See Note 7 of the Notes to Consolidated Financial Statements included in this Annual Report.</w:t>
      </w:r>
    </w:p>
    <w:p>
      <w:pPr>
        <w:spacing w:after="0" w:line="6" w:lineRule="exact"/>
        <w:rPr>
          <w:rFonts w:ascii="Arial" w:cs="Arial" w:eastAsia="Arial" w:hAnsi="Arial"/>
          <w:sz w:val="14"/>
          <w:szCs w:val="14"/>
          <w:color w:val="auto"/>
        </w:rPr>
      </w:pPr>
    </w:p>
    <w:p>
      <w:pPr>
        <w:ind w:left="200" w:hanging="200"/>
        <w:spacing w:after="0"/>
        <w:tabs>
          <w:tab w:leader="none" w:pos="2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minimum fixed price purchase commitments that are legally binding across Roper.</w:t>
      </w:r>
    </w:p>
    <w:p>
      <w:pPr>
        <w:spacing w:after="0" w:line="184" w:lineRule="exact"/>
        <w:rPr>
          <w:sz w:val="20"/>
          <w:szCs w:val="20"/>
          <w:color w:val="auto"/>
        </w:rPr>
      </w:pPr>
    </w:p>
    <w:p>
      <w:pPr>
        <w:jc w:val="both"/>
        <w:ind w:right="60"/>
        <w:spacing w:after="0" w:line="265" w:lineRule="auto"/>
        <w:rPr>
          <w:sz w:val="20"/>
          <w:szCs w:val="20"/>
          <w:color w:val="auto"/>
        </w:rPr>
      </w:pPr>
      <w:r>
        <w:rPr>
          <w:rFonts w:ascii="Arial" w:cs="Arial" w:eastAsia="Arial" w:hAnsi="Arial"/>
          <w:sz w:val="18"/>
          <w:szCs w:val="18"/>
          <w:color w:val="auto"/>
        </w:rPr>
        <w:t>We believe that internally generated cash flows and the remaining availability under our unsecured credit facility will be adequate to finance our normal operating requirements. Although we maintain an active acquisition program, any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lines, future cash flows from operations, future dives-titures, the proceeds from the issuance of new debt or equity securities, or any combination of these methods, the terms and availability of which will be subject to market and economic conditions generally.</w:t>
      </w:r>
    </w:p>
    <w:p>
      <w:pPr>
        <w:sectPr>
          <w:pgSz w:w="12240" w:h="15840" w:orient="portrait"/>
          <w:cols w:equalWidth="0" w:num="1">
            <w:col w:w="10380"/>
          </w:cols>
          <w:pgMar w:left="960" w:top="935" w:right="900" w:bottom="90" w:gutter="0" w:footer="0" w:header="0"/>
        </w:sectPr>
      </w:pPr>
    </w:p>
    <w:p>
      <w:pPr>
        <w:spacing w:after="0" w:line="229" w:lineRule="exact"/>
        <w:rPr>
          <w:sz w:val="20"/>
          <w:szCs w:val="20"/>
          <w:color w:val="auto"/>
        </w:rPr>
      </w:pPr>
    </w:p>
    <w:p>
      <w:pPr>
        <w:ind w:left="3500"/>
        <w:spacing w:after="0" w:line="146" w:lineRule="exact"/>
        <w:tabs>
          <w:tab w:leader="none" w:pos="1018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0"/>
          <w:szCs w:val="10"/>
          <w:color w:val="auto"/>
        </w:rPr>
        <w:t>31</w:t>
      </w:r>
    </w:p>
    <w:p>
      <w:pPr>
        <w:sectPr>
          <w:pgSz w:w="12240" w:h="15840" w:orient="portrait"/>
          <w:cols w:equalWidth="0" w:num="1">
            <w:col w:w="10380"/>
          </w:cols>
          <w:pgMar w:left="960" w:top="935" w:right="900" w:bottom="90" w:gutter="0" w:footer="0" w:header="0"/>
          <w:type w:val="continuous"/>
        </w:sectPr>
      </w:pPr>
    </w:p>
    <w:bookmarkStart w:id="33" w:name="page34"/>
    <w:bookmarkEnd w:id="33"/>
    <w:p>
      <w:pPr>
        <w:jc w:val="both"/>
        <w:ind w:right="40"/>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We anticipate that our businesses will generate positive cash flows from operating activities, and that these cash flows will permit the reduction of currently outstanding debt in accordance with the repayment schedule. However, the rate at which we can reduce our debt during 2026 (and reduce the associated interest expense) will be affected by, among other things, the financing and operating requirements of any new acquisitions, the financial performance of our existing companies, any allocation of capital toward share repurchases, the impact of geopolitical and eco-nomic uncertainties, and the financial markets generally. None of these factors can be predicted with certainty.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000041"/>
        </w:rPr>
        <w:t>RECENTLY ISSUED ACCOUNTING STANDARDS</w:t>
      </w:r>
    </w:p>
    <w:p>
      <w:pPr>
        <w:spacing w:after="0" w:line="129" w:lineRule="exact"/>
        <w:rPr>
          <w:sz w:val="20"/>
          <w:szCs w:val="20"/>
          <w:color w:val="auto"/>
        </w:rPr>
      </w:pPr>
    </w:p>
    <w:p>
      <w:pPr>
        <w:jc w:val="both"/>
        <w:ind w:right="40"/>
        <w:spacing w:after="0" w:line="319" w:lineRule="auto"/>
        <w:rPr>
          <w:sz w:val="20"/>
          <w:szCs w:val="20"/>
          <w:color w:val="auto"/>
        </w:rPr>
      </w:pPr>
      <w:r>
        <w:rPr>
          <w:rFonts w:ascii="Arial" w:cs="Arial" w:eastAsia="Arial" w:hAnsi="Arial"/>
          <w:sz w:val="18"/>
          <w:szCs w:val="18"/>
          <w:color w:val="auto"/>
        </w:rPr>
        <w:t>See Note 1 of the Notes to Consolidated Financial Statements included in this Annual Report for information regard-ing the effect of new accounting pronouncements on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24"/>
          <w:szCs w:val="24"/>
          <w:color w:val="000041"/>
        </w:rPr>
        <w:t>ITEM 7A | QUANTITATIVE AND QUALITATIVE DISCLOSURES ABOUT MARKET RISK</w:t>
      </w:r>
    </w:p>
    <w:p>
      <w:pPr>
        <w:spacing w:after="0" w:line="128"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We are exposed to interest rate risks on our outstanding revolving credit facility borrowings, and to foreign currency exchange risks on our transactions and balances denominated in currencies other than the U.S. dollar. We are also exposed to equity price risk as it relates to the change in fair value of our equity investment in Indicor, and to equity market risks pertaining to the traded price of our common stock.</w:t>
      </w:r>
    </w:p>
    <w:p>
      <w:pPr>
        <w:spacing w:after="0" w:line="38" w:lineRule="exact"/>
        <w:rPr>
          <w:sz w:val="20"/>
          <w:szCs w:val="20"/>
          <w:color w:val="auto"/>
        </w:rPr>
      </w:pPr>
    </w:p>
    <w:p>
      <w:pPr>
        <w:jc w:val="both"/>
        <w:spacing w:after="0" w:line="230"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ʥǉ</w:t>
      </w:r>
      <w:r>
        <w:rPr>
          <w:rFonts w:ascii="PMingLiU" w:cs="PMingLiU" w:eastAsia="PMingLiU" w:hAnsi="PMingLiU"/>
          <w:sz w:val="18"/>
          <w:szCs w:val="18"/>
          <w:color w:val="auto"/>
        </w:rPr>
        <w:t/>
      </w:r>
      <w:r>
        <w:rPr>
          <w:rFonts w:ascii="Arial" w:cs="Arial" w:eastAsia="Arial" w:hAnsi="Arial"/>
          <w:sz w:val="18"/>
          <w:szCs w:val="18"/>
          <w:color w:val="auto"/>
        </w:rPr>
        <w:t>ȃƃǁ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ѝӗњѕѕӝѕ</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ǹȈʯǉǁ</w:t>
      </w:r>
      <w:r>
        <w:rPr>
          <w:rFonts w:ascii="Arial" w:cs="Arial" w:eastAsia="Arial" w:hAnsi="Arial"/>
          <w:sz w:val="18"/>
          <w:szCs w:val="18"/>
          <w:color w:val="auto"/>
        </w:rPr>
        <w:t>Ӹ</w:t>
      </w:r>
      <w:r>
        <w:rPr>
          <w:rFonts w:ascii="Arial" w:cs="Arial" w:eastAsia="Arial" w:hAnsi="Arial"/>
          <w:sz w:val="18"/>
          <w:szCs w:val="18"/>
          <w:color w:val="auto"/>
        </w:rPr>
        <w:t>ɨƃɽǉ</w:t>
      </w:r>
      <w:r>
        <w:rPr>
          <w:rFonts w:ascii="PMingLiU" w:cs="PMingLiU" w:eastAsia="PMingLiU" w:hAnsi="PMingLiU"/>
          <w:sz w:val="18"/>
          <w:szCs w:val="18"/>
          <w:color w:val="auto"/>
        </w:rPr>
        <w:t/>
      </w:r>
      <w:r>
        <w:rPr>
          <w:rFonts w:ascii="Arial" w:cs="Arial" w:eastAsia="Arial" w:hAnsi="Arial"/>
          <w:sz w:val="18"/>
          <w:szCs w:val="18"/>
          <w:color w:val="auto"/>
        </w:rPr>
        <w:t>ƹɁɨɨɁʥȈȶǼɰ</w:t>
      </w:r>
      <w:r>
        <w:rPr>
          <w:rFonts w:ascii="PMingLiU" w:cs="PMingLiU" w:eastAsia="PMingLiU" w:hAnsi="PMingLiU"/>
          <w:sz w:val="18"/>
          <w:szCs w:val="18"/>
          <w:color w:val="auto"/>
        </w:rPr>
        <w:t/>
      </w:r>
      <w:r>
        <w:rPr>
          <w:rFonts w:ascii="Arial" w:cs="Arial" w:eastAsia="Arial" w:hAnsi="Arial"/>
          <w:sz w:val="18"/>
          <w:szCs w:val="18"/>
          <w:color w:val="auto"/>
        </w:rPr>
        <w:t>ʥȈɽȃ</w:t>
      </w:r>
      <w:r>
        <w:rPr>
          <w:rFonts w:ascii="PMingLiU" w:cs="PMingLiU" w:eastAsia="PMingLiU" w:hAnsi="PMingLiU"/>
          <w:sz w:val="18"/>
          <w:szCs w:val="18"/>
          <w:color w:val="auto"/>
        </w:rPr>
        <w:t/>
      </w:r>
      <w:r>
        <w:rPr>
          <w:rFonts w:ascii="Arial" w:cs="Arial" w:eastAsia="Arial" w:hAnsi="Arial"/>
          <w:sz w:val="18"/>
          <w:szCs w:val="18"/>
          <w:color w:val="auto"/>
        </w:rPr>
        <w:t>Ȉȶɽǉɨǉɰɽ</w:t>
      </w:r>
      <w:r>
        <w:rPr>
          <w:rFonts w:ascii="PMingLiU" w:cs="PMingLiU" w:eastAsia="PMingLiU" w:hAnsi="PMingLiU"/>
          <w:sz w:val="18"/>
          <w:szCs w:val="18"/>
          <w:color w:val="auto"/>
        </w:rPr>
        <w:t/>
      </w:r>
      <w:r>
        <w:rPr>
          <w:rFonts w:ascii="Arial" w:cs="Arial" w:eastAsia="Arial" w:hAnsi="Arial"/>
          <w:sz w:val="18"/>
          <w:szCs w:val="18"/>
          <w:color w:val="auto"/>
        </w:rPr>
        <w:t>ɨƃɽǉɰ</w:t>
      </w:r>
      <w:r>
        <w:rPr>
          <w:rFonts w:ascii="PMingLiU" w:cs="PMingLiU" w:eastAsia="PMingLiU" w:hAnsi="PMingLiU"/>
          <w:sz w:val="18"/>
          <w:szCs w:val="18"/>
          <w:color w:val="auto"/>
        </w:rPr>
        <w:t/>
      </w:r>
      <w:r>
        <w:rPr>
          <w:rFonts w:ascii="Arial" w:cs="Arial" w:eastAsia="Arial" w:hAnsi="Arial"/>
          <w:sz w:val="18"/>
          <w:szCs w:val="18"/>
          <w:color w:val="auto"/>
        </w:rPr>
        <w:t>ɨƃȶǼȈȶǼ</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
      </w:r>
      <w:r>
        <w:rPr>
          <w:rFonts w:ascii="Arial" w:cs="Arial" w:eastAsia="Arial" w:hAnsi="Arial"/>
          <w:sz w:val="18"/>
          <w:szCs w:val="18"/>
          <w:color w:val="auto"/>
        </w:rPr>
        <w:t>іӝљѕ</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њӝіѕ</w:t>
      </w:r>
      <w:r>
        <w:rPr>
          <w:rFonts w:ascii="Arial" w:cs="Arial" w:eastAsia="Arial" w:hAnsi="Arial"/>
          <w:sz w:val="18"/>
          <w:szCs w:val="18"/>
          <w:color w:val="auto"/>
        </w:rPr>
        <w:t>Ր</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ɥɨǉʤƃȈȢȈȶǼ</w:t>
      </w:r>
      <w:r>
        <w:rPr>
          <w:rFonts w:ascii="PMingLiU" w:cs="PMingLiU" w:eastAsia="PMingLiU" w:hAnsi="PMingLiU"/>
          <w:sz w:val="18"/>
          <w:szCs w:val="18"/>
          <w:color w:val="auto"/>
        </w:rPr>
        <w:t/>
      </w:r>
      <w:r>
        <w:rPr>
          <w:rFonts w:ascii="Arial" w:cs="Arial" w:eastAsia="Arial" w:hAnsi="Arial"/>
          <w:sz w:val="18"/>
          <w:szCs w:val="18"/>
          <w:color w:val="auto"/>
        </w:rPr>
        <w:t xml:space="preserve"> ȴƃɨȟǉɽ</w:t>
      </w:r>
      <w:r>
        <w:rPr>
          <w:rFonts w:ascii="PMingLiU" w:cs="PMingLiU" w:eastAsia="PMingLiU" w:hAnsi="PMingLiU"/>
          <w:sz w:val="18"/>
          <w:szCs w:val="18"/>
          <w:color w:val="auto"/>
        </w:rPr>
        <w:t/>
      </w:r>
      <w:r>
        <w:rPr>
          <w:rFonts w:ascii="Arial" w:cs="Arial" w:eastAsia="Arial" w:hAnsi="Arial"/>
          <w:sz w:val="18"/>
          <w:szCs w:val="18"/>
          <w:color w:val="auto"/>
        </w:rPr>
        <w:t>ɨƃɽǉɰ</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ǉƃƺȃ</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ȢɁȶǼ</w:t>
      </w:r>
      <w:r>
        <w:rPr>
          <w:rFonts w:ascii="Arial" w:cs="Arial" w:eastAsia="Arial" w:hAnsi="Arial"/>
          <w:sz w:val="18"/>
          <w:szCs w:val="18"/>
          <w:color w:val="auto"/>
        </w:rPr>
        <w:t>Ӹ</w:t>
      </w:r>
      <w:r>
        <w:rPr>
          <w:rFonts w:ascii="Arial" w:cs="Arial" w:eastAsia="Arial" w:hAnsi="Arial"/>
          <w:sz w:val="18"/>
          <w:szCs w:val="18"/>
          <w:color w:val="auto"/>
        </w:rPr>
        <w:t>ɽǉɨȴ</w:t>
      </w:r>
      <w:r>
        <w:rPr>
          <w:rFonts w:ascii="PMingLiU" w:cs="PMingLiU" w:eastAsia="PMingLiU" w:hAnsi="PMingLiU"/>
          <w:sz w:val="18"/>
          <w:szCs w:val="18"/>
          <w:color w:val="auto"/>
        </w:rPr>
        <w:t/>
      </w:r>
      <w:r>
        <w:rPr>
          <w:rFonts w:ascii="Arial" w:cs="Arial" w:eastAsia="Arial" w:hAnsi="Arial"/>
          <w:sz w:val="18"/>
          <w:szCs w:val="18"/>
          <w:color w:val="auto"/>
        </w:rPr>
        <w:t>ȶɁɽǉɰ</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ƹǉɽʥǉǉȶ</w:t>
      </w:r>
      <w:r>
        <w:rPr>
          <w:rFonts w:ascii="PMingLiU" w:cs="PMingLiU" w:eastAsia="PMingLiU" w:hAnsi="PMingLiU"/>
          <w:sz w:val="18"/>
          <w:szCs w:val="18"/>
          <w:color w:val="auto"/>
        </w:rPr>
        <w:t/>
      </w:r>
      <w:r>
        <w:rPr>
          <w:rFonts w:ascii="Arial" w:cs="Arial" w:eastAsia="Arial" w:hAnsi="Arial"/>
          <w:sz w:val="18"/>
          <w:szCs w:val="18"/>
          <w:color w:val="auto"/>
        </w:rPr>
        <w:t>ѕӝј</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ȢɁʥǉɨ</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їӝѝ</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higher than the fixed rates on our debt instruments. Our unsecured credit facility contains a $3,500.0 variable-rate </w:t>
      </w:r>
      <w:r>
        <w:rPr>
          <w:rFonts w:ascii="Arial" w:cs="Arial" w:eastAsia="Arial" w:hAnsi="Arial"/>
          <w:sz w:val="18"/>
          <w:szCs w:val="18"/>
          <w:color w:val="auto"/>
        </w:rPr>
        <w:t>ɨǉʤɁȢʤǉɨ</w:t>
      </w:r>
      <w:r>
        <w:rPr>
          <w:rFonts w:ascii="PMingLiU" w:cs="PMingLiU" w:eastAsia="PMingLiU" w:hAnsi="PMingLiU"/>
          <w:sz w:val="18"/>
          <w:szCs w:val="18"/>
          <w:color w:val="auto"/>
        </w:rPr>
        <w:t/>
      </w:r>
      <w:r>
        <w:rPr>
          <w:rFonts w:ascii="Arial" w:cs="Arial" w:eastAsia="Arial" w:hAnsi="Arial"/>
          <w:sz w:val="18"/>
          <w:szCs w:val="18"/>
          <w:color w:val="auto"/>
        </w:rPr>
        <w:t>ʥȈɽȃ</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ѝњѕӝѕ</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ɁʍɽɰɽƃȶǁȈȶǼ</w:t>
      </w:r>
      <w:r>
        <w:rPr>
          <w:rFonts w:ascii="PMingLiU" w:cs="PMingLiU" w:eastAsia="PMingLiU" w:hAnsi="PMingLiU"/>
          <w:sz w:val="18"/>
          <w:szCs w:val="18"/>
          <w:color w:val="auto"/>
        </w:rPr>
        <w:t/>
      </w:r>
      <w:r>
        <w:rPr>
          <w:rFonts w:ascii="Arial" w:cs="Arial" w:eastAsia="Arial" w:hAnsi="Arial"/>
          <w:sz w:val="18"/>
          <w:szCs w:val="18"/>
          <w:color w:val="auto"/>
        </w:rPr>
        <w:t>ƹɁɨɨɁʥȈȶǼɰ</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їѕїњӝ</w:t>
      </w:r>
    </w:p>
    <w:p>
      <w:pPr>
        <w:spacing w:after="0" w:line="7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Several of our businesses have transactions and balances denominated in currencies other than the U.S. dollar. Most of these transactions or balances are denominated in British pounds, Canadian dollars, or euros. Net revenues recog-nized by our companies whose functional currency is not the U.S. dollar were approximately 9% of our total net reve-nues in 2025 and approximately 88% of these net revenues were recognized by our companies with a functional currency that is either the British pound, Canadian dollar, or euro. If these currency exchange rates had been 10% different throughout 2025 compared to currency exchange rates actually experienced, the impact on our net earn-ings would have been less than 1%.</w:t>
      </w:r>
    </w:p>
    <w:p>
      <w:pPr>
        <w:spacing w:after="0" w:line="273"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auto"/>
        </w:rPr>
        <w:t xml:space="preserve">We are exposed to equity price risk as it relates to the change in fair value of our equity investment in Indicor. This equity investment is accounted for under the fair value option with its fair value estimated on a quarterly basis and its change in fair value reported as a component of “Equity investments gain, net” in our Consolidated Statements of Earnings. A hypothetical 10% decrease in the fair value of our equity investment in Indicor based on the balance at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ʥɁʍȢǁ</w:t>
      </w:r>
      <w:r>
        <w:rPr>
          <w:rFonts w:ascii="PMingLiU" w:cs="PMingLiU" w:eastAsia="PMingLiU" w:hAnsi="PMingLiU"/>
          <w:sz w:val="18"/>
          <w:szCs w:val="18"/>
          <w:color w:val="auto"/>
        </w:rPr>
        <w:t/>
      </w:r>
      <w:r>
        <w:rPr>
          <w:rFonts w:ascii="Arial" w:cs="Arial" w:eastAsia="Arial" w:hAnsi="Arial"/>
          <w:sz w:val="18"/>
          <w:szCs w:val="18"/>
          <w:color w:val="auto"/>
        </w:rPr>
        <w:t>ɨǉɰʍȢɽ</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ȶɁȶ</w:t>
      </w:r>
      <w:r>
        <w:rPr>
          <w:rFonts w:ascii="Arial" w:cs="Arial" w:eastAsia="Arial" w:hAnsi="Arial"/>
          <w:sz w:val="18"/>
          <w:szCs w:val="18"/>
          <w:color w:val="auto"/>
        </w:rPr>
        <w:t>Ӹ</w:t>
      </w:r>
      <w:r>
        <w:rPr>
          <w:rFonts w:ascii="Arial" w:cs="Arial" w:eastAsia="Arial" w:hAnsi="Arial"/>
          <w:sz w:val="18"/>
          <w:szCs w:val="18"/>
          <w:color w:val="auto"/>
        </w:rPr>
        <w:t>ƺƃɰȃ</w:t>
      </w:r>
      <w:r>
        <w:rPr>
          <w:rFonts w:ascii="PMingLiU" w:cs="PMingLiU" w:eastAsia="PMingLiU" w:hAnsi="PMingLiU"/>
          <w:sz w:val="18"/>
          <w:szCs w:val="18"/>
          <w:color w:val="auto"/>
        </w:rPr>
        <w:t/>
      </w:r>
      <w:r>
        <w:rPr>
          <w:rFonts w:ascii="Arial" w:cs="Arial" w:eastAsia="Arial" w:hAnsi="Arial"/>
          <w:sz w:val="18"/>
          <w:szCs w:val="18"/>
          <w:color w:val="auto"/>
        </w:rPr>
        <w:t>ƺȃƃɨǼǉ</w:t>
      </w:r>
      <w:r>
        <w:rPr>
          <w:rFonts w:ascii="PMingLiU" w:cs="PMingLiU" w:eastAsia="PMingLiU" w:hAnsi="PMingLiU"/>
          <w:sz w:val="18"/>
          <w:szCs w:val="18"/>
          <w:color w:val="auto"/>
        </w:rPr>
        <w:t/>
      </w:r>
      <w:r>
        <w:rPr>
          <w:rFonts w:ascii="Arial" w:cs="Arial" w:eastAsia="Arial" w:hAnsi="Arial"/>
          <w:sz w:val="18"/>
          <w:szCs w:val="18"/>
          <w:color w:val="auto"/>
        </w:rPr>
        <w:t>ʥȈɽȃȈȶ</w:t>
      </w:r>
      <w:r>
        <w:rPr>
          <w:rFonts w:ascii="PMingLiU" w:cs="PMingLiU" w:eastAsia="PMingLiU" w:hAnsi="PMingLiU"/>
          <w:sz w:val="18"/>
          <w:szCs w:val="18"/>
          <w:color w:val="auto"/>
        </w:rPr>
        <w:t/>
      </w:r>
      <w:r>
        <w:rPr>
          <w:rFonts w:ascii="Arial" w:cs="Arial" w:eastAsia="Arial" w:hAnsi="Arial"/>
          <w:sz w:val="18"/>
          <w:szCs w:val="18"/>
          <w:color w:val="auto"/>
        </w:rPr>
        <w:t>ȶɁȶ</w:t>
      </w:r>
      <w:r>
        <w:rPr>
          <w:rFonts w:ascii="Arial" w:cs="Arial" w:eastAsia="Arial" w:hAnsi="Arial"/>
          <w:sz w:val="18"/>
          <w:szCs w:val="18"/>
          <w:color w:val="auto"/>
        </w:rPr>
        <w:t>Ӹ</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ȈȶƺɁȴǉ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ƃɥɥɨɁʯȈȴƃɽǉȢʰ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ќўӝћӝ</w:t>
      </w:r>
      <w:r>
        <w:rPr>
          <w:rFonts w:ascii="PMingLiU" w:cs="PMingLiU" w:eastAsia="PMingLiU" w:hAnsi="PMingLiU"/>
          <w:sz w:val="18"/>
          <w:szCs w:val="18"/>
          <w:color w:val="auto"/>
        </w:rPr>
        <w:t/>
      </w:r>
      <w:r>
        <w:rPr>
          <w:rFonts w:ascii="Arial" w:cs="Arial" w:eastAsia="Arial" w:hAnsi="Arial"/>
          <w:sz w:val="18"/>
          <w:szCs w:val="18"/>
          <w:color w:val="auto"/>
        </w:rPr>
        <w:t>Čǉǉ</w:t>
      </w:r>
      <w:r>
        <w:rPr>
          <w:rFonts w:ascii="PMingLiU" w:cs="PMingLiU" w:eastAsia="PMingLiU" w:hAnsi="PMingLiU"/>
          <w:sz w:val="18"/>
          <w:szCs w:val="18"/>
          <w:color w:val="auto"/>
        </w:rPr>
        <w:t/>
      </w:r>
      <w:r>
        <w:rPr>
          <w:rFonts w:ascii="Arial" w:cs="Arial" w:eastAsia="Arial" w:hAnsi="Arial"/>
          <w:sz w:val="18"/>
          <w:szCs w:val="18"/>
          <w:color w:val="auto"/>
        </w:rPr>
        <w:t>ÇɁɽǉ</w:t>
      </w:r>
      <w:r>
        <w:rPr>
          <w:rFonts w:ascii="PMingLiU" w:cs="PMingLiU" w:eastAsia="PMingLiU" w:hAnsi="PMingLiU"/>
          <w:sz w:val="18"/>
          <w:szCs w:val="18"/>
          <w:color w:val="auto"/>
        </w:rPr>
        <w:t/>
      </w:r>
      <w:r>
        <w:rPr>
          <w:rFonts w:ascii="Arial" w:cs="Arial" w:eastAsia="Arial" w:hAnsi="Arial"/>
          <w:sz w:val="18"/>
          <w:szCs w:val="18"/>
          <w:color w:val="auto"/>
        </w:rPr>
        <w:t>ў</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of the Notes to Consolidated Financial Statements included in this Annual Report for additional information on this equity investment.</w:t>
      </w:r>
    </w:p>
    <w:p>
      <w:pPr>
        <w:spacing w:after="0" w:line="277"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The trading price of our common stock influences the valuation of stock award grants and the effects these grants have on our results of operations. The stock price also influences the computation of potentially dilutive common stock used in the determination of diluted earnings per share. In addition, the stock price also affects our employees’ perceptions of programs that involve our common stock. The quantification of the effects of these changing prices on our future earnings and cash flows is not readily determinable.</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color w:val="000041"/>
        </w:rPr>
        <w:t>ITEM 8 | FINANCIAL STATEMENTS AND SUPPLEMENTARY DATA</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000041"/>
        </w:rPr>
        <w:t>INDEX TO CONSOLIDATED FINANCIAL STATEMENTS AND SUPPLEMENTARY DATA</w:t>
      </w:r>
    </w:p>
    <w:p>
      <w:pPr>
        <w:spacing w:after="0" w:line="121"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Consolidated Financial Statements:</w:t>
      </w:r>
      <w:r>
        <w:rPr>
          <w:sz w:val="20"/>
          <w:szCs w:val="20"/>
          <w:color w:val="auto"/>
        </w:rPr>
        <w:tab/>
      </w:r>
      <w:r>
        <w:rPr>
          <w:rFonts w:ascii="Arial" w:cs="Arial" w:eastAsia="Arial" w:hAnsi="Arial"/>
          <w:sz w:val="18"/>
          <w:szCs w:val="18"/>
          <w:color w:val="auto"/>
        </w:rPr>
        <w:t>Page</w:t>
      </w:r>
    </w:p>
    <w:p>
      <w:pPr>
        <w:spacing w:after="0" w:line="129" w:lineRule="exact"/>
        <w:rPr>
          <w:sz w:val="20"/>
          <w:szCs w:val="20"/>
          <w:color w:val="auto"/>
        </w:rPr>
      </w:pPr>
    </w:p>
    <w:p>
      <w:pPr>
        <w:jc w:val="both"/>
        <w:ind w:left="360" w:right="40"/>
        <w:spacing w:after="0" w:line="378" w:lineRule="auto"/>
        <w:rPr>
          <w:sz w:val="20"/>
          <w:szCs w:val="20"/>
          <w:color w:val="auto"/>
        </w:rPr>
      </w:pPr>
      <w:r>
        <w:rPr>
          <w:rFonts w:ascii="Arial" w:cs="Arial" w:eastAsia="Arial" w:hAnsi="Arial"/>
          <w:sz w:val="17"/>
          <w:szCs w:val="17"/>
          <w:color w:val="auto"/>
        </w:rPr>
        <w:t>Report of Independent Registered Public Accounting Firm (PricewaterhouseCoopers LLP, PCAOB ID 238) . . . . . 33 Consolidated Balance Sheets as of December 31, 2025 and 2024. . . . . . . . . . . . . . . . . . . . . . . . . . . . . . . . . . . . . . . . . . . . . . . . 36 Consolidated Statements of Earnings for the Years ended December 31, 2025, 2024, and 2023 . . . . . . . . . . . . . . . . . 37 Consolidated Statements of Comprehensive Income for the Years ended December 31, 2025,</w:t>
      </w:r>
    </w:p>
    <w:p>
      <w:pPr>
        <w:spacing w:after="0" w:line="2" w:lineRule="exact"/>
        <w:rPr>
          <w:sz w:val="20"/>
          <w:szCs w:val="20"/>
          <w:color w:val="auto"/>
        </w:rPr>
      </w:pPr>
    </w:p>
    <w:p>
      <w:pPr>
        <w:jc w:val="both"/>
        <w:ind w:left="360" w:right="40"/>
        <w:spacing w:after="0" w:line="453" w:lineRule="auto"/>
        <w:rPr>
          <w:sz w:val="20"/>
          <w:szCs w:val="20"/>
          <w:color w:val="auto"/>
        </w:rPr>
      </w:pPr>
      <w:r>
        <w:rPr>
          <w:rFonts w:ascii="Arial" w:cs="Arial" w:eastAsia="Arial" w:hAnsi="Arial"/>
          <w:sz w:val="16"/>
          <w:szCs w:val="16"/>
          <w:color w:val="auto"/>
        </w:rPr>
        <w:t>2024, and 2023 . . . . . . . . . . . . . . . . . . . . . . . . . . . . . . . . . . . . . . . . . . . . . . . . . . . . . . . . . . . . . . . . . . . . . . . . . . . . . . . . . . . . . . . . . . . . . . . . . . . 37 Consolidated Statements of Stockholders’ Equity for the Years ended December 31, 2025, 2024, and 2023 . . . . . 38 Consolidated Statements of Cash Flows for the Years ended December 31, 2025, 2024, and 2023 . . . . . . . . . . . . . . 39 Notes to Consolidated Financial Statements . . . . . . . . . . . . . . . . . . . . . . . . . . . . . . . . . . . . . . . . . . . . . . . . . . . . . . . . . . . . . . . . . . . . . . 41</w:t>
      </w:r>
    </w:p>
    <w:p>
      <w:pPr>
        <w:sectPr>
          <w:pgSz w:w="12240" w:h="15840" w:orient="portrait"/>
          <w:cols w:equalWidth="0" w:num="1">
            <w:col w:w="10360"/>
          </w:cols>
          <w:pgMar w:left="960" w:top="935" w:right="92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60"/>
          </w:cols>
          <w:pgMar w:left="960" w:top="935" w:right="920" w:bottom="9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REPORT OF INDEPENDENT REGISTERED PUBLIC ACCOUNTING FIRM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Roper Technologies, Inc.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Financial Statements and Internal Control over Financial Reporting</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have audited the accompanying consolidated balance sheets of Roper Technologies, Inc. and its subsidiaries (the “Company”) as of December 31, 2025 and 2024, and the related consolidated statements of earnings, of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(COSO).</w:t>
      </w:r>
    </w:p>
    <w:p>
      <w:pPr>
        <w:spacing w:after="0" w:line="27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issued by the COSO.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7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nine entities from its assessment of internal control over financial reporting as of December 31, 2025 because they were acquired by the Company in purchase business combinations during 2025. We have also excluded these nine entities from our audit of internal control over financial reporting. These entities, each of which is wholly-owned, comprised, in the aggregate, total assets and total revenues excluded from management’s assessment and our audit of internal control over financial reporting of less than 1% and approximately 3% of consolidated total assets and consolidated total revenues, respectively, as of and for the year ended December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10320"/>
          </w:cols>
          <w:pgMar w:left="960" w:top="926" w:right="960" w:bottom="90" w:gutter="0" w:footer="0" w:header="0"/>
        </w:sectPr>
      </w:pPr>
    </w:p>
    <w:p>
      <w:pPr>
        <w:spacing w:after="0" w:line="338" w:lineRule="exact"/>
        <w:rPr>
          <w:sz w:val="20"/>
          <w:szCs w:val="20"/>
          <w:color w:val="auto"/>
        </w:rPr>
      </w:pPr>
    </w:p>
    <w:p>
      <w:pPr>
        <w:ind w:left="3500"/>
        <w:spacing w:after="0" w:line="146" w:lineRule="exact"/>
        <w:tabs>
          <w:tab w:leader="none" w:pos="1016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33</w:t>
      </w:r>
    </w:p>
    <w:p>
      <w:pPr>
        <w:sectPr>
          <w:pgSz w:w="12240" w:h="15840" w:orient="portrait"/>
          <w:cols w:equalWidth="0" w:num="1">
            <w:col w:w="10320"/>
          </w:cols>
          <w:pgMar w:left="960" w:top="926" w:right="960" w:bottom="90" w:gutter="0" w:footer="0" w:header="0"/>
          <w:type w:val="continuous"/>
        </w:sectPr>
      </w:pPr>
    </w:p>
    <w:bookmarkStart w:id="35" w:name="page36"/>
    <w:bookmarkEnd w:id="35"/>
    <w:p>
      <w:pPr>
        <w:jc w:val="both"/>
        <w:spacing w:after="0" w:line="28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spacing w:after="0" w:line="2" w:lineRule="exact"/>
        <w:rPr>
          <w:sz w:val="20"/>
          <w:szCs w:val="20"/>
          <w:color w:val="auto"/>
        </w:rPr>
      </w:pPr>
    </w:p>
    <w:p>
      <w:pPr>
        <w:jc w:val="both"/>
        <w:spacing w:after="0" w:line="265"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CentralReach Holdings, LLC—Valuation of Customer Relationships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in Notes 1 and 2 to the consolidated financial statements, on April 23, 2025, the Company acquired CentralReach Holdings, LLC (“CentralReach”) for a net purchase price of $1,850.0 million. Of the acquired amortizable intangible assets, $776.0 million of customer relationships were recorded. The fair value for customer relationships is determined as of the acquisition date using the excess earnings method. Under this methodology, the fair value is determined by management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customer relationships acquired in the acquisition of CentralReach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the customer attrition rate, projected customer revenue growth rates, margins, contributory asset charges, and discount rate; and (iii) the audit effort involved the use of professionals with specialized skill and knowledge.</w:t>
      </w:r>
    </w:p>
    <w:p>
      <w:pPr>
        <w:spacing w:after="0" w:line="2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excess earnings method used by management; (iv) testing the completeness and accu-racy of the underlying data used in the excess earnings method; and (v) evaluating the reasonableness of the signifi-cant assumptions used by management related to the customer attrition rate, projected customer revenue growth rates, margins, contributory asset charges, and discount rate. Evaluating management’s assumptions related to pro-jected customer revenue growth rates and margins involved considering (i) the current and past performance of the CentralReach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method and (ii) the reasonableness of the customer attrition rate, contributory asset charges, and discount rate assumptions.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Subsplash TopCo, LLC—Valuation of Customer Relationships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in Notes 1 and 2 to the consolidated financial statements, on July 25, 2025, the Company acquired Subsplash TopCo, LLC (“Subsplash”) for a net purchase price of $800.0 million. Of the acquired amortizable intangible assets, $328.1 million of customer relationships were recorded. The fair value for customer relationships is determined as of the acquisition date using the excess earnings method. Under this methodology, the fair value is determined by management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w:t>
      </w:r>
    </w:p>
    <w:p>
      <w:pPr>
        <w:spacing w:after="0" w:line="27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customer relationships acquired in the acquisition of Subsplash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the customer attrition rate, projected customer revenue growth rates, margins, contributory asset charges, and discount rate; and (iii) the audit effort involved the use of professionals with specialized skill and knowledge.</w:t>
      </w:r>
    </w:p>
    <w:p>
      <w:pPr>
        <w:sectPr>
          <w:pgSz w:w="12240" w:h="15840" w:orient="portrait"/>
          <w:cols w:equalWidth="0" w:num="1">
            <w:col w:w="10320"/>
          </w:cols>
          <w:pgMar w:left="960" w:top="935" w:right="960" w:bottom="90" w:gutter="0" w:footer="0" w:header="0"/>
        </w:sectPr>
      </w:pPr>
    </w:p>
    <w:p>
      <w:pPr>
        <w:spacing w:after="0" w:line="349"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34</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20"/>
          </w:cols>
          <w:pgMar w:left="960" w:top="935" w:right="960" w:bottom="90" w:gutter="0" w:footer="0" w:header="0"/>
          <w:type w:val="continuous"/>
        </w:sectPr>
      </w:pPr>
    </w:p>
    <w:bookmarkStart w:id="36" w:name="page37"/>
    <w:bookmarkEnd w:id="36"/>
    <w:p>
      <w:pPr>
        <w:jc w:val="both"/>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excess earnings method used by management; (iv) testing the completeness and accu-racy of the underlying data used in the excess earnings method; and (v) evaluating the reasonableness of the signifi-cant assumptions used by management related to the customer attrition rate, projected customer revenue growth rates, margins, contributory asset charges, and discount rate. Evaluating management’s assumptions related to pro-jected customer revenue growth rates and margins involved considering (i) the current and past performance of the Subsplash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method and (ii) the reasonableness of the customer attrition rate, contributory asset charges, and discount rate assumptions.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1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yǉƹɨʍƃɨʰԝ</w:t>
      </w:r>
      <w:r>
        <w:rPr>
          <w:rFonts w:ascii="Arial" w:cs="Arial" w:eastAsia="Arial" w:hAnsi="Arial"/>
          <w:sz w:val="18"/>
          <w:szCs w:val="18"/>
          <w:color w:val="auto"/>
        </w:rPr>
        <w:t>їљӗ</w:t>
      </w:r>
      <w:r>
        <w:rPr>
          <w:rFonts w:ascii="PMingLiU" w:cs="PMingLiU" w:eastAsia="PMingLiU" w:hAnsi="PMingLiU"/>
          <w:sz w:val="18"/>
          <w:szCs w:val="18"/>
          <w:color w:val="auto"/>
        </w:rPr>
        <w:t/>
      </w:r>
      <w:r>
        <w:rPr>
          <w:rFonts w:ascii="Arial" w:cs="Arial" w:eastAsia="Arial" w:hAnsi="Arial"/>
          <w:sz w:val="18"/>
          <w:szCs w:val="18"/>
          <w:color w:val="auto"/>
        </w:rPr>
        <w:t>їѕїћ</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ectPr>
          <w:pgSz w:w="12240" w:h="15840" w:orient="portrait"/>
          <w:cols w:equalWidth="0" w:num="1">
            <w:col w:w="10320"/>
          </w:cols>
          <w:pgMar w:left="960" w:top="935"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35</w:t>
      </w:r>
    </w:p>
    <w:p>
      <w:pPr>
        <w:sectPr>
          <w:pgSz w:w="12240" w:h="15840" w:orient="portrait"/>
          <w:cols w:equalWidth="0" w:num="1">
            <w:col w:w="10320"/>
          </w:cols>
          <w:pgMar w:left="960" w:top="935" w:right="960" w:bottom="90"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ROPER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000041"/>
        </w:rPr>
        <w:t>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020" w:type="dxa"/>
            <w:vAlign w:val="bottom"/>
          </w:tcPr>
          <w:p>
            <w:pPr>
              <w:spacing w:after="0"/>
              <w:rPr>
                <w:sz w:val="20"/>
                <w:szCs w:val="20"/>
                <w:color w:val="auto"/>
              </w:rPr>
            </w:pPr>
            <w:r>
              <w:rPr>
                <w:rFonts w:ascii="Arial" w:cs="Arial" w:eastAsia="Arial" w:hAnsi="Arial"/>
                <w:sz w:val="18"/>
                <w:szCs w:val="18"/>
                <w:color w:val="auto"/>
              </w:rPr>
              <w:t>(Amounts in millions, except per share data)</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6"/>
        </w:trPr>
        <w:tc>
          <w:tcPr>
            <w:tcW w:w="8020" w:type="dxa"/>
            <w:vAlign w:val="bottom"/>
          </w:tcPr>
          <w:p>
            <w:pPr>
              <w:spacing w:after="0"/>
              <w:rPr>
                <w:sz w:val="24"/>
                <w:szCs w:val="24"/>
                <w:color w:val="auto"/>
              </w:rPr>
            </w:pPr>
          </w:p>
        </w:tc>
        <w:tc>
          <w:tcPr>
            <w:tcW w:w="2300" w:type="dxa"/>
            <w:vAlign w:val="bottom"/>
            <w:tcBorders>
              <w:bottom w:val="single" w:sz="8" w:color="000041"/>
            </w:tcBorders>
            <w:gridSpan w:val="4"/>
          </w:tcPr>
          <w:p>
            <w:pPr>
              <w:jc w:val="right"/>
              <w:ind w:right="270"/>
              <w:spacing w:after="0"/>
              <w:rPr>
                <w:sz w:val="20"/>
                <w:szCs w:val="20"/>
                <w:color w:val="auto"/>
              </w:rPr>
            </w:pPr>
            <w:r>
              <w:rPr>
                <w:rFonts w:ascii="Arial" w:cs="Arial" w:eastAsia="Arial" w:hAnsi="Arial"/>
                <w:sz w:val="18"/>
                <w:szCs w:val="18"/>
                <w:color w:val="auto"/>
              </w:rPr>
              <w:t>As of December 31,</w:t>
            </w:r>
          </w:p>
        </w:tc>
      </w:tr>
      <w:tr>
        <w:trPr>
          <w:trHeight w:val="269"/>
        </w:trPr>
        <w:tc>
          <w:tcPr>
            <w:tcW w:w="80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36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2025</w:t>
            </w:r>
          </w:p>
        </w:tc>
        <w:tc>
          <w:tcPr>
            <w:tcW w:w="440" w:type="dxa"/>
            <w:vAlign w:val="bottom"/>
            <w:tcBorders>
              <w:bottom w:val="single" w:sz="8" w:color="000041"/>
            </w:tcBorders>
          </w:tcPr>
          <w:p>
            <w:pPr>
              <w:spacing w:after="0"/>
              <w:rPr>
                <w:sz w:val="23"/>
                <w:szCs w:val="23"/>
                <w:color w:val="auto"/>
              </w:rPr>
            </w:pPr>
          </w:p>
        </w:tc>
        <w:tc>
          <w:tcPr>
            <w:tcW w:w="7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2024</w:t>
            </w:r>
          </w:p>
        </w:tc>
      </w:tr>
      <w:tr>
        <w:trPr>
          <w:trHeight w:val="232"/>
        </w:trPr>
        <w:tc>
          <w:tcPr>
            <w:tcW w:w="8020" w:type="dxa"/>
            <w:vAlign w:val="bottom"/>
          </w:tcPr>
          <w:p>
            <w:pPr>
              <w:spacing w:after="0"/>
              <w:rPr>
                <w:sz w:val="20"/>
                <w:szCs w:val="20"/>
                <w:color w:val="auto"/>
              </w:rPr>
            </w:pPr>
            <w:r>
              <w:rPr>
                <w:rFonts w:ascii="Arial" w:cs="Arial" w:eastAsia="Arial" w:hAnsi="Arial"/>
                <w:sz w:val="18"/>
                <w:szCs w:val="18"/>
                <w:color w:val="auto"/>
              </w:rPr>
              <w:t>Assets</w:t>
            </w:r>
          </w:p>
        </w:tc>
        <w:tc>
          <w:tcPr>
            <w:tcW w:w="360" w:type="dxa"/>
            <w:vAlign w:val="bottom"/>
          </w:tcPr>
          <w:p>
            <w:pPr>
              <w:jc w:val="right"/>
              <w:ind w:right="243"/>
              <w:spacing w:after="0"/>
              <w:rPr>
                <w:sz w:val="20"/>
                <w:szCs w:val="20"/>
                <w:color w:val="auto"/>
              </w:rPr>
            </w:pPr>
            <w:r>
              <w:rPr>
                <w:rFonts w:ascii="Arial" w:cs="Arial" w:eastAsia="Arial" w:hAnsi="Arial"/>
                <w:sz w:val="3"/>
                <w:szCs w:val="3"/>
                <w:color w:val="auto"/>
                <w:w w:val="90"/>
              </w:rPr>
              <w:t>ԝ</w:t>
            </w:r>
          </w:p>
        </w:tc>
        <w:tc>
          <w:tcPr>
            <w:tcW w:w="780" w:type="dxa"/>
            <w:vAlign w:val="bottom"/>
          </w:tcPr>
          <w:p>
            <w:pPr>
              <w:spacing w:after="0"/>
              <w:rPr>
                <w:sz w:val="20"/>
                <w:szCs w:val="20"/>
                <w:color w:val="auto"/>
              </w:rPr>
            </w:pPr>
          </w:p>
        </w:tc>
        <w:tc>
          <w:tcPr>
            <w:tcW w:w="440" w:type="dxa"/>
            <w:vAlign w:val="bottom"/>
          </w:tcPr>
          <w:p>
            <w:pPr>
              <w:jc w:val="right"/>
              <w:ind w:right="298"/>
              <w:spacing w:after="0"/>
              <w:rPr>
                <w:sz w:val="20"/>
                <w:szCs w:val="20"/>
                <w:color w:val="auto"/>
              </w:rPr>
            </w:pPr>
            <w:r>
              <w:rPr>
                <w:rFonts w:ascii="Arial" w:cs="Arial" w:eastAsia="Arial" w:hAnsi="Arial"/>
                <w:sz w:val="7"/>
                <w:szCs w:val="7"/>
                <w:color w:val="auto"/>
                <w:w w:val="78"/>
              </w:rPr>
              <w:t>ԝ</w:t>
            </w:r>
          </w:p>
        </w:tc>
        <w:tc>
          <w:tcPr>
            <w:tcW w:w="720" w:type="dxa"/>
            <w:vAlign w:val="bottom"/>
          </w:tcPr>
          <w:p>
            <w:pPr>
              <w:spacing w:after="0"/>
              <w:rPr>
                <w:sz w:val="20"/>
                <w:szCs w:val="20"/>
                <w:color w:val="auto"/>
              </w:rPr>
            </w:pP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1,001.0</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885.1</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141.7</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128.2</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05"/>
        </w:trPr>
        <w:tc>
          <w:tcPr>
            <w:tcW w:w="8020" w:type="dxa"/>
            <w:vAlign w:val="bottom"/>
          </w:tcPr>
          <w:p>
            <w:pPr>
              <w:ind w:left="180"/>
              <w:spacing w:after="0" w:line="205" w:lineRule="exact"/>
              <w:rPr>
                <w:sz w:val="20"/>
                <w:szCs w:val="20"/>
                <w:color w:val="auto"/>
              </w:rPr>
            </w:pPr>
            <w:r>
              <w:rPr>
                <w:rFonts w:ascii="Arial" w:cs="Arial" w:eastAsia="Arial" w:hAnsi="Arial"/>
                <w:sz w:val="18"/>
                <w:szCs w:val="18"/>
                <w:color w:val="auto"/>
              </w:rPr>
              <w:t>Unbilled receivables</w:t>
            </w:r>
          </w:p>
        </w:tc>
        <w:tc>
          <w:tcPr>
            <w:tcW w:w="36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rPr>
              <w:t>124.0</w:t>
            </w:r>
          </w:p>
        </w:tc>
        <w:tc>
          <w:tcPr>
            <w:tcW w:w="4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Arial" w:cs="Arial" w:eastAsia="Arial" w:hAnsi="Arial"/>
                <w:sz w:val="18"/>
                <w:szCs w:val="18"/>
                <w:color w:val="auto"/>
              </w:rPr>
              <w:t>127.3</w:t>
            </w:r>
          </w:p>
        </w:tc>
      </w:tr>
      <w:tr>
        <w:trPr>
          <w:trHeight w:val="268"/>
        </w:trPr>
        <w:tc>
          <w:tcPr>
            <w:tcW w:w="80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235.8</w:t>
            </w:r>
          </w:p>
        </w:tc>
        <w:tc>
          <w:tcPr>
            <w:tcW w:w="440" w:type="dxa"/>
            <w:vAlign w:val="bottom"/>
            <w:tcBorders>
              <w:bottom w:val="single" w:sz="8" w:color="000041"/>
            </w:tcBorders>
          </w:tcPr>
          <w:p>
            <w:pPr>
              <w:spacing w:after="0"/>
              <w:rPr>
                <w:sz w:val="23"/>
                <w:szCs w:val="23"/>
                <w:color w:val="auto"/>
              </w:rPr>
            </w:pPr>
          </w:p>
        </w:tc>
        <w:tc>
          <w:tcPr>
            <w:tcW w:w="7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195.7</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1,928.1</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1,542.7</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156.9</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149.7</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21,341.2</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19,312.9</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9,764.2</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9,059.6</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73.3</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00"/>
        </w:trPr>
        <w:tc>
          <w:tcPr>
            <w:tcW w:w="8020" w:type="dxa"/>
            <w:vAlign w:val="bottom"/>
          </w:tcPr>
          <w:p>
            <w:pPr>
              <w:ind w:left="180"/>
              <w:spacing w:after="0" w:line="200" w:lineRule="exact"/>
              <w:rPr>
                <w:sz w:val="20"/>
                <w:szCs w:val="20"/>
                <w:color w:val="auto"/>
              </w:rPr>
            </w:pPr>
            <w:r>
              <w:rPr>
                <w:rFonts w:ascii="Arial" w:cs="Arial" w:eastAsia="Arial" w:hAnsi="Arial"/>
                <w:sz w:val="18"/>
                <w:szCs w:val="18"/>
                <w:color w:val="auto"/>
              </w:rPr>
              <w:t>Equity investment</w:t>
            </w:r>
          </w:p>
        </w:tc>
        <w:tc>
          <w:tcPr>
            <w:tcW w:w="36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796.3</w:t>
            </w:r>
          </w:p>
        </w:tc>
        <w:tc>
          <w:tcPr>
            <w:tcW w:w="44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772.3</w:t>
            </w:r>
          </w:p>
        </w:tc>
      </w:tr>
      <w:tr>
        <w:trPr>
          <w:trHeight w:val="268"/>
        </w:trPr>
        <w:tc>
          <w:tcPr>
            <w:tcW w:w="80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517.0</w:t>
            </w:r>
          </w:p>
        </w:tc>
        <w:tc>
          <w:tcPr>
            <w:tcW w:w="440" w:type="dxa"/>
            <w:vAlign w:val="bottom"/>
            <w:tcBorders>
              <w:bottom w:val="single" w:sz="8" w:color="000041"/>
            </w:tcBorders>
          </w:tcPr>
          <w:p>
            <w:pPr>
              <w:spacing w:after="0"/>
              <w:rPr>
                <w:sz w:val="23"/>
                <w:szCs w:val="23"/>
                <w:color w:val="auto"/>
              </w:rPr>
            </w:pPr>
          </w:p>
        </w:tc>
        <w:tc>
          <w:tcPr>
            <w:tcW w:w="7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443.4</w:t>
            </w:r>
          </w:p>
        </w:tc>
      </w:tr>
      <w:tr>
        <w:trPr>
          <w:trHeight w:val="266"/>
        </w:trPr>
        <w:tc>
          <w:tcPr>
            <w:tcW w:w="802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w w:val="99"/>
              </w:rPr>
              <w:t>34,577.0</w:t>
            </w:r>
          </w:p>
        </w:tc>
        <w:tc>
          <w:tcPr>
            <w:tcW w:w="116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$31,334.7</w:t>
            </w:r>
          </w:p>
        </w:tc>
      </w:tr>
      <w:tr>
        <w:trPr>
          <w:trHeight w:val="291"/>
        </w:trPr>
        <w:tc>
          <w:tcPr>
            <w:tcW w:w="802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ԝ</w:t>
            </w:r>
          </w:p>
        </w:tc>
        <w:tc>
          <w:tcPr>
            <w:tcW w:w="4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ԝ</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148.1</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293.0</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289.0</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1,906.8</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1,737.4</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642.3</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546.2</w:t>
            </w:r>
          </w:p>
        </w:tc>
      </w:tr>
      <w:tr>
        <w:trPr>
          <w:trHeight w:val="210"/>
        </w:trPr>
        <w:tc>
          <w:tcPr>
            <w:tcW w:w="80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68"/>
        </w:trPr>
        <w:tc>
          <w:tcPr>
            <w:tcW w:w="80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Current portion of long-term debt, net</w:t>
            </w:r>
          </w:p>
        </w:tc>
        <w:tc>
          <w:tcPr>
            <w:tcW w:w="36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705.2</w:t>
            </w:r>
          </w:p>
        </w:tc>
        <w:tc>
          <w:tcPr>
            <w:tcW w:w="440" w:type="dxa"/>
            <w:vAlign w:val="bottom"/>
            <w:tcBorders>
              <w:bottom w:val="single" w:sz="8" w:color="000041"/>
            </w:tcBorders>
          </w:tcPr>
          <w:p>
            <w:pPr>
              <w:spacing w:after="0"/>
              <w:rPr>
                <w:sz w:val="23"/>
                <w:szCs w:val="23"/>
                <w:color w:val="auto"/>
              </w:rPr>
            </w:pPr>
          </w:p>
        </w:tc>
        <w:tc>
          <w:tcPr>
            <w:tcW w:w="7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1,043.1</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3,725.6</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3,832.2</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8,595.8</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6,579.9</w:t>
            </w:r>
          </w:p>
        </w:tc>
      </w:tr>
      <w:tr>
        <w:trPr>
          <w:trHeight w:val="205"/>
        </w:trPr>
        <w:tc>
          <w:tcPr>
            <w:tcW w:w="8020" w:type="dxa"/>
            <w:vAlign w:val="bottom"/>
          </w:tcPr>
          <w:p>
            <w:pPr>
              <w:ind w:left="180"/>
              <w:spacing w:after="0" w:line="205" w:lineRule="exact"/>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rPr>
              <w:t>1,883.1</w:t>
            </w:r>
          </w:p>
        </w:tc>
        <w:tc>
          <w:tcPr>
            <w:tcW w:w="4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Arial" w:cs="Arial" w:eastAsia="Arial" w:hAnsi="Arial"/>
                <w:sz w:val="18"/>
                <w:szCs w:val="18"/>
                <w:color w:val="auto"/>
              </w:rPr>
              <w:t>1,630.6</w:t>
            </w:r>
          </w:p>
        </w:tc>
      </w:tr>
      <w:tr>
        <w:trPr>
          <w:trHeight w:val="268"/>
        </w:trPr>
        <w:tc>
          <w:tcPr>
            <w:tcW w:w="80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491.0</w:t>
            </w:r>
          </w:p>
        </w:tc>
        <w:tc>
          <w:tcPr>
            <w:tcW w:w="440" w:type="dxa"/>
            <w:vAlign w:val="bottom"/>
            <w:tcBorders>
              <w:bottom w:val="single" w:sz="8" w:color="000041"/>
            </w:tcBorders>
          </w:tcPr>
          <w:p>
            <w:pPr>
              <w:spacing w:after="0"/>
              <w:rPr>
                <w:sz w:val="23"/>
                <w:szCs w:val="23"/>
                <w:color w:val="auto"/>
              </w:rPr>
            </w:pPr>
          </w:p>
        </w:tc>
        <w:tc>
          <w:tcPr>
            <w:tcW w:w="7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424.4</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14,695.5</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12,467.1</w:t>
            </w:r>
          </w:p>
        </w:tc>
      </w:tr>
      <w:tr>
        <w:trPr>
          <w:trHeight w:val="262"/>
        </w:trPr>
        <w:tc>
          <w:tcPr>
            <w:tcW w:w="80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8"/>
        </w:trPr>
        <w:tc>
          <w:tcPr>
            <w:tcW w:w="802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ԝ</w:t>
            </w:r>
          </w:p>
        </w:tc>
        <w:tc>
          <w:tcPr>
            <w:tcW w:w="4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ԝ</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Preferred stock, $0.01 par value per share; 1.0 shares authorized; none outstanding</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Common stock, $0.01 par value per share; 350.0 shares authorized; 109.3 shares issued</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0"/>
        </w:trPr>
        <w:tc>
          <w:tcPr>
            <w:tcW w:w="8020" w:type="dxa"/>
            <w:vAlign w:val="bottom"/>
          </w:tcPr>
          <w:p>
            <w:pPr>
              <w:spacing w:after="0" w:line="219" w:lineRule="exact"/>
              <w:rPr>
                <w:sz w:val="20"/>
                <w:szCs w:val="20"/>
                <w:color w:val="auto"/>
              </w:rPr>
            </w:pPr>
            <w:r>
              <w:rPr>
                <w:rFonts w:ascii="PMingLiU" w:cs="PMingLiU" w:eastAsia="PMingLiU" w:hAnsi="PMingLiU"/>
                <w:sz w:val="18"/>
                <w:szCs w:val="18"/>
                <w:color w:val="auto"/>
              </w:rPr>
              <w:t>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іѕћӝћ</w:t>
            </w:r>
            <w:r>
              <w:rPr>
                <w:rFonts w:ascii="PMingLiU" w:cs="PMingLiU" w:eastAsia="PMingLiU" w:hAnsi="PMingLiU"/>
                <w:sz w:val="18"/>
                <w:szCs w:val="18"/>
                <w:color w:val="auto"/>
              </w:rPr>
              <w:t/>
            </w:r>
            <w:r>
              <w:rPr>
                <w:rFonts w:ascii="Arial" w:cs="Arial" w:eastAsia="Arial" w:hAnsi="Arial"/>
                <w:sz w:val="18"/>
                <w:szCs w:val="18"/>
                <w:color w:val="auto"/>
              </w:rPr>
              <w:t>ɁʍɽɰɽƃȶǁȈȶǼ</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іѕѝӝў</w:t>
            </w:r>
            <w:r>
              <w:rPr>
                <w:rFonts w:ascii="PMingLiU" w:cs="PMingLiU" w:eastAsia="PMingLiU" w:hAnsi="PMingLiU"/>
                <w:sz w:val="18"/>
                <w:szCs w:val="18"/>
                <w:color w:val="auto"/>
              </w:rPr>
              <w:t/>
            </w:r>
            <w:r>
              <w:rPr>
                <w:rFonts w:ascii="Arial" w:cs="Arial" w:eastAsia="Arial" w:hAnsi="Arial"/>
                <w:sz w:val="18"/>
                <w:szCs w:val="18"/>
                <w:color w:val="auto"/>
              </w:rPr>
              <w:t>ɰȃƃɨǉɰ</w:t>
            </w:r>
            <w:r>
              <w:rPr>
                <w:rFonts w:ascii="PMingLiU" w:cs="PMingLiU" w:eastAsia="PMingLiU" w:hAnsi="PMingLiU"/>
                <w:sz w:val="18"/>
                <w:szCs w:val="18"/>
                <w:color w:val="auto"/>
              </w:rPr>
              <w:t/>
            </w:r>
            <w:r>
              <w:rPr>
                <w:rFonts w:ascii="Arial" w:cs="Arial" w:eastAsia="Arial" w:hAnsi="Arial"/>
                <w:sz w:val="18"/>
                <w:szCs w:val="18"/>
                <w:color w:val="auto"/>
              </w:rPr>
              <w:t>Ȉɰɰʍǉǁ</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іѕќӝј</w:t>
            </w:r>
            <w:r>
              <w:rPr>
                <w:rFonts w:ascii="PMingLiU" w:cs="PMingLiU" w:eastAsia="PMingLiU" w:hAnsi="PMingLiU"/>
                <w:sz w:val="18"/>
                <w:szCs w:val="18"/>
                <w:color w:val="auto"/>
              </w:rPr>
              <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0"/>
        </w:trPr>
        <w:tc>
          <w:tcPr>
            <w:tcW w:w="8020" w:type="dxa"/>
            <w:vAlign w:val="bottom"/>
          </w:tcPr>
          <w:p>
            <w:pPr>
              <w:spacing w:after="0" w:line="219" w:lineRule="exact"/>
              <w:rPr>
                <w:sz w:val="20"/>
                <w:szCs w:val="20"/>
                <w:color w:val="auto"/>
              </w:rPr>
            </w:pPr>
            <w:r>
              <w:rPr>
                <w:rFonts w:ascii="PMingLiU" w:cs="PMingLiU" w:eastAsia="PMingLiU" w:hAnsi="PMingLiU"/>
                <w:sz w:val="18"/>
                <w:szCs w:val="18"/>
                <w:color w:val="auto"/>
              </w:rPr>
              <w:t>  </w:t>
            </w:r>
            <w:r>
              <w:rPr>
                <w:rFonts w:ascii="Arial" w:cs="Arial" w:eastAsia="Arial" w:hAnsi="Arial"/>
                <w:sz w:val="18"/>
                <w:szCs w:val="18"/>
                <w:color w:val="auto"/>
              </w:rPr>
              <w:t xml:space="preserve">  ɁʍɽɰɽƃȶǁȈȶǼ</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3,292.2</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3,014.6</w:t>
            </w:r>
          </w:p>
        </w:tc>
      </w:tr>
      <w:tr>
        <w:trPr>
          <w:trHeight w:val="220"/>
        </w:trPr>
        <w:tc>
          <w:tcPr>
            <w:tcW w:w="80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17,205.7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16,034.9</w:t>
            </w:r>
          </w:p>
        </w:tc>
      </w:tr>
      <w:tr>
        <w:trPr>
          <w:trHeight w:val="205"/>
        </w:trPr>
        <w:tc>
          <w:tcPr>
            <w:tcW w:w="8020" w:type="dxa"/>
            <w:vAlign w:val="bottom"/>
          </w:tcPr>
          <w:p>
            <w:pPr>
              <w:ind w:left="180"/>
              <w:spacing w:after="0" w:line="205" w:lineRule="exact"/>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rPr>
              <w:t>(101.4)</w:t>
            </w:r>
          </w:p>
        </w:tc>
        <w:tc>
          <w:tcPr>
            <w:tcW w:w="4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Arial" w:cs="Arial" w:eastAsia="Arial" w:hAnsi="Arial"/>
                <w:sz w:val="18"/>
                <w:szCs w:val="18"/>
                <w:color w:val="auto"/>
              </w:rPr>
              <w:t>(166.5)</w:t>
            </w:r>
          </w:p>
        </w:tc>
      </w:tr>
      <w:tr>
        <w:trPr>
          <w:trHeight w:val="268"/>
        </w:trPr>
        <w:tc>
          <w:tcPr>
            <w:tcW w:w="8020" w:type="dxa"/>
            <w:vAlign w:val="bottom"/>
            <w:tcBorders>
              <w:bottom w:val="single" w:sz="8" w:color="000041"/>
            </w:tcBorders>
          </w:tcPr>
          <w:p>
            <w:pPr>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 xml:space="preserve">  ěɨǉƃɰʍɨʰ</w:t>
            </w:r>
            <w:r>
              <w:rPr>
                <w:rFonts w:ascii="PMingLiU" w:cs="PMingLiU" w:eastAsia="PMingLiU" w:hAnsi="PMingLiU"/>
                <w:sz w:val="18"/>
                <w:szCs w:val="18"/>
                <w:color w:val="auto"/>
              </w:rPr>
              <w:t/>
            </w:r>
            <w:r>
              <w:rPr>
                <w:rFonts w:ascii="Arial" w:cs="Arial" w:eastAsia="Arial" w:hAnsi="Arial"/>
                <w:sz w:val="18"/>
                <w:szCs w:val="18"/>
                <w:color w:val="auto"/>
              </w:rPr>
              <w:t>ɰɽɁƺȟ</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їӝќ</w:t>
            </w:r>
            <w:r>
              <w:rPr>
                <w:rFonts w:ascii="PMingLiU" w:cs="PMingLiU" w:eastAsia="PMingLiU" w:hAnsi="PMingLiU"/>
                <w:sz w:val="18"/>
                <w:szCs w:val="18"/>
                <w:color w:val="auto"/>
              </w:rPr>
              <w:t/>
            </w:r>
            <w:r>
              <w:rPr>
                <w:rFonts w:ascii="Arial" w:cs="Arial" w:eastAsia="Arial" w:hAnsi="Arial"/>
                <w:sz w:val="18"/>
                <w:szCs w:val="18"/>
                <w:color w:val="auto"/>
              </w:rPr>
              <w:t>ɰȃƃɨǉɰ</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іӝћ</w:t>
            </w:r>
            <w:r>
              <w:rPr>
                <w:rFonts w:ascii="PMingLiU" w:cs="PMingLiU" w:eastAsia="PMingLiU" w:hAnsi="PMingLiU"/>
                <w:sz w:val="18"/>
                <w:szCs w:val="18"/>
                <w:color w:val="auto"/>
              </w:rPr>
              <w:t/>
            </w:r>
            <w:r>
              <w:rPr>
                <w:rFonts w:ascii="Arial" w:cs="Arial" w:eastAsia="Arial" w:hAnsi="Arial"/>
                <w:sz w:val="18"/>
                <w:szCs w:val="18"/>
                <w:color w:val="auto"/>
              </w:rPr>
              <w:t>ɰȃƃɨǉɰ</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w:t>
            </w:r>
          </w:p>
        </w:tc>
        <w:tc>
          <w:tcPr>
            <w:tcW w:w="36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(516.1)</w:t>
            </w:r>
          </w:p>
        </w:tc>
        <w:tc>
          <w:tcPr>
            <w:tcW w:w="440" w:type="dxa"/>
            <w:vAlign w:val="bottom"/>
            <w:tcBorders>
              <w:bottom w:val="single" w:sz="8" w:color="000041"/>
            </w:tcBorders>
          </w:tcPr>
          <w:p>
            <w:pPr>
              <w:spacing w:after="0"/>
              <w:rPr>
                <w:sz w:val="23"/>
                <w:szCs w:val="23"/>
                <w:color w:val="auto"/>
              </w:rPr>
            </w:pPr>
          </w:p>
        </w:tc>
        <w:tc>
          <w:tcPr>
            <w:tcW w:w="7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(16.5)</w:t>
            </w:r>
          </w:p>
        </w:tc>
      </w:tr>
      <w:tr>
        <w:trPr>
          <w:trHeight w:val="265"/>
        </w:trPr>
        <w:tc>
          <w:tcPr>
            <w:tcW w:w="802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w w:val="99"/>
              </w:rPr>
              <w:t>19,881.5</w:t>
            </w:r>
          </w:p>
        </w:tc>
        <w:tc>
          <w:tcPr>
            <w:tcW w:w="116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18,867.6</w:t>
            </w:r>
          </w:p>
        </w:tc>
      </w:tr>
      <w:tr>
        <w:trPr>
          <w:trHeight w:val="266"/>
        </w:trPr>
        <w:tc>
          <w:tcPr>
            <w:tcW w:w="802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$34,577.0</w:t>
            </w:r>
          </w:p>
        </w:tc>
        <w:tc>
          <w:tcPr>
            <w:tcW w:w="116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$31,334.7</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2240" w:h="15840" w:orient="portrait"/>
          <w:cols w:equalWidth="0" w:num="1">
            <w:col w:w="10320"/>
          </w:cols>
          <w:pgMar w:left="960" w:top="926"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36</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20"/>
          </w:cols>
          <w:pgMar w:left="960" w:top="926" w:right="960" w:bottom="9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ROPER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000041"/>
        </w:rPr>
        <w:t>CONSOLIDATED STATEMENTS OF EARNINGS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60" w:type="dxa"/>
            <w:vAlign w:val="bottom"/>
          </w:tcPr>
          <w:p>
            <w:pPr>
              <w:spacing w:after="0"/>
              <w:rPr>
                <w:sz w:val="20"/>
                <w:szCs w:val="20"/>
                <w:color w:val="auto"/>
              </w:rPr>
            </w:pPr>
            <w:r>
              <w:rPr>
                <w:rFonts w:ascii="Arial" w:cs="Arial" w:eastAsia="Arial" w:hAnsi="Arial"/>
                <w:sz w:val="18"/>
                <w:szCs w:val="18"/>
                <w:color w:val="auto"/>
              </w:rPr>
              <w:t>(Amounts in millions, except per share data)</w:t>
            </w: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90"/>
        </w:trPr>
        <w:tc>
          <w:tcPr>
            <w:tcW w:w="6860" w:type="dxa"/>
            <w:vAlign w:val="bottom"/>
          </w:tcPr>
          <w:p>
            <w:pPr>
              <w:spacing w:after="0"/>
              <w:rPr>
                <w:sz w:val="24"/>
                <w:szCs w:val="24"/>
                <w:color w:val="auto"/>
              </w:rPr>
            </w:pPr>
          </w:p>
        </w:tc>
        <w:tc>
          <w:tcPr>
            <w:tcW w:w="460" w:type="dxa"/>
            <w:vAlign w:val="bottom"/>
            <w:tcBorders>
              <w:bottom w:val="single" w:sz="8" w:color="000041"/>
            </w:tcBorders>
          </w:tcPr>
          <w:p>
            <w:pPr>
              <w:spacing w:after="0"/>
              <w:rPr>
                <w:sz w:val="24"/>
                <w:szCs w:val="24"/>
                <w:color w:val="auto"/>
              </w:rPr>
            </w:pPr>
          </w:p>
        </w:tc>
        <w:tc>
          <w:tcPr>
            <w:tcW w:w="2380" w:type="dxa"/>
            <w:vAlign w:val="bottom"/>
            <w:tcBorders>
              <w:bottom w:val="single" w:sz="8" w:color="000041"/>
            </w:tcBorders>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620" w:type="dxa"/>
            <w:vAlign w:val="bottom"/>
            <w:tcBorders>
              <w:bottom w:val="single" w:sz="8" w:color="000041"/>
            </w:tcBorders>
          </w:tcPr>
          <w:p>
            <w:pPr>
              <w:spacing w:after="0"/>
              <w:rPr>
                <w:sz w:val="24"/>
                <w:szCs w:val="24"/>
                <w:color w:val="auto"/>
              </w:rPr>
            </w:pPr>
          </w:p>
        </w:tc>
      </w:tr>
      <w:tr>
        <w:trPr>
          <w:trHeight w:val="265"/>
        </w:trPr>
        <w:tc>
          <w:tcPr>
            <w:tcW w:w="6860" w:type="dxa"/>
            <w:vAlign w:val="bottom"/>
            <w:tcBorders>
              <w:bottom w:val="single" w:sz="8" w:color="000041"/>
            </w:tcBorders>
          </w:tcPr>
          <w:p>
            <w:pPr>
              <w:spacing w:after="0"/>
              <w:rPr>
                <w:sz w:val="23"/>
                <w:szCs w:val="23"/>
                <w:color w:val="auto"/>
              </w:rPr>
            </w:pPr>
          </w:p>
        </w:tc>
        <w:tc>
          <w:tcPr>
            <w:tcW w:w="460" w:type="dxa"/>
            <w:vAlign w:val="bottom"/>
            <w:tcBorders>
              <w:bottom w:val="single" w:sz="8" w:color="000041"/>
            </w:tcBorders>
          </w:tcPr>
          <w:p>
            <w:pPr>
              <w:spacing w:after="0"/>
              <w:rPr>
                <w:sz w:val="23"/>
                <w:szCs w:val="23"/>
                <w:color w:val="auto"/>
              </w:rPr>
            </w:pPr>
          </w:p>
        </w:tc>
        <w:tc>
          <w:tcPr>
            <w:tcW w:w="86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2025</w:t>
            </w:r>
          </w:p>
        </w:tc>
        <w:tc>
          <w:tcPr>
            <w:tcW w:w="300" w:type="dxa"/>
            <w:vAlign w:val="bottom"/>
            <w:tcBorders>
              <w:bottom w:val="single" w:sz="8" w:color="000041"/>
            </w:tcBorders>
          </w:tcPr>
          <w:p>
            <w:pPr>
              <w:spacing w:after="0"/>
              <w:rPr>
                <w:sz w:val="23"/>
                <w:szCs w:val="23"/>
                <w:color w:val="auto"/>
              </w:rPr>
            </w:pPr>
          </w:p>
        </w:tc>
        <w:tc>
          <w:tcPr>
            <w:tcW w:w="8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2023</w:t>
            </w:r>
          </w:p>
        </w:tc>
      </w:tr>
      <w:tr>
        <w:trPr>
          <w:trHeight w:val="269"/>
        </w:trPr>
        <w:tc>
          <w:tcPr>
            <w:tcW w:w="6860" w:type="dxa"/>
            <w:vAlign w:val="bottom"/>
          </w:tcPr>
          <w:p>
            <w:pPr>
              <w:spacing w:after="0"/>
              <w:rPr>
                <w:sz w:val="20"/>
                <w:szCs w:val="20"/>
                <w:color w:val="auto"/>
              </w:rPr>
            </w:pPr>
            <w:r>
              <w:rPr>
                <w:rFonts w:ascii="Arial" w:cs="Arial" w:eastAsia="Arial" w:hAnsi="Arial"/>
                <w:sz w:val="18"/>
                <w:szCs w:val="18"/>
                <w:color w:val="auto"/>
              </w:rPr>
              <w:t>Net revenues</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$7,902.5</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$7,039.2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$6,177.8</w:t>
            </w:r>
          </w:p>
        </w:tc>
      </w:tr>
      <w:tr>
        <w:trPr>
          <w:trHeight w:val="268"/>
        </w:trPr>
        <w:tc>
          <w:tcPr>
            <w:tcW w:w="6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000041"/>
            </w:tcBorders>
          </w:tcPr>
          <w:p>
            <w:pPr>
              <w:spacing w:after="0"/>
              <w:rPr>
                <w:sz w:val="23"/>
                <w:szCs w:val="23"/>
                <w:color w:val="auto"/>
              </w:rPr>
            </w:pPr>
          </w:p>
        </w:tc>
        <w:tc>
          <w:tcPr>
            <w:tcW w:w="86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w w:val="99"/>
              </w:rPr>
              <w:t>2,430.5</w:t>
            </w:r>
          </w:p>
        </w:tc>
        <w:tc>
          <w:tcPr>
            <w:tcW w:w="300" w:type="dxa"/>
            <w:vAlign w:val="bottom"/>
            <w:tcBorders>
              <w:bottom w:val="single" w:sz="8" w:color="000041"/>
            </w:tcBorders>
          </w:tcPr>
          <w:p>
            <w:pPr>
              <w:spacing w:after="0"/>
              <w:rPr>
                <w:sz w:val="23"/>
                <w:szCs w:val="23"/>
                <w:color w:val="auto"/>
              </w:rPr>
            </w:pPr>
          </w:p>
        </w:tc>
        <w:tc>
          <w:tcPr>
            <w:tcW w:w="8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w w:val="99"/>
              </w:rPr>
              <w:t>2,160.9</w:t>
            </w:r>
          </w:p>
        </w:tc>
        <w:tc>
          <w:tcPr>
            <w:tcW w:w="96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1,870.6</w:t>
            </w:r>
          </w:p>
        </w:tc>
      </w:tr>
      <w:tr>
        <w:trPr>
          <w:trHeight w:val="194"/>
        </w:trPr>
        <w:tc>
          <w:tcPr>
            <w:tcW w:w="6860" w:type="dxa"/>
            <w:vAlign w:val="bottom"/>
          </w:tcPr>
          <w:p>
            <w:pPr>
              <w:spacing w:after="0" w:line="194" w:lineRule="exact"/>
              <w:rPr>
                <w:sz w:val="20"/>
                <w:szCs w:val="20"/>
                <w:color w:val="auto"/>
              </w:rPr>
            </w:pPr>
            <w:r>
              <w:rPr>
                <w:rFonts w:ascii="Arial" w:cs="Arial" w:eastAsia="Arial" w:hAnsi="Arial"/>
                <w:sz w:val="18"/>
                <w:szCs w:val="18"/>
                <w:color w:val="auto"/>
              </w:rPr>
              <w:t>{ɨɁɰɰ</w:t>
            </w:r>
            <w:r>
              <w:rPr>
                <w:rFonts w:ascii="PMingLiU" w:cs="PMingLiU" w:eastAsia="PMingLiU" w:hAnsi="PMingLiU"/>
                <w:sz w:val="18"/>
                <w:szCs w:val="18"/>
                <w:color w:val="auto"/>
              </w:rPr>
              <w:t/>
            </w:r>
            <w:r>
              <w:rPr>
                <w:rFonts w:ascii="Arial" w:cs="Arial" w:eastAsia="Arial" w:hAnsi="Arial"/>
                <w:sz w:val="18"/>
                <w:szCs w:val="18"/>
                <w:color w:val="auto"/>
              </w:rPr>
              <w:t>ɥɨɁˎɽ</w:t>
            </w:r>
          </w:p>
        </w:tc>
        <w:tc>
          <w:tcPr>
            <w:tcW w:w="460" w:type="dxa"/>
            <w:vAlign w:val="bottom"/>
          </w:tcPr>
          <w:p>
            <w:pPr>
              <w:spacing w:after="0"/>
              <w:rPr>
                <w:sz w:val="16"/>
                <w:szCs w:val="16"/>
                <w:color w:val="auto"/>
              </w:rPr>
            </w:pPr>
          </w:p>
        </w:tc>
        <w:tc>
          <w:tcPr>
            <w:tcW w:w="860" w:type="dxa"/>
            <w:vAlign w:val="bottom"/>
          </w:tcPr>
          <w:p>
            <w:pPr>
              <w:jc w:val="right"/>
              <w:ind w:right="150"/>
              <w:spacing w:after="0" w:line="194" w:lineRule="exact"/>
              <w:rPr>
                <w:sz w:val="20"/>
                <w:szCs w:val="20"/>
                <w:color w:val="auto"/>
              </w:rPr>
            </w:pPr>
            <w:r>
              <w:rPr>
                <w:rFonts w:ascii="Arial" w:cs="Arial" w:eastAsia="Arial" w:hAnsi="Arial"/>
                <w:sz w:val="18"/>
                <w:szCs w:val="18"/>
                <w:color w:val="auto"/>
                <w:w w:val="99"/>
              </w:rPr>
              <w:t>5,472.0</w:t>
            </w:r>
          </w:p>
        </w:tc>
        <w:tc>
          <w:tcPr>
            <w:tcW w:w="300" w:type="dxa"/>
            <w:vAlign w:val="bottom"/>
          </w:tcPr>
          <w:p>
            <w:pPr>
              <w:spacing w:after="0"/>
              <w:rPr>
                <w:sz w:val="16"/>
                <w:szCs w:val="16"/>
                <w:color w:val="auto"/>
              </w:rPr>
            </w:pPr>
          </w:p>
        </w:tc>
        <w:tc>
          <w:tcPr>
            <w:tcW w:w="880" w:type="dxa"/>
            <w:vAlign w:val="bottom"/>
          </w:tcPr>
          <w:p>
            <w:pPr>
              <w:jc w:val="right"/>
              <w:ind w:right="170"/>
              <w:spacing w:after="0" w:line="194" w:lineRule="exact"/>
              <w:rPr>
                <w:sz w:val="20"/>
                <w:szCs w:val="20"/>
                <w:color w:val="auto"/>
              </w:rPr>
            </w:pPr>
            <w:r>
              <w:rPr>
                <w:rFonts w:ascii="Arial" w:cs="Arial" w:eastAsia="Arial" w:hAnsi="Arial"/>
                <w:sz w:val="18"/>
                <w:szCs w:val="18"/>
                <w:color w:val="auto"/>
                <w:w w:val="99"/>
              </w:rPr>
              <w:t>4,878.3</w:t>
            </w:r>
          </w:p>
        </w:tc>
        <w:tc>
          <w:tcPr>
            <w:tcW w:w="96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4,307.2</w:t>
            </w:r>
          </w:p>
        </w:tc>
      </w:tr>
      <w:tr>
        <w:trPr>
          <w:trHeight w:val="268"/>
        </w:trPr>
        <w:tc>
          <w:tcPr>
            <w:tcW w:w="6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Borders>
              <w:bottom w:val="single" w:sz="8" w:color="000041"/>
            </w:tcBorders>
          </w:tcPr>
          <w:p>
            <w:pPr>
              <w:spacing w:after="0"/>
              <w:rPr>
                <w:sz w:val="23"/>
                <w:szCs w:val="23"/>
                <w:color w:val="auto"/>
              </w:rPr>
            </w:pPr>
          </w:p>
        </w:tc>
        <w:tc>
          <w:tcPr>
            <w:tcW w:w="86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w w:val="99"/>
              </w:rPr>
              <w:t>3,236.6</w:t>
            </w:r>
          </w:p>
        </w:tc>
        <w:tc>
          <w:tcPr>
            <w:tcW w:w="300" w:type="dxa"/>
            <w:vAlign w:val="bottom"/>
            <w:tcBorders>
              <w:bottom w:val="single" w:sz="8" w:color="000041"/>
            </w:tcBorders>
          </w:tcPr>
          <w:p>
            <w:pPr>
              <w:spacing w:after="0"/>
              <w:rPr>
                <w:sz w:val="23"/>
                <w:szCs w:val="23"/>
                <w:color w:val="auto"/>
              </w:rPr>
            </w:pPr>
          </w:p>
        </w:tc>
        <w:tc>
          <w:tcPr>
            <w:tcW w:w="8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w w:val="99"/>
              </w:rPr>
              <w:t>2,881.5</w:t>
            </w:r>
          </w:p>
        </w:tc>
        <w:tc>
          <w:tcPr>
            <w:tcW w:w="96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2,562.0</w:t>
            </w:r>
          </w:p>
        </w:tc>
      </w:tr>
      <w:tr>
        <w:trPr>
          <w:trHeight w:val="194"/>
        </w:trPr>
        <w:tc>
          <w:tcPr>
            <w:tcW w:w="6860" w:type="dxa"/>
            <w:vAlign w:val="bottom"/>
          </w:tcPr>
          <w:p>
            <w:pPr>
              <w:spacing w:after="0" w:line="194" w:lineRule="exact"/>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6"/>
                <w:szCs w:val="16"/>
                <w:color w:val="auto"/>
              </w:rPr>
            </w:pPr>
          </w:p>
        </w:tc>
        <w:tc>
          <w:tcPr>
            <w:tcW w:w="860" w:type="dxa"/>
            <w:vAlign w:val="bottom"/>
          </w:tcPr>
          <w:p>
            <w:pPr>
              <w:jc w:val="right"/>
              <w:ind w:right="150"/>
              <w:spacing w:after="0" w:line="194" w:lineRule="exact"/>
              <w:rPr>
                <w:sz w:val="20"/>
                <w:szCs w:val="20"/>
                <w:color w:val="auto"/>
              </w:rPr>
            </w:pPr>
            <w:r>
              <w:rPr>
                <w:rFonts w:ascii="Arial" w:cs="Arial" w:eastAsia="Arial" w:hAnsi="Arial"/>
                <w:sz w:val="18"/>
                <w:szCs w:val="18"/>
                <w:color w:val="auto"/>
                <w:w w:val="99"/>
              </w:rPr>
              <w:t>2,235.4</w:t>
            </w:r>
          </w:p>
        </w:tc>
        <w:tc>
          <w:tcPr>
            <w:tcW w:w="300" w:type="dxa"/>
            <w:vAlign w:val="bottom"/>
          </w:tcPr>
          <w:p>
            <w:pPr>
              <w:spacing w:after="0"/>
              <w:rPr>
                <w:sz w:val="16"/>
                <w:szCs w:val="16"/>
                <w:color w:val="auto"/>
              </w:rPr>
            </w:pPr>
          </w:p>
        </w:tc>
        <w:tc>
          <w:tcPr>
            <w:tcW w:w="880" w:type="dxa"/>
            <w:vAlign w:val="bottom"/>
          </w:tcPr>
          <w:p>
            <w:pPr>
              <w:jc w:val="right"/>
              <w:ind w:right="170"/>
              <w:spacing w:after="0" w:line="194" w:lineRule="exact"/>
              <w:rPr>
                <w:sz w:val="20"/>
                <w:szCs w:val="20"/>
                <w:color w:val="auto"/>
              </w:rPr>
            </w:pPr>
            <w:r>
              <w:rPr>
                <w:rFonts w:ascii="Arial" w:cs="Arial" w:eastAsia="Arial" w:hAnsi="Arial"/>
                <w:sz w:val="18"/>
                <w:szCs w:val="18"/>
                <w:color w:val="auto"/>
                <w:w w:val="99"/>
              </w:rPr>
              <w:t>1,996.8</w:t>
            </w:r>
          </w:p>
        </w:tc>
        <w:tc>
          <w:tcPr>
            <w:tcW w:w="3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8"/>
                <w:szCs w:val="18"/>
                <w:color w:val="auto"/>
                <w:w w:val="89"/>
              </w:rPr>
              <w:t>1,745.2</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325.0</w:t>
            </w:r>
          </w:p>
        </w:tc>
        <w:tc>
          <w:tcPr>
            <w:tcW w:w="3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259.2</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164.7</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Equity investments gain, net</w:t>
            </w:r>
          </w:p>
        </w:tc>
        <w:tc>
          <w:tcPr>
            <w:tcW w:w="4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(234.6)</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(165.4)</w:t>
            </w:r>
          </w:p>
        </w:tc>
      </w:tr>
      <w:tr>
        <w:trPr>
          <w:trHeight w:val="268"/>
        </w:trPr>
        <w:tc>
          <w:tcPr>
            <w:tcW w:w="6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000041"/>
            </w:tcBorders>
          </w:tcPr>
          <w:p>
            <w:pPr>
              <w:spacing w:after="0"/>
              <w:rPr>
                <w:sz w:val="23"/>
                <w:szCs w:val="23"/>
                <w:color w:val="auto"/>
              </w:rPr>
            </w:pPr>
          </w:p>
        </w:tc>
        <w:tc>
          <w:tcPr>
            <w:tcW w:w="86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000041"/>
            </w:tcBorders>
          </w:tcPr>
          <w:p>
            <w:pPr>
              <w:spacing w:after="0"/>
              <w:rPr>
                <w:sz w:val="23"/>
                <w:szCs w:val="23"/>
                <w:color w:val="auto"/>
              </w:rPr>
            </w:pPr>
          </w:p>
        </w:tc>
        <w:tc>
          <w:tcPr>
            <w:tcW w:w="8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2.8</w:t>
            </w:r>
          </w:p>
        </w:tc>
      </w:tr>
      <w:tr>
        <w:trPr>
          <w:trHeight w:val="194"/>
        </w:trPr>
        <w:tc>
          <w:tcPr>
            <w:tcW w:w="6860" w:type="dxa"/>
            <w:vAlign w:val="bottom"/>
          </w:tcPr>
          <w:p>
            <w:pPr>
              <w:spacing w:after="0" w:line="194" w:lineRule="exact"/>
              <w:rPr>
                <w:sz w:val="20"/>
                <w:szCs w:val="20"/>
                <w:color w:val="auto"/>
              </w:rPr>
            </w:pPr>
            <w:r>
              <w:rPr>
                <w:rFonts w:ascii="Arial" w:cs="Arial" w:eastAsia="Arial" w:hAnsi="Arial"/>
                <w:sz w:val="18"/>
                <w:szCs w:val="18"/>
                <w:color w:val="auto"/>
              </w:rPr>
              <w:t>Earnings before income taxes</w:t>
            </w:r>
          </w:p>
        </w:tc>
        <w:tc>
          <w:tcPr>
            <w:tcW w:w="460" w:type="dxa"/>
            <w:vAlign w:val="bottom"/>
          </w:tcPr>
          <w:p>
            <w:pPr>
              <w:spacing w:after="0"/>
              <w:rPr>
                <w:sz w:val="16"/>
                <w:szCs w:val="16"/>
                <w:color w:val="auto"/>
              </w:rPr>
            </w:pPr>
          </w:p>
        </w:tc>
        <w:tc>
          <w:tcPr>
            <w:tcW w:w="860" w:type="dxa"/>
            <w:vAlign w:val="bottom"/>
          </w:tcPr>
          <w:p>
            <w:pPr>
              <w:jc w:val="right"/>
              <w:ind w:right="150"/>
              <w:spacing w:after="0" w:line="194" w:lineRule="exact"/>
              <w:rPr>
                <w:sz w:val="20"/>
                <w:szCs w:val="20"/>
                <w:color w:val="auto"/>
              </w:rPr>
            </w:pPr>
            <w:r>
              <w:rPr>
                <w:rFonts w:ascii="Arial" w:cs="Arial" w:eastAsia="Arial" w:hAnsi="Arial"/>
                <w:sz w:val="18"/>
                <w:szCs w:val="18"/>
                <w:color w:val="auto"/>
                <w:w w:val="99"/>
              </w:rPr>
              <w:t>1,936.1</w:t>
            </w:r>
          </w:p>
        </w:tc>
        <w:tc>
          <w:tcPr>
            <w:tcW w:w="300" w:type="dxa"/>
            <w:vAlign w:val="bottom"/>
          </w:tcPr>
          <w:p>
            <w:pPr>
              <w:spacing w:after="0"/>
              <w:rPr>
                <w:sz w:val="16"/>
                <w:szCs w:val="16"/>
                <w:color w:val="auto"/>
              </w:rPr>
            </w:pPr>
          </w:p>
        </w:tc>
        <w:tc>
          <w:tcPr>
            <w:tcW w:w="880" w:type="dxa"/>
            <w:vAlign w:val="bottom"/>
          </w:tcPr>
          <w:p>
            <w:pPr>
              <w:jc w:val="right"/>
              <w:ind w:right="170"/>
              <w:spacing w:after="0" w:line="194" w:lineRule="exact"/>
              <w:rPr>
                <w:sz w:val="20"/>
                <w:szCs w:val="20"/>
                <w:color w:val="auto"/>
              </w:rPr>
            </w:pPr>
            <w:r>
              <w:rPr>
                <w:rFonts w:ascii="Arial" w:cs="Arial" w:eastAsia="Arial" w:hAnsi="Arial"/>
                <w:sz w:val="18"/>
                <w:szCs w:val="18"/>
                <w:color w:val="auto"/>
                <w:w w:val="99"/>
              </w:rPr>
              <w:t>1,967.2</w:t>
            </w:r>
          </w:p>
        </w:tc>
        <w:tc>
          <w:tcPr>
            <w:tcW w:w="34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8"/>
                <w:szCs w:val="18"/>
                <w:color w:val="auto"/>
                <w:w w:val="89"/>
              </w:rPr>
              <w:t>1,743.1</w:t>
            </w:r>
          </w:p>
        </w:tc>
      </w:tr>
      <w:tr>
        <w:trPr>
          <w:trHeight w:val="268"/>
        </w:trPr>
        <w:tc>
          <w:tcPr>
            <w:tcW w:w="6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Income taxes</w:t>
            </w:r>
          </w:p>
        </w:tc>
        <w:tc>
          <w:tcPr>
            <w:tcW w:w="460" w:type="dxa"/>
            <w:vAlign w:val="bottom"/>
            <w:tcBorders>
              <w:bottom w:val="single" w:sz="8" w:color="000041"/>
            </w:tcBorders>
          </w:tcPr>
          <w:p>
            <w:pPr>
              <w:spacing w:after="0"/>
              <w:rPr>
                <w:sz w:val="23"/>
                <w:szCs w:val="23"/>
                <w:color w:val="auto"/>
              </w:rPr>
            </w:pPr>
          </w:p>
        </w:tc>
        <w:tc>
          <w:tcPr>
            <w:tcW w:w="86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399.8</w:t>
            </w:r>
          </w:p>
        </w:tc>
        <w:tc>
          <w:tcPr>
            <w:tcW w:w="300" w:type="dxa"/>
            <w:vAlign w:val="bottom"/>
            <w:tcBorders>
              <w:bottom w:val="single" w:sz="8" w:color="000041"/>
            </w:tcBorders>
          </w:tcPr>
          <w:p>
            <w:pPr>
              <w:spacing w:after="0"/>
              <w:rPr>
                <w:sz w:val="23"/>
                <w:szCs w:val="23"/>
                <w:color w:val="auto"/>
              </w:rPr>
            </w:pPr>
          </w:p>
        </w:tc>
        <w:tc>
          <w:tcPr>
            <w:tcW w:w="8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417.9</w:t>
            </w:r>
          </w:p>
        </w:tc>
        <w:tc>
          <w:tcPr>
            <w:tcW w:w="34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374.7</w:t>
            </w:r>
          </w:p>
        </w:tc>
      </w:tr>
      <w:tr>
        <w:trPr>
          <w:trHeight w:val="194"/>
        </w:trPr>
        <w:tc>
          <w:tcPr>
            <w:tcW w:w="6860" w:type="dxa"/>
            <w:vAlign w:val="bottom"/>
          </w:tcPr>
          <w:p>
            <w:pPr>
              <w:spacing w:after="0" w:line="194" w:lineRule="exact"/>
              <w:rPr>
                <w:sz w:val="20"/>
                <w:szCs w:val="20"/>
                <w:color w:val="auto"/>
              </w:rPr>
            </w:pPr>
            <w:r>
              <w:rPr>
                <w:rFonts w:ascii="Arial" w:cs="Arial" w:eastAsia="Arial" w:hAnsi="Arial"/>
                <w:sz w:val="18"/>
                <w:szCs w:val="18"/>
                <w:color w:val="auto"/>
              </w:rPr>
              <w:t>Net earnings from continuing operations</w:t>
            </w:r>
          </w:p>
        </w:tc>
        <w:tc>
          <w:tcPr>
            <w:tcW w:w="460" w:type="dxa"/>
            <w:vAlign w:val="bottom"/>
          </w:tcPr>
          <w:p>
            <w:pPr>
              <w:spacing w:after="0"/>
              <w:rPr>
                <w:sz w:val="16"/>
                <w:szCs w:val="16"/>
                <w:color w:val="auto"/>
              </w:rPr>
            </w:pPr>
          </w:p>
        </w:tc>
        <w:tc>
          <w:tcPr>
            <w:tcW w:w="860" w:type="dxa"/>
            <w:vAlign w:val="bottom"/>
          </w:tcPr>
          <w:p>
            <w:pPr>
              <w:jc w:val="right"/>
              <w:ind w:right="150"/>
              <w:spacing w:after="0" w:line="194" w:lineRule="exact"/>
              <w:rPr>
                <w:sz w:val="20"/>
                <w:szCs w:val="20"/>
                <w:color w:val="auto"/>
              </w:rPr>
            </w:pPr>
            <w:r>
              <w:rPr>
                <w:rFonts w:ascii="Arial" w:cs="Arial" w:eastAsia="Arial" w:hAnsi="Arial"/>
                <w:sz w:val="18"/>
                <w:szCs w:val="18"/>
                <w:color w:val="auto"/>
                <w:w w:val="99"/>
              </w:rPr>
              <w:t>1,536.3</w:t>
            </w:r>
          </w:p>
        </w:tc>
        <w:tc>
          <w:tcPr>
            <w:tcW w:w="300" w:type="dxa"/>
            <w:vAlign w:val="bottom"/>
          </w:tcPr>
          <w:p>
            <w:pPr>
              <w:spacing w:after="0"/>
              <w:rPr>
                <w:sz w:val="16"/>
                <w:szCs w:val="16"/>
                <w:color w:val="auto"/>
              </w:rPr>
            </w:pPr>
          </w:p>
        </w:tc>
        <w:tc>
          <w:tcPr>
            <w:tcW w:w="880" w:type="dxa"/>
            <w:vAlign w:val="bottom"/>
          </w:tcPr>
          <w:p>
            <w:pPr>
              <w:jc w:val="right"/>
              <w:ind w:right="170"/>
              <w:spacing w:after="0" w:line="194" w:lineRule="exact"/>
              <w:rPr>
                <w:sz w:val="20"/>
                <w:szCs w:val="20"/>
                <w:color w:val="auto"/>
              </w:rPr>
            </w:pPr>
            <w:r>
              <w:rPr>
                <w:rFonts w:ascii="Arial" w:cs="Arial" w:eastAsia="Arial" w:hAnsi="Arial"/>
                <w:sz w:val="18"/>
                <w:szCs w:val="18"/>
                <w:color w:val="auto"/>
                <w:w w:val="99"/>
              </w:rPr>
              <w:t>1,549.3</w:t>
            </w:r>
          </w:p>
        </w:tc>
        <w:tc>
          <w:tcPr>
            <w:tcW w:w="96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1,368.4</w:t>
            </w:r>
          </w:p>
        </w:tc>
      </w:tr>
      <w:tr>
        <w:trPr>
          <w:trHeight w:val="222"/>
        </w:trPr>
        <w:tc>
          <w:tcPr>
            <w:tcW w:w="6860" w:type="dxa"/>
            <w:vAlign w:val="bottom"/>
          </w:tcPr>
          <w:p>
            <w:pPr>
              <w:ind w:left="180"/>
              <w:spacing w:after="0"/>
              <w:rPr>
                <w:sz w:val="20"/>
                <w:szCs w:val="20"/>
                <w:color w:val="auto"/>
              </w:rPr>
            </w:pPr>
            <w:r>
              <w:rPr>
                <w:rFonts w:ascii="Arial" w:cs="Arial" w:eastAsia="Arial" w:hAnsi="Arial"/>
                <w:sz w:val="18"/>
                <w:szCs w:val="18"/>
                <w:color w:val="auto"/>
              </w:rPr>
              <w:t>Loss from discontinued operations, net of tax</w:t>
            </w:r>
          </w:p>
        </w:tc>
        <w:tc>
          <w:tcPr>
            <w:tcW w:w="46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8"/>
        </w:trPr>
        <w:tc>
          <w:tcPr>
            <w:tcW w:w="68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Gain on disposition of discontinued operations, net of tax</w:t>
            </w:r>
          </w:p>
        </w:tc>
        <w:tc>
          <w:tcPr>
            <w:tcW w:w="460" w:type="dxa"/>
            <w:vAlign w:val="bottom"/>
            <w:tcBorders>
              <w:bottom w:val="single" w:sz="8" w:color="000041"/>
            </w:tcBorders>
          </w:tcPr>
          <w:p>
            <w:pPr>
              <w:spacing w:after="0"/>
              <w:rPr>
                <w:sz w:val="23"/>
                <w:szCs w:val="23"/>
                <w:color w:val="auto"/>
              </w:rPr>
            </w:pPr>
          </w:p>
        </w:tc>
        <w:tc>
          <w:tcPr>
            <w:tcW w:w="86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000041"/>
            </w:tcBorders>
          </w:tcPr>
          <w:p>
            <w:pPr>
              <w:spacing w:after="0"/>
              <w:rPr>
                <w:sz w:val="23"/>
                <w:szCs w:val="23"/>
                <w:color w:val="auto"/>
              </w:rPr>
            </w:pPr>
          </w:p>
        </w:tc>
        <w:tc>
          <w:tcPr>
            <w:tcW w:w="8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19.9</w:t>
            </w:r>
          </w:p>
        </w:tc>
      </w:tr>
      <w:tr>
        <w:trPr>
          <w:trHeight w:val="245"/>
        </w:trPr>
        <w:tc>
          <w:tcPr>
            <w:tcW w:w="6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Net earnings from discontinued operations</w:t>
            </w:r>
          </w:p>
        </w:tc>
        <w:tc>
          <w:tcPr>
            <w:tcW w:w="460" w:type="dxa"/>
            <w:vAlign w:val="bottom"/>
            <w:tcBorders>
              <w:bottom w:val="single" w:sz="8" w:color="000041"/>
            </w:tcBorders>
          </w:tcPr>
          <w:p>
            <w:pPr>
              <w:spacing w:after="0"/>
              <w:rPr>
                <w:sz w:val="21"/>
                <w:szCs w:val="21"/>
                <w:color w:val="auto"/>
              </w:rPr>
            </w:pPr>
          </w:p>
        </w:tc>
        <w:tc>
          <w:tcPr>
            <w:tcW w:w="86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000041"/>
            </w:tcBorders>
          </w:tcPr>
          <w:p>
            <w:pPr>
              <w:spacing w:after="0"/>
              <w:rPr>
                <w:sz w:val="21"/>
                <w:szCs w:val="21"/>
                <w:color w:val="auto"/>
              </w:rPr>
            </w:pPr>
          </w:p>
        </w:tc>
        <w:tc>
          <w:tcPr>
            <w:tcW w:w="8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000041"/>
            </w:tcBorders>
          </w:tcPr>
          <w:p>
            <w:pPr>
              <w:spacing w:after="0"/>
              <w:rPr>
                <w:sz w:val="21"/>
                <w:szCs w:val="21"/>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15.8</w:t>
            </w:r>
          </w:p>
        </w:tc>
      </w:tr>
      <w:tr>
        <w:trPr>
          <w:trHeight w:val="234"/>
        </w:trPr>
        <w:tc>
          <w:tcPr>
            <w:tcW w:w="6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Net earnings</w:t>
            </w:r>
          </w:p>
        </w:tc>
        <w:tc>
          <w:tcPr>
            <w:tcW w:w="4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w w:val="99"/>
              </w:rPr>
              <w:t>1,536.3</w:t>
            </w:r>
          </w:p>
        </w:tc>
        <w:tc>
          <w:tcPr>
            <w:tcW w:w="3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w w:val="99"/>
              </w:rPr>
              <w:t>1,549.3</w:t>
            </w:r>
          </w:p>
        </w:tc>
        <w:tc>
          <w:tcPr>
            <w:tcW w:w="96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$1,384.2</w:t>
            </w: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rPr>
              <w:t>Net earnings per share from continuing operations:</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2"/>
        </w:trPr>
        <w:tc>
          <w:tcPr>
            <w:tcW w:w="6860" w:type="dxa"/>
            <w:vAlign w:val="bottom"/>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14.30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14.47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22"/>
        </w:trPr>
        <w:tc>
          <w:tcPr>
            <w:tcW w:w="6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14.20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14.35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Net earnings per share from discontinued operations: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2"/>
        </w:trPr>
        <w:tc>
          <w:tcPr>
            <w:tcW w:w="6860" w:type="dxa"/>
            <w:vAlign w:val="bottom"/>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22"/>
        </w:trPr>
        <w:tc>
          <w:tcPr>
            <w:tcW w:w="6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Net earnings per share:</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2"/>
        </w:trPr>
        <w:tc>
          <w:tcPr>
            <w:tcW w:w="6860" w:type="dxa"/>
            <w:vAlign w:val="bottom"/>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14.30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14.47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22"/>
        </w:trPr>
        <w:tc>
          <w:tcPr>
            <w:tcW w:w="6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14.20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14.35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2"/>
        </w:trPr>
        <w:tc>
          <w:tcPr>
            <w:tcW w:w="6860" w:type="dxa"/>
            <w:vAlign w:val="bottom"/>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107.4</w:t>
            </w:r>
          </w:p>
        </w:tc>
        <w:tc>
          <w:tcPr>
            <w:tcW w:w="3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107.1</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67"/>
        </w:trPr>
        <w:tc>
          <w:tcPr>
            <w:tcW w:w="68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tcBorders>
              <w:bottom w:val="single" w:sz="8" w:color="000041"/>
            </w:tcBorders>
          </w:tcPr>
          <w:p>
            <w:pPr>
              <w:spacing w:after="0"/>
              <w:rPr>
                <w:sz w:val="23"/>
                <w:szCs w:val="23"/>
                <w:color w:val="auto"/>
              </w:rPr>
            </w:pPr>
          </w:p>
        </w:tc>
        <w:tc>
          <w:tcPr>
            <w:tcW w:w="86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108.2</w:t>
            </w:r>
          </w:p>
        </w:tc>
        <w:tc>
          <w:tcPr>
            <w:tcW w:w="300" w:type="dxa"/>
            <w:vAlign w:val="bottom"/>
            <w:tcBorders>
              <w:bottom w:val="single" w:sz="8" w:color="000041"/>
            </w:tcBorders>
          </w:tcPr>
          <w:p>
            <w:pPr>
              <w:spacing w:after="0"/>
              <w:rPr>
                <w:sz w:val="23"/>
                <w:szCs w:val="23"/>
                <w:color w:val="auto"/>
              </w:rPr>
            </w:pPr>
          </w:p>
        </w:tc>
        <w:tc>
          <w:tcPr>
            <w:tcW w:w="8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108.0</w:t>
            </w:r>
          </w:p>
        </w:tc>
        <w:tc>
          <w:tcPr>
            <w:tcW w:w="34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107.4</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000041"/>
        </w:rPr>
        <w:t>ROPER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000041"/>
        </w:rPr>
        <w:t>CONSOLIDATED STATEMENTS OF COMPREHENSIVE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60" w:type="dxa"/>
            <w:vAlign w:val="bottom"/>
          </w:tcPr>
          <w:p>
            <w:pPr>
              <w:spacing w:after="0"/>
              <w:rPr>
                <w:sz w:val="20"/>
                <w:szCs w:val="20"/>
                <w:color w:val="auto"/>
              </w:rPr>
            </w:pPr>
            <w:r>
              <w:rPr>
                <w:rFonts w:ascii="Arial" w:cs="Arial" w:eastAsia="Arial" w:hAnsi="Arial"/>
                <w:sz w:val="18"/>
                <w:szCs w:val="18"/>
                <w:color w:val="auto"/>
              </w:rPr>
              <w:t>(Amounts in millions)</w:t>
            </w:r>
          </w:p>
        </w:tc>
        <w:tc>
          <w:tcPr>
            <w:tcW w:w="1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90"/>
        </w:trPr>
        <w:tc>
          <w:tcPr>
            <w:tcW w:w="6860" w:type="dxa"/>
            <w:vAlign w:val="bottom"/>
          </w:tcPr>
          <w:p>
            <w:pPr>
              <w:spacing w:after="0"/>
              <w:rPr>
                <w:sz w:val="24"/>
                <w:szCs w:val="24"/>
                <w:color w:val="auto"/>
              </w:rPr>
            </w:pPr>
          </w:p>
        </w:tc>
        <w:tc>
          <w:tcPr>
            <w:tcW w:w="3460" w:type="dxa"/>
            <w:vAlign w:val="bottom"/>
            <w:tcBorders>
              <w:bottom w:val="single" w:sz="8" w:color="000041"/>
            </w:tcBorders>
            <w:gridSpan w:val="3"/>
          </w:tcPr>
          <w:p>
            <w:pPr>
              <w:jc w:val="right"/>
              <w:ind w:right="550"/>
              <w:spacing w:after="0"/>
              <w:rPr>
                <w:sz w:val="20"/>
                <w:szCs w:val="20"/>
                <w:color w:val="auto"/>
              </w:rPr>
            </w:pPr>
            <w:r>
              <w:rPr>
                <w:rFonts w:ascii="Arial" w:cs="Arial" w:eastAsia="Arial" w:hAnsi="Arial"/>
                <w:sz w:val="18"/>
                <w:szCs w:val="18"/>
                <w:color w:val="auto"/>
              </w:rPr>
              <w:t>Year ended December 31,</w:t>
            </w:r>
          </w:p>
        </w:tc>
      </w:tr>
      <w:tr>
        <w:trPr>
          <w:trHeight w:val="265"/>
        </w:trPr>
        <w:tc>
          <w:tcPr>
            <w:tcW w:w="6860" w:type="dxa"/>
            <w:vAlign w:val="bottom"/>
            <w:tcBorders>
              <w:bottom w:val="single" w:sz="8" w:color="000041"/>
            </w:tcBorders>
          </w:tcPr>
          <w:p>
            <w:pPr>
              <w:spacing w:after="0"/>
              <w:rPr>
                <w:sz w:val="23"/>
                <w:szCs w:val="23"/>
                <w:color w:val="auto"/>
              </w:rPr>
            </w:pPr>
          </w:p>
        </w:tc>
        <w:tc>
          <w:tcPr>
            <w:tcW w:w="130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2025</w:t>
            </w:r>
          </w:p>
        </w:tc>
        <w:tc>
          <w:tcPr>
            <w:tcW w:w="120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2024</w:t>
            </w:r>
          </w:p>
        </w:tc>
        <w:tc>
          <w:tcPr>
            <w:tcW w:w="9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2023</w:t>
            </w:r>
          </w:p>
        </w:tc>
      </w:tr>
      <w:tr>
        <w:trPr>
          <w:trHeight w:val="269"/>
        </w:trPr>
        <w:tc>
          <w:tcPr>
            <w:tcW w:w="6860" w:type="dxa"/>
            <w:vAlign w:val="bottom"/>
          </w:tcPr>
          <w:p>
            <w:pPr>
              <w:spacing w:after="0"/>
              <w:rPr>
                <w:sz w:val="20"/>
                <w:szCs w:val="20"/>
                <w:color w:val="auto"/>
              </w:rPr>
            </w:pPr>
            <w:r>
              <w:rPr>
                <w:rFonts w:ascii="Arial" w:cs="Arial" w:eastAsia="Arial" w:hAnsi="Arial"/>
                <w:sz w:val="18"/>
                <w:szCs w:val="18"/>
                <w:color w:val="auto"/>
              </w:rPr>
              <w:t>Net earnings</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$1,536.3</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$ 1,549.3</w:t>
            </w:r>
          </w:p>
        </w:tc>
        <w:tc>
          <w:tcPr>
            <w:tcW w:w="960" w:type="dxa"/>
            <w:vAlign w:val="bottom"/>
          </w:tcPr>
          <w:p>
            <w:pPr>
              <w:jc w:val="right"/>
              <w:spacing w:after="0"/>
              <w:rPr>
                <w:sz w:val="20"/>
                <w:szCs w:val="20"/>
                <w:color w:val="auto"/>
              </w:rPr>
            </w:pPr>
            <w:r>
              <w:rPr>
                <w:rFonts w:ascii="Arial" w:cs="Arial" w:eastAsia="Arial" w:hAnsi="Arial"/>
                <w:sz w:val="18"/>
                <w:szCs w:val="18"/>
                <w:color w:val="auto"/>
              </w:rPr>
              <w:t>$1,384.2</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ԝ</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ԝ</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ԝ</w:t>
            </w:r>
          </w:p>
        </w:tc>
      </w:tr>
      <w:tr>
        <w:trPr>
          <w:trHeight w:val="268"/>
        </w:trPr>
        <w:tc>
          <w:tcPr>
            <w:tcW w:w="68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65.1</w:t>
            </w:r>
          </w:p>
        </w:tc>
        <w:tc>
          <w:tcPr>
            <w:tcW w:w="120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(43.7)</w:t>
            </w:r>
          </w:p>
        </w:tc>
        <w:tc>
          <w:tcPr>
            <w:tcW w:w="9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64.2</w:t>
            </w:r>
          </w:p>
        </w:tc>
      </w:tr>
      <w:tr>
        <w:trPr>
          <w:trHeight w:val="245"/>
        </w:trPr>
        <w:tc>
          <w:tcPr>
            <w:tcW w:w="6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130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65.1</w:t>
            </w:r>
          </w:p>
        </w:tc>
        <w:tc>
          <w:tcPr>
            <w:tcW w:w="120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(43.7)</w:t>
            </w:r>
          </w:p>
        </w:tc>
        <w:tc>
          <w:tcPr>
            <w:tcW w:w="9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64.2</w:t>
            </w:r>
          </w:p>
        </w:tc>
      </w:tr>
      <w:tr>
        <w:trPr>
          <w:trHeight w:val="234"/>
        </w:trPr>
        <w:tc>
          <w:tcPr>
            <w:tcW w:w="6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Comprehensive income</w:t>
            </w:r>
          </w:p>
        </w:tc>
        <w:tc>
          <w:tcPr>
            <w:tcW w:w="130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$1,601.4</w:t>
            </w:r>
          </w:p>
        </w:tc>
        <w:tc>
          <w:tcPr>
            <w:tcW w:w="120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$1,505.6</w:t>
            </w:r>
          </w:p>
        </w:tc>
        <w:tc>
          <w:tcPr>
            <w:tcW w:w="9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$1,448.4</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2240" w:h="15840" w:orient="portrait"/>
          <w:cols w:equalWidth="0" w:num="1">
            <w:col w:w="10320"/>
          </w:cols>
          <w:pgMar w:left="960" w:top="926"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500"/>
        <w:spacing w:after="0" w:line="146" w:lineRule="exact"/>
        <w:tabs>
          <w:tab w:leader="none" w:pos="1016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37</w:t>
      </w:r>
    </w:p>
    <w:p>
      <w:pPr>
        <w:sectPr>
          <w:pgSz w:w="12240" w:h="15840" w:orient="portrait"/>
          <w:cols w:equalWidth="0" w:num="1">
            <w:col w:w="10320"/>
          </w:cols>
          <w:pgMar w:left="960" w:top="926" w:right="960" w:bottom="9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ROPER TECHNOLOGIES, INC.</w:t>
      </w:r>
    </w:p>
    <w:p>
      <w:pPr>
        <w:spacing w:after="0" w:line="44" w:lineRule="exact"/>
        <w:rPr>
          <w:sz w:val="20"/>
          <w:szCs w:val="20"/>
          <w:color w:val="auto"/>
        </w:rPr>
      </w:pPr>
    </w:p>
    <w:p>
      <w:pPr>
        <w:ind w:right="4420"/>
        <w:spacing w:after="0" w:line="373" w:lineRule="auto"/>
        <w:rPr>
          <w:sz w:val="20"/>
          <w:szCs w:val="20"/>
          <w:color w:val="auto"/>
        </w:rPr>
      </w:pPr>
      <w:r>
        <w:rPr>
          <w:rFonts w:ascii="Arial" w:cs="Arial" w:eastAsia="Arial" w:hAnsi="Arial"/>
          <w:sz w:val="20"/>
          <w:szCs w:val="20"/>
          <w:color w:val="000041"/>
        </w:rPr>
        <w:t xml:space="preserve">CONSOLIDATED STATEMENTS OF STOCKHOLDERS’ EQUITY </w:t>
      </w:r>
      <w:r>
        <w:rPr>
          <w:rFonts w:ascii="Arial" w:cs="Arial" w:eastAsia="Arial" w:hAnsi="Arial"/>
          <w:sz w:val="18"/>
          <w:szCs w:val="18"/>
          <w:color w:val="000000"/>
        </w:rPr>
        <w:t>(Amounts 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Accumulated</w:t>
            </w: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20" w:type="dxa"/>
            <w:vAlign w:val="bottom"/>
            <w:vMerge w:val="restart"/>
          </w:tcPr>
          <w:p>
            <w:pPr>
              <w:spacing w:after="0"/>
              <w:rPr>
                <w:sz w:val="20"/>
                <w:szCs w:val="20"/>
                <w:color w:val="auto"/>
              </w:rPr>
            </w:pPr>
            <w:r>
              <w:rPr>
                <w:rFonts w:ascii="Arial" w:cs="Arial" w:eastAsia="Arial" w:hAnsi="Arial"/>
                <w:sz w:val="18"/>
                <w:szCs w:val="18"/>
                <w:color w:val="auto"/>
              </w:rPr>
              <w:t>ԝ</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Additional</w:t>
            </w:r>
          </w:p>
        </w:tc>
        <w:tc>
          <w:tcPr>
            <w:tcW w:w="102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8"/>
        </w:trPr>
        <w:tc>
          <w:tcPr>
            <w:tcW w:w="3220" w:type="dxa"/>
            <w:vAlign w:val="bottom"/>
            <w:vMerge w:val="continue"/>
          </w:tcPr>
          <w:p>
            <w:pPr>
              <w:spacing w:after="0"/>
              <w:rPr>
                <w:sz w:val="16"/>
                <w:szCs w:val="16"/>
                <w:color w:val="auto"/>
              </w:rPr>
            </w:pPr>
          </w:p>
        </w:tc>
        <w:tc>
          <w:tcPr>
            <w:tcW w:w="1540" w:type="dxa"/>
            <w:vAlign w:val="bottom"/>
            <w:tcBorders>
              <w:bottom w:val="single" w:sz="8" w:color="000041"/>
            </w:tcBorders>
            <w:gridSpan w:val="2"/>
            <w:vMerge w:val="continue"/>
          </w:tcPr>
          <w:p>
            <w:pPr>
              <w:spacing w:after="0"/>
              <w:rPr>
                <w:sz w:val="16"/>
                <w:szCs w:val="16"/>
                <w:color w:val="auto"/>
              </w:rPr>
            </w:pPr>
          </w:p>
        </w:tc>
        <w:tc>
          <w:tcPr>
            <w:tcW w:w="5560" w:type="dxa"/>
            <w:vAlign w:val="bottom"/>
            <w:gridSpan w:val="5"/>
          </w:tcPr>
          <w:p>
            <w:pPr>
              <w:jc w:val="right"/>
              <w:spacing w:after="0" w:line="194" w:lineRule="exact"/>
              <w:rPr>
                <w:sz w:val="20"/>
                <w:szCs w:val="20"/>
                <w:color w:val="auto"/>
              </w:rPr>
            </w:pPr>
            <w:r>
              <w:rPr>
                <w:rFonts w:ascii="Arial" w:cs="Arial" w:eastAsia="Arial" w:hAnsi="Arial"/>
                <w:sz w:val="18"/>
                <w:szCs w:val="18"/>
                <w:color w:val="auto"/>
              </w:rPr>
              <w:t>ɥƃȈǁ</w:t>
            </w:r>
            <w:r>
              <w:rPr>
                <w:rFonts w:ascii="Arial" w:cs="Arial" w:eastAsia="Arial" w:hAnsi="Arial"/>
                <w:sz w:val="18"/>
                <w:szCs w:val="18"/>
                <w:color w:val="auto"/>
              </w:rPr>
              <w:t>Ӹ</w:t>
            </w:r>
            <w:r>
              <w:rPr>
                <w:rFonts w:ascii="Arial" w:cs="Arial" w:eastAsia="Arial" w:hAnsi="Arial"/>
                <w:sz w:val="18"/>
                <w:szCs w:val="18"/>
                <w:color w:val="auto"/>
              </w:rPr>
              <w:t xml:space="preserve">Ȉȶԝ ĄǉɽƃȈȶǉǁԝ </w:t>
            </w:r>
            <w:r>
              <w:rPr>
                <w:rFonts w:ascii="Arial" w:cs="Arial" w:eastAsia="Arial" w:hAnsi="Arial"/>
                <w:sz w:val="18"/>
                <w:szCs w:val="18"/>
                <w:color w:val="auto"/>
              </w:rPr>
              <w:t>comprehensive</w:t>
            </w:r>
            <w:r>
              <w:rPr>
                <w:rFonts w:ascii="Arial" w:cs="Arial" w:eastAsia="Arial" w:hAnsi="Arial"/>
                <w:sz w:val="18"/>
                <w:szCs w:val="18"/>
                <w:color w:val="auto"/>
              </w:rPr>
              <w:t xml:space="preserve"> ěɨǉƃɰʍɨʰԝ ɰɽɁƺȟȃɁȢǁǉɨɰԇԝ</w:t>
            </w:r>
          </w:p>
        </w:tc>
        <w:tc>
          <w:tcPr>
            <w:tcW w:w="0" w:type="dxa"/>
            <w:vAlign w:val="bottom"/>
          </w:tcPr>
          <w:p>
            <w:pPr>
              <w:spacing w:after="0"/>
              <w:rPr>
                <w:sz w:val="1"/>
                <w:szCs w:val="1"/>
                <w:color w:val="auto"/>
              </w:rPr>
            </w:pPr>
          </w:p>
        </w:tc>
      </w:tr>
      <w:tr>
        <w:trPr>
          <w:trHeight w:val="259"/>
        </w:trPr>
        <w:tc>
          <w:tcPr>
            <w:tcW w:w="32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7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Shares</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Amount</w:t>
            </w:r>
          </w:p>
        </w:tc>
        <w:tc>
          <w:tcPr>
            <w:tcW w:w="112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capital</w:t>
            </w:r>
          </w:p>
        </w:tc>
        <w:tc>
          <w:tcPr>
            <w:tcW w:w="10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earnings</w:t>
            </w:r>
          </w:p>
        </w:tc>
        <w:tc>
          <w:tcPr>
            <w:tcW w:w="146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loss</w:t>
            </w:r>
          </w:p>
        </w:tc>
        <w:tc>
          <w:tcPr>
            <w:tcW w:w="90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stock</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315"/>
        </w:trPr>
        <w:tc>
          <w:tcPr>
            <w:tcW w:w="32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Balances at December 31, 2022</w:t>
            </w:r>
          </w:p>
        </w:tc>
        <w:tc>
          <w:tcPr>
            <w:tcW w:w="7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106.1</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$ 2,510.2</w:t>
            </w:r>
          </w:p>
        </w:tc>
        <w:tc>
          <w:tcPr>
            <w:tcW w:w="10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w w:val="96"/>
              </w:rPr>
              <w:t>$ 13,730.7</w:t>
            </w:r>
          </w:p>
        </w:tc>
        <w:tc>
          <w:tcPr>
            <w:tcW w:w="14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$(187.0)</w:t>
            </w:r>
          </w:p>
        </w:tc>
        <w:tc>
          <w:tcPr>
            <w:tcW w:w="90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 (17.2)</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$16,037.8</w:t>
            </w:r>
          </w:p>
        </w:tc>
        <w:tc>
          <w:tcPr>
            <w:tcW w:w="0" w:type="dxa"/>
            <w:vAlign w:val="bottom"/>
          </w:tcPr>
          <w:p>
            <w:pPr>
              <w:spacing w:after="0"/>
              <w:rPr>
                <w:sz w:val="1"/>
                <w:szCs w:val="1"/>
                <w:color w:val="auto"/>
              </w:rPr>
            </w:pPr>
          </w:p>
        </w:tc>
      </w:tr>
      <w:tr>
        <w:trPr>
          <w:trHeight w:val="272"/>
        </w:trPr>
        <w:tc>
          <w:tcPr>
            <w:tcW w:w="32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1,384.2</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Stock option exercises</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Treasury stock sold under</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20" w:type="dxa"/>
            <w:vAlign w:val="bottom"/>
          </w:tcPr>
          <w:p>
            <w:pPr>
              <w:ind w:left="360"/>
              <w:spacing w:after="0"/>
              <w:rPr>
                <w:sz w:val="20"/>
                <w:szCs w:val="20"/>
                <w:color w:val="auto"/>
              </w:rPr>
            </w:pPr>
            <w:r>
              <w:rPr>
                <w:rFonts w:ascii="Arial" w:cs="Arial" w:eastAsia="Arial" w:hAnsi="Arial"/>
                <w:sz w:val="18"/>
                <w:szCs w:val="18"/>
                <w:color w:val="auto"/>
              </w:rPr>
              <w:t>employee stock purchase plan</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20" w:type="dxa"/>
            <w:vAlign w:val="bottom"/>
          </w:tcPr>
          <w:p>
            <w:pPr>
              <w:ind w:left="360"/>
              <w:spacing w:after="0"/>
              <w:rPr>
                <w:sz w:val="20"/>
                <w:szCs w:val="20"/>
                <w:color w:val="auto"/>
              </w:rPr>
            </w:pPr>
            <w:r>
              <w:rPr>
                <w:rFonts w:ascii="Arial" w:cs="Arial" w:eastAsia="Arial" w:hAnsi="Arial"/>
                <w:sz w:val="18"/>
                <w:szCs w:val="18"/>
                <w:color w:val="auto"/>
              </w:rPr>
              <w:t>including tax provision of $10.3</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64.2</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Restricted stock activity</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Dividends declared ($2.80</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22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per share)</w:t>
            </w:r>
          </w:p>
        </w:tc>
        <w:tc>
          <w:tcPr>
            <w:tcW w:w="7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(298.6)</w:t>
            </w:r>
          </w:p>
        </w:tc>
        <w:tc>
          <w:tcPr>
            <w:tcW w:w="146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81"/>
        </w:trPr>
        <w:tc>
          <w:tcPr>
            <w:tcW w:w="32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Balances at December 31, 2023</w:t>
            </w:r>
          </w:p>
        </w:tc>
        <w:tc>
          <w:tcPr>
            <w:tcW w:w="7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106.9</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$2,767.0</w:t>
            </w:r>
          </w:p>
        </w:tc>
        <w:tc>
          <w:tcPr>
            <w:tcW w:w="10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w w:val="96"/>
              </w:rPr>
              <w:t>$ 14,816.3</w:t>
            </w:r>
          </w:p>
        </w:tc>
        <w:tc>
          <w:tcPr>
            <w:tcW w:w="14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 (122.8)</w:t>
            </w:r>
          </w:p>
        </w:tc>
        <w:tc>
          <w:tcPr>
            <w:tcW w:w="90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 (16.8)</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$ 17,444.8</w:t>
            </w:r>
          </w:p>
        </w:tc>
        <w:tc>
          <w:tcPr>
            <w:tcW w:w="0" w:type="dxa"/>
            <w:vAlign w:val="bottom"/>
          </w:tcPr>
          <w:p>
            <w:pPr>
              <w:spacing w:after="0"/>
              <w:rPr>
                <w:sz w:val="1"/>
                <w:szCs w:val="1"/>
                <w:color w:val="auto"/>
              </w:rPr>
            </w:pPr>
          </w:p>
        </w:tc>
      </w:tr>
      <w:tr>
        <w:trPr>
          <w:trHeight w:val="272"/>
        </w:trPr>
        <w:tc>
          <w:tcPr>
            <w:tcW w:w="32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1,549.3</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Stock option exercises</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Treasury stock sold under</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20" w:type="dxa"/>
            <w:vAlign w:val="bottom"/>
          </w:tcPr>
          <w:p>
            <w:pPr>
              <w:ind w:left="360"/>
              <w:spacing w:after="0"/>
              <w:rPr>
                <w:sz w:val="20"/>
                <w:szCs w:val="20"/>
                <w:color w:val="auto"/>
              </w:rPr>
            </w:pPr>
            <w:r>
              <w:rPr>
                <w:rFonts w:ascii="Arial" w:cs="Arial" w:eastAsia="Arial" w:hAnsi="Arial"/>
                <w:sz w:val="18"/>
                <w:szCs w:val="18"/>
                <w:color w:val="auto"/>
              </w:rPr>
              <w:t>employee stock purchase plan</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20" w:type="dxa"/>
            <w:vAlign w:val="bottom"/>
          </w:tcPr>
          <w:p>
            <w:pPr>
              <w:spacing w:after="0" w:line="219" w:lineRule="exact"/>
              <w:rPr>
                <w:sz w:val="20"/>
                <w:szCs w:val="20"/>
                <w:color w:val="auto"/>
              </w:rPr>
            </w:pPr>
            <w:r>
              <w:rPr>
                <w:rFonts w:ascii="PMingLiU" w:cs="PMingLiU" w:eastAsia="PMingLiU" w:hAnsi="PMingLiU"/>
                <w:sz w:val="18"/>
                <w:szCs w:val="18"/>
                <w:color w:val="auto"/>
              </w:rPr>
              <w:t>  </w:t>
            </w:r>
            <w:r>
              <w:rPr>
                <w:rFonts w:ascii="Arial" w:cs="Arial" w:eastAsia="Arial" w:hAnsi="Arial"/>
                <w:sz w:val="18"/>
                <w:szCs w:val="18"/>
                <w:color w:val="auto"/>
              </w:rPr>
              <w:t xml:space="preserve">  ȈȶƺȢʍǁȈȶǼ</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ƹǉȶǉˎɽ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іјӝћ</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(43.7)</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Restricted stock activity</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Dividends declared ($3.08</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22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per share)</w:t>
            </w:r>
          </w:p>
        </w:tc>
        <w:tc>
          <w:tcPr>
            <w:tcW w:w="7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(330.7)</w:t>
            </w:r>
          </w:p>
        </w:tc>
        <w:tc>
          <w:tcPr>
            <w:tcW w:w="146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81"/>
        </w:trPr>
        <w:tc>
          <w:tcPr>
            <w:tcW w:w="32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Balances at December 31, 2024</w:t>
            </w:r>
          </w:p>
        </w:tc>
        <w:tc>
          <w:tcPr>
            <w:tcW w:w="7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107.3</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$ 3,014.6</w:t>
            </w:r>
          </w:p>
        </w:tc>
        <w:tc>
          <w:tcPr>
            <w:tcW w:w="10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$16,034.9</w:t>
            </w:r>
          </w:p>
        </w:tc>
        <w:tc>
          <w:tcPr>
            <w:tcW w:w="14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$(166.5)</w:t>
            </w:r>
          </w:p>
        </w:tc>
        <w:tc>
          <w:tcPr>
            <w:tcW w:w="90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 (16.5)</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$18,867.6</w:t>
            </w:r>
          </w:p>
        </w:tc>
        <w:tc>
          <w:tcPr>
            <w:tcW w:w="0" w:type="dxa"/>
            <w:vAlign w:val="bottom"/>
          </w:tcPr>
          <w:p>
            <w:pPr>
              <w:spacing w:after="0"/>
              <w:rPr>
                <w:sz w:val="1"/>
                <w:szCs w:val="1"/>
                <w:color w:val="auto"/>
              </w:rPr>
            </w:pPr>
          </w:p>
        </w:tc>
      </w:tr>
      <w:tr>
        <w:trPr>
          <w:trHeight w:val="273"/>
        </w:trPr>
        <w:tc>
          <w:tcPr>
            <w:tcW w:w="32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1,536.3</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1,536.3</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Stock option exercises</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Treasury stock sold under</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20" w:type="dxa"/>
            <w:vAlign w:val="bottom"/>
          </w:tcPr>
          <w:p>
            <w:pPr>
              <w:ind w:left="360"/>
              <w:spacing w:after="0"/>
              <w:rPr>
                <w:sz w:val="20"/>
                <w:szCs w:val="20"/>
                <w:color w:val="auto"/>
              </w:rPr>
            </w:pPr>
            <w:r>
              <w:rPr>
                <w:rFonts w:ascii="Arial" w:cs="Arial" w:eastAsia="Arial" w:hAnsi="Arial"/>
                <w:sz w:val="18"/>
                <w:szCs w:val="18"/>
                <w:color w:val="auto"/>
              </w:rPr>
              <w:t>employee stock purchase plan</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Common stock repurchased</w:t>
            </w:r>
            <w:r>
              <w:rPr>
                <w:rFonts w:ascii="Arial" w:cs="Arial" w:eastAsia="Arial" w:hAnsi="Arial"/>
                <w:sz w:val="10"/>
                <w:szCs w:val="10"/>
                <w:color w:val="auto"/>
              </w:rPr>
              <w:t>(1)</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(502.5)</w:t>
            </w:r>
          </w:p>
        </w:tc>
        <w:tc>
          <w:tcPr>
            <w:tcW w:w="1060" w:type="dxa"/>
            <w:vAlign w:val="bottom"/>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Equity consideration for business</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20" w:type="dxa"/>
            <w:vAlign w:val="bottom"/>
          </w:tcPr>
          <w:p>
            <w:pPr>
              <w:ind w:left="360"/>
              <w:spacing w:after="0"/>
              <w:rPr>
                <w:sz w:val="20"/>
                <w:szCs w:val="20"/>
                <w:color w:val="auto"/>
              </w:rPr>
            </w:pPr>
            <w:r>
              <w:rPr>
                <w:rFonts w:ascii="Arial" w:cs="Arial" w:eastAsia="Arial" w:hAnsi="Arial"/>
                <w:sz w:val="18"/>
                <w:szCs w:val="18"/>
                <w:color w:val="auto"/>
              </w:rPr>
              <w:t>acquisition</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220" w:type="dxa"/>
            <w:vAlign w:val="bottom"/>
          </w:tcPr>
          <w:p>
            <w:pPr>
              <w:ind w:left="360"/>
              <w:spacing w:after="0"/>
              <w:rPr>
                <w:sz w:val="20"/>
                <w:szCs w:val="20"/>
                <w:color w:val="auto"/>
              </w:rPr>
            </w:pPr>
            <w:r>
              <w:rPr>
                <w:rFonts w:ascii="Arial" w:cs="Arial" w:eastAsia="Arial" w:hAnsi="Arial"/>
                <w:sz w:val="18"/>
                <w:szCs w:val="18"/>
                <w:color w:val="auto"/>
              </w:rPr>
              <w:t>including tax provision of $18.4</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65.1</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60"/>
        </w:trPr>
        <w:tc>
          <w:tcPr>
            <w:tcW w:w="3220" w:type="dxa"/>
            <w:vAlign w:val="bottom"/>
          </w:tcPr>
          <w:p>
            <w:pPr>
              <w:ind w:left="180"/>
              <w:spacing w:after="0"/>
              <w:rPr>
                <w:sz w:val="20"/>
                <w:szCs w:val="20"/>
                <w:color w:val="auto"/>
              </w:rPr>
            </w:pPr>
            <w:r>
              <w:rPr>
                <w:rFonts w:ascii="Arial" w:cs="Arial" w:eastAsia="Arial" w:hAnsi="Arial"/>
                <w:sz w:val="18"/>
                <w:szCs w:val="18"/>
                <w:color w:val="auto"/>
              </w:rPr>
              <w:t>Restricted stock activity</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0"/>
        </w:trPr>
        <w:tc>
          <w:tcPr>
            <w:tcW w:w="3220" w:type="dxa"/>
            <w:vAlign w:val="bottom"/>
          </w:tcPr>
          <w:p>
            <w:pPr>
              <w:ind w:left="180"/>
              <w:spacing w:after="0"/>
              <w:rPr>
                <w:sz w:val="20"/>
                <w:szCs w:val="20"/>
                <w:color w:val="auto"/>
              </w:rPr>
            </w:pPr>
            <w:r>
              <w:rPr>
                <w:rFonts w:ascii="Arial" w:cs="Arial" w:eastAsia="Arial" w:hAnsi="Arial"/>
                <w:sz w:val="18"/>
                <w:szCs w:val="18"/>
                <w:color w:val="auto"/>
              </w:rPr>
              <w:t>Dividends declared ($3.39</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22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per share)</w:t>
            </w:r>
          </w:p>
        </w:tc>
        <w:tc>
          <w:tcPr>
            <w:tcW w:w="7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(365.5)</w:t>
            </w:r>
          </w:p>
        </w:tc>
        <w:tc>
          <w:tcPr>
            <w:tcW w:w="146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81"/>
        </w:trPr>
        <w:tc>
          <w:tcPr>
            <w:tcW w:w="32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Balances at December 31, 2025</w:t>
            </w:r>
          </w:p>
        </w:tc>
        <w:tc>
          <w:tcPr>
            <w:tcW w:w="7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106.6</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$3,292.2</w:t>
            </w:r>
          </w:p>
        </w:tc>
        <w:tc>
          <w:tcPr>
            <w:tcW w:w="10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w w:val="96"/>
              </w:rPr>
              <w:t>$ 17,205.7</w:t>
            </w:r>
          </w:p>
        </w:tc>
        <w:tc>
          <w:tcPr>
            <w:tcW w:w="14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 (101.4)</w:t>
            </w:r>
          </w:p>
        </w:tc>
        <w:tc>
          <w:tcPr>
            <w:tcW w:w="90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$(516.1)</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$ 19,881.5</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0" w:hanging="240"/>
        <w:spacing w:after="0"/>
        <w:tabs>
          <w:tab w:leader="none" w:pos="240" w:val="left"/>
        </w:tabs>
        <w:numPr>
          <w:ilvl w:val="0"/>
          <w:numId w:val="11"/>
        </w:numPr>
        <w:rPr>
          <w:rFonts w:ascii="Arial" w:cs="Arial" w:eastAsia="Arial" w:hAnsi="Arial"/>
          <w:sz w:val="8"/>
          <w:szCs w:val="8"/>
          <w:color w:val="auto"/>
        </w:rPr>
      </w:pPr>
      <w:r>
        <w:rPr>
          <w:rFonts w:ascii="Arial" w:cs="Arial" w:eastAsia="Arial" w:hAnsi="Arial"/>
          <w:sz w:val="14"/>
          <w:szCs w:val="14"/>
          <w:color w:val="auto"/>
        </w:rPr>
        <w:t>Balance includes commissions, and excise tax required by the Inflation Reduction Act of 2022, as amended.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2240" w:h="15840" w:orient="portrait"/>
          <w:cols w:equalWidth="0" w:num="1">
            <w:col w:w="10320"/>
          </w:cols>
          <w:pgMar w:left="960" w:top="926"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38</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20"/>
          </w:cols>
          <w:pgMar w:left="960" w:top="926" w:right="960" w:bottom="9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ROPER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000041"/>
        </w:rPr>
        <w:t>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280" w:type="dxa"/>
            <w:vAlign w:val="bottom"/>
          </w:tcPr>
          <w:p>
            <w:pPr>
              <w:spacing w:after="0"/>
              <w:rPr>
                <w:sz w:val="20"/>
                <w:szCs w:val="20"/>
                <w:color w:val="auto"/>
              </w:rPr>
            </w:pPr>
            <w:r>
              <w:rPr>
                <w:rFonts w:ascii="Arial" w:cs="Arial" w:eastAsia="Arial" w:hAnsi="Arial"/>
                <w:sz w:val="18"/>
                <w:szCs w:val="18"/>
                <w:color w:val="auto"/>
              </w:rPr>
              <w:t>(Amounts in millions)</w:t>
            </w: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6"/>
        </w:trPr>
        <w:tc>
          <w:tcPr>
            <w:tcW w:w="7280" w:type="dxa"/>
            <w:vAlign w:val="bottom"/>
          </w:tcPr>
          <w:p>
            <w:pPr>
              <w:spacing w:after="0"/>
              <w:rPr>
                <w:sz w:val="20"/>
                <w:szCs w:val="20"/>
                <w:color w:val="auto"/>
              </w:rPr>
            </w:pPr>
            <w:r>
              <w:rPr>
                <w:rFonts w:ascii="Arial" w:cs="Arial" w:eastAsia="Arial" w:hAnsi="Arial"/>
                <w:sz w:val="18"/>
                <w:szCs w:val="18"/>
                <w:color w:val="auto"/>
              </w:rPr>
              <w:t>ԝ</w:t>
            </w:r>
          </w:p>
        </w:tc>
        <w:tc>
          <w:tcPr>
            <w:tcW w:w="80" w:type="dxa"/>
            <w:vAlign w:val="bottom"/>
          </w:tcPr>
          <w:p>
            <w:pPr>
              <w:spacing w:after="0"/>
              <w:rPr>
                <w:sz w:val="24"/>
                <w:szCs w:val="24"/>
                <w:color w:val="auto"/>
              </w:rPr>
            </w:pPr>
          </w:p>
        </w:tc>
        <w:tc>
          <w:tcPr>
            <w:tcW w:w="2960" w:type="dxa"/>
            <w:vAlign w:val="bottom"/>
            <w:tcBorders>
              <w:bottom w:val="single" w:sz="8" w:color="000041"/>
            </w:tcBorders>
            <w:gridSpan w:val="3"/>
          </w:tcPr>
          <w:p>
            <w:pPr>
              <w:jc w:val="right"/>
              <w:ind w:right="291"/>
              <w:spacing w:after="0"/>
              <w:rPr>
                <w:sz w:val="20"/>
                <w:szCs w:val="20"/>
                <w:color w:val="auto"/>
              </w:rPr>
            </w:pPr>
            <w:r>
              <w:rPr>
                <w:rFonts w:ascii="Arial" w:cs="Arial" w:eastAsia="Arial" w:hAnsi="Arial"/>
                <w:sz w:val="18"/>
                <w:szCs w:val="18"/>
                <w:color w:val="auto"/>
              </w:rPr>
              <w:t>Year ended December 31,</w:t>
            </w:r>
          </w:p>
        </w:tc>
      </w:tr>
      <w:tr>
        <w:trPr>
          <w:trHeight w:val="269"/>
        </w:trPr>
        <w:tc>
          <w:tcPr>
            <w:tcW w:w="728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80" w:type="dxa"/>
            <w:vAlign w:val="bottom"/>
            <w:tcBorders>
              <w:bottom w:val="single" w:sz="8" w:color="000041"/>
            </w:tcBorders>
          </w:tcPr>
          <w:p>
            <w:pPr>
              <w:spacing w:after="0"/>
              <w:rPr>
                <w:sz w:val="23"/>
                <w:szCs w:val="23"/>
                <w:color w:val="auto"/>
              </w:rPr>
            </w:pPr>
          </w:p>
        </w:tc>
        <w:tc>
          <w:tcPr>
            <w:tcW w:w="9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2025</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2024</w:t>
            </w:r>
          </w:p>
        </w:tc>
        <w:tc>
          <w:tcPr>
            <w:tcW w:w="9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2023</w:t>
            </w:r>
          </w:p>
        </w:tc>
      </w:tr>
      <w:tr>
        <w:trPr>
          <w:trHeight w:val="232"/>
        </w:trPr>
        <w:tc>
          <w:tcPr>
            <w:tcW w:w="7280" w:type="dxa"/>
            <w:vAlign w:val="bottom"/>
          </w:tcPr>
          <w:p>
            <w:pPr>
              <w:spacing w:after="0" w:line="219" w:lineRule="exact"/>
              <w:rPr>
                <w:sz w:val="20"/>
                <w:szCs w:val="20"/>
                <w:color w:val="auto"/>
              </w:rPr>
            </w:pPr>
            <w:r>
              <w:rPr>
                <w:rFonts w:ascii="Arial" w:cs="Arial" w:eastAsia="Arial" w:hAnsi="Arial"/>
                <w:sz w:val="18"/>
                <w:szCs w:val="18"/>
                <w:color w:val="auto"/>
              </w:rPr>
              <w:t>:ƃɰȃ</w:t>
            </w:r>
            <w:r>
              <w:rPr>
                <w:rFonts w:ascii="PMingLiU" w:cs="PMingLiU" w:eastAsia="PMingLiU" w:hAnsi="PMingLiU"/>
                <w:sz w:val="18"/>
                <w:szCs w:val="18"/>
                <w:color w:val="auto"/>
              </w:rPr>
              <w:t/>
            </w:r>
            <w:r>
              <w:rPr>
                <w:rFonts w:ascii="Arial" w:cs="Arial" w:eastAsia="Arial" w:hAnsi="Arial"/>
                <w:sz w:val="18"/>
                <w:szCs w:val="18"/>
                <w:color w:val="auto"/>
              </w:rPr>
              <w:t>ːɁʥɰ</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ƃƺɽȈʤȈɽȈǉɰ</w:t>
            </w:r>
            <w:r>
              <w:rPr>
                <w:rFonts w:ascii="Arial" w:cs="Arial" w:eastAsia="Arial" w:hAnsi="Arial"/>
                <w:sz w:val="18"/>
                <w:szCs w:val="18"/>
                <w:color w:val="auto"/>
              </w:rPr>
              <w:t>Ӗ</w:t>
            </w:r>
          </w:p>
        </w:tc>
        <w:tc>
          <w:tcPr>
            <w:tcW w:w="1060" w:type="dxa"/>
            <w:vAlign w:val="bottom"/>
            <w:gridSpan w:val="2"/>
          </w:tcPr>
          <w:p>
            <w:pPr>
              <w:jc w:val="right"/>
              <w:ind w:right="830"/>
              <w:spacing w:after="0"/>
              <w:rPr>
                <w:sz w:val="20"/>
                <w:szCs w:val="20"/>
                <w:color w:val="auto"/>
              </w:rPr>
            </w:pPr>
            <w:r>
              <w:rPr>
                <w:rFonts w:ascii="Arial" w:cs="Arial" w:eastAsia="Arial" w:hAnsi="Arial"/>
                <w:sz w:val="18"/>
                <w:szCs w:val="18"/>
                <w:color w:val="auto"/>
                <w:w w:val="91"/>
              </w:rPr>
              <w:t>ԝ</w:t>
            </w:r>
          </w:p>
        </w:tc>
        <w:tc>
          <w:tcPr>
            <w:tcW w:w="1000" w:type="dxa"/>
            <w:vAlign w:val="bottom"/>
          </w:tcPr>
          <w:p>
            <w:pPr>
              <w:jc w:val="right"/>
              <w:ind w:right="851"/>
              <w:spacing w:after="0"/>
              <w:rPr>
                <w:sz w:val="20"/>
                <w:szCs w:val="20"/>
                <w:color w:val="auto"/>
              </w:rPr>
            </w:pPr>
            <w:r>
              <w:rPr>
                <w:rFonts w:ascii="Arial" w:cs="Arial" w:eastAsia="Arial" w:hAnsi="Arial"/>
                <w:sz w:val="7"/>
                <w:szCs w:val="7"/>
                <w:color w:val="auto"/>
                <w:w w:val="78"/>
              </w:rPr>
              <w:t>ԝ</w:t>
            </w:r>
          </w:p>
        </w:tc>
        <w:tc>
          <w:tcPr>
            <w:tcW w:w="980" w:type="dxa"/>
            <w:vAlign w:val="bottom"/>
          </w:tcPr>
          <w:p>
            <w:pPr>
              <w:jc w:val="right"/>
              <w:ind w:right="831"/>
              <w:spacing w:after="0"/>
              <w:rPr>
                <w:sz w:val="20"/>
                <w:szCs w:val="20"/>
                <w:color w:val="auto"/>
              </w:rPr>
            </w:pPr>
            <w:r>
              <w:rPr>
                <w:rFonts w:ascii="Arial" w:cs="Arial" w:eastAsia="Arial" w:hAnsi="Arial"/>
                <w:sz w:val="7"/>
                <w:szCs w:val="7"/>
                <w:color w:val="auto"/>
                <w:w w:val="78"/>
              </w:rPr>
              <w:t>ԝ</w:t>
            </w:r>
          </w:p>
        </w:tc>
      </w:tr>
      <w:tr>
        <w:trPr>
          <w:trHeight w:val="240"/>
        </w:trPr>
        <w:tc>
          <w:tcPr>
            <w:tcW w:w="7280" w:type="dxa"/>
            <w:vAlign w:val="bottom"/>
          </w:tcPr>
          <w:p>
            <w:pPr>
              <w:ind w:left="180"/>
              <w:spacing w:after="0"/>
              <w:rPr>
                <w:sz w:val="20"/>
                <w:szCs w:val="20"/>
                <w:color w:val="auto"/>
              </w:rPr>
            </w:pPr>
            <w:r>
              <w:rPr>
                <w:rFonts w:ascii="Arial" w:cs="Arial" w:eastAsia="Arial" w:hAnsi="Arial"/>
                <w:sz w:val="18"/>
                <w:szCs w:val="18"/>
                <w:color w:val="auto"/>
              </w:rPr>
              <w:t>Net earnings from continuing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$ 1,536.3</w:t>
            </w:r>
          </w:p>
        </w:tc>
        <w:tc>
          <w:tcPr>
            <w:tcW w:w="1000" w:type="dxa"/>
            <w:vAlign w:val="bottom"/>
          </w:tcPr>
          <w:p>
            <w:pPr>
              <w:jc w:val="right"/>
              <w:spacing w:after="0"/>
              <w:rPr>
                <w:sz w:val="20"/>
                <w:szCs w:val="20"/>
                <w:color w:val="auto"/>
              </w:rPr>
            </w:pPr>
            <w:r>
              <w:rPr>
                <w:rFonts w:ascii="Arial" w:cs="Arial" w:eastAsia="Arial" w:hAnsi="Arial"/>
                <w:sz w:val="18"/>
                <w:szCs w:val="18"/>
                <w:color w:val="auto"/>
              </w:rPr>
              <w:t>$ 1,549.3</w:t>
            </w:r>
          </w:p>
        </w:tc>
        <w:tc>
          <w:tcPr>
            <w:tcW w:w="980" w:type="dxa"/>
            <w:vAlign w:val="bottom"/>
          </w:tcPr>
          <w:p>
            <w:pPr>
              <w:jc w:val="right"/>
              <w:spacing w:after="0"/>
              <w:rPr>
                <w:sz w:val="20"/>
                <w:szCs w:val="20"/>
                <w:color w:val="auto"/>
              </w:rPr>
            </w:pPr>
            <w:r>
              <w:rPr>
                <w:rFonts w:ascii="Arial" w:cs="Arial" w:eastAsia="Arial" w:hAnsi="Arial"/>
                <w:sz w:val="18"/>
                <w:szCs w:val="18"/>
                <w:color w:val="auto"/>
              </w:rPr>
              <w:t>$ 1,368.4</w:t>
            </w:r>
          </w:p>
        </w:tc>
      </w:tr>
      <w:tr>
        <w:trPr>
          <w:trHeight w:val="220"/>
        </w:trPr>
        <w:tc>
          <w:tcPr>
            <w:tcW w:w="7280" w:type="dxa"/>
            <w:vAlign w:val="bottom"/>
          </w:tcPr>
          <w:p>
            <w:pPr>
              <w:spacing w:after="0" w:line="219" w:lineRule="exact"/>
              <w:rPr>
                <w:sz w:val="20"/>
                <w:szCs w:val="20"/>
                <w:color w:val="auto"/>
              </w:rPr>
            </w:pPr>
            <w:r>
              <w:rPr>
                <w:rFonts w:ascii="PMingLiU" w:cs="PMingLiU" w:eastAsia="PMingLiU" w:hAnsi="PMingLiU"/>
                <w:sz w:val="18"/>
                <w:szCs w:val="18"/>
                <w:color w:val="auto"/>
              </w:rPr>
              <w:t>  </w:t>
            </w:r>
            <w:r>
              <w:rPr>
                <w:rFonts w:ascii="Arial" w:cs="Arial" w:eastAsia="Arial" w:hAnsi="Arial"/>
                <w:sz w:val="18"/>
                <w:szCs w:val="18"/>
                <w:color w:val="auto"/>
              </w:rPr>
              <w:t>ǁȚʍɰɽȴǉȶɽɰ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ɨǉƺɁȶƺȈȢǉ</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ǉƃɨȶȈȶǼɰ</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
            </w:r>
            <w:r>
              <w:rPr>
                <w:rFonts w:ascii="Arial" w:cs="Arial" w:eastAsia="Arial" w:hAnsi="Arial"/>
                <w:sz w:val="18"/>
                <w:szCs w:val="18"/>
                <w:color w:val="auto"/>
              </w:rPr>
              <w:t>ƺɁȶɽȈȶʍȈȶǼ</w:t>
            </w:r>
            <w:r>
              <w:rPr>
                <w:rFonts w:ascii="PMingLiU" w:cs="PMingLiU" w:eastAsia="PMingLiU" w:hAnsi="PMingLiU"/>
                <w:sz w:val="18"/>
                <w:szCs w:val="18"/>
                <w:color w:val="auto"/>
              </w:rPr>
              <w:t/>
            </w:r>
            <w:r>
              <w:rPr>
                <w:rFonts w:ascii="Arial" w:cs="Arial" w:eastAsia="Arial" w:hAnsi="Arial"/>
                <w:sz w:val="18"/>
                <w:szCs w:val="18"/>
                <w:color w:val="auto"/>
              </w:rPr>
              <w:t>ɁɥǉɨƃɽȈɁȶɰ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ƺƃɰȃ</w:t>
            </w:r>
            <w:r>
              <w:rPr>
                <w:rFonts w:ascii="PMingLiU" w:cs="PMingLiU" w:eastAsia="PMingLiU" w:hAnsi="PMingLiU"/>
                <w:sz w:val="18"/>
                <w:szCs w:val="18"/>
                <w:color w:val="auto"/>
              </w:rPr>
              <w:t/>
            </w:r>
            <w:r>
              <w:rPr>
                <w:rFonts w:ascii="Arial" w:cs="Arial" w:eastAsia="Arial" w:hAnsi="Arial"/>
                <w:sz w:val="18"/>
                <w:szCs w:val="18"/>
                <w:color w:val="auto"/>
              </w:rPr>
              <w:t>ːɁʥɰ</w:t>
            </w: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7280" w:type="dxa"/>
            <w:vAlign w:val="bottom"/>
          </w:tcPr>
          <w:p>
            <w:pPr>
              <w:ind w:left="360"/>
              <w:spacing w:after="0"/>
              <w:rPr>
                <w:sz w:val="20"/>
                <w:szCs w:val="20"/>
                <w:color w:val="auto"/>
              </w:rPr>
            </w:pPr>
            <w:r>
              <w:rPr>
                <w:rFonts w:ascii="Arial" w:cs="Arial" w:eastAsia="Arial" w:hAnsi="Arial"/>
                <w:sz w:val="18"/>
                <w:szCs w:val="18"/>
                <w:color w:val="auto"/>
              </w:rPr>
              <w:t>from operating activities:</w:t>
            </w:r>
          </w:p>
        </w:tc>
        <w:tc>
          <w:tcPr>
            <w:tcW w:w="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ԝ</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ԝ</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ԝ</w:t>
            </w:r>
          </w:p>
        </w:tc>
      </w:tr>
      <w:tr>
        <w:trPr>
          <w:trHeight w:val="220"/>
        </w:trPr>
        <w:tc>
          <w:tcPr>
            <w:tcW w:w="728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000" w:type="dxa"/>
            <w:vAlign w:val="bottom"/>
          </w:tcPr>
          <w:p>
            <w:pPr>
              <w:jc w:val="right"/>
              <w:spacing w:after="0"/>
              <w:rPr>
                <w:sz w:val="20"/>
                <w:szCs w:val="20"/>
                <w:color w:val="auto"/>
              </w:rPr>
            </w:pPr>
            <w:r>
              <w:rPr>
                <w:rFonts w:ascii="Arial" w:cs="Arial" w:eastAsia="Arial" w:hAnsi="Arial"/>
                <w:sz w:val="18"/>
                <w:szCs w:val="18"/>
                <w:color w:val="auto"/>
              </w:rPr>
              <w:t>37.1</w:t>
            </w: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20"/>
        </w:trPr>
        <w:tc>
          <w:tcPr>
            <w:tcW w:w="72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858.4</w:t>
            </w:r>
          </w:p>
        </w:tc>
        <w:tc>
          <w:tcPr>
            <w:tcW w:w="1000" w:type="dxa"/>
            <w:vAlign w:val="bottom"/>
          </w:tcPr>
          <w:p>
            <w:pPr>
              <w:jc w:val="right"/>
              <w:spacing w:after="0"/>
              <w:rPr>
                <w:sz w:val="20"/>
                <w:szCs w:val="20"/>
                <w:color w:val="auto"/>
              </w:rPr>
            </w:pPr>
            <w:r>
              <w:rPr>
                <w:rFonts w:ascii="Arial" w:cs="Arial" w:eastAsia="Arial" w:hAnsi="Arial"/>
                <w:sz w:val="18"/>
                <w:szCs w:val="18"/>
                <w:color w:val="auto"/>
              </w:rPr>
              <w:t>775.7</w:t>
            </w:r>
          </w:p>
        </w:tc>
        <w:tc>
          <w:tcPr>
            <w:tcW w:w="980" w:type="dxa"/>
            <w:vAlign w:val="bottom"/>
          </w:tcPr>
          <w:p>
            <w:pPr>
              <w:jc w:val="right"/>
              <w:spacing w:after="0"/>
              <w:rPr>
                <w:sz w:val="20"/>
                <w:szCs w:val="20"/>
                <w:color w:val="auto"/>
              </w:rPr>
            </w:pPr>
            <w:r>
              <w:rPr>
                <w:rFonts w:ascii="Arial" w:cs="Arial" w:eastAsia="Arial" w:hAnsi="Arial"/>
                <w:sz w:val="18"/>
                <w:szCs w:val="18"/>
                <w:color w:val="auto"/>
              </w:rPr>
              <w:t>719.8</w:t>
            </w:r>
          </w:p>
        </w:tc>
      </w:tr>
      <w:tr>
        <w:trPr>
          <w:trHeight w:val="220"/>
        </w:trPr>
        <w:tc>
          <w:tcPr>
            <w:tcW w:w="7280" w:type="dxa"/>
            <w:vAlign w:val="bottom"/>
          </w:tcPr>
          <w:p>
            <w:pPr>
              <w:spacing w:after="0" w:line="219" w:lineRule="exact"/>
              <w:rPr>
                <w:sz w:val="20"/>
                <w:szCs w:val="20"/>
                <w:color w:val="auto"/>
              </w:rPr>
            </w:pPr>
            <w:r>
              <w:rPr>
                <w:rFonts w:ascii="PMingLiU" w:cs="PMingLiU" w:eastAsia="PMingLiU" w:hAnsi="PMingLiU"/>
                <w:sz w:val="18"/>
                <w:szCs w:val="18"/>
                <w:color w:val="auto"/>
              </w:rPr>
              <w:t>    </w:t>
            </w:r>
            <w:r>
              <w:rPr>
                <w:rFonts w:ascii="Arial" w:cs="Arial" w:eastAsia="Arial" w:hAnsi="Arial"/>
                <w:sz w:val="18"/>
                <w:szCs w:val="18"/>
                <w:color w:val="auto"/>
              </w:rPr>
              <w:t>ȴɁɨɽȈ˃ƃɽȈɁȶ</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ǁǉǹǉɨɨǉǁ</w:t>
            </w:r>
            <w:r>
              <w:rPr>
                <w:rFonts w:ascii="PMingLiU" w:cs="PMingLiU" w:eastAsia="PMingLiU" w:hAnsi="PMingLiU"/>
                <w:sz w:val="18"/>
                <w:szCs w:val="18"/>
                <w:color w:val="auto"/>
              </w:rPr>
              <w:t/>
            </w:r>
            <w:r>
              <w:rPr>
                <w:rFonts w:ascii="Arial" w:cs="Arial" w:eastAsia="Arial" w:hAnsi="Arial"/>
                <w:sz w:val="18"/>
                <w:szCs w:val="18"/>
                <w:color w:val="auto"/>
              </w:rPr>
              <w:t>ˎȶƃȶƺȈȶǼ</w:t>
            </w:r>
            <w:r>
              <w:rPr>
                <w:rFonts w:ascii="PMingLiU" w:cs="PMingLiU" w:eastAsia="PMingLiU" w:hAnsi="PMingLiU"/>
                <w:sz w:val="18"/>
                <w:szCs w:val="18"/>
                <w:color w:val="auto"/>
              </w:rPr>
              <w:t/>
            </w:r>
            <w:r>
              <w:rPr>
                <w:rFonts w:ascii="Arial" w:cs="Arial" w:eastAsia="Arial" w:hAnsi="Arial"/>
                <w:sz w:val="18"/>
                <w:szCs w:val="18"/>
                <w:color w:val="auto"/>
              </w:rPr>
              <w:t>ƺɁɰɽɰ</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0"/>
        </w:trPr>
        <w:tc>
          <w:tcPr>
            <w:tcW w:w="7280" w:type="dxa"/>
            <w:vAlign w:val="bottom"/>
          </w:tcPr>
          <w:p>
            <w:pPr>
              <w:ind w:left="360"/>
              <w:spacing w:after="0"/>
              <w:rPr>
                <w:sz w:val="20"/>
                <w:szCs w:val="20"/>
                <w:color w:val="auto"/>
              </w:rPr>
            </w:pPr>
            <w:r>
              <w:rPr>
                <w:rFonts w:ascii="Arial" w:cs="Arial" w:eastAsia="Arial" w:hAnsi="Arial"/>
                <w:sz w:val="18"/>
                <w:szCs w:val="18"/>
                <w:color w:val="auto"/>
              </w:rPr>
              <w:t>Non-cash stock compensation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166.3</w:t>
            </w:r>
          </w:p>
        </w:tc>
        <w:tc>
          <w:tcPr>
            <w:tcW w:w="1000" w:type="dxa"/>
            <w:vAlign w:val="bottom"/>
          </w:tcPr>
          <w:p>
            <w:pPr>
              <w:jc w:val="right"/>
              <w:spacing w:after="0"/>
              <w:rPr>
                <w:sz w:val="20"/>
                <w:szCs w:val="20"/>
                <w:color w:val="auto"/>
              </w:rPr>
            </w:pPr>
            <w:r>
              <w:rPr>
                <w:rFonts w:ascii="Arial" w:cs="Arial" w:eastAsia="Arial" w:hAnsi="Arial"/>
                <w:sz w:val="18"/>
                <w:szCs w:val="18"/>
                <w:color w:val="auto"/>
              </w:rPr>
              <w:t>145.9</w:t>
            </w:r>
          </w:p>
        </w:tc>
        <w:tc>
          <w:tcPr>
            <w:tcW w:w="98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20"/>
        </w:trPr>
        <w:tc>
          <w:tcPr>
            <w:tcW w:w="7280" w:type="dxa"/>
            <w:vAlign w:val="bottom"/>
          </w:tcPr>
          <w:p>
            <w:pPr>
              <w:ind w:left="360"/>
              <w:spacing w:after="0"/>
              <w:rPr>
                <w:sz w:val="20"/>
                <w:szCs w:val="20"/>
                <w:color w:val="auto"/>
              </w:rPr>
            </w:pPr>
            <w:r>
              <w:rPr>
                <w:rFonts w:ascii="Arial" w:cs="Arial" w:eastAsia="Arial" w:hAnsi="Arial"/>
                <w:sz w:val="18"/>
                <w:szCs w:val="18"/>
                <w:color w:val="auto"/>
              </w:rPr>
              <w:t>Equity investments gain, net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000" w:type="dxa"/>
            <w:vAlign w:val="bottom"/>
          </w:tcPr>
          <w:p>
            <w:pPr>
              <w:jc w:val="right"/>
              <w:spacing w:after="0"/>
              <w:rPr>
                <w:sz w:val="20"/>
                <w:szCs w:val="20"/>
                <w:color w:val="auto"/>
              </w:rPr>
            </w:pPr>
            <w:r>
              <w:rPr>
                <w:rFonts w:ascii="Arial" w:cs="Arial" w:eastAsia="Arial" w:hAnsi="Arial"/>
                <w:sz w:val="18"/>
                <w:szCs w:val="18"/>
                <w:color w:val="auto"/>
              </w:rPr>
              <w:t>(234.6)</w:t>
            </w:r>
          </w:p>
        </w:tc>
        <w:tc>
          <w:tcPr>
            <w:tcW w:w="980" w:type="dxa"/>
            <w:vAlign w:val="bottom"/>
          </w:tcPr>
          <w:p>
            <w:pPr>
              <w:jc w:val="right"/>
              <w:spacing w:after="0"/>
              <w:rPr>
                <w:sz w:val="20"/>
                <w:szCs w:val="20"/>
                <w:color w:val="auto"/>
              </w:rPr>
            </w:pPr>
            <w:r>
              <w:rPr>
                <w:rFonts w:ascii="Arial" w:cs="Arial" w:eastAsia="Arial" w:hAnsi="Arial"/>
                <w:sz w:val="18"/>
                <w:szCs w:val="18"/>
                <w:color w:val="auto"/>
              </w:rPr>
              <w:t>(165.4)</w:t>
            </w:r>
          </w:p>
        </w:tc>
      </w:tr>
      <w:tr>
        <w:trPr>
          <w:trHeight w:val="220"/>
        </w:trPr>
        <w:tc>
          <w:tcPr>
            <w:tcW w:w="7280" w:type="dxa"/>
            <w:vAlign w:val="bottom"/>
          </w:tcPr>
          <w:p>
            <w:pPr>
              <w:ind w:left="360"/>
              <w:spacing w:after="0"/>
              <w:rPr>
                <w:sz w:val="20"/>
                <w:szCs w:val="20"/>
                <w:color w:val="auto"/>
              </w:rPr>
            </w:pPr>
            <w:r>
              <w:rPr>
                <w:rFonts w:ascii="Arial" w:cs="Arial" w:eastAsia="Arial" w:hAnsi="Arial"/>
                <w:sz w:val="18"/>
                <w:szCs w:val="18"/>
                <w:color w:val="auto"/>
              </w:rPr>
              <w:t>Income tax provision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399.8</w:t>
            </w:r>
          </w:p>
        </w:tc>
        <w:tc>
          <w:tcPr>
            <w:tcW w:w="1000" w:type="dxa"/>
            <w:vAlign w:val="bottom"/>
          </w:tcPr>
          <w:p>
            <w:pPr>
              <w:jc w:val="right"/>
              <w:spacing w:after="0"/>
              <w:rPr>
                <w:sz w:val="20"/>
                <w:szCs w:val="20"/>
                <w:color w:val="auto"/>
              </w:rPr>
            </w:pPr>
            <w:r>
              <w:rPr>
                <w:rFonts w:ascii="Arial" w:cs="Arial" w:eastAsia="Arial" w:hAnsi="Arial"/>
                <w:sz w:val="18"/>
                <w:szCs w:val="18"/>
                <w:color w:val="auto"/>
              </w:rPr>
              <w:t>417.9</w:t>
            </w:r>
          </w:p>
        </w:tc>
        <w:tc>
          <w:tcPr>
            <w:tcW w:w="980" w:type="dxa"/>
            <w:vAlign w:val="bottom"/>
          </w:tcPr>
          <w:p>
            <w:pPr>
              <w:jc w:val="right"/>
              <w:spacing w:after="0"/>
              <w:rPr>
                <w:sz w:val="20"/>
                <w:szCs w:val="20"/>
                <w:color w:val="auto"/>
              </w:rPr>
            </w:pPr>
            <w:r>
              <w:rPr>
                <w:rFonts w:ascii="Arial" w:cs="Arial" w:eastAsia="Arial" w:hAnsi="Arial"/>
                <w:sz w:val="18"/>
                <w:szCs w:val="18"/>
                <w:color w:val="auto"/>
              </w:rPr>
              <w:t>374.7</w:t>
            </w:r>
          </w:p>
        </w:tc>
      </w:tr>
      <w:tr>
        <w:trPr>
          <w:trHeight w:val="220"/>
        </w:trPr>
        <w:tc>
          <w:tcPr>
            <w:tcW w:w="72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acquired businesses:</w:t>
            </w:r>
          </w:p>
        </w:tc>
        <w:tc>
          <w:tcPr>
            <w:tcW w:w="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ԝ</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ԝ</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ԝ</w:t>
            </w:r>
          </w:p>
        </w:tc>
      </w:tr>
      <w:tr>
        <w:trPr>
          <w:trHeight w:val="220"/>
        </w:trPr>
        <w:tc>
          <w:tcPr>
            <w:tcW w:w="728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98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20"/>
        </w:trPr>
        <w:tc>
          <w:tcPr>
            <w:tcW w:w="7280" w:type="dxa"/>
            <w:vAlign w:val="bottom"/>
          </w:tcPr>
          <w:p>
            <w:pPr>
              <w:ind w:left="540"/>
              <w:spacing w:after="0"/>
              <w:rPr>
                <w:sz w:val="20"/>
                <w:szCs w:val="20"/>
                <w:color w:val="auto"/>
              </w:rPr>
            </w:pPr>
            <w:r>
              <w:rPr>
                <w:rFonts w:ascii="Arial" w:cs="Arial" w:eastAsia="Arial" w:hAnsi="Arial"/>
                <w:sz w:val="18"/>
                <w:szCs w:val="18"/>
                <w:color w:val="auto"/>
              </w:rPr>
              <w:t>Unbilled receivables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0"/>
        </w:trPr>
        <w:tc>
          <w:tcPr>
            <w:tcW w:w="728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0"/>
        </w:trPr>
        <w:tc>
          <w:tcPr>
            <w:tcW w:w="7280" w:type="dxa"/>
            <w:vAlign w:val="bottom"/>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0"/>
        </w:trPr>
        <w:tc>
          <w:tcPr>
            <w:tcW w:w="728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0"/>
        </w:trPr>
        <w:tc>
          <w:tcPr>
            <w:tcW w:w="7280" w:type="dxa"/>
            <w:vAlign w:val="bottom"/>
          </w:tcPr>
          <w:p>
            <w:pPr>
              <w:ind w:left="540"/>
              <w:spacing w:after="0"/>
              <w:rPr>
                <w:sz w:val="20"/>
                <w:szCs w:val="20"/>
                <w:color w:val="auto"/>
              </w:rPr>
            </w:pPr>
            <w:r>
              <w:rPr>
                <w:rFonts w:ascii="Arial" w:cs="Arial" w:eastAsia="Arial" w:hAnsi="Arial"/>
                <w:sz w:val="18"/>
                <w:szCs w:val="18"/>
                <w:color w:val="auto"/>
              </w:rPr>
              <w:t>Other accrued liabilities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000" w:type="dxa"/>
            <w:vAlign w:val="bottom"/>
          </w:tcPr>
          <w:p>
            <w:pPr>
              <w:jc w:val="right"/>
              <w:spacing w:after="0"/>
              <w:rPr>
                <w:sz w:val="20"/>
                <w:szCs w:val="20"/>
                <w:color w:val="auto"/>
              </w:rPr>
            </w:pPr>
            <w:r>
              <w:rPr>
                <w:rFonts w:ascii="Arial" w:cs="Arial" w:eastAsia="Arial" w:hAnsi="Arial"/>
                <w:sz w:val="18"/>
                <w:szCs w:val="18"/>
                <w:color w:val="auto"/>
              </w:rPr>
              <w:t>109.3</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728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1000" w:type="dxa"/>
            <w:vAlign w:val="bottom"/>
          </w:tcPr>
          <w:p>
            <w:pPr>
              <w:jc w:val="right"/>
              <w:spacing w:after="0"/>
              <w:rPr>
                <w:sz w:val="20"/>
                <w:szCs w:val="20"/>
                <w:color w:val="auto"/>
              </w:rPr>
            </w:pPr>
            <w:r>
              <w:rPr>
                <w:rFonts w:ascii="Arial" w:cs="Arial" w:eastAsia="Arial" w:hAnsi="Arial"/>
                <w:sz w:val="18"/>
                <w:szCs w:val="18"/>
                <w:color w:val="auto"/>
              </w:rPr>
              <w:t>110.7</w:t>
            </w:r>
          </w:p>
        </w:tc>
        <w:tc>
          <w:tcPr>
            <w:tcW w:w="98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20"/>
        </w:trPr>
        <w:tc>
          <w:tcPr>
            <w:tcW w:w="7280" w:type="dxa"/>
            <w:vAlign w:val="bottom"/>
          </w:tcPr>
          <w:p>
            <w:pPr>
              <w:ind w:left="360"/>
              <w:spacing w:after="0"/>
              <w:rPr>
                <w:sz w:val="20"/>
                <w:szCs w:val="20"/>
                <w:color w:val="auto"/>
              </w:rPr>
            </w:pPr>
            <w:r>
              <w:rPr>
                <w:rFonts w:ascii="Arial" w:cs="Arial" w:eastAsia="Arial" w:hAnsi="Arial"/>
                <w:sz w:val="18"/>
                <w:szCs w:val="18"/>
                <w:color w:val="auto"/>
              </w:rPr>
              <w:t>Cash taxes paid for gains on disposals of equity investment and business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0"/>
        </w:trPr>
        <w:tc>
          <w:tcPr>
            <w:tcW w:w="7280" w:type="dxa"/>
            <w:vAlign w:val="bottom"/>
          </w:tcPr>
          <w:p>
            <w:pPr>
              <w:ind w:left="360"/>
              <w:spacing w:after="0"/>
              <w:rPr>
                <w:sz w:val="20"/>
                <w:szCs w:val="20"/>
                <w:color w:val="auto"/>
              </w:rPr>
            </w:pPr>
            <w:r>
              <w:rPr>
                <w:rFonts w:ascii="Arial" w:cs="Arial" w:eastAsia="Arial" w:hAnsi="Arial"/>
                <w:sz w:val="18"/>
                <w:szCs w:val="18"/>
                <w:color w:val="auto"/>
              </w:rPr>
              <w:t>Cash income taxes paid, excluding tax associated with gains on disposals of</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5"/>
        </w:trPr>
        <w:tc>
          <w:tcPr>
            <w:tcW w:w="7280" w:type="dxa"/>
            <w:vAlign w:val="bottom"/>
          </w:tcPr>
          <w:p>
            <w:pPr>
              <w:ind w:left="540"/>
              <w:spacing w:after="0" w:line="205" w:lineRule="exact"/>
              <w:rPr>
                <w:sz w:val="20"/>
                <w:szCs w:val="20"/>
                <w:color w:val="auto"/>
              </w:rPr>
            </w:pPr>
            <w:r>
              <w:rPr>
                <w:rFonts w:ascii="Arial" w:cs="Arial" w:eastAsia="Arial" w:hAnsi="Arial"/>
                <w:sz w:val="18"/>
                <w:szCs w:val="18"/>
                <w:color w:val="auto"/>
              </w:rPr>
              <w:t>equity investment and business</w:t>
            </w:r>
          </w:p>
        </w:tc>
        <w:tc>
          <w:tcPr>
            <w:tcW w:w="10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(384.0)</w:t>
            </w: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(483.8)</w:t>
            </w: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(423.4)</w:t>
            </w:r>
          </w:p>
        </w:tc>
      </w:tr>
      <w:tr>
        <w:trPr>
          <w:trHeight w:val="268"/>
        </w:trPr>
        <w:tc>
          <w:tcPr>
            <w:tcW w:w="728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(35.1)</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(5.6)</w:t>
            </w:r>
          </w:p>
        </w:tc>
        <w:tc>
          <w:tcPr>
            <w:tcW w:w="9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(15.5)</w:t>
            </w:r>
          </w:p>
        </w:tc>
      </w:tr>
      <w:tr>
        <w:trPr>
          <w:trHeight w:val="232"/>
        </w:trPr>
        <w:tc>
          <w:tcPr>
            <w:tcW w:w="7280" w:type="dxa"/>
            <w:vAlign w:val="bottom"/>
          </w:tcPr>
          <w:p>
            <w:pPr>
              <w:ind w:left="540"/>
              <w:spacing w:after="0"/>
              <w:rPr>
                <w:sz w:val="20"/>
                <w:szCs w:val="20"/>
                <w:color w:val="auto"/>
              </w:rPr>
            </w:pPr>
            <w:r>
              <w:rPr>
                <w:rFonts w:ascii="Arial" w:cs="Arial" w:eastAsia="Arial" w:hAnsi="Arial"/>
                <w:sz w:val="18"/>
                <w:szCs w:val="18"/>
                <w:color w:val="auto"/>
              </w:rPr>
              <w:t>Cash provided by operating activities from continuing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2,540.3</w:t>
            </w:r>
          </w:p>
        </w:tc>
        <w:tc>
          <w:tcPr>
            <w:tcW w:w="1000" w:type="dxa"/>
            <w:vAlign w:val="bottom"/>
          </w:tcPr>
          <w:p>
            <w:pPr>
              <w:jc w:val="right"/>
              <w:spacing w:after="0"/>
              <w:rPr>
                <w:sz w:val="20"/>
                <w:szCs w:val="20"/>
                <w:color w:val="auto"/>
              </w:rPr>
            </w:pPr>
            <w:r>
              <w:rPr>
                <w:rFonts w:ascii="Arial" w:cs="Arial" w:eastAsia="Arial" w:hAnsi="Arial"/>
                <w:sz w:val="18"/>
                <w:szCs w:val="18"/>
                <w:color w:val="auto"/>
              </w:rPr>
              <w:t>2,393.2</w:t>
            </w:r>
          </w:p>
        </w:tc>
        <w:tc>
          <w:tcPr>
            <w:tcW w:w="980" w:type="dxa"/>
            <w:vAlign w:val="bottom"/>
          </w:tcPr>
          <w:p>
            <w:pPr>
              <w:jc w:val="right"/>
              <w:spacing w:after="0"/>
              <w:rPr>
                <w:sz w:val="20"/>
                <w:szCs w:val="20"/>
                <w:color w:val="auto"/>
              </w:rPr>
            </w:pPr>
            <w:r>
              <w:rPr>
                <w:rFonts w:ascii="Arial" w:cs="Arial" w:eastAsia="Arial" w:hAnsi="Arial"/>
                <w:sz w:val="18"/>
                <w:szCs w:val="18"/>
                <w:color w:val="auto"/>
              </w:rPr>
              <w:t>2,037.4</w:t>
            </w:r>
          </w:p>
        </w:tc>
      </w:tr>
      <w:tr>
        <w:trPr>
          <w:trHeight w:val="268"/>
        </w:trPr>
        <w:tc>
          <w:tcPr>
            <w:tcW w:w="7280" w:type="dxa"/>
            <w:vAlign w:val="bottom"/>
            <w:tcBorders>
              <w:bottom w:val="single" w:sz="8" w:color="000041"/>
            </w:tcBorders>
          </w:tcPr>
          <w:p>
            <w:pPr>
              <w:ind w:left="540"/>
              <w:spacing w:after="0"/>
              <w:rPr>
                <w:sz w:val="20"/>
                <w:szCs w:val="20"/>
                <w:color w:val="auto"/>
              </w:rPr>
            </w:pPr>
            <w:r>
              <w:rPr>
                <w:rFonts w:ascii="Arial" w:cs="Arial" w:eastAsia="Arial" w:hAnsi="Arial"/>
                <w:sz w:val="18"/>
                <w:szCs w:val="18"/>
                <w:color w:val="auto"/>
              </w:rPr>
              <w:t>Cash used in operating activities from discontinued operations</w:t>
            </w:r>
          </w:p>
        </w:tc>
        <w:tc>
          <w:tcPr>
            <w:tcW w:w="80" w:type="dxa"/>
            <w:vAlign w:val="bottom"/>
            <w:tcBorders>
              <w:bottom w:val="single" w:sz="8" w:color="000041"/>
            </w:tcBorders>
          </w:tcPr>
          <w:p>
            <w:pPr>
              <w:spacing w:after="0"/>
              <w:rPr>
                <w:sz w:val="23"/>
                <w:szCs w:val="23"/>
                <w:color w:val="auto"/>
              </w:rPr>
            </w:pPr>
          </w:p>
        </w:tc>
        <w:tc>
          <w:tcPr>
            <w:tcW w:w="9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(2.3)</w:t>
            </w:r>
          </w:p>
        </w:tc>
      </w:tr>
      <w:tr>
        <w:trPr>
          <w:trHeight w:val="232"/>
        </w:trPr>
        <w:tc>
          <w:tcPr>
            <w:tcW w:w="7280" w:type="dxa"/>
            <w:vAlign w:val="bottom"/>
          </w:tcPr>
          <w:p>
            <w:pPr>
              <w:ind w:left="540"/>
              <w:spacing w:after="0"/>
              <w:rPr>
                <w:sz w:val="20"/>
                <w:szCs w:val="20"/>
                <w:color w:val="auto"/>
              </w:rPr>
            </w:pPr>
            <w:r>
              <w:rPr>
                <w:rFonts w:ascii="Arial" w:cs="Arial" w:eastAsia="Arial" w:hAnsi="Arial"/>
                <w:sz w:val="18"/>
                <w:szCs w:val="18"/>
                <w:color w:val="auto"/>
              </w:rPr>
              <w:t>Cash provided by operating activities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2,540.3</w:t>
            </w:r>
          </w:p>
        </w:tc>
        <w:tc>
          <w:tcPr>
            <w:tcW w:w="1000" w:type="dxa"/>
            <w:vAlign w:val="bottom"/>
          </w:tcPr>
          <w:p>
            <w:pPr>
              <w:jc w:val="right"/>
              <w:spacing w:after="0"/>
              <w:rPr>
                <w:sz w:val="20"/>
                <w:szCs w:val="20"/>
                <w:color w:val="auto"/>
              </w:rPr>
            </w:pPr>
            <w:r>
              <w:rPr>
                <w:rFonts w:ascii="Arial" w:cs="Arial" w:eastAsia="Arial" w:hAnsi="Arial"/>
                <w:sz w:val="18"/>
                <w:szCs w:val="18"/>
                <w:color w:val="auto"/>
              </w:rPr>
              <w:t>2,393.2</w:t>
            </w:r>
          </w:p>
        </w:tc>
        <w:tc>
          <w:tcPr>
            <w:tcW w:w="980" w:type="dxa"/>
            <w:vAlign w:val="bottom"/>
          </w:tcPr>
          <w:p>
            <w:pPr>
              <w:jc w:val="right"/>
              <w:spacing w:after="0"/>
              <w:rPr>
                <w:sz w:val="20"/>
                <w:szCs w:val="20"/>
                <w:color w:val="auto"/>
              </w:rPr>
            </w:pPr>
            <w:r>
              <w:rPr>
                <w:rFonts w:ascii="Arial" w:cs="Arial" w:eastAsia="Arial" w:hAnsi="Arial"/>
                <w:sz w:val="18"/>
                <w:szCs w:val="18"/>
                <w:color w:val="auto"/>
              </w:rPr>
              <w:t>2,035.1</w:t>
            </w:r>
          </w:p>
        </w:tc>
      </w:tr>
      <w:tr>
        <w:trPr>
          <w:trHeight w:val="220"/>
        </w:trPr>
        <w:tc>
          <w:tcPr>
            <w:tcW w:w="7280" w:type="dxa"/>
            <w:vAlign w:val="bottom"/>
          </w:tcPr>
          <w:p>
            <w:pPr>
              <w:spacing w:after="0" w:line="219" w:lineRule="exact"/>
              <w:rPr>
                <w:sz w:val="20"/>
                <w:szCs w:val="20"/>
                <w:color w:val="auto"/>
              </w:rPr>
            </w:pPr>
            <w:r>
              <w:rPr>
                <w:rFonts w:ascii="Arial" w:cs="Arial" w:eastAsia="Arial" w:hAnsi="Arial"/>
                <w:sz w:val="18"/>
                <w:szCs w:val="18"/>
                <w:color w:val="auto"/>
              </w:rPr>
              <w:t>:ƃɰȃ</w:t>
            </w:r>
            <w:r>
              <w:rPr>
                <w:rFonts w:ascii="PMingLiU" w:cs="PMingLiU" w:eastAsia="PMingLiU" w:hAnsi="PMingLiU"/>
                <w:sz w:val="18"/>
                <w:szCs w:val="18"/>
                <w:color w:val="auto"/>
              </w:rPr>
              <w:t/>
            </w:r>
            <w:r>
              <w:rPr>
                <w:rFonts w:ascii="Arial" w:cs="Arial" w:eastAsia="Arial" w:hAnsi="Arial"/>
                <w:sz w:val="18"/>
                <w:szCs w:val="18"/>
                <w:color w:val="auto"/>
              </w:rPr>
              <w:t>ːɁʥɰ</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ʍɰǉǁ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ȈȶʤǉɰɽȈȶǼ</w:t>
            </w:r>
            <w:r>
              <w:rPr>
                <w:rFonts w:ascii="PMingLiU" w:cs="PMingLiU" w:eastAsia="PMingLiU" w:hAnsi="PMingLiU"/>
                <w:sz w:val="18"/>
                <w:szCs w:val="18"/>
                <w:color w:val="auto"/>
              </w:rPr>
              <w:t/>
            </w:r>
            <w:r>
              <w:rPr>
                <w:rFonts w:ascii="Arial" w:cs="Arial" w:eastAsia="Arial" w:hAnsi="Arial"/>
                <w:sz w:val="18"/>
                <w:szCs w:val="18"/>
                <w:color w:val="auto"/>
              </w:rPr>
              <w:t>ƃƺɽȈʤȈɽȈǉɰ</w:t>
            </w:r>
            <w:r>
              <w:rPr>
                <w:rFonts w:ascii="Arial" w:cs="Arial" w:eastAsia="Arial" w:hAnsi="Arial"/>
                <w:sz w:val="18"/>
                <w:szCs w:val="18"/>
                <w:color w:val="auto"/>
              </w:rPr>
              <w:t>Ӗ</w:t>
            </w:r>
          </w:p>
        </w:tc>
        <w:tc>
          <w:tcPr>
            <w:tcW w:w="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ԝ</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ԝ</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ԝ</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(3,290.0)</w:t>
            </w:r>
          </w:p>
        </w:tc>
        <w:tc>
          <w:tcPr>
            <w:tcW w:w="1000" w:type="dxa"/>
            <w:vAlign w:val="bottom"/>
          </w:tcPr>
          <w:p>
            <w:pPr>
              <w:jc w:val="right"/>
              <w:spacing w:after="0"/>
              <w:rPr>
                <w:sz w:val="20"/>
                <w:szCs w:val="20"/>
                <w:color w:val="auto"/>
              </w:rPr>
            </w:pPr>
            <w:r>
              <w:rPr>
                <w:rFonts w:ascii="Arial" w:cs="Arial" w:eastAsia="Arial" w:hAnsi="Arial"/>
                <w:sz w:val="18"/>
                <w:szCs w:val="18"/>
                <w:color w:val="auto"/>
              </w:rPr>
              <w:t>(3,612.9)</w:t>
            </w:r>
          </w:p>
        </w:tc>
        <w:tc>
          <w:tcPr>
            <w:tcW w:w="980" w:type="dxa"/>
            <w:vAlign w:val="bottom"/>
          </w:tcPr>
          <w:p>
            <w:pPr>
              <w:jc w:val="right"/>
              <w:spacing w:after="0"/>
              <w:rPr>
                <w:sz w:val="20"/>
                <w:szCs w:val="20"/>
                <w:color w:val="auto"/>
              </w:rPr>
            </w:pPr>
            <w:r>
              <w:rPr>
                <w:rFonts w:ascii="Arial" w:cs="Arial" w:eastAsia="Arial" w:hAnsi="Arial"/>
                <w:sz w:val="18"/>
                <w:szCs w:val="18"/>
                <w:color w:val="auto"/>
              </w:rPr>
              <w:t>(2,052.7)</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1000" w:type="dxa"/>
            <w:vAlign w:val="bottom"/>
          </w:tcPr>
          <w:p>
            <w:pPr>
              <w:jc w:val="right"/>
              <w:spacing w:after="0"/>
              <w:rPr>
                <w:sz w:val="20"/>
                <w:szCs w:val="20"/>
                <w:color w:val="auto"/>
              </w:rPr>
            </w:pPr>
            <w:r>
              <w:rPr>
                <w:rFonts w:ascii="Arial" w:cs="Arial" w:eastAsia="Arial" w:hAnsi="Arial"/>
                <w:sz w:val="18"/>
                <w:szCs w:val="18"/>
                <w:color w:val="auto"/>
              </w:rPr>
              <w:t>(66.0)</w:t>
            </w:r>
          </w:p>
        </w:tc>
        <w:tc>
          <w:tcPr>
            <w:tcW w:w="98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Capitalized software expenditures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1000" w:type="dxa"/>
            <w:vAlign w:val="bottom"/>
          </w:tcPr>
          <w:p>
            <w:pPr>
              <w:jc w:val="right"/>
              <w:spacing w:after="0"/>
              <w:rPr>
                <w:sz w:val="20"/>
                <w:szCs w:val="20"/>
                <w:color w:val="auto"/>
              </w:rPr>
            </w:pPr>
            <w:r>
              <w:rPr>
                <w:rFonts w:ascii="Arial" w:cs="Arial" w:eastAsia="Arial" w:hAnsi="Arial"/>
                <w:sz w:val="18"/>
                <w:szCs w:val="18"/>
                <w:color w:val="auto"/>
              </w:rPr>
              <w:t>(45.0)</w:t>
            </w: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Distributions from equity investment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Proceeds from sale of equity investment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728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1.6</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(1.0)</w:t>
            </w:r>
          </w:p>
        </w:tc>
        <w:tc>
          <w:tcPr>
            <w:tcW w:w="9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(0.1)</w:t>
            </w:r>
          </w:p>
        </w:tc>
      </w:tr>
      <w:tr>
        <w:trPr>
          <w:trHeight w:val="232"/>
        </w:trPr>
        <w:tc>
          <w:tcPr>
            <w:tcW w:w="7280" w:type="dxa"/>
            <w:vAlign w:val="bottom"/>
          </w:tcPr>
          <w:p>
            <w:pPr>
              <w:ind w:left="360"/>
              <w:spacing w:after="0"/>
              <w:rPr>
                <w:sz w:val="20"/>
                <w:szCs w:val="20"/>
                <w:color w:val="auto"/>
              </w:rPr>
            </w:pPr>
            <w:r>
              <w:rPr>
                <w:rFonts w:ascii="Arial" w:cs="Arial" w:eastAsia="Arial" w:hAnsi="Arial"/>
                <w:sz w:val="18"/>
                <w:szCs w:val="18"/>
                <w:color w:val="auto"/>
              </w:rPr>
              <w:t>Cash used in investing activities from continuing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(3,388.0)</w:t>
            </w:r>
          </w:p>
        </w:tc>
        <w:tc>
          <w:tcPr>
            <w:tcW w:w="1000" w:type="dxa"/>
            <w:vAlign w:val="bottom"/>
          </w:tcPr>
          <w:p>
            <w:pPr>
              <w:jc w:val="right"/>
              <w:spacing w:after="0"/>
              <w:rPr>
                <w:sz w:val="20"/>
                <w:szCs w:val="20"/>
                <w:color w:val="auto"/>
              </w:rPr>
            </w:pPr>
            <w:r>
              <w:rPr>
                <w:rFonts w:ascii="Arial" w:cs="Arial" w:eastAsia="Arial" w:hAnsi="Arial"/>
                <w:sz w:val="18"/>
                <w:szCs w:val="18"/>
                <w:color w:val="auto"/>
              </w:rPr>
              <w:t>(3,468.5)</w:t>
            </w:r>
          </w:p>
        </w:tc>
        <w:tc>
          <w:tcPr>
            <w:tcW w:w="980" w:type="dxa"/>
            <w:vAlign w:val="bottom"/>
          </w:tcPr>
          <w:p>
            <w:pPr>
              <w:jc w:val="right"/>
              <w:spacing w:after="0"/>
              <w:rPr>
                <w:sz w:val="20"/>
                <w:szCs w:val="20"/>
                <w:color w:val="auto"/>
              </w:rPr>
            </w:pPr>
            <w:r>
              <w:rPr>
                <w:rFonts w:ascii="Arial" w:cs="Arial" w:eastAsia="Arial" w:hAnsi="Arial"/>
                <w:sz w:val="18"/>
                <w:szCs w:val="18"/>
                <w:color w:val="auto"/>
              </w:rPr>
              <w:t>(2,128.3)</w:t>
            </w:r>
          </w:p>
        </w:tc>
      </w:tr>
      <w:tr>
        <w:trPr>
          <w:trHeight w:val="268"/>
        </w:trPr>
        <w:tc>
          <w:tcPr>
            <w:tcW w:w="728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Cash provided by disposition of discontinued operations</w:t>
            </w:r>
          </w:p>
        </w:tc>
        <w:tc>
          <w:tcPr>
            <w:tcW w:w="80" w:type="dxa"/>
            <w:vAlign w:val="bottom"/>
            <w:tcBorders>
              <w:bottom w:val="single" w:sz="8" w:color="000041"/>
            </w:tcBorders>
          </w:tcPr>
          <w:p>
            <w:pPr>
              <w:spacing w:after="0"/>
              <w:rPr>
                <w:sz w:val="23"/>
                <w:szCs w:val="23"/>
                <w:color w:val="auto"/>
              </w:rPr>
            </w:pPr>
          </w:p>
        </w:tc>
        <w:tc>
          <w:tcPr>
            <w:tcW w:w="9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w:t>
            </w:r>
          </w:p>
        </w:tc>
      </w:tr>
      <w:tr>
        <w:trPr>
          <w:trHeight w:val="232"/>
        </w:trPr>
        <w:tc>
          <w:tcPr>
            <w:tcW w:w="7280" w:type="dxa"/>
            <w:vAlign w:val="bottom"/>
          </w:tcPr>
          <w:p>
            <w:pPr>
              <w:ind w:left="360"/>
              <w:spacing w:after="0"/>
              <w:rPr>
                <w:sz w:val="20"/>
                <w:szCs w:val="20"/>
                <w:color w:val="auto"/>
              </w:rPr>
            </w:pPr>
            <w:r>
              <w:rPr>
                <w:rFonts w:ascii="Arial" w:cs="Arial" w:eastAsia="Arial" w:hAnsi="Arial"/>
                <w:sz w:val="18"/>
                <w:szCs w:val="18"/>
                <w:color w:val="auto"/>
              </w:rPr>
              <w:t>Cash used in investing activities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(3,388.0)</w:t>
            </w:r>
          </w:p>
        </w:tc>
        <w:tc>
          <w:tcPr>
            <w:tcW w:w="1000" w:type="dxa"/>
            <w:vAlign w:val="bottom"/>
          </w:tcPr>
          <w:p>
            <w:pPr>
              <w:jc w:val="right"/>
              <w:spacing w:after="0"/>
              <w:rPr>
                <w:sz w:val="20"/>
                <w:szCs w:val="20"/>
                <w:color w:val="auto"/>
              </w:rPr>
            </w:pPr>
            <w:r>
              <w:rPr>
                <w:rFonts w:ascii="Arial" w:cs="Arial" w:eastAsia="Arial" w:hAnsi="Arial"/>
                <w:sz w:val="18"/>
                <w:szCs w:val="18"/>
                <w:color w:val="auto"/>
              </w:rPr>
              <w:t>(3,468.5)</w:t>
            </w:r>
          </w:p>
        </w:tc>
        <w:tc>
          <w:tcPr>
            <w:tcW w:w="980" w:type="dxa"/>
            <w:vAlign w:val="bottom"/>
          </w:tcPr>
          <w:p>
            <w:pPr>
              <w:jc w:val="right"/>
              <w:spacing w:after="0"/>
              <w:rPr>
                <w:sz w:val="20"/>
                <w:szCs w:val="20"/>
                <w:color w:val="auto"/>
              </w:rPr>
            </w:pPr>
            <w:r>
              <w:rPr>
                <w:rFonts w:ascii="Arial" w:cs="Arial" w:eastAsia="Arial" w:hAnsi="Arial"/>
                <w:sz w:val="18"/>
                <w:szCs w:val="18"/>
                <w:color w:val="auto"/>
              </w:rPr>
              <w:t>(2,126.3)</w:t>
            </w:r>
          </w:p>
        </w:tc>
      </w:tr>
      <w:tr>
        <w:trPr>
          <w:trHeight w:val="220"/>
        </w:trPr>
        <w:tc>
          <w:tcPr>
            <w:tcW w:w="7280" w:type="dxa"/>
            <w:vAlign w:val="bottom"/>
          </w:tcPr>
          <w:p>
            <w:pPr>
              <w:spacing w:after="0" w:line="219" w:lineRule="exact"/>
              <w:rPr>
                <w:sz w:val="20"/>
                <w:szCs w:val="20"/>
                <w:color w:val="auto"/>
              </w:rPr>
            </w:pPr>
            <w:r>
              <w:rPr>
                <w:rFonts w:ascii="Arial" w:cs="Arial" w:eastAsia="Arial" w:hAnsi="Arial"/>
                <w:sz w:val="18"/>
                <w:szCs w:val="18"/>
                <w:color w:val="auto"/>
              </w:rPr>
              <w:t>:ƃɰȃ</w:t>
            </w:r>
            <w:r>
              <w:rPr>
                <w:rFonts w:ascii="PMingLiU" w:cs="PMingLiU" w:eastAsia="PMingLiU" w:hAnsi="PMingLiU"/>
                <w:sz w:val="18"/>
                <w:szCs w:val="18"/>
                <w:color w:val="auto"/>
              </w:rPr>
              <w:t/>
            </w:r>
            <w:r>
              <w:rPr>
                <w:rFonts w:ascii="Arial" w:cs="Arial" w:eastAsia="Arial" w:hAnsi="Arial"/>
                <w:sz w:val="18"/>
                <w:szCs w:val="18"/>
                <w:color w:val="auto"/>
              </w:rPr>
              <w:t>ːɁʥɰ</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ʍɰǉǁ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ˎȶƃȶƺȈȶǼ</w:t>
            </w:r>
            <w:r>
              <w:rPr>
                <w:rFonts w:ascii="PMingLiU" w:cs="PMingLiU" w:eastAsia="PMingLiU" w:hAnsi="PMingLiU"/>
                <w:sz w:val="18"/>
                <w:szCs w:val="18"/>
                <w:color w:val="auto"/>
              </w:rPr>
              <w:t/>
            </w:r>
            <w:r>
              <w:rPr>
                <w:rFonts w:ascii="Arial" w:cs="Arial" w:eastAsia="Arial" w:hAnsi="Arial"/>
                <w:sz w:val="18"/>
                <w:szCs w:val="18"/>
                <w:color w:val="auto"/>
              </w:rPr>
              <w:t>ƃƺɽȈʤȈɽȈǉɰ</w:t>
            </w:r>
            <w:r>
              <w:rPr>
                <w:rFonts w:ascii="Arial" w:cs="Arial" w:eastAsia="Arial" w:hAnsi="Arial"/>
                <w:sz w:val="18"/>
                <w:szCs w:val="18"/>
                <w:color w:val="auto"/>
              </w:rPr>
              <w:t>Ӗ</w:t>
            </w:r>
          </w:p>
        </w:tc>
        <w:tc>
          <w:tcPr>
            <w:tcW w:w="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ԝ</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ԝ</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ԝ</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Proceeds from senior notes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Payments of senior notes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98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Borrowings (payments) under revolving line of credit, net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725.0</w:t>
            </w:r>
          </w:p>
        </w:tc>
        <w:tc>
          <w:tcPr>
            <w:tcW w:w="1000" w:type="dxa"/>
            <w:vAlign w:val="bottom"/>
          </w:tcPr>
          <w:p>
            <w:pPr>
              <w:jc w:val="right"/>
              <w:spacing w:after="0"/>
              <w:rPr>
                <w:sz w:val="20"/>
                <w:szCs w:val="20"/>
                <w:color w:val="auto"/>
              </w:rPr>
            </w:pPr>
            <w:r>
              <w:rPr>
                <w:rFonts w:ascii="Arial" w:cs="Arial" w:eastAsia="Arial" w:hAnsi="Arial"/>
                <w:sz w:val="18"/>
                <w:szCs w:val="18"/>
                <w:color w:val="auto"/>
              </w:rPr>
              <w:t>(235.0)</w:t>
            </w:r>
          </w:p>
        </w:tc>
        <w:tc>
          <w:tcPr>
            <w:tcW w:w="980" w:type="dxa"/>
            <w:vAlign w:val="bottom"/>
          </w:tcPr>
          <w:p>
            <w:pPr>
              <w:jc w:val="right"/>
              <w:spacing w:after="0"/>
              <w:rPr>
                <w:sz w:val="20"/>
                <w:szCs w:val="20"/>
                <w:color w:val="auto"/>
              </w:rPr>
            </w:pPr>
            <w:r>
              <w:rPr>
                <w:rFonts w:ascii="Arial" w:cs="Arial" w:eastAsia="Arial" w:hAnsi="Arial"/>
                <w:sz w:val="18"/>
                <w:szCs w:val="18"/>
                <w:color w:val="auto"/>
              </w:rPr>
              <w:t>360.0</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Cash dividends to stockholders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(355.0)</w:t>
            </w:r>
          </w:p>
        </w:tc>
        <w:tc>
          <w:tcPr>
            <w:tcW w:w="1000" w:type="dxa"/>
            <w:vAlign w:val="bottom"/>
          </w:tcPr>
          <w:p>
            <w:pPr>
              <w:jc w:val="right"/>
              <w:spacing w:after="0"/>
              <w:rPr>
                <w:sz w:val="20"/>
                <w:szCs w:val="20"/>
                <w:color w:val="auto"/>
              </w:rPr>
            </w:pPr>
            <w:r>
              <w:rPr>
                <w:rFonts w:ascii="Arial" w:cs="Arial" w:eastAsia="Arial" w:hAnsi="Arial"/>
                <w:sz w:val="18"/>
                <w:szCs w:val="18"/>
                <w:color w:val="auto"/>
              </w:rPr>
              <w:t>(321.9)</w:t>
            </w:r>
          </w:p>
        </w:tc>
        <w:tc>
          <w:tcPr>
            <w:tcW w:w="980" w:type="dxa"/>
            <w:vAlign w:val="bottom"/>
          </w:tcPr>
          <w:p>
            <w:pPr>
              <w:jc w:val="right"/>
              <w:spacing w:after="0"/>
              <w:rPr>
                <w:sz w:val="20"/>
                <w:szCs w:val="20"/>
                <w:color w:val="auto"/>
              </w:rPr>
            </w:pPr>
            <w:r>
              <w:rPr>
                <w:rFonts w:ascii="Arial" w:cs="Arial" w:eastAsia="Arial" w:hAnsi="Arial"/>
                <w:sz w:val="18"/>
                <w:szCs w:val="18"/>
                <w:color w:val="auto"/>
              </w:rPr>
              <w:t>(290.2)</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Treasury stock sales under employee stock purchase plan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0"/>
        </w:trPr>
        <w:tc>
          <w:tcPr>
            <w:tcW w:w="728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280" w:type="dxa"/>
            <w:vAlign w:val="bottom"/>
          </w:tcPr>
          <w:p>
            <w:pPr>
              <w:ind w:left="180"/>
              <w:spacing w:after="0"/>
              <w:rPr>
                <w:sz w:val="20"/>
                <w:szCs w:val="20"/>
                <w:color w:val="auto"/>
              </w:rPr>
            </w:pPr>
            <w:r>
              <w:rPr>
                <w:rFonts w:ascii="Arial" w:cs="Arial" w:eastAsia="Arial" w:hAnsi="Arial"/>
                <w:sz w:val="18"/>
                <w:szCs w:val="18"/>
                <w:color w:val="auto"/>
              </w:rPr>
              <w:t>Proceeds from stock-based compensation, net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1000" w:type="dxa"/>
            <w:vAlign w:val="bottom"/>
          </w:tcPr>
          <w:p>
            <w:pPr>
              <w:jc w:val="right"/>
              <w:spacing w:after="0"/>
              <w:rPr>
                <w:sz w:val="20"/>
                <w:szCs w:val="20"/>
                <w:color w:val="auto"/>
              </w:rPr>
            </w:pPr>
            <w:r>
              <w:rPr>
                <w:rFonts w:ascii="Arial" w:cs="Arial" w:eastAsia="Arial" w:hAnsi="Arial"/>
                <w:sz w:val="18"/>
                <w:szCs w:val="18"/>
                <w:color w:val="auto"/>
              </w:rPr>
              <w:t>88.6</w:t>
            </w:r>
          </w:p>
        </w:tc>
        <w:tc>
          <w:tcPr>
            <w:tcW w:w="98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68"/>
        </w:trPr>
        <w:tc>
          <w:tcPr>
            <w:tcW w:w="728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(38.2)</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43.9</w:t>
            </w:r>
          </w:p>
        </w:tc>
        <w:tc>
          <w:tcPr>
            <w:tcW w:w="9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7280" w:type="dxa"/>
            <w:vAlign w:val="bottom"/>
          </w:tcPr>
          <w:p>
            <w:pPr>
              <w:spacing w:after="0" w:line="219" w:lineRule="exact"/>
              <w:rPr>
                <w:sz w:val="20"/>
                <w:szCs w:val="20"/>
                <w:color w:val="auto"/>
              </w:rPr>
            </w:pPr>
            <w:r>
              <w:rPr>
                <w:rFonts w:ascii="PMingLiU" w:cs="PMingLiU" w:eastAsia="PMingLiU" w:hAnsi="PMingLiU"/>
                <w:sz w:val="18"/>
                <w:szCs w:val="18"/>
                <w:color w:val="auto"/>
              </w:rPr>
              <w:t>  </w:t>
            </w:r>
            <w:r>
              <w:rPr>
                <w:rFonts w:ascii="Arial" w:cs="Arial" w:eastAsia="Arial" w:hAnsi="Arial"/>
                <w:sz w:val="18"/>
                <w:szCs w:val="18"/>
                <w:color w:val="auto"/>
              </w:rPr>
              <w:t xml:space="preserve">  :ƃɰȃ</w:t>
            </w:r>
            <w:r>
              <w:rPr>
                <w:rFonts w:ascii="PMingLiU" w:cs="PMingLiU" w:eastAsia="PMingLiU" w:hAnsi="PMingLiU"/>
                <w:sz w:val="18"/>
                <w:szCs w:val="18"/>
                <w:color w:val="auto"/>
              </w:rPr>
              <w:t/>
            </w:r>
            <w:r>
              <w:rPr>
                <w:rFonts w:ascii="Arial" w:cs="Arial" w:eastAsia="Arial" w:hAnsi="Arial"/>
                <w:sz w:val="18"/>
                <w:szCs w:val="18"/>
                <w:color w:val="auto"/>
              </w:rPr>
              <w:t>ɥɨɁʤȈǁǉǁ</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ʍɰǉǁ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ˎȶƃȶƺȈȶǼ</w:t>
            </w:r>
            <w:r>
              <w:rPr>
                <w:rFonts w:ascii="PMingLiU" w:cs="PMingLiU" w:eastAsia="PMingLiU" w:hAnsi="PMingLiU"/>
                <w:sz w:val="18"/>
                <w:szCs w:val="18"/>
                <w:color w:val="auto"/>
              </w:rPr>
              <w:t/>
            </w:r>
            <w:r>
              <w:rPr>
                <w:rFonts w:ascii="Arial" w:cs="Arial" w:eastAsia="Arial" w:hAnsi="Arial"/>
                <w:sz w:val="18"/>
                <w:szCs w:val="18"/>
                <w:color w:val="auto"/>
              </w:rPr>
              <w:t>ƃƺɽȈʤȈɽȈǉɰ</w:t>
            </w:r>
            <w:r>
              <w:rPr>
                <w:rFonts w:ascii="PMingLiU" w:cs="PMingLiU" w:eastAsia="PMingLiU" w:hAnsi="PMingLiU"/>
                <w:sz w:val="18"/>
                <w:szCs w:val="18"/>
                <w:color w:val="auto"/>
              </w:rPr>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923.6</w:t>
            </w:r>
          </w:p>
        </w:tc>
        <w:tc>
          <w:tcPr>
            <w:tcW w:w="1000" w:type="dxa"/>
            <w:vAlign w:val="bottom"/>
          </w:tcPr>
          <w:p>
            <w:pPr>
              <w:jc w:val="right"/>
              <w:spacing w:after="0"/>
              <w:rPr>
                <w:sz w:val="20"/>
                <w:szCs w:val="20"/>
                <w:color w:val="auto"/>
              </w:rPr>
            </w:pPr>
            <w:r>
              <w:rPr>
                <w:rFonts w:ascii="Arial" w:cs="Arial" w:eastAsia="Arial" w:hAnsi="Arial"/>
                <w:sz w:val="18"/>
                <w:szCs w:val="18"/>
                <w:color w:val="auto"/>
              </w:rPr>
              <w:t>1,069.5</w:t>
            </w:r>
          </w:p>
        </w:tc>
        <w:tc>
          <w:tcPr>
            <w:tcW w:w="980" w:type="dxa"/>
            <w:vAlign w:val="bottom"/>
          </w:tcPr>
          <w:p>
            <w:pPr>
              <w:jc w:val="right"/>
              <w:spacing w:after="0"/>
              <w:rPr>
                <w:sz w:val="20"/>
                <w:szCs w:val="20"/>
                <w:color w:val="auto"/>
              </w:rPr>
            </w:pPr>
            <w:r>
              <w:rPr>
                <w:rFonts w:ascii="Arial" w:cs="Arial" w:eastAsia="Arial" w:hAnsi="Arial"/>
                <w:sz w:val="18"/>
                <w:szCs w:val="18"/>
                <w:color w:val="auto"/>
              </w:rPr>
              <w:t>(499.5)</w:t>
            </w:r>
          </w:p>
        </w:tc>
      </w:tr>
    </w:tbl>
    <w:p>
      <w:pPr>
        <w:spacing w:after="0" w:line="207"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(Continued)</w:t>
      </w:r>
    </w:p>
    <w:p>
      <w:pPr>
        <w:sectPr>
          <w:pgSz w:w="12240" w:h="15840" w:orient="portrait"/>
          <w:cols w:equalWidth="0" w:num="1">
            <w:col w:w="10320"/>
          </w:cols>
          <w:pgMar w:left="960" w:top="926"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39</w:t>
      </w:r>
    </w:p>
    <w:p>
      <w:pPr>
        <w:sectPr>
          <w:pgSz w:w="12240" w:h="15840" w:orient="portrait"/>
          <w:cols w:equalWidth="0" w:num="1">
            <w:col w:w="10320"/>
          </w:cols>
          <w:pgMar w:left="960" w:top="926" w:right="960" w:bottom="9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ROPER TECHNOLOGIES, INC.</w:t>
      </w:r>
    </w:p>
    <w:p>
      <w:pPr>
        <w:spacing w:after="0" w:line="44"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:ÝÇČÝ¸</w:t>
      </w:r>
      <w:r>
        <w:rPr>
          <w:rFonts w:ascii="PMingLiU" w:cs="PMingLiU" w:eastAsia="PMingLiU" w:hAnsi="PMingLiU"/>
          <w:sz w:val="20"/>
          <w:szCs w:val="20"/>
          <w:color w:val="000041"/>
        </w:rPr>
        <w:t></w:t>
      </w:r>
      <w:r>
        <w:rPr>
          <w:rFonts w:ascii="Arial" w:cs="Arial" w:eastAsia="Arial" w:hAnsi="Arial"/>
          <w:sz w:val="20"/>
          <w:szCs w:val="20"/>
          <w:color w:val="000041"/>
        </w:rPr>
        <w:t>A</w:t>
      </w:r>
      <w:r>
        <w:rPr>
          <w:rFonts w:ascii="PMingLiU" w:cs="PMingLiU" w:eastAsia="PMingLiU" w:hAnsi="PMingLiU"/>
          <w:sz w:val="20"/>
          <w:szCs w:val="20"/>
          <w:color w:val="000041"/>
        </w:rPr>
        <w:t/>
      </w:r>
      <w:r>
        <w:rPr>
          <w:rFonts w:ascii="Arial" w:cs="Arial" w:eastAsia="Arial" w:hAnsi="Arial"/>
          <w:sz w:val="20"/>
          <w:szCs w:val="20"/>
          <w:color w:val="000041"/>
        </w:rPr>
        <w:t>ěKA</w:t>
      </w:r>
      <w:r>
        <w:rPr>
          <w:rFonts w:ascii="PMingLiU" w:cs="PMingLiU" w:eastAsia="PMingLiU" w:hAnsi="PMingLiU"/>
          <w:sz w:val="20"/>
          <w:szCs w:val="20"/>
          <w:color w:val="000041"/>
        </w:rPr>
        <w:t/>
      </w:r>
      <w:r>
        <w:rPr>
          <w:rFonts w:ascii="Arial" w:cs="Arial" w:eastAsia="Arial" w:hAnsi="Arial"/>
          <w:sz w:val="20"/>
          <w:szCs w:val="20"/>
          <w:color w:val="000041"/>
        </w:rPr>
        <w:t>Čě</w:t>
      </w:r>
      <w:r>
        <w:rPr>
          <w:rFonts w:ascii="PMingLiU" w:cs="PMingLiU" w:eastAsia="PMingLiU" w:hAnsi="PMingLiU"/>
          <w:sz w:val="20"/>
          <w:szCs w:val="20"/>
          <w:color w:val="000041"/>
        </w:rPr>
        <w:t/>
      </w:r>
      <w:r>
        <w:rPr>
          <w:rFonts w:ascii="Arial" w:cs="Arial" w:eastAsia="Arial" w:hAnsi="Arial"/>
          <w:sz w:val="20"/>
          <w:szCs w:val="20"/>
          <w:color w:val="000041"/>
        </w:rPr>
        <w:t>ěKÃKÇěČ</w:t>
      </w:r>
      <w:r>
        <w:rPr>
          <w:rFonts w:ascii="PMingLiU" w:cs="PMingLiU" w:eastAsia="PMingLiU" w:hAnsi="PMingLiU"/>
          <w:sz w:val="20"/>
          <w:szCs w:val="20"/>
          <w:color w:val="000041"/>
        </w:rPr>
        <w:t/>
      </w:r>
      <w:r>
        <w:rPr>
          <w:rFonts w:ascii="Arial" w:cs="Arial" w:eastAsia="Arial" w:hAnsi="Arial"/>
          <w:sz w:val="20"/>
          <w:szCs w:val="20"/>
          <w:color w:val="000041"/>
        </w:rPr>
        <w:t>Ýy</w:t>
      </w:r>
      <w:r>
        <w:rPr>
          <w:rFonts w:ascii="PMingLiU" w:cs="PMingLiU" w:eastAsia="PMingLiU" w:hAnsi="PMingLiU"/>
          <w:sz w:val="20"/>
          <w:szCs w:val="20"/>
          <w:color w:val="000041"/>
        </w:rPr>
        <w:t/>
      </w:r>
      <w:r>
        <w:rPr>
          <w:rFonts w:ascii="Arial" w:cs="Arial" w:eastAsia="Arial" w:hAnsi="Arial"/>
          <w:sz w:val="20"/>
          <w:szCs w:val="20"/>
          <w:color w:val="000041"/>
        </w:rPr>
        <w:t>:</w:t>
      </w:r>
      <w:r>
        <w:rPr>
          <w:rFonts w:ascii="PMingLiU" w:cs="PMingLiU" w:eastAsia="PMingLiU" w:hAnsi="PMingLiU"/>
          <w:sz w:val="20"/>
          <w:szCs w:val="20"/>
          <w:color w:val="000041"/>
        </w:rPr>
        <w:t/>
      </w:r>
      <w:r>
        <w:rPr>
          <w:rFonts w:ascii="Arial" w:cs="Arial" w:eastAsia="Arial" w:hAnsi="Arial"/>
          <w:sz w:val="20"/>
          <w:szCs w:val="20"/>
          <w:color w:val="000041"/>
        </w:rPr>
        <w:t>Č</w:t>
      </w:r>
      <w:r>
        <w:rPr>
          <w:rFonts w:ascii="PMingLiU" w:cs="PMingLiU" w:eastAsia="PMingLiU" w:hAnsi="PMingLiU"/>
          <w:sz w:val="20"/>
          <w:szCs w:val="20"/>
          <w:color w:val="000041"/>
        </w:rPr>
        <w:t></w:t>
      </w:r>
      <w:r>
        <w:rPr>
          <w:rFonts w:ascii="Arial" w:cs="Arial" w:eastAsia="Arial" w:hAnsi="Arial"/>
          <w:sz w:val="20"/>
          <w:szCs w:val="20"/>
          <w:color w:val="000041"/>
        </w:rPr>
        <w:t>y¸ÝŚČ</w:t>
      </w:r>
      <w:r>
        <w:rPr>
          <w:rFonts w:ascii="Arial" w:cs="Arial" w:eastAsia="Arial" w:hAnsi="Arial"/>
          <w:sz w:val="20"/>
          <w:szCs w:val="20"/>
          <w:color w:val="000041"/>
        </w:rPr>
        <w:t>ӱ</w:t>
      </w:r>
      <w:r>
        <w:rPr>
          <w:rFonts w:ascii="Arial" w:cs="Arial" w:eastAsia="Arial" w:hAnsi="Arial"/>
          <w:sz w:val="20"/>
          <w:szCs w:val="20"/>
          <w:color w:val="000041"/>
        </w:rPr>
        <w:t>:ÝÇě</w:t>
      </w:r>
      <w:r>
        <w:rPr>
          <w:rFonts w:ascii="PMingLiU" w:cs="PMingLiU" w:eastAsia="PMingLiU" w:hAnsi="PMingLiU"/>
          <w:sz w:val="20"/>
          <w:szCs w:val="20"/>
          <w:color w:val="000041"/>
        </w:rPr>
        <w:t></w:t>
      </w:r>
      <w:r>
        <w:rPr>
          <w:rFonts w:ascii="Arial" w:cs="Arial" w:eastAsia="Arial" w:hAnsi="Arial"/>
          <w:sz w:val="20"/>
          <w:szCs w:val="20"/>
          <w:color w:val="000041"/>
        </w:rPr>
        <w:t>ÇĩKA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360" w:type="dxa"/>
            <w:vAlign w:val="bottom"/>
          </w:tcPr>
          <w:p>
            <w:pPr>
              <w:spacing w:after="0"/>
              <w:rPr>
                <w:sz w:val="20"/>
                <w:szCs w:val="20"/>
                <w:color w:val="auto"/>
              </w:rPr>
            </w:pPr>
            <w:r>
              <w:rPr>
                <w:rFonts w:ascii="Arial" w:cs="Arial" w:eastAsia="Arial" w:hAnsi="Arial"/>
                <w:sz w:val="18"/>
                <w:szCs w:val="18"/>
                <w:color w:val="auto"/>
              </w:rPr>
              <w:t>(Amounts in millions)</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90"/>
        </w:trPr>
        <w:tc>
          <w:tcPr>
            <w:tcW w:w="7360" w:type="dxa"/>
            <w:vAlign w:val="bottom"/>
          </w:tcPr>
          <w:p>
            <w:pPr>
              <w:spacing w:after="0"/>
              <w:rPr>
                <w:sz w:val="24"/>
                <w:szCs w:val="24"/>
                <w:color w:val="auto"/>
              </w:rPr>
            </w:pPr>
          </w:p>
        </w:tc>
        <w:tc>
          <w:tcPr>
            <w:tcW w:w="320" w:type="dxa"/>
            <w:vAlign w:val="bottom"/>
            <w:tcBorders>
              <w:bottom w:val="single" w:sz="8" w:color="000041"/>
            </w:tcBorders>
          </w:tcPr>
          <w:p>
            <w:pPr>
              <w:spacing w:after="0"/>
              <w:rPr>
                <w:sz w:val="24"/>
                <w:szCs w:val="24"/>
                <w:color w:val="auto"/>
              </w:rPr>
            </w:pPr>
          </w:p>
        </w:tc>
        <w:tc>
          <w:tcPr>
            <w:tcW w:w="2640" w:type="dxa"/>
            <w:vAlign w:val="bottom"/>
            <w:tcBorders>
              <w:bottom w:val="single" w:sz="8" w:color="000041"/>
            </w:tcBorders>
            <w:gridSpan w:val="5"/>
          </w:tcPr>
          <w:p>
            <w:pPr>
              <w:jc w:val="right"/>
              <w:ind w:right="290"/>
              <w:spacing w:after="0"/>
              <w:rPr>
                <w:sz w:val="20"/>
                <w:szCs w:val="20"/>
                <w:color w:val="auto"/>
              </w:rPr>
            </w:pPr>
            <w:r>
              <w:rPr>
                <w:rFonts w:ascii="Arial" w:cs="Arial" w:eastAsia="Arial" w:hAnsi="Arial"/>
                <w:sz w:val="18"/>
                <w:szCs w:val="18"/>
                <w:color w:val="auto"/>
              </w:rPr>
              <w:t>Year ended December 31,</w:t>
            </w:r>
          </w:p>
        </w:tc>
      </w:tr>
      <w:tr>
        <w:trPr>
          <w:trHeight w:val="265"/>
        </w:trPr>
        <w:tc>
          <w:tcPr>
            <w:tcW w:w="7360" w:type="dxa"/>
            <w:vAlign w:val="bottom"/>
            <w:tcBorders>
              <w:bottom w:val="single" w:sz="8" w:color="000041"/>
            </w:tcBorders>
          </w:tcPr>
          <w:p>
            <w:pPr>
              <w:spacing w:after="0"/>
              <w:rPr>
                <w:sz w:val="23"/>
                <w:szCs w:val="23"/>
                <w:color w:val="auto"/>
              </w:rPr>
            </w:pPr>
          </w:p>
        </w:tc>
        <w:tc>
          <w:tcPr>
            <w:tcW w:w="320" w:type="dxa"/>
            <w:vAlign w:val="bottom"/>
            <w:tcBorders>
              <w:bottom w:val="single" w:sz="8" w:color="000041"/>
            </w:tcBorders>
          </w:tcPr>
          <w:p>
            <w:pPr>
              <w:spacing w:after="0"/>
              <w:rPr>
                <w:sz w:val="23"/>
                <w:szCs w:val="23"/>
                <w:color w:val="auto"/>
              </w:rPr>
            </w:pPr>
          </w:p>
        </w:tc>
        <w:tc>
          <w:tcPr>
            <w:tcW w:w="74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2025</w:t>
            </w:r>
          </w:p>
        </w:tc>
        <w:tc>
          <w:tcPr>
            <w:tcW w:w="300" w:type="dxa"/>
            <w:vAlign w:val="bottom"/>
            <w:tcBorders>
              <w:bottom w:val="single" w:sz="8" w:color="000041"/>
            </w:tcBorders>
          </w:tcPr>
          <w:p>
            <w:pPr>
              <w:spacing w:after="0"/>
              <w:rPr>
                <w:sz w:val="23"/>
                <w:szCs w:val="23"/>
                <w:color w:val="auto"/>
              </w:rPr>
            </w:pPr>
          </w:p>
        </w:tc>
        <w:tc>
          <w:tcPr>
            <w:tcW w:w="7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2023</w:t>
            </w:r>
          </w:p>
        </w:tc>
      </w:tr>
      <w:tr>
        <w:trPr>
          <w:trHeight w:val="232"/>
        </w:trPr>
        <w:tc>
          <w:tcPr>
            <w:tcW w:w="73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0"/>
        </w:trPr>
        <w:tc>
          <w:tcPr>
            <w:tcW w:w="73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109.2</w:t>
            </w:r>
          </w:p>
        </w:tc>
        <w:tc>
          <w:tcPr>
            <w:tcW w:w="3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(578.5)</w:t>
            </w:r>
          </w:p>
        </w:tc>
      </w:tr>
      <w:tr>
        <w:trPr>
          <w:trHeight w:val="268"/>
        </w:trPr>
        <w:tc>
          <w:tcPr>
            <w:tcW w:w="73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000041"/>
            </w:tcBorders>
          </w:tcPr>
          <w:p>
            <w:pPr>
              <w:spacing w:after="0"/>
              <w:rPr>
                <w:sz w:val="23"/>
                <w:szCs w:val="23"/>
                <w:color w:val="auto"/>
              </w:rPr>
            </w:pPr>
          </w:p>
        </w:tc>
        <w:tc>
          <w:tcPr>
            <w:tcW w:w="74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188.2</w:t>
            </w:r>
          </w:p>
        </w:tc>
        <w:tc>
          <w:tcPr>
            <w:tcW w:w="300" w:type="dxa"/>
            <w:vAlign w:val="bottom"/>
            <w:tcBorders>
              <w:bottom w:val="single" w:sz="8" w:color="000041"/>
            </w:tcBorders>
          </w:tcPr>
          <w:p>
            <w:pPr>
              <w:spacing w:after="0"/>
              <w:rPr>
                <w:sz w:val="23"/>
                <w:szCs w:val="23"/>
                <w:color w:val="auto"/>
              </w:rPr>
            </w:pPr>
          </w:p>
        </w:tc>
        <w:tc>
          <w:tcPr>
            <w:tcW w:w="7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214.3</w:t>
            </w:r>
          </w:p>
        </w:tc>
        <w:tc>
          <w:tcPr>
            <w:tcW w:w="28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792.8</w:t>
            </w:r>
          </w:p>
        </w:tc>
      </w:tr>
      <w:tr>
        <w:trPr>
          <w:trHeight w:val="281"/>
        </w:trPr>
        <w:tc>
          <w:tcPr>
            <w:tcW w:w="73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297.4</w:t>
            </w:r>
          </w:p>
        </w:tc>
        <w:tc>
          <w:tcPr>
            <w:tcW w:w="3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188.2</w:t>
            </w:r>
          </w:p>
        </w:tc>
        <w:tc>
          <w:tcPr>
            <w:tcW w:w="2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214.3</w:t>
            </w:r>
          </w:p>
        </w:tc>
      </w:tr>
      <w:tr>
        <w:trPr>
          <w:trHeight w:val="232"/>
        </w:trPr>
        <w:tc>
          <w:tcPr>
            <w:tcW w:w="7360" w:type="dxa"/>
            <w:vAlign w:val="bottom"/>
          </w:tcPr>
          <w:p>
            <w:pPr>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21"/>
        </w:trPr>
        <w:tc>
          <w:tcPr>
            <w:tcW w:w="73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306.6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239.9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201.9</w:t>
            </w:r>
          </w:p>
        </w:tc>
      </w:tr>
    </w:tbl>
    <w:p>
      <w:pPr>
        <w:ind w:left="180" w:hanging="180"/>
        <w:spacing w:after="0" w:line="219" w:lineRule="exact"/>
        <w:tabs>
          <w:tab w:leader="none" w:pos="180" w:val="left"/>
        </w:tabs>
        <w:numPr>
          <w:ilvl w:val="0"/>
          <w:numId w:val="12"/>
        </w:numPr>
        <w:rPr>
          <w:rFonts w:ascii="PMingLiU" w:cs="PMingLiU" w:eastAsia="PMingLiU" w:hAnsi="PMingLiU"/>
          <w:sz w:val="18"/>
          <w:szCs w:val="18"/>
          <w:color w:val="auto"/>
        </w:rPr>
      </w:pPr>
      <w:r>
        <w:rPr>
          <w:rFonts w:ascii="Arial" w:cs="Arial" w:eastAsia="Arial" w:hAnsi="Arial"/>
          <w:sz w:val="18"/>
          <w:szCs w:val="18"/>
          <w:color w:val="auto"/>
        </w:rPr>
        <w:t>ÇɁȶ</w:t>
      </w:r>
      <w:r>
        <w:rPr>
          <w:rFonts w:ascii="Arial" w:cs="Arial" w:eastAsia="Arial" w:hAnsi="Arial"/>
          <w:sz w:val="18"/>
          <w:szCs w:val="18"/>
          <w:color w:val="auto"/>
        </w:rPr>
        <w:t>Ӹ</w:t>
      </w:r>
      <w:r>
        <w:rPr>
          <w:rFonts w:ascii="Arial" w:cs="Arial" w:eastAsia="Arial" w:hAnsi="Arial"/>
          <w:sz w:val="18"/>
          <w:szCs w:val="18"/>
          <w:color w:val="auto"/>
        </w:rPr>
        <w:t>ƺƃɰȃ</w:t>
      </w:r>
      <w:r>
        <w:rPr>
          <w:rFonts w:ascii="PMingLiU" w:cs="PMingLiU" w:eastAsia="PMingLiU" w:hAnsi="PMingLiU"/>
          <w:sz w:val="18"/>
          <w:szCs w:val="18"/>
          <w:color w:val="auto"/>
        </w:rPr>
        <w:t/>
      </w:r>
      <w:r>
        <w:rPr>
          <w:rFonts w:ascii="Arial" w:cs="Arial" w:eastAsia="Arial" w:hAnsi="Arial"/>
          <w:sz w:val="18"/>
          <w:szCs w:val="18"/>
          <w:color w:val="auto"/>
        </w:rPr>
        <w:t>ȈȶʤǉɰɽȈȶǼ</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ˎȶƃȶƺȈȶǼ</w:t>
      </w:r>
      <w:r>
        <w:rPr>
          <w:rFonts w:ascii="PMingLiU" w:cs="PMingLiU" w:eastAsia="PMingLiU" w:hAnsi="PMingLiU"/>
          <w:sz w:val="18"/>
          <w:szCs w:val="18"/>
          <w:color w:val="auto"/>
        </w:rPr>
        <w:t/>
      </w:r>
      <w:r>
        <w:rPr>
          <w:rFonts w:ascii="Arial" w:cs="Arial" w:eastAsia="Arial" w:hAnsi="Arial"/>
          <w:sz w:val="18"/>
          <w:szCs w:val="18"/>
          <w:color w:val="auto"/>
        </w:rPr>
        <w:t>ƃƺɽȈʤȈɽȈǉɰ</w:t>
      </w:r>
      <w:r>
        <w:rPr>
          <w:rFonts w:ascii="Arial" w:cs="Arial" w:eastAsia="Arial" w:hAnsi="Arial"/>
          <w:sz w:val="18"/>
          <w:szCs w:val="18"/>
          <w:color w:val="auto"/>
        </w:rPr>
        <w:t>Ӗ</w:t>
      </w:r>
    </w:p>
    <w:tbl>
      <w:tblPr>
        <w:tblLayout w:type="fixed"/>
        <w:tblInd w:w="0" w:type="dxa"/>
        <w:tblCellMar>
          <w:top w:w="0" w:type="dxa"/>
          <w:left w:w="0" w:type="dxa"/>
          <w:bottom w:w="0" w:type="dxa"/>
          <w:right w:w="0" w:type="dxa"/>
        </w:tblCellMar>
      </w:tblPr>
      <w:tr>
        <w:trPr>
          <w:trHeight w:val="199"/>
        </w:trPr>
        <w:tc>
          <w:tcPr>
            <w:tcW w:w="6820" w:type="dxa"/>
            <w:vAlign w:val="bottom"/>
          </w:tcPr>
          <w:p>
            <w:pPr>
              <w:ind w:left="360"/>
              <w:spacing w:after="0" w:line="199" w:lineRule="exact"/>
              <w:rPr>
                <w:sz w:val="20"/>
                <w:szCs w:val="20"/>
                <w:color w:val="auto"/>
              </w:rPr>
            </w:pPr>
            <w:r>
              <w:rPr>
                <w:rFonts w:ascii="Arial" w:cs="Arial" w:eastAsia="Arial" w:hAnsi="Arial"/>
                <w:sz w:val="18"/>
                <w:szCs w:val="18"/>
                <w:color w:val="auto"/>
              </w:rPr>
              <w:t>Equity consideration for business acquisition</w:t>
            </w:r>
          </w:p>
        </w:tc>
        <w:tc>
          <w:tcPr>
            <w:tcW w:w="8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line="199" w:lineRule="exact"/>
              <w:rPr>
                <w:sz w:val="20"/>
                <w:szCs w:val="20"/>
                <w:color w:val="auto"/>
              </w:rPr>
            </w:pPr>
            <w:r>
              <w:rPr>
                <w:rFonts w:ascii="Arial" w:cs="Arial" w:eastAsia="Arial" w:hAnsi="Arial"/>
                <w:sz w:val="18"/>
                <w:szCs w:val="18"/>
                <w:color w:val="auto"/>
              </w:rPr>
              <w:t>7.3</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line="199"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r>
      <w:tr>
        <w:trPr>
          <w:trHeight w:val="219"/>
        </w:trPr>
        <w:tc>
          <w:tcPr>
            <w:tcW w:w="6820" w:type="dxa"/>
            <w:vAlign w:val="bottom"/>
          </w:tcPr>
          <w:p>
            <w:pPr>
              <w:ind w:left="360"/>
              <w:spacing w:after="0"/>
              <w:rPr>
                <w:sz w:val="20"/>
                <w:szCs w:val="20"/>
                <w:color w:val="auto"/>
              </w:rPr>
            </w:pPr>
            <w:r>
              <w:rPr>
                <w:rFonts w:ascii="Arial" w:cs="Arial" w:eastAsia="Arial" w:hAnsi="Arial"/>
                <w:sz w:val="18"/>
                <w:szCs w:val="18"/>
                <w:color w:val="auto"/>
              </w:rPr>
              <w:t>Net assets of businesses acquired:</w:t>
            </w: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1"/>
        </w:trPr>
        <w:tc>
          <w:tcPr>
            <w:tcW w:w="6820" w:type="dxa"/>
            <w:vAlign w:val="bottom"/>
          </w:tcPr>
          <w:p>
            <w:pPr>
              <w:ind w:left="540"/>
              <w:spacing w:after="0"/>
              <w:rPr>
                <w:sz w:val="20"/>
                <w:szCs w:val="20"/>
                <w:color w:val="auto"/>
              </w:rPr>
            </w:pPr>
            <w:r>
              <w:rPr>
                <w:rFonts w:ascii="Arial" w:cs="Arial" w:eastAsia="Arial" w:hAnsi="Arial"/>
                <w:sz w:val="18"/>
                <w:szCs w:val="18"/>
                <w:color w:val="auto"/>
              </w:rPr>
              <w:t>Fair value of assets, including goodwill</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$3,559.4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9"/>
              </w:rPr>
              <w:t>3,935.4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2,235.1</w:t>
            </w:r>
          </w:p>
        </w:tc>
      </w:tr>
      <w:tr>
        <w:trPr>
          <w:trHeight w:val="290"/>
        </w:trPr>
        <w:tc>
          <w:tcPr>
            <w:tcW w:w="6820" w:type="dxa"/>
            <w:vAlign w:val="bottom"/>
            <w:tcBorders>
              <w:bottom w:val="single" w:sz="8" w:color="000041"/>
            </w:tcBorders>
          </w:tcPr>
          <w:p>
            <w:pPr>
              <w:ind w:left="540"/>
              <w:spacing w:after="0"/>
              <w:rPr>
                <w:sz w:val="20"/>
                <w:szCs w:val="20"/>
                <w:color w:val="auto"/>
              </w:rPr>
            </w:pPr>
            <w:r>
              <w:rPr>
                <w:rFonts w:ascii="Arial" w:cs="Arial" w:eastAsia="Arial" w:hAnsi="Arial"/>
                <w:sz w:val="18"/>
                <w:szCs w:val="18"/>
                <w:color w:val="auto"/>
              </w:rPr>
              <w:t>Liabilities assumed</w:t>
            </w:r>
          </w:p>
        </w:tc>
        <w:tc>
          <w:tcPr>
            <w:tcW w:w="860" w:type="dxa"/>
            <w:vAlign w:val="bottom"/>
            <w:tcBorders>
              <w:bottom w:val="single" w:sz="8" w:color="000041"/>
            </w:tcBorders>
          </w:tcPr>
          <w:p>
            <w:pPr>
              <w:spacing w:after="0"/>
              <w:rPr>
                <w:sz w:val="24"/>
                <w:szCs w:val="24"/>
                <w:color w:val="auto"/>
              </w:rPr>
            </w:pPr>
          </w:p>
        </w:tc>
        <w:tc>
          <w:tcPr>
            <w:tcW w:w="76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(262.1)</w:t>
            </w:r>
          </w:p>
        </w:tc>
        <w:tc>
          <w:tcPr>
            <w:tcW w:w="220" w:type="dxa"/>
            <w:vAlign w:val="bottom"/>
            <w:tcBorders>
              <w:bottom w:val="single" w:sz="8" w:color="000041"/>
            </w:tcBorders>
          </w:tcPr>
          <w:p>
            <w:pPr>
              <w:spacing w:after="0"/>
              <w:rPr>
                <w:sz w:val="24"/>
                <w:szCs w:val="24"/>
                <w:color w:val="auto"/>
              </w:rPr>
            </w:pPr>
          </w:p>
        </w:tc>
        <w:tc>
          <w:tcPr>
            <w:tcW w:w="76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(322.5)</w:t>
            </w:r>
          </w:p>
        </w:tc>
        <w:tc>
          <w:tcPr>
            <w:tcW w:w="260" w:type="dxa"/>
            <w:vAlign w:val="bottom"/>
            <w:tcBorders>
              <w:bottom w:val="single" w:sz="8" w:color="000041"/>
            </w:tcBorders>
          </w:tcPr>
          <w:p>
            <w:pPr>
              <w:spacing w:after="0"/>
              <w:rPr>
                <w:sz w:val="24"/>
                <w:szCs w:val="24"/>
                <w:color w:val="auto"/>
              </w:rPr>
            </w:pPr>
          </w:p>
        </w:tc>
        <w:tc>
          <w:tcPr>
            <w:tcW w:w="6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(182.4)</w:t>
            </w:r>
          </w:p>
        </w:tc>
      </w:tr>
      <w:tr>
        <w:trPr>
          <w:trHeight w:val="281"/>
        </w:trPr>
        <w:tc>
          <w:tcPr>
            <w:tcW w:w="6820" w:type="dxa"/>
            <w:vAlign w:val="bottom"/>
            <w:tcBorders>
              <w:bottom w:val="single" w:sz="8" w:color="000041"/>
            </w:tcBorders>
          </w:tcPr>
          <w:p>
            <w:pPr>
              <w:ind w:left="540"/>
              <w:spacing w:after="0"/>
              <w:rPr>
                <w:sz w:val="20"/>
                <w:szCs w:val="20"/>
                <w:color w:val="auto"/>
              </w:rPr>
            </w:pPr>
            <w:r>
              <w:rPr>
                <w:rFonts w:ascii="Arial" w:cs="Arial" w:eastAsia="Arial" w:hAnsi="Arial"/>
                <w:sz w:val="18"/>
                <w:szCs w:val="18"/>
                <w:color w:val="auto"/>
              </w:rPr>
              <w:t>Cash and equity consideration transferred, net of cash acquired</w:t>
            </w:r>
          </w:p>
        </w:tc>
        <w:tc>
          <w:tcPr>
            <w:tcW w:w="8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w w:val="96"/>
              </w:rPr>
              <w:t>3,297.3</w:t>
            </w:r>
          </w:p>
        </w:tc>
        <w:tc>
          <w:tcPr>
            <w:tcW w:w="2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w w:val="99"/>
              </w:rPr>
              <w:t>3,612.9</w:t>
            </w:r>
          </w:p>
        </w:tc>
        <w:tc>
          <w:tcPr>
            <w:tcW w:w="90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$2,052.7</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2240" w:h="15840" w:orient="portrait"/>
          <w:cols w:equalWidth="0" w:num="1">
            <w:col w:w="10320"/>
          </w:cols>
          <w:pgMar w:left="960" w:top="926"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40</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20"/>
          </w:cols>
          <w:pgMar w:left="960" w:top="926" w:right="960" w:bottom="9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ROPER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000041"/>
        </w:rPr>
        <w:t>NOTES TO CONSOLIDATED FINANCIAL STATEMENTS</w:t>
      </w:r>
    </w:p>
    <w:p>
      <w:pPr>
        <w:spacing w:after="0" w:line="95"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ťǉƃɨɰ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(Amounts are in millions unless specified, except per share data)</w:t>
      </w:r>
    </w:p>
    <w:p>
      <w:pPr>
        <w:spacing w:after="0" w:line="244"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ӭіӮ</w:t>
      </w:r>
      <w:r>
        <w:rPr>
          <w:rFonts w:ascii="PMingLiU" w:cs="PMingLiU" w:eastAsia="PMingLiU" w:hAnsi="PMingLiU"/>
          <w:sz w:val="20"/>
          <w:szCs w:val="20"/>
          <w:color w:val="000041"/>
        </w:rPr>
        <w:t/>
      </w:r>
      <w:r>
        <w:rPr>
          <w:rFonts w:ascii="Arial" w:cs="Arial" w:eastAsia="Arial" w:hAnsi="Arial"/>
          <w:sz w:val="20"/>
          <w:szCs w:val="20"/>
          <w:color w:val="000041"/>
        </w:rPr>
        <w:t>ČĩÃÃ</w:t>
      </w:r>
      <w:r>
        <w:rPr>
          <w:rFonts w:ascii="PMingLiU" w:cs="PMingLiU" w:eastAsia="PMingLiU" w:hAnsi="PMingLiU"/>
          <w:sz w:val="20"/>
          <w:szCs w:val="20"/>
          <w:color w:val="000041"/>
        </w:rPr>
        <w:t/>
      </w:r>
      <w:r>
        <w:rPr>
          <w:rFonts w:ascii="Arial" w:cs="Arial" w:eastAsia="Arial" w:hAnsi="Arial"/>
          <w:sz w:val="20"/>
          <w:szCs w:val="20"/>
          <w:color w:val="000041"/>
        </w:rPr>
        <w:t>Ąť</w:t>
      </w:r>
      <w:r>
        <w:rPr>
          <w:rFonts w:ascii="PMingLiU" w:cs="PMingLiU" w:eastAsia="PMingLiU" w:hAnsi="PMingLiU"/>
          <w:sz w:val="20"/>
          <w:szCs w:val="20"/>
          <w:color w:val="000041"/>
        </w:rPr>
        <w:t/>
      </w:r>
      <w:r>
        <w:rPr>
          <w:rFonts w:ascii="Arial" w:cs="Arial" w:eastAsia="Arial" w:hAnsi="Arial"/>
          <w:sz w:val="20"/>
          <w:szCs w:val="20"/>
          <w:color w:val="000041"/>
        </w:rPr>
        <w:t>Ýy</w:t>
      </w:r>
      <w:r>
        <w:rPr>
          <w:rFonts w:ascii="PMingLiU" w:cs="PMingLiU" w:eastAsia="PMingLiU" w:hAnsi="PMingLiU"/>
          <w:sz w:val="20"/>
          <w:szCs w:val="20"/>
          <w:color w:val="000041"/>
        </w:rPr>
        <w:t/>
      </w:r>
      <w:r>
        <w:rPr>
          <w:rFonts w:ascii="Arial" w:cs="Arial" w:eastAsia="Arial" w:hAnsi="Arial"/>
          <w:sz w:val="20"/>
          <w:szCs w:val="20"/>
          <w:color w:val="000041"/>
        </w:rPr>
        <w:t>::ÝĩÇě</w:t>
      </w:r>
      <w:r>
        <w:rPr>
          <w:rFonts w:ascii="PMingLiU" w:cs="PMingLiU" w:eastAsia="PMingLiU" w:hAnsi="PMingLiU"/>
          <w:sz w:val="20"/>
          <w:szCs w:val="20"/>
          <w:color w:val="000041"/>
        </w:rPr>
        <w:t></w:t>
      </w:r>
      <w:r>
        <w:rPr>
          <w:rFonts w:ascii="Arial" w:cs="Arial" w:eastAsia="Arial" w:hAnsi="Arial"/>
          <w:sz w:val="20"/>
          <w:szCs w:val="20"/>
          <w:color w:val="000041"/>
        </w:rPr>
        <w:t>Ç{</w:t>
      </w:r>
      <w:r>
        <w:rPr>
          <w:rFonts w:ascii="PMingLiU" w:cs="PMingLiU" w:eastAsia="PMingLiU" w:hAnsi="PMingLiU"/>
          <w:sz w:val="20"/>
          <w:szCs w:val="20"/>
          <w:color w:val="000041"/>
        </w:rPr>
        <w:t/>
      </w:r>
      <w:r>
        <w:rPr>
          <w:rFonts w:ascii="Arial" w:cs="Arial" w:eastAsia="Arial" w:hAnsi="Arial"/>
          <w:sz w:val="20"/>
          <w:szCs w:val="20"/>
          <w:color w:val="000041"/>
        </w:rPr>
        <w:t>ĀÝ¸</w:t>
      </w:r>
      <w:r>
        <w:rPr>
          <w:rFonts w:ascii="PMingLiU" w:cs="PMingLiU" w:eastAsia="PMingLiU" w:hAnsi="PMingLiU"/>
          <w:sz w:val="20"/>
          <w:szCs w:val="20"/>
          <w:color w:val="000041"/>
        </w:rPr>
        <w:t></w:t>
      </w:r>
      <w:r>
        <w:rPr>
          <w:rFonts w:ascii="Arial" w:cs="Arial" w:eastAsia="Arial" w:hAnsi="Arial"/>
          <w:sz w:val="20"/>
          <w:szCs w:val="20"/>
          <w:color w:val="000041"/>
        </w:rPr>
        <w:t>:</w:t>
      </w:r>
      <w:r>
        <w:rPr>
          <w:rFonts w:ascii="PMingLiU" w:cs="PMingLiU" w:eastAsia="PMingLiU" w:hAnsi="PMingLiU"/>
          <w:sz w:val="20"/>
          <w:szCs w:val="20"/>
          <w:color w:val="000041"/>
        </w:rPr>
        <w:t></w:t>
      </w:r>
      <w:r>
        <w:rPr>
          <w:rFonts w:ascii="Arial" w:cs="Arial" w:eastAsia="Arial" w:hAnsi="Arial"/>
          <w:sz w:val="20"/>
          <w:szCs w:val="20"/>
          <w:color w:val="000041"/>
        </w:rPr>
        <w:t>KČ</w:t>
      </w:r>
    </w:p>
    <w:p>
      <w:pPr>
        <w:spacing w:after="0" w:line="111" w:lineRule="exact"/>
        <w:rPr>
          <w:sz w:val="20"/>
          <w:szCs w:val="20"/>
          <w:color w:val="auto"/>
        </w:rPr>
      </w:pPr>
    </w:p>
    <w:p>
      <w:pPr>
        <w:jc w:val="both"/>
        <w:ind w:right="60"/>
        <w:spacing w:after="0" w:line="283" w:lineRule="auto"/>
        <w:rPr>
          <w:sz w:val="20"/>
          <w:szCs w:val="20"/>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—These financial statements present the consolidated information of Roper Technologies, Inc.</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subsidiaries (“Roper,” the “Company,” “we,” “our,” or “us”). All significant intercompany accounts and transactions have been eliminated. Certain prior period amounts have been reclassified to conform to current period presentation.</w:t>
      </w:r>
    </w:p>
    <w:p>
      <w:pPr>
        <w:spacing w:after="0" w:line="258" w:lineRule="exact"/>
        <w:rPr>
          <w:sz w:val="20"/>
          <w:szCs w:val="20"/>
          <w:color w:val="auto"/>
        </w:rPr>
      </w:pPr>
    </w:p>
    <w:p>
      <w:pPr>
        <w:jc w:val="both"/>
        <w:ind w:right="60"/>
        <w:spacing w:after="0" w:line="307" w:lineRule="auto"/>
        <w:rPr>
          <w:sz w:val="20"/>
          <w:szCs w:val="20"/>
          <w:color w:val="auto"/>
        </w:rPr>
      </w:pPr>
      <w:r>
        <w:rPr>
          <w:rFonts w:ascii="Arial" w:cs="Arial" w:eastAsia="Arial" w:hAnsi="Arial"/>
          <w:sz w:val="18"/>
          <w:szCs w:val="18"/>
          <w:i w:val="1"/>
          <w:iCs w:val="1"/>
          <w:color w:val="auto"/>
        </w:rPr>
        <w:t>Nature of the Business</w:t>
      </w:r>
      <w:r>
        <w:rPr>
          <w:rFonts w:ascii="Arial" w:cs="Arial" w:eastAsia="Arial" w:hAnsi="Arial"/>
          <w:sz w:val="18"/>
          <w:szCs w:val="18"/>
          <w:color w:val="auto"/>
        </w:rPr>
        <w:t>—Roper is a diversified technology company. The Company operates market leading busi-nesses that design and develop vertical software and technology enabled products for a variety of defensible niche markets.</w:t>
      </w:r>
    </w:p>
    <w:p>
      <w:pPr>
        <w:spacing w:after="0" w:line="24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—In November 2022, the Company completed the divestiture of a majority equity stake in</w:t>
      </w:r>
      <w:r>
        <w:rPr>
          <w:rFonts w:ascii="Arial" w:cs="Arial" w:eastAsia="Arial" w:hAnsi="Arial"/>
          <w:sz w:val="18"/>
          <w:szCs w:val="18"/>
          <w:i w:val="1"/>
          <w:iCs w:val="1"/>
          <w:color w:val="auto"/>
        </w:rPr>
        <w:t xml:space="preserve"> </w:t>
      </w:r>
      <w:r>
        <w:rPr>
          <w:rFonts w:ascii="Arial" w:cs="Arial" w:eastAsia="Arial" w:hAnsi="Arial"/>
          <w:sz w:val="18"/>
          <w:szCs w:val="18"/>
          <w:color w:val="auto"/>
        </w:rPr>
        <w:t>its industrial businesses, including its entire historical Process Technologies reportable segment and the industrial businesses within its historical Measurement &amp; Analytical Solutions reportable segment, to Clayton, Dubilier &amp; Rice, LLC (“CD&amp;R”). The businesses included in this transaction were Alpha, AMOT, CCC, Cornell, Dynisco, FTI, Hansen, Hardy, Logitech, Metrix, PAC, Roper Pump, Struers, Technolog, Uson, and Viatran (collectively “Indicor”). Following the sale of the majority stake, the Company retained a minority equity interest in Indicor. This transaction is referred to herein as the “Indicor Transaction.” The Company concluded that the Indicor Transaction represented a strategic shift that had a major effect on the Company’s operations and financial results. Accordingly, the financial results of Indicor are reported as discontinued operations for all periods presented. Unless otherwise noted, discussion within these Notes to Consolidated Financial Statements relates to continuing operations.</w:t>
      </w:r>
    </w:p>
    <w:p>
      <w:pPr>
        <w:spacing w:after="0" w:line="268" w:lineRule="exact"/>
        <w:rPr>
          <w:sz w:val="20"/>
          <w:szCs w:val="20"/>
          <w:color w:val="auto"/>
        </w:rPr>
      </w:pPr>
    </w:p>
    <w:p>
      <w:pPr>
        <w:jc w:val="both"/>
        <w:ind w:right="20"/>
        <w:spacing w:after="0" w:line="230" w:lineRule="exact"/>
        <w:rPr>
          <w:sz w:val="20"/>
          <w:szCs w:val="20"/>
          <w:color w:val="auto"/>
        </w:rPr>
      </w:pP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—The Financial Accounting Standards Board (“FASB”) establishes changes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accounting principles under GAAP in the form of accounting standards updates (“ASUs”) to the FASB’s Accounting </w:t>
      </w:r>
      <w:r>
        <w:rPr>
          <w:rFonts w:ascii="Arial" w:cs="Arial" w:eastAsia="Arial" w:hAnsi="Arial"/>
          <w:sz w:val="18"/>
          <w:szCs w:val="18"/>
          <w:color w:val="auto"/>
        </w:rPr>
        <w:t>Čɽƃȶǁƃɨǁɰ</w:t>
      </w:r>
      <w:r>
        <w:rPr>
          <w:rFonts w:ascii="PMingLiU" w:cs="PMingLiU" w:eastAsia="PMingLiU" w:hAnsi="PMingLiU"/>
          <w:sz w:val="18"/>
          <w:szCs w:val="18"/>
          <w:color w:val="auto"/>
        </w:rPr>
        <w:t/>
      </w:r>
      <w:r>
        <w:rPr>
          <w:rFonts w:ascii="Arial" w:cs="Arial" w:eastAsia="Arial" w:hAnsi="Arial"/>
          <w:sz w:val="18"/>
          <w:szCs w:val="18"/>
          <w:color w:val="auto"/>
        </w:rPr>
        <w:t>:ɁǁȈǹȈƺƃɽȈɁȶ</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Ԅ</w:t>
      </w:r>
      <w:r>
        <w:rPr>
          <w:rFonts w:ascii="PMingLiU" w:cs="PMingLiU" w:eastAsia="PMingLiU" w:hAnsi="PMingLiU"/>
          <w:sz w:val="18"/>
          <w:szCs w:val="18"/>
          <w:color w:val="auto"/>
        </w:rPr>
        <w:t/>
      </w:r>
      <w:r>
        <w:rPr>
          <w:rFonts w:ascii="Arial" w:cs="Arial" w:eastAsia="Arial" w:hAnsi="Arial"/>
          <w:sz w:val="18"/>
          <w:szCs w:val="18"/>
          <w:color w:val="auto"/>
        </w:rPr>
        <w:t>Č:ԅ</w:t>
      </w:r>
      <w:r>
        <w:rPr>
          <w:rFonts w:ascii="Arial" w:cs="Arial" w:eastAsia="Arial" w:hAnsi="Arial"/>
          <w:sz w:val="18"/>
          <w:szCs w:val="18"/>
          <w:color w:val="auto"/>
        </w:rPr>
        <w:t>Ӱӝ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ƺɁȶɰȈǁǉɨɰ</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ƃɥɥȢȈƺƃƹȈȢȈɽʰ</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Ȉȴɥƃƺɽ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 xml:space="preserve"> ƃȢȢ</w:t>
      </w:r>
      <w:r>
        <w:rPr>
          <w:rFonts w:ascii="PMingLiU" w:cs="PMingLiU" w:eastAsia="PMingLiU" w:hAnsi="PMingLiU"/>
          <w:sz w:val="18"/>
          <w:szCs w:val="18"/>
          <w:color w:val="auto"/>
        </w:rPr>
        <w:t/>
      </w:r>
      <w:r>
        <w:rPr>
          <w:rFonts w:ascii="Arial" w:cs="Arial" w:eastAsia="Arial" w:hAnsi="Arial"/>
          <w:sz w:val="18"/>
          <w:szCs w:val="18"/>
          <w:color w:val="auto"/>
        </w:rPr>
        <w:t xml:space="preserve">Čĩɰ </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
      </w:r>
      <w:r>
        <w:rPr>
          <w:rFonts w:ascii="Arial" w:cs="Arial" w:eastAsia="Arial" w:hAnsi="Arial"/>
          <w:sz w:val="18"/>
          <w:szCs w:val="18"/>
          <w:color w:val="auto"/>
        </w:rPr>
        <w:t xml:space="preserve"> ȶʰ</w:t>
      </w:r>
      <w:r>
        <w:rPr>
          <w:rFonts w:ascii="PMingLiU" w:cs="PMingLiU" w:eastAsia="PMingLiU" w:hAnsi="PMingLiU"/>
          <w:sz w:val="18"/>
          <w:szCs w:val="18"/>
          <w:color w:val="auto"/>
        </w:rPr>
        <w:t/>
      </w:r>
      <w:r>
        <w:rPr>
          <w:rFonts w:ascii="Arial" w:cs="Arial" w:eastAsia="Arial" w:hAnsi="Arial"/>
          <w:sz w:val="18"/>
          <w:szCs w:val="18"/>
          <w:color w:val="auto"/>
        </w:rPr>
        <w:t>ɨǉƺǉȶɽ</w:t>
      </w:r>
      <w:r>
        <w:rPr>
          <w:rFonts w:ascii="PMingLiU" w:cs="PMingLiU" w:eastAsia="PMingLiU" w:hAnsi="PMingLiU"/>
          <w:sz w:val="18"/>
          <w:szCs w:val="18"/>
          <w:color w:val="auto"/>
        </w:rPr>
        <w:t/>
      </w:r>
      <w:r>
        <w:rPr>
          <w:rFonts w:ascii="Arial" w:cs="Arial" w:eastAsia="Arial" w:hAnsi="Arial"/>
          <w:sz w:val="18"/>
          <w:szCs w:val="18"/>
          <w:color w:val="auto"/>
        </w:rPr>
        <w:t xml:space="preserve"> Čĩɰ</w:t>
      </w:r>
      <w:r>
        <w:rPr>
          <w:rFonts w:ascii="PMingLiU" w:cs="PMingLiU" w:eastAsia="PMingLiU" w:hAnsi="PMingLiU"/>
          <w:sz w:val="18"/>
          <w:szCs w:val="18"/>
          <w:color w:val="auto"/>
        </w:rPr>
        <w:t/>
      </w:r>
      <w:r>
        <w:rPr>
          <w:rFonts w:ascii="Arial" w:cs="Arial" w:eastAsia="Arial" w:hAnsi="Arial"/>
          <w:sz w:val="18"/>
          <w:szCs w:val="18"/>
          <w:color w:val="auto"/>
        </w:rPr>
        <w:t>ȶɁɽ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listed below were assessed and either determined to be not applicable or are expected to have an immaterial impact on the Company’s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000041"/>
        </w:rPr>
        <w:t>Recently Adopted Accounting Pronouncements</w:t>
      </w:r>
    </w:p>
    <w:p>
      <w:pPr>
        <w:spacing w:after="0" w:line="123"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In December 2023, the FASB issued Accounting Standards Update No. 2023-09, “Income Taxes (Topic 740): Improvements to Income Tax Disclosures” (ASU 2023-09), which expands income tax disclosure requirements, including disaggrega-tion of rate reconciliation table categories, disaggregation of earnings before income taxes and income tax expense information, and disaggregation of income taxes paid information, among other changes. This guidance is effective for annual periods beginning after December 15, 2024. The Company adopted this update on a prospective basis for the year ended December 31, 2025. Refer to Note 7 for the inclusion of the expanded disclosures.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000041"/>
        </w:rPr>
        <w:t>Recently Released Accounting Pronouncements</w:t>
      </w:r>
    </w:p>
    <w:p>
      <w:pPr>
        <w:spacing w:after="0" w:line="123"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In November 2024, the FASB issued Accounting Standards Update No. 2024 -03, “Income Statement—Reporting Comprehensive Income—Expense Disaggregation Disclosures (Subtopic 220-40): Disaggregation of Income Statement Expenses” (ASU 2024-03), which requires the disclosure of additional information about specific categories of costs and expenses in the notes to consolidated financial statements. This guidance is effective for annual periods beginning after December 15, 2026, and interim periods within fiscal years beginning after December 15, 2027. Early adoption is permitted. This ASU will likely result in additional disclosures. We are currently evaluating the provisions of this ASU.</w:t>
      </w:r>
    </w:p>
    <w:p>
      <w:pPr>
        <w:spacing w:after="0" w:line="48"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In September 2025, the FASB issued Accounting Standards Update No. 2025-06, “Intangibles—Goodwill and Other— Internal-Use Software (Subtopic 350-40): Targeted Improvements to the Accounting for Internal -Use Software” (ASU 2025-06), which updates the threshold for cost capitalization of internal-use software development costs by remov-ing all references to project development stages and adding considerations for evaluating the probable-to-complete recognition threshold. This guidance is effective for annual periods beginning after December 15, 2027, and interim periods within those fiscal years. Early adoption is permitted. We are currently evaluating the provisions of this ASU.</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000041"/>
        </w:rPr>
        <w:t>Significant Accounting Policies</w:t>
      </w:r>
    </w:p>
    <w:p>
      <w:pPr>
        <w:spacing w:after="0" w:line="117" w:lineRule="exact"/>
        <w:rPr>
          <w:sz w:val="20"/>
          <w:szCs w:val="20"/>
          <w:color w:val="auto"/>
        </w:rPr>
      </w:pPr>
    </w:p>
    <w:p>
      <w:pPr>
        <w:jc w:val="both"/>
        <w:ind w:right="20"/>
        <w:spacing w:after="0" w:line="236" w:lineRule="exact"/>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—Roper considers highly liquid financial instruments with remaining maturities at acqui-</w:t>
      </w:r>
      <w:r>
        <w:rPr>
          <w:rFonts w:ascii="Arial" w:cs="Arial" w:eastAsia="Arial" w:hAnsi="Arial"/>
          <w:sz w:val="18"/>
          <w:szCs w:val="18"/>
          <w:color w:val="auto"/>
        </w:rPr>
        <w:t>ɰȈɽȈɁȶ</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ɽȃɨǉǉ</w:t>
      </w:r>
      <w:r>
        <w:rPr>
          <w:rFonts w:ascii="PMingLiU" w:cs="PMingLiU" w:eastAsia="PMingLiU" w:hAnsi="PMingLiU"/>
          <w:sz w:val="18"/>
          <w:szCs w:val="18"/>
          <w:color w:val="auto"/>
        </w:rPr>
        <w:t/>
      </w:r>
      <w:r>
        <w:rPr>
          <w:rFonts w:ascii="Arial" w:cs="Arial" w:eastAsia="Arial" w:hAnsi="Arial"/>
          <w:sz w:val="18"/>
          <w:szCs w:val="18"/>
          <w:color w:val="auto"/>
        </w:rPr>
        <w:t>ȴɁȶɽȃɰ</w:t>
      </w:r>
      <w:r>
        <w:rPr>
          <w:rFonts w:ascii="PMingLiU" w:cs="PMingLiU" w:eastAsia="PMingLiU" w:hAnsi="PMingLiU"/>
          <w:sz w:val="18"/>
          <w:szCs w:val="18"/>
          <w:color w:val="auto"/>
        </w:rPr>
        <w:t/>
      </w:r>
      <w:r>
        <w:rPr>
          <w:rFonts w:ascii="Arial" w:cs="Arial" w:eastAsia="Arial" w:hAnsi="Arial"/>
          <w:sz w:val="18"/>
          <w:szCs w:val="18"/>
          <w:color w:val="auto"/>
        </w:rPr>
        <w:t>Ɂɨ</w:t>
      </w:r>
      <w:r>
        <w:rPr>
          <w:rFonts w:ascii="PMingLiU" w:cs="PMingLiU" w:eastAsia="PMingLiU" w:hAnsi="PMingLiU"/>
          <w:sz w:val="18"/>
          <w:szCs w:val="18"/>
          <w:color w:val="auto"/>
        </w:rPr>
        <w:t/>
      </w:r>
      <w:r>
        <w:rPr>
          <w:rFonts w:ascii="Arial" w:cs="Arial" w:eastAsia="Arial" w:hAnsi="Arial"/>
          <w:sz w:val="18"/>
          <w:szCs w:val="18"/>
          <w:color w:val="auto"/>
        </w:rPr>
        <w:t>Ȣǉɰɰ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ƹǉ</w:t>
      </w:r>
      <w:r>
        <w:rPr>
          <w:rFonts w:ascii="PMingLiU" w:cs="PMingLiU" w:eastAsia="PMingLiU" w:hAnsi="PMingLiU"/>
          <w:sz w:val="18"/>
          <w:szCs w:val="18"/>
          <w:color w:val="auto"/>
        </w:rPr>
        <w:t/>
      </w:r>
      <w:r>
        <w:rPr>
          <w:rFonts w:ascii="Arial" w:cs="Arial" w:eastAsia="Arial" w:hAnsi="Arial"/>
          <w:sz w:val="18"/>
          <w:szCs w:val="18"/>
          <w:color w:val="auto"/>
        </w:rPr>
        <w:t>ƺƃɰȃ</w:t>
      </w:r>
      <w:r>
        <w:rPr>
          <w:rFonts w:ascii="PMingLiU" w:cs="PMingLiU" w:eastAsia="PMingLiU" w:hAnsi="PMingLiU"/>
          <w:sz w:val="18"/>
          <w:szCs w:val="18"/>
          <w:color w:val="auto"/>
        </w:rPr>
        <w:t/>
      </w:r>
      <w:r>
        <w:rPr>
          <w:rFonts w:ascii="Arial" w:cs="Arial" w:eastAsia="Arial" w:hAnsi="Arial"/>
          <w:sz w:val="18"/>
          <w:szCs w:val="18"/>
          <w:color w:val="auto"/>
        </w:rPr>
        <w:t>ǉɧʍȈʤƃȢǉȶɽɰ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ĄɁɥǉɨ</w:t>
      </w:r>
      <w:r>
        <w:rPr>
          <w:rFonts w:ascii="PMingLiU" w:cs="PMingLiU" w:eastAsia="PMingLiU" w:hAnsi="PMingLiU"/>
          <w:sz w:val="18"/>
          <w:szCs w:val="18"/>
          <w:color w:val="auto"/>
        </w:rPr>
        <w:t/>
      </w:r>
      <w:r>
        <w:rPr>
          <w:rFonts w:ascii="Arial" w:cs="Arial" w:eastAsia="Arial" w:hAnsi="Arial"/>
          <w:sz w:val="18"/>
          <w:szCs w:val="18"/>
          <w:color w:val="auto"/>
        </w:rPr>
        <w:t>ȃƃǁ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љіӝѕ</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ѕӝў</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ƺƃɰȃ</w:t>
      </w:r>
      <w:r>
        <w:rPr>
          <w:rFonts w:ascii="PMingLiU" w:cs="PMingLiU" w:eastAsia="PMingLiU" w:hAnsi="PMingLiU"/>
          <w:sz w:val="18"/>
          <w:szCs w:val="18"/>
          <w:color w:val="auto"/>
        </w:rPr>
        <w:t/>
      </w:r>
      <w:r>
        <w:rPr>
          <w:rFonts w:ascii="Arial" w:cs="Arial" w:eastAsia="Arial" w:hAnsi="Arial"/>
          <w:sz w:val="18"/>
          <w:szCs w:val="18"/>
          <w:color w:val="auto"/>
        </w:rPr>
        <w:t>ǉɧʍȈʤƃȢǉȶɽɰ</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2025 and 2024, respectively.</w:t>
      </w:r>
    </w:p>
    <w:p>
      <w:pPr>
        <w:spacing w:after="0" w:line="64"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i w:val="1"/>
          <w:iCs w:val="1"/>
          <w:color w:val="auto"/>
        </w:rPr>
        <w:t>Contingencies</w:t>
      </w:r>
      <w:r>
        <w:rPr>
          <w:rFonts w:ascii="Arial" w:cs="Arial" w:eastAsia="Arial" w:hAnsi="Arial"/>
          <w:sz w:val="18"/>
          <w:szCs w:val="18"/>
          <w:color w:val="auto"/>
        </w:rPr>
        <w:t>—Management continually assesses the probability of any adverse judgments or outcomes to its poten-</w:t>
      </w:r>
      <w:r>
        <w:rPr>
          <w:rFonts w:ascii="Arial" w:cs="Arial" w:eastAsia="Arial" w:hAnsi="Arial"/>
          <w:sz w:val="18"/>
          <w:szCs w:val="18"/>
          <w:color w:val="auto"/>
        </w:rPr>
        <w:t>ɽȈƃȢ</w:t>
      </w:r>
      <w:r>
        <w:rPr>
          <w:rFonts w:ascii="PMingLiU" w:cs="PMingLiU" w:eastAsia="PMingLiU" w:hAnsi="PMingLiU"/>
          <w:sz w:val="18"/>
          <w:szCs w:val="18"/>
          <w:color w:val="auto"/>
        </w:rPr>
        <w:t/>
      </w:r>
      <w:r>
        <w:rPr>
          <w:rFonts w:ascii="Arial" w:cs="Arial" w:eastAsia="Arial" w:hAnsi="Arial"/>
          <w:sz w:val="18"/>
          <w:szCs w:val="18"/>
          <w:color w:val="auto"/>
        </w:rPr>
        <w:t>ƺɁȶɽȈȶǼǉȶƺȈǉɰ</w:t>
      </w:r>
      <w:r>
        <w:rPr>
          <w:rFonts w:ascii="Arial" w:cs="Arial" w:eastAsia="Arial" w:hAnsi="Arial"/>
          <w:sz w:val="18"/>
          <w:szCs w:val="18"/>
          <w:color w:val="auto"/>
        </w:rPr>
        <w:t>ӝ</w:t>
      </w:r>
      <w:r>
        <w:rPr>
          <w:rFonts w:ascii="Arial" w:cs="Arial" w:eastAsia="Arial" w:hAnsi="Arial"/>
          <w:sz w:val="18"/>
          <w:szCs w:val="18"/>
          <w:color w:val="auto"/>
        </w:rPr>
        <w:t>ԝAȈɰƺȢɁɰʍɨǉ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ƺɁȶɽȈȶǼǉȶƺʰ</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ȴƃǁǉ</w:t>
      </w:r>
      <w:r>
        <w:rPr>
          <w:rFonts w:ascii="PMingLiU" w:cs="PMingLiU" w:eastAsia="PMingLiU" w:hAnsi="PMingLiU"/>
          <w:sz w:val="18"/>
          <w:szCs w:val="18"/>
          <w:color w:val="auto"/>
        </w:rPr>
        <w:t/>
      </w:r>
      <w:r>
        <w:rPr>
          <w:rFonts w:ascii="Arial" w:cs="Arial" w:eastAsia="Arial" w:hAnsi="Arial"/>
          <w:sz w:val="18"/>
          <w:szCs w:val="18"/>
          <w:color w:val="auto"/>
        </w:rPr>
        <w:t>Ȉǹ</w:t>
      </w:r>
      <w:r>
        <w:rPr>
          <w:rFonts w:ascii="PMingLiU" w:cs="PMingLiU" w:eastAsia="PMingLiU" w:hAnsi="PMingLiU"/>
          <w:sz w:val="18"/>
          <w:szCs w:val="18"/>
          <w:color w:val="auto"/>
        </w:rPr>
        <w:t/>
      </w:r>
      <w:r>
        <w:rPr>
          <w:rFonts w:ascii="Arial" w:cs="Arial" w:eastAsia="Arial" w:hAnsi="Arial"/>
          <w:sz w:val="18"/>
          <w:szCs w:val="18"/>
          <w:color w:val="auto"/>
        </w:rPr>
        <w:t>ɽȃǉɨǉ</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Ȣǉƃɰɽ</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ɨǉƃɰɁȶƃƹȢǉ</w:t>
      </w:r>
      <w:r>
        <w:rPr>
          <w:rFonts w:ascii="PMingLiU" w:cs="PMingLiU" w:eastAsia="PMingLiU" w:hAnsi="PMingLiU"/>
          <w:sz w:val="18"/>
          <w:szCs w:val="18"/>
          <w:color w:val="auto"/>
        </w:rPr>
        <w:t/>
      </w:r>
      <w:r>
        <w:rPr>
          <w:rFonts w:ascii="Arial" w:cs="Arial" w:eastAsia="Arial" w:hAnsi="Arial"/>
          <w:sz w:val="18"/>
          <w:szCs w:val="18"/>
          <w:color w:val="auto"/>
        </w:rPr>
        <w:t>ɥɁɰɰȈƹȈȢȈɽʰ</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ȢɁɰɰ</w:t>
      </w:r>
      <w:r>
        <w:rPr>
          <w:rFonts w:ascii="PMingLiU" w:cs="PMingLiU" w:eastAsia="PMingLiU" w:hAnsi="PMingLiU"/>
          <w:sz w:val="18"/>
          <w:szCs w:val="18"/>
          <w:color w:val="auto"/>
        </w:rPr>
        <w:t/>
      </w:r>
      <w:r>
        <w:rPr>
          <w:rFonts w:ascii="Arial" w:cs="Arial" w:eastAsia="Arial" w:hAnsi="Arial"/>
          <w:sz w:val="18"/>
          <w:szCs w:val="18"/>
          <w:color w:val="auto"/>
        </w:rPr>
        <w:t>Ɂɨ</w:t>
      </w:r>
      <w:r>
        <w:rPr>
          <w:rFonts w:ascii="PMingLiU" w:cs="PMingLiU" w:eastAsia="PMingLiU" w:hAnsi="PMingLiU"/>
          <w:sz w:val="18"/>
          <w:szCs w:val="18"/>
          <w:color w:val="auto"/>
        </w:rPr>
        <w:t/>
      </w:r>
      <w:r>
        <w:rPr>
          <w:rFonts w:ascii="Arial" w:cs="Arial" w:eastAsia="Arial" w:hAnsi="Arial"/>
          <w:sz w:val="18"/>
          <w:szCs w:val="18"/>
          <w:color w:val="auto"/>
        </w:rPr>
        <w:t>ƃȶ</w:t>
      </w:r>
      <w:r>
        <w:rPr>
          <w:rFonts w:ascii="PMingLiU" w:cs="PMingLiU" w:eastAsia="PMingLiU" w:hAnsi="PMingLiU"/>
          <w:sz w:val="18"/>
          <w:szCs w:val="18"/>
          <w:color w:val="auto"/>
        </w:rPr>
        <w:t/>
      </w:r>
      <w:r>
        <w:rPr>
          <w:rFonts w:ascii="Arial" w:cs="Arial" w:eastAsia="Arial" w:hAnsi="Arial"/>
          <w:sz w:val="18"/>
          <w:szCs w:val="18"/>
          <w:color w:val="auto"/>
        </w:rPr>
        <w:t xml:space="preserve"> ƃǁǁȈɽȈɁȶƃȢ</w:t>
      </w:r>
      <w:r>
        <w:rPr>
          <w:rFonts w:ascii="PMingLiU" w:cs="PMingLiU" w:eastAsia="PMingLiU" w:hAnsi="PMingLiU"/>
          <w:sz w:val="18"/>
          <w:szCs w:val="18"/>
          <w:color w:val="auto"/>
        </w:rPr>
        <w:t/>
      </w:r>
      <w:r>
        <w:rPr>
          <w:rFonts w:ascii="Arial" w:cs="Arial" w:eastAsia="Arial" w:hAnsi="Arial"/>
          <w:sz w:val="18"/>
          <w:szCs w:val="18"/>
          <w:color w:val="auto"/>
        </w:rPr>
        <w:t xml:space="preserve"> ȢɁɰɰ</w:t>
      </w:r>
      <w:r>
        <w:rPr>
          <w:rFonts w:ascii="PMingLiU" w:cs="PMingLiU" w:eastAsia="PMingLiU" w:hAnsi="PMingLiU"/>
          <w:sz w:val="18"/>
          <w:szCs w:val="18"/>
          <w:color w:val="auto"/>
        </w:rPr>
        <w:t/>
      </w:r>
      <w:r>
        <w:rPr>
          <w:rFonts w:ascii="Arial" w:cs="Arial" w:eastAsia="Arial" w:hAnsi="Arial"/>
          <w:sz w:val="18"/>
          <w:szCs w:val="18"/>
          <w:color w:val="auto"/>
        </w:rPr>
        <w:t>ȴƃʰ</w:t>
      </w:r>
      <w:r>
        <w:rPr>
          <w:rFonts w:ascii="PMingLiU" w:cs="PMingLiU" w:eastAsia="PMingLiU" w:hAnsi="PMingLiU"/>
          <w:sz w:val="18"/>
          <w:szCs w:val="18"/>
          <w:color w:val="auto"/>
        </w:rPr>
        <w:t/>
      </w:r>
      <w:r>
        <w:rPr>
          <w:rFonts w:ascii="Arial" w:cs="Arial" w:eastAsia="Arial" w:hAnsi="Arial"/>
          <w:sz w:val="18"/>
          <w:szCs w:val="18"/>
          <w:color w:val="auto"/>
        </w:rPr>
        <w:t>ȃƃʤǉ</w:t>
      </w:r>
      <w:r>
        <w:rPr>
          <w:rFonts w:ascii="PMingLiU" w:cs="PMingLiU" w:eastAsia="PMingLiU" w:hAnsi="PMingLiU"/>
          <w:sz w:val="18"/>
          <w:szCs w:val="18"/>
          <w:color w:val="auto"/>
        </w:rPr>
        <w:t/>
      </w:r>
      <w:r>
        <w:rPr>
          <w:rFonts w:ascii="Arial" w:cs="Arial" w:eastAsia="Arial" w:hAnsi="Arial"/>
          <w:sz w:val="18"/>
          <w:szCs w:val="18"/>
          <w:color w:val="auto"/>
        </w:rPr>
        <w:t>ƹǉǉȶ</w:t>
      </w:r>
      <w:r>
        <w:rPr>
          <w:rFonts w:ascii="PMingLiU" w:cs="PMingLiU" w:eastAsia="PMingLiU" w:hAnsi="PMingLiU"/>
          <w:sz w:val="18"/>
          <w:szCs w:val="18"/>
          <w:color w:val="auto"/>
        </w:rPr>
        <w:t/>
      </w:r>
      <w:r>
        <w:rPr>
          <w:rFonts w:ascii="Arial" w:cs="Arial" w:eastAsia="Arial" w:hAnsi="Arial"/>
          <w:sz w:val="18"/>
          <w:szCs w:val="18"/>
          <w:color w:val="auto"/>
        </w:rPr>
        <w:t>Ȉȶƺʍɨɨǉǁ</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w:t>
      </w:r>
      <w:r>
        <w:rPr>
          <w:rFonts w:ascii="Arial" w:cs="Arial" w:eastAsia="Arial" w:hAnsi="Arial"/>
          <w:sz w:val="18"/>
          <w:szCs w:val="18"/>
          <w:color w:val="auto"/>
        </w:rPr>
        <w:t>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ƃɰɰǉɰɰȴǉȶɽ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ƺɁȶɽȈȶǼǉȶƺȈǉɰ</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ȴƃȶƃǼǉȴǉȶɽ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concluded that there were no matters for which there was a reasonable possibility of a material loss.</w:t>
      </w:r>
    </w:p>
    <w:p>
      <w:pPr>
        <w:sectPr>
          <w:pgSz w:w="12240" w:h="15840" w:orient="portrait"/>
          <w:cols w:equalWidth="0" w:num="1">
            <w:col w:w="10380"/>
          </w:cols>
          <w:pgMar w:left="960" w:top="926" w:right="900" w:bottom="90" w:gutter="0" w:footer="0" w:header="0"/>
        </w:sectPr>
      </w:pPr>
    </w:p>
    <w:p>
      <w:pPr>
        <w:spacing w:after="0" w:line="128" w:lineRule="exact"/>
        <w:rPr>
          <w:sz w:val="20"/>
          <w:szCs w:val="20"/>
          <w:color w:val="auto"/>
        </w:rPr>
      </w:pPr>
    </w:p>
    <w:p>
      <w:pPr>
        <w:ind w:left="3500"/>
        <w:spacing w:after="0" w:line="146" w:lineRule="exact"/>
        <w:tabs>
          <w:tab w:leader="none" w:pos="1018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0"/>
          <w:szCs w:val="10"/>
          <w:color w:val="auto"/>
        </w:rPr>
        <w:t>41</w:t>
      </w:r>
    </w:p>
    <w:p>
      <w:pPr>
        <w:sectPr>
          <w:pgSz w:w="12240" w:h="15840" w:orient="portrait"/>
          <w:cols w:equalWidth="0" w:num="1">
            <w:col w:w="10380"/>
          </w:cols>
          <w:pgMar w:left="960" w:top="926" w:right="900" w:bottom="90" w:gutter="0" w:footer="0" w:header="0"/>
          <w:type w:val="continuous"/>
        </w:sectPr>
      </w:pPr>
    </w:p>
    <w:bookmarkStart w:id="43" w:name="page44"/>
    <w:bookmarkEnd w:id="43"/>
    <w:p>
      <w:pPr>
        <w:jc w:val="both"/>
        <w:ind w:right="60"/>
        <w:spacing w:after="0" w:line="27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Earnings per Share</w:t>
      </w:r>
      <w:r>
        <w:rPr>
          <w:rFonts w:ascii="Arial" w:cs="Arial" w:eastAsia="Arial" w:hAnsi="Arial"/>
          <w:sz w:val="18"/>
          <w:szCs w:val="18"/>
          <w:color w:val="auto"/>
        </w:rPr>
        <w:t>—Basic earnings per share was calculated using net earnings and the weighted average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outstanding during the respective year. Diluted earnings per share was calculated using net earnings and the weighted average number of shares of common stock and potential common stock outstand-ing during the respective year. Potentially dilutive common stock consisted of stock options and restricted stock awards.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potential common stock were determined using the treasury stock method: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340" w:type="dxa"/>
            <w:vAlign w:val="bottom"/>
          </w:tcPr>
          <w:p>
            <w:pPr>
              <w:spacing w:after="0"/>
              <w:rPr>
                <w:sz w:val="23"/>
                <w:szCs w:val="23"/>
                <w:color w:val="auto"/>
              </w:rPr>
            </w:pPr>
          </w:p>
        </w:tc>
        <w:tc>
          <w:tcPr>
            <w:tcW w:w="2980" w:type="dxa"/>
            <w:vAlign w:val="bottom"/>
            <w:tcBorders>
              <w:bottom w:val="single" w:sz="8" w:color="000041"/>
            </w:tcBorders>
            <w:gridSpan w:val="3"/>
          </w:tcPr>
          <w:p>
            <w:pPr>
              <w:jc w:val="right"/>
              <w:ind w:right="310"/>
              <w:spacing w:after="0"/>
              <w:rPr>
                <w:sz w:val="20"/>
                <w:szCs w:val="20"/>
                <w:color w:val="auto"/>
              </w:rPr>
            </w:pPr>
            <w:r>
              <w:rPr>
                <w:rFonts w:ascii="Arial" w:cs="Arial" w:eastAsia="Arial" w:hAnsi="Arial"/>
                <w:sz w:val="18"/>
                <w:szCs w:val="18"/>
                <w:color w:val="auto"/>
              </w:rPr>
              <w:t>Year ended December 31,</w:t>
            </w:r>
          </w:p>
        </w:tc>
      </w:tr>
      <w:tr>
        <w:trPr>
          <w:trHeight w:val="285"/>
        </w:trPr>
        <w:tc>
          <w:tcPr>
            <w:tcW w:w="73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128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2025</w:t>
            </w:r>
          </w:p>
        </w:tc>
        <w:tc>
          <w:tcPr>
            <w:tcW w:w="94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2024</w:t>
            </w:r>
          </w:p>
        </w:tc>
        <w:tc>
          <w:tcPr>
            <w:tcW w:w="7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2023</w:t>
            </w:r>
          </w:p>
        </w:tc>
      </w:tr>
      <w:tr>
        <w:trPr>
          <w:trHeight w:val="232"/>
        </w:trPr>
        <w:tc>
          <w:tcPr>
            <w:tcW w:w="73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107.4</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107.1</w:t>
            </w:r>
          </w:p>
        </w:tc>
        <w:tc>
          <w:tcPr>
            <w:tcW w:w="76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45"/>
        </w:trPr>
        <w:tc>
          <w:tcPr>
            <w:tcW w:w="7340" w:type="dxa"/>
            <w:vAlign w:val="bottom"/>
          </w:tcPr>
          <w:p>
            <w:pPr>
              <w:spacing w:after="0"/>
              <w:rPr>
                <w:sz w:val="20"/>
                <w:szCs w:val="20"/>
                <w:color w:val="auto"/>
              </w:rPr>
            </w:pPr>
            <w:r>
              <w:rPr>
                <w:rFonts w:ascii="Arial" w:cs="Arial" w:eastAsia="Arial" w:hAnsi="Arial"/>
                <w:sz w:val="18"/>
                <w:szCs w:val="18"/>
                <w:color w:val="auto"/>
              </w:rPr>
              <w:t>Effect of potential common stock:</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ԝ</w:t>
            </w: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3"/>
        </w:trPr>
        <w:tc>
          <w:tcPr>
            <w:tcW w:w="734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Common stock awards</w:t>
            </w:r>
          </w:p>
        </w:tc>
        <w:tc>
          <w:tcPr>
            <w:tcW w:w="128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0.9</w:t>
            </w:r>
          </w:p>
        </w:tc>
        <w:tc>
          <w:tcPr>
            <w:tcW w:w="7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0.8</w:t>
            </w:r>
          </w:p>
        </w:tc>
      </w:tr>
      <w:tr>
        <w:trPr>
          <w:trHeight w:val="280"/>
        </w:trPr>
        <w:tc>
          <w:tcPr>
            <w:tcW w:w="73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128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108.2</w:t>
            </w:r>
          </w:p>
        </w:tc>
        <w:tc>
          <w:tcPr>
            <w:tcW w:w="94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108.0</w:t>
            </w:r>
          </w:p>
        </w:tc>
        <w:tc>
          <w:tcPr>
            <w:tcW w:w="7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107.4</w:t>
            </w:r>
          </w:p>
        </w:tc>
      </w:tr>
    </w:tbl>
    <w:p>
      <w:pPr>
        <w:spacing w:after="0" w:line="142" w:lineRule="exact"/>
        <w:rPr>
          <w:sz w:val="20"/>
          <w:szCs w:val="20"/>
          <w:color w:val="auto"/>
        </w:rPr>
      </w:pPr>
    </w:p>
    <w:p>
      <w:pPr>
        <w:jc w:val="both"/>
        <w:ind w:right="60"/>
        <w:spacing w:after="0" w:line="234" w:lineRule="exact"/>
        <w:rPr>
          <w:sz w:val="20"/>
          <w:szCs w:val="20"/>
          <w:color w:val="auto"/>
        </w:rPr>
      </w:pPr>
      <w:r>
        <w:rPr>
          <w:rFonts w:ascii="Arial" w:cs="Arial" w:eastAsia="Arial" w:hAnsi="Arial"/>
          <w:sz w:val="18"/>
          <w:szCs w:val="18"/>
          <w:color w:val="auto"/>
        </w:rPr>
        <w:t>yɁɨ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їѕїјӗ</w:t>
      </w:r>
      <w:r>
        <w:rPr>
          <w:rFonts w:ascii="PMingLiU" w:cs="PMingLiU" w:eastAsia="PMingLiU" w:hAnsi="PMingLiU"/>
          <w:sz w:val="18"/>
          <w:szCs w:val="18"/>
          <w:color w:val="auto"/>
        </w:rPr>
        <w:t/>
      </w:r>
      <w:r>
        <w:rPr>
          <w:rFonts w:ascii="Arial" w:cs="Arial" w:eastAsia="Arial" w:hAnsi="Arial"/>
          <w:sz w:val="18"/>
          <w:szCs w:val="18"/>
          <w:color w:val="auto"/>
        </w:rPr>
        <w:t>ɽȃǉɨǉ</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ѕӝѝљіӗ</w:t>
      </w:r>
      <w:r>
        <w:rPr>
          <w:rFonts w:ascii="PMingLiU" w:cs="PMingLiU" w:eastAsia="PMingLiU" w:hAnsi="PMingLiU"/>
          <w:sz w:val="18"/>
          <w:szCs w:val="18"/>
          <w:color w:val="auto"/>
        </w:rPr>
        <w:t/>
      </w:r>
      <w:r>
        <w:rPr>
          <w:rFonts w:ascii="Arial" w:cs="Arial" w:eastAsia="Arial" w:hAnsi="Arial"/>
          <w:sz w:val="18"/>
          <w:szCs w:val="18"/>
          <w:color w:val="auto"/>
        </w:rPr>
        <w:t>ѕӝљіўӗ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ѕӝќїћ</w:t>
      </w:r>
      <w:r>
        <w:rPr>
          <w:rFonts w:ascii="PMingLiU" w:cs="PMingLiU" w:eastAsia="PMingLiU" w:hAnsi="PMingLiU"/>
          <w:sz w:val="18"/>
          <w:szCs w:val="18"/>
          <w:color w:val="auto"/>
        </w:rPr>
        <w:t/>
      </w:r>
      <w:r>
        <w:rPr>
          <w:rFonts w:ascii="Arial" w:cs="Arial" w:eastAsia="Arial" w:hAnsi="Arial"/>
          <w:sz w:val="18"/>
          <w:szCs w:val="18"/>
          <w:color w:val="auto"/>
        </w:rPr>
        <w:t xml:space="preserve"> ɰɽɁƺȟ</w:t>
      </w:r>
      <w:r>
        <w:rPr>
          <w:rFonts w:ascii="Arial" w:cs="Arial" w:eastAsia="Arial" w:hAnsi="Arial"/>
          <w:sz w:val="18"/>
          <w:szCs w:val="18"/>
          <w:color w:val="auto"/>
        </w:rPr>
        <w:t>Ӹ</w:t>
      </w:r>
      <w:r>
        <w:rPr>
          <w:rFonts w:ascii="Arial" w:cs="Arial" w:eastAsia="Arial" w:hAnsi="Arial"/>
          <w:sz w:val="18"/>
          <w:szCs w:val="18"/>
          <w:color w:val="auto"/>
        </w:rPr>
        <w:t>ƹƃɰǉǁ</w:t>
      </w:r>
      <w:r>
        <w:rPr>
          <w:rFonts w:ascii="PMingLiU" w:cs="PMingLiU" w:eastAsia="PMingLiU" w:hAnsi="PMingLiU"/>
          <w:sz w:val="18"/>
          <w:szCs w:val="18"/>
          <w:color w:val="auto"/>
        </w:rPr>
        <w:t/>
      </w:r>
      <w:r>
        <w:rPr>
          <w:rFonts w:ascii="Arial" w:cs="Arial" w:eastAsia="Arial" w:hAnsi="Arial"/>
          <w:sz w:val="18"/>
          <w:szCs w:val="18"/>
          <w:color w:val="auto"/>
        </w:rPr>
        <w:t>ƃʥƃɨǁɰ</w:t>
      </w:r>
      <w:r>
        <w:rPr>
          <w:rFonts w:ascii="PMingLiU" w:cs="PMingLiU" w:eastAsia="PMingLiU" w:hAnsi="PMingLiU"/>
          <w:sz w:val="18"/>
          <w:szCs w:val="18"/>
          <w:color w:val="auto"/>
        </w:rPr>
        <w:t/>
      </w:r>
      <w:r>
        <w:rPr>
          <w:rFonts w:ascii="Arial" w:cs="Arial" w:eastAsia="Arial" w:hAnsi="Arial"/>
          <w:sz w:val="18"/>
          <w:szCs w:val="18"/>
          <w:color w:val="auto"/>
        </w:rPr>
        <w:t>Ɂʍɽ</w:t>
      </w:r>
      <w:r>
        <w:rPr>
          <w:rFonts w:ascii="Arial" w:cs="Arial" w:eastAsia="Arial" w:hAnsi="Arial"/>
          <w:sz w:val="18"/>
          <w:szCs w:val="18"/>
          <w:color w:val="auto"/>
        </w:rPr>
        <w:t>-standing, respectively, that were not included in the determination of diluted earnings per share because to do so would have been antidilutive.</w:t>
      </w:r>
    </w:p>
    <w:p>
      <w:pPr>
        <w:spacing w:after="0" w:line="63" w:lineRule="exact"/>
        <w:rPr>
          <w:sz w:val="20"/>
          <w:szCs w:val="20"/>
          <w:color w:val="auto"/>
        </w:rPr>
      </w:pPr>
    </w:p>
    <w:p>
      <w:pPr>
        <w:jc w:val="both"/>
        <w:ind w:right="60"/>
        <w:spacing w:after="0" w:line="228" w:lineRule="exact"/>
        <w:rPr>
          <w:sz w:val="20"/>
          <w:szCs w:val="20"/>
          <w:color w:val="auto"/>
        </w:rPr>
      </w:pPr>
      <w:r>
        <w:rPr>
          <w:rFonts w:ascii="Arial" w:cs="Arial" w:eastAsia="Arial" w:hAnsi="Arial"/>
          <w:sz w:val="18"/>
          <w:szCs w:val="18"/>
          <w:i w:val="1"/>
          <w:iCs w:val="1"/>
          <w:color w:val="auto"/>
        </w:rPr>
        <w:t>Equity Investment</w:t>
      </w:r>
      <w:r>
        <w:rPr>
          <w:rFonts w:ascii="Arial" w:cs="Arial" w:eastAsia="Arial" w:hAnsi="Arial"/>
          <w:sz w:val="18"/>
          <w:szCs w:val="18"/>
          <w:color w:val="auto"/>
        </w:rPr>
        <w:t>Ӵ</w:t>
      </w:r>
      <w:r>
        <w:rPr>
          <w:rFonts w:ascii="Arial" w:cs="Arial" w:eastAsia="Arial" w:hAnsi="Arial"/>
          <w:sz w:val="18"/>
          <w:szCs w:val="18"/>
          <w:i w:val="1"/>
          <w:iCs w:val="1"/>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i w:val="1"/>
          <w:iCs w:val="1"/>
          <w:color w:val="auto"/>
        </w:rPr>
        <w:t xml:space="preserve">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ȃǉȢǁ</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љјӝѝ</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i w:val="1"/>
          <w:iCs w:val="1"/>
          <w:color w:val="auto"/>
        </w:rPr>
        <w:t xml:space="preserve">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љњӝњ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ȴȈȶɁɨȈɽʰ</w:t>
      </w:r>
      <w:r>
        <w:rPr>
          <w:rFonts w:ascii="PMingLiU" w:cs="PMingLiU" w:eastAsia="PMingLiU" w:hAnsi="PMingLiU"/>
          <w:sz w:val="18"/>
          <w:szCs w:val="18"/>
          <w:color w:val="auto"/>
        </w:rPr>
        <w:t/>
      </w:r>
      <w:r>
        <w:rPr>
          <w:rFonts w:ascii="Arial" w:cs="Arial" w:eastAsia="Arial" w:hAnsi="Arial"/>
          <w:sz w:val="18"/>
          <w:szCs w:val="18"/>
          <w:color w:val="auto"/>
        </w:rPr>
        <w:t>ǉɧʍȈɽʰ</w:t>
      </w:r>
      <w:r>
        <w:rPr>
          <w:rFonts w:ascii="PMingLiU" w:cs="PMingLiU" w:eastAsia="PMingLiU" w:hAnsi="PMingLiU"/>
          <w:sz w:val="18"/>
          <w:szCs w:val="18"/>
          <w:color w:val="auto"/>
        </w:rPr>
        <w:t/>
      </w:r>
      <w:r>
        <w:rPr>
          <w:rFonts w:ascii="Arial" w:cs="Arial" w:eastAsia="Arial" w:hAnsi="Arial"/>
          <w:sz w:val="18"/>
          <w:szCs w:val="18"/>
          <w:color w:val="auto"/>
        </w:rPr>
        <w:t>Ȉȶɽǉɨ</w:t>
      </w:r>
      <w:r>
        <w:rPr>
          <w:rFonts w:ascii="Arial" w:cs="Arial" w:eastAsia="Arial" w:hAnsi="Arial"/>
          <w:sz w:val="18"/>
          <w:szCs w:val="18"/>
          <w:color w:val="auto"/>
        </w:rPr>
        <w:t>-est in Indicor Equity, LLC, respectively. This equity interest provides us with the ability to exercise significant influence, but not control, over the investee. We elected to apply the fair value option as we believe this is the most reasonable method to value this equity investment. The fair value of Roper’s equity investment in Indicor is estimated on a quar-terly basis and the change in fair value is reported as a component of “Equity investments gain, net” in our Consolidated Statements of Earnings. See Note 9 for additional information on this investment.</w:t>
      </w:r>
    </w:p>
    <w:p>
      <w:pPr>
        <w:spacing w:after="0" w:line="62" w:lineRule="exact"/>
        <w:rPr>
          <w:sz w:val="20"/>
          <w:szCs w:val="20"/>
          <w:color w:val="auto"/>
        </w:rPr>
      </w:pPr>
    </w:p>
    <w:p>
      <w:pPr>
        <w:jc w:val="both"/>
        <w:ind w:right="60"/>
        <w:spacing w:after="0" w:line="290" w:lineRule="auto"/>
        <w:rPr>
          <w:sz w:val="20"/>
          <w:szCs w:val="20"/>
          <w:color w:val="auto"/>
        </w:rPr>
      </w:pPr>
      <w:r>
        <w:rPr>
          <w:rFonts w:ascii="Arial" w:cs="Arial" w:eastAsia="Arial" w:hAnsi="Arial"/>
          <w:sz w:val="18"/>
          <w:szCs w:val="18"/>
          <w:i w:val="1"/>
          <w:iCs w:val="1"/>
          <w:color w:val="auto"/>
        </w:rPr>
        <w:t>Estimates</w:t>
      </w: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Actual results could differ from those estimates.</w:t>
      </w:r>
    </w:p>
    <w:p>
      <w:pPr>
        <w:spacing w:after="0" w:line="20" w:lineRule="exact"/>
        <w:rPr>
          <w:sz w:val="20"/>
          <w:szCs w:val="20"/>
          <w:color w:val="auto"/>
        </w:rPr>
      </w:pPr>
    </w:p>
    <w:p>
      <w:pPr>
        <w:jc w:val="both"/>
        <w:ind w:right="20"/>
        <w:spacing w:after="0" w:line="228" w:lineRule="exact"/>
        <w:rPr>
          <w:sz w:val="20"/>
          <w:szCs w:val="20"/>
          <w:color w:val="auto"/>
        </w:rPr>
      </w:pPr>
      <w:r>
        <w:rPr>
          <w:rFonts w:ascii="Arial" w:cs="Arial" w:eastAsia="Arial" w:hAnsi="Arial"/>
          <w:sz w:val="18"/>
          <w:szCs w:val="18"/>
          <w:i w:val="1"/>
          <w:iCs w:val="1"/>
          <w:color w:val="auto"/>
        </w:rPr>
        <w:t>Foreign Currency Translation and Transactions</w:t>
      </w:r>
      <w:r>
        <w:rPr>
          <w:rFonts w:ascii="Arial" w:cs="Arial" w:eastAsia="Arial" w:hAnsi="Arial"/>
          <w:sz w:val="18"/>
          <w:szCs w:val="18"/>
          <w:color w:val="auto"/>
        </w:rPr>
        <w:t>—Assets and liabilities of subsidiaries whose functional currency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the U.S. dollar were translated at the exchange rate in effect at the balance sheet date, and revenues and expenses were translated at average exchange rates for the period in which those entities were included in Roper’s financial </w:t>
      </w:r>
      <w:r>
        <w:rPr>
          <w:rFonts w:ascii="Arial" w:cs="Arial" w:eastAsia="Arial" w:hAnsi="Arial"/>
          <w:sz w:val="18"/>
          <w:szCs w:val="18"/>
          <w:color w:val="auto"/>
        </w:rPr>
        <w:t>ɨǉɰʍȢɽɰ</w:t>
      </w:r>
      <w:r>
        <w:rPr>
          <w:rFonts w:ascii="Arial" w:cs="Arial" w:eastAsia="Arial" w:hAnsi="Arial"/>
          <w:sz w:val="18"/>
          <w:szCs w:val="18"/>
          <w:color w:val="auto"/>
        </w:rPr>
        <w:t>ӝ</w:t>
      </w:r>
      <w:r>
        <w:rPr>
          <w:rFonts w:ascii="Arial" w:cs="Arial" w:eastAsia="Arial" w:hAnsi="Arial"/>
          <w:sz w:val="18"/>
          <w:szCs w:val="18"/>
          <w:color w:val="auto"/>
        </w:rPr>
        <w:t>ԝěɨƃȶɰȢƃɽȈɁȶ</w:t>
      </w:r>
      <w:r>
        <w:rPr>
          <w:rFonts w:ascii="PMingLiU" w:cs="PMingLiU" w:eastAsia="PMingLiU" w:hAnsi="PMingLiU"/>
          <w:sz w:val="18"/>
          <w:szCs w:val="18"/>
          <w:color w:val="auto"/>
        </w:rPr>
        <w:t/>
      </w:r>
      <w:r>
        <w:rPr>
          <w:rFonts w:ascii="Arial" w:cs="Arial" w:eastAsia="Arial" w:hAnsi="Arial"/>
          <w:sz w:val="18"/>
          <w:szCs w:val="18"/>
          <w:color w:val="auto"/>
        </w:rPr>
        <w:t>ƃǁȚʍɰɽȴǉȶɽɰ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ɨǉǹȢǉƺɽǉǁ</w:t>
      </w:r>
      <w:r>
        <w:rPr>
          <w:rFonts w:ascii="PMingLiU" w:cs="PMingLiU" w:eastAsia="PMingLiU" w:hAnsi="PMingLiU"/>
          <w:sz w:val="18"/>
          <w:szCs w:val="18"/>
          <w:color w:val="auto"/>
        </w:rPr>
        <w:t/>
      </w:r>
      <w:r>
        <w:rPr>
          <w:rFonts w:ascii="Arial" w:cs="Arial" w:eastAsia="Arial" w:hAnsi="Arial"/>
          <w:sz w:val="18"/>
          <w:szCs w:val="18"/>
          <w:color w:val="auto"/>
        </w:rPr>
        <w:t>ʥȈɽȃȈȶ</w:t>
      </w:r>
      <w:r>
        <w:rPr>
          <w:rFonts w:ascii="PMingLiU" w:cs="PMingLiU" w:eastAsia="PMingLiU" w:hAnsi="PMingLiU"/>
          <w:sz w:val="18"/>
          <w:szCs w:val="18"/>
          <w:color w:val="auto"/>
        </w:rPr>
        <w:t/>
      </w:r>
      <w:r>
        <w:rPr>
          <w:rFonts w:ascii="Arial" w:cs="Arial" w:eastAsia="Arial" w:hAnsi="Arial"/>
          <w:sz w:val="18"/>
          <w:szCs w:val="18"/>
          <w:color w:val="auto"/>
        </w:rPr>
        <w:t>Ɂɽȃǉɨ</w:t>
      </w:r>
      <w:r>
        <w:rPr>
          <w:rFonts w:ascii="PMingLiU" w:cs="PMingLiU" w:eastAsia="PMingLiU" w:hAnsi="PMingLiU"/>
          <w:sz w:val="18"/>
          <w:szCs w:val="18"/>
          <w:color w:val="auto"/>
        </w:rPr>
        <w:t/>
      </w:r>
      <w:r>
        <w:rPr>
          <w:rFonts w:ascii="Arial" w:cs="Arial" w:eastAsia="Arial" w:hAnsi="Arial"/>
          <w:sz w:val="18"/>
          <w:szCs w:val="18"/>
          <w:color w:val="auto"/>
        </w:rPr>
        <w:t xml:space="preserve"> ƺɁȴɥɨǉȃǉȶɰȈʤǉ</w:t>
      </w:r>
      <w:r>
        <w:rPr>
          <w:rFonts w:ascii="PMingLiU" w:cs="PMingLiU" w:eastAsia="PMingLiU" w:hAnsi="PMingLiU"/>
          <w:sz w:val="18"/>
          <w:szCs w:val="18"/>
          <w:color w:val="auto"/>
        </w:rPr>
        <w:t/>
      </w:r>
      <w:r>
        <w:rPr>
          <w:rFonts w:ascii="Arial" w:cs="Arial" w:eastAsia="Arial" w:hAnsi="Arial"/>
          <w:sz w:val="18"/>
          <w:szCs w:val="18"/>
          <w:color w:val="auto"/>
        </w:rPr>
        <w:t>ȈȶƺɁȴǉ</w:t>
      </w:r>
      <w:r>
        <w:rPr>
          <w:rFonts w:ascii="Arial" w:cs="Arial" w:eastAsia="Arial" w:hAnsi="Arial"/>
          <w:sz w:val="18"/>
          <w:szCs w:val="18"/>
          <w:color w:val="auto"/>
        </w:rPr>
        <w:t>ӝ</w:t>
      </w:r>
      <w:r>
        <w:rPr>
          <w:rFonts w:ascii="Arial" w:cs="Arial" w:eastAsia="Arial" w:hAnsi="Arial"/>
          <w:sz w:val="18"/>
          <w:szCs w:val="18"/>
          <w:color w:val="auto"/>
        </w:rPr>
        <w:t>ԝyɁɨǉȈǼȶ</w:t>
      </w:r>
      <w:r>
        <w:rPr>
          <w:rFonts w:ascii="PMingLiU" w:cs="PMingLiU" w:eastAsia="PMingLiU" w:hAnsi="PMingLiU"/>
          <w:sz w:val="18"/>
          <w:szCs w:val="18"/>
          <w:color w:val="auto"/>
        </w:rPr>
        <w:t/>
      </w:r>
      <w:r>
        <w:rPr>
          <w:rFonts w:ascii="Arial" w:cs="Arial" w:eastAsia="Arial" w:hAnsi="Arial"/>
          <w:sz w:val="18"/>
          <w:szCs w:val="18"/>
          <w:color w:val="auto"/>
        </w:rPr>
        <w:t>ƺʍɨɨǉȶƺʰ</w:t>
      </w:r>
      <w:r>
        <w:rPr>
          <w:rFonts w:ascii="PMingLiU" w:cs="PMingLiU" w:eastAsia="PMingLiU" w:hAnsi="PMingLiU"/>
          <w:sz w:val="18"/>
          <w:szCs w:val="18"/>
          <w:color w:val="auto"/>
        </w:rPr>
        <w:t/>
      </w:r>
      <w:r>
        <w:rPr>
          <w:rFonts w:ascii="Arial" w:cs="Arial" w:eastAsia="Arial" w:hAnsi="Arial"/>
          <w:sz w:val="18"/>
          <w:szCs w:val="18"/>
          <w:color w:val="auto"/>
        </w:rPr>
        <w:t>ɽɨƃȶɰƃƺɽȈɁȶ</w:t>
      </w:r>
      <w:r>
        <w:rPr>
          <w:rFonts w:ascii="PMingLiU" w:cs="PMingLiU" w:eastAsia="PMingLiU" w:hAnsi="PMingLiU"/>
          <w:sz w:val="18"/>
          <w:szCs w:val="18"/>
          <w:color w:val="auto"/>
        </w:rPr>
        <w:t/>
      </w:r>
      <w:r>
        <w:rPr>
          <w:rFonts w:ascii="Arial" w:cs="Arial" w:eastAsia="Arial" w:hAnsi="Arial"/>
          <w:sz w:val="18"/>
          <w:szCs w:val="18"/>
          <w:color w:val="auto"/>
        </w:rPr>
        <w:t>ǼƃȈȶɰ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and losses are recorded in our Consolidated Statements of Earnings within “Other (income) expense, net.” Foreign currency transaction gains/(losses) were not material for any periods presented.</w:t>
      </w:r>
    </w:p>
    <w:p>
      <w:pPr>
        <w:spacing w:after="0" w:line="62"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i w:val="1"/>
          <w:iCs w:val="1"/>
          <w:color w:val="auto"/>
        </w:rPr>
        <w:t>Goodwill and Other Intangibles</w:t>
      </w:r>
      <w:r>
        <w:rPr>
          <w:rFonts w:ascii="Arial" w:cs="Arial" w:eastAsia="Arial" w:hAnsi="Arial"/>
          <w:sz w:val="18"/>
          <w:szCs w:val="18"/>
          <w:color w:val="auto"/>
        </w:rPr>
        <w:t>—Roper accounts for goodwill in a purchase business combination as the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cost over the estimated fair value of net assets acquired. Business combinations can also result in the recognition of other intangible assets. Amortization of intangible assets, if applicable, occurs over their estimated useful lives. Goodwill, which is not amortized, is tested for impairment on an annual basis (or an interim basis if an event occurs or circumstances change that would more likely than not reduce the fair value of a reporting unit below its carrying value). When testing goodwill for impairment, the Company has the option to first assess qualitative factors to deter-mine whether the existence of events or circumstances leads to a determination that it is more likely than not that the estimated fair value of a reporting unit is less than its carrying amount. If the Company elects to perform a quali-tative assessment and determines that an impairment is more likely than not, then performance of the quantitative impairment test is required. The quantitative assessment utilizes the equal weighting of both an income approach (discounted cash flow) and a market approach (consisting of a comparable public company earnings multiples meth-</w:t>
      </w:r>
      <w:r>
        <w:rPr>
          <w:rFonts w:ascii="Arial" w:cs="Arial" w:eastAsia="Arial" w:hAnsi="Arial"/>
          <w:sz w:val="18"/>
          <w:szCs w:val="18"/>
          <w:color w:val="auto"/>
        </w:rPr>
        <w:t>ɁǁɁȢɁǼʰ</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ǉɰɽȈȴƃɽǉ</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 xml:space="preserve"> ɨǉɥɁɨɽȈȶǼ</w:t>
      </w:r>
      <w:r>
        <w:rPr>
          <w:rFonts w:ascii="PMingLiU" w:cs="PMingLiU" w:eastAsia="PMingLiU" w:hAnsi="PMingLiU"/>
          <w:sz w:val="18"/>
          <w:szCs w:val="18"/>
          <w:color w:val="auto"/>
        </w:rPr>
        <w:t/>
      </w:r>
      <w:r>
        <w:rPr>
          <w:rFonts w:ascii="Arial" w:cs="Arial" w:eastAsia="Arial" w:hAnsi="Arial"/>
          <w:sz w:val="18"/>
          <w:szCs w:val="18"/>
          <w:color w:val="auto"/>
        </w:rPr>
        <w:t>ʍȶȈɽ</w:t>
      </w:r>
      <w:r>
        <w:rPr>
          <w:rFonts w:ascii="Arial" w:cs="Arial" w:eastAsia="Arial" w:hAnsi="Arial"/>
          <w:sz w:val="18"/>
          <w:szCs w:val="18"/>
          <w:color w:val="auto"/>
        </w:rPr>
        <w:t>ӝ</w:t>
      </w:r>
      <w:r>
        <w:rPr>
          <w:rFonts w:ascii="Arial" w:cs="Arial" w:eastAsia="Arial" w:hAnsi="Arial"/>
          <w:sz w:val="18"/>
          <w:szCs w:val="18"/>
          <w:color w:val="auto"/>
        </w:rPr>
        <w:t>ԝěɁ</w:t>
      </w:r>
      <w:r>
        <w:rPr>
          <w:rFonts w:ascii="PMingLiU" w:cs="PMingLiU" w:eastAsia="PMingLiU" w:hAnsi="PMingLiU"/>
          <w:sz w:val="18"/>
          <w:szCs w:val="18"/>
          <w:color w:val="auto"/>
        </w:rPr>
        <w:t/>
      </w:r>
      <w:r>
        <w:rPr>
          <w:rFonts w:ascii="Arial" w:cs="Arial" w:eastAsia="Arial" w:hAnsi="Arial"/>
          <w:sz w:val="18"/>
          <w:szCs w:val="18"/>
          <w:color w:val="auto"/>
        </w:rPr>
        <w:t>ǁǉɽǉɨȴȈȶǉ</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ɨǉƃɰɁȶƃƹȢǉȶǉɰɰ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ǉɰɽȈȴƃɽǉǁ</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the Company reviews the assumptions to ensure that neither the income approach nor the market approach pro-</w:t>
      </w:r>
      <w:r>
        <w:rPr>
          <w:rFonts w:ascii="Arial" w:cs="Arial" w:eastAsia="Arial" w:hAnsi="Arial"/>
          <w:sz w:val="18"/>
          <w:szCs w:val="18"/>
          <w:color w:val="auto"/>
        </w:rPr>
        <w:t>ʤȈǁǉɰ</w:t>
      </w:r>
      <w:r>
        <w:rPr>
          <w:rFonts w:ascii="PMingLiU" w:cs="PMingLiU" w:eastAsia="PMingLiU" w:hAnsi="PMingLiU"/>
          <w:sz w:val="18"/>
          <w:szCs w:val="18"/>
          <w:color w:val="auto"/>
        </w:rPr>
        <w:t/>
      </w:r>
      <w:r>
        <w:rPr>
          <w:rFonts w:ascii="Arial" w:cs="Arial" w:eastAsia="Arial" w:hAnsi="Arial"/>
          <w:sz w:val="18"/>
          <w:szCs w:val="18"/>
          <w:color w:val="auto"/>
        </w:rPr>
        <w:t>ɰȈǼȶȈǹȈƺƃȶɽȢʰ</w:t>
      </w:r>
      <w:r>
        <w:rPr>
          <w:rFonts w:ascii="PMingLiU" w:cs="PMingLiU" w:eastAsia="PMingLiU" w:hAnsi="PMingLiU"/>
          <w:sz w:val="18"/>
          <w:szCs w:val="18"/>
          <w:color w:val="auto"/>
        </w:rPr>
        <w:t/>
      </w:r>
      <w:r>
        <w:rPr>
          <w:rFonts w:ascii="Arial" w:cs="Arial" w:eastAsia="Arial" w:hAnsi="Arial"/>
          <w:sz w:val="18"/>
          <w:szCs w:val="18"/>
          <w:color w:val="auto"/>
        </w:rPr>
        <w:t>ǁȈǹǹǉɨǉȶɽ</w:t>
      </w:r>
      <w:r>
        <w:rPr>
          <w:rFonts w:ascii="PMingLiU" w:cs="PMingLiU" w:eastAsia="PMingLiU" w:hAnsi="PMingLiU"/>
          <w:sz w:val="18"/>
          <w:szCs w:val="18"/>
          <w:color w:val="auto"/>
        </w:rPr>
        <w:t/>
      </w:r>
      <w:r>
        <w:rPr>
          <w:rFonts w:ascii="Arial" w:cs="Arial" w:eastAsia="Arial" w:hAnsi="Arial"/>
          <w:sz w:val="18"/>
          <w:szCs w:val="18"/>
          <w:color w:val="auto"/>
        </w:rPr>
        <w:t>ʤƃȢʍƃɽȈɁȶɰ</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w:t>
      </w:r>
      <w:r>
        <w:rPr>
          <w:rFonts w:ascii="Arial" w:cs="Arial" w:eastAsia="Arial" w:hAnsi="Arial"/>
          <w:sz w:val="18"/>
          <w:szCs w:val="18"/>
          <w:color w:val="auto"/>
        </w:rPr>
        <w:t>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ǉɰɽȈȴƃɽǉǁ</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ǉʯƺǉǉǁɰ</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ƺƃɨɨʰȈȶǼ</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ȶɁ</w:t>
      </w:r>
      <w:r>
        <w:rPr>
          <w:rFonts w:ascii="PMingLiU" w:cs="PMingLiU" w:eastAsia="PMingLiU" w:hAnsi="PMingLiU"/>
          <w:sz w:val="18"/>
          <w:szCs w:val="18"/>
          <w:color w:val="auto"/>
        </w:rPr>
        <w:t/>
      </w:r>
      <w:r>
        <w:rPr>
          <w:rFonts w:ascii="Arial" w:cs="Arial" w:eastAsia="Arial" w:hAnsi="Arial"/>
          <w:sz w:val="18"/>
          <w:szCs w:val="18"/>
          <w:color w:val="auto"/>
        </w:rPr>
        <w:t>ǹʍɨɽȃǉɨ</w:t>
      </w:r>
      <w:r>
        <w:rPr>
          <w:rFonts w:ascii="PMingLiU" w:cs="PMingLiU" w:eastAsia="PMingLiU" w:hAnsi="PMingLiU"/>
          <w:sz w:val="18"/>
          <w:szCs w:val="18"/>
          <w:color w:val="auto"/>
        </w:rPr>
        <w:t/>
      </w:r>
      <w:r>
        <w:rPr>
          <w:rFonts w:ascii="Arial" w:cs="Arial" w:eastAsia="Arial" w:hAnsi="Arial"/>
          <w:sz w:val="18"/>
          <w:szCs w:val="18"/>
          <w:color w:val="auto"/>
        </w:rPr>
        <w:t>ʥɁɨȟ</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ɨǉɧʍȈɨǉǁ</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ȶɁ</w:t>
      </w:r>
      <w:r>
        <w:rPr>
          <w:rFonts w:ascii="PMingLiU" w:cs="PMingLiU" w:eastAsia="PMingLiU" w:hAnsi="PMingLiU"/>
          <w:sz w:val="18"/>
          <w:szCs w:val="18"/>
          <w:color w:val="auto"/>
        </w:rPr>
        <w:t/>
      </w:r>
      <w:r>
        <w:rPr>
          <w:rFonts w:ascii="Arial" w:cs="Arial" w:eastAsia="Arial" w:hAnsi="Arial"/>
          <w:sz w:val="18"/>
          <w:szCs w:val="18"/>
          <w:color w:val="auto"/>
        </w:rPr>
        <w:t>ȈȴɥƃȈɨȴǉȶɽ</w:t>
      </w:r>
      <w:r>
        <w:rPr>
          <w:rFonts w:ascii="PMingLiU" w:cs="PMingLiU" w:eastAsia="PMingLiU" w:hAnsi="PMingLiU"/>
          <w:sz w:val="18"/>
          <w:szCs w:val="18"/>
          <w:color w:val="auto"/>
        </w:rPr>
        <w:t/>
      </w:r>
      <w:r>
        <w:rPr>
          <w:rFonts w:ascii="Arial" w:cs="Arial" w:eastAsia="Arial" w:hAnsi="Arial"/>
          <w:sz w:val="18"/>
          <w:szCs w:val="18"/>
          <w:color w:val="auto"/>
        </w:rPr>
        <w:t xml:space="preserve"> ȢɁɰɰ</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ɨǉƺɁǼȶȈ˃ǉǁ</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w:t>
      </w:r>
      <w:r>
        <w:rPr>
          <w:rFonts w:ascii="Arial" w:cs="Arial" w:eastAsia="Arial" w:hAnsi="Arial"/>
          <w:sz w:val="18"/>
          <w:szCs w:val="18"/>
          <w:color w:val="auto"/>
        </w:rPr>
        <w:t>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ƺƃɨɨʰȈȶǼ</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ǉʯƺǉǉǁɰ</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ǉɰɽȈȴƃɽǉǁ</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ȶɁȶ</w:t>
      </w:r>
      <w:r>
        <w:rPr>
          <w:rFonts w:ascii="Arial" w:cs="Arial" w:eastAsia="Arial" w:hAnsi="Arial"/>
          <w:sz w:val="18"/>
          <w:szCs w:val="18"/>
          <w:color w:val="auto"/>
        </w:rPr>
        <w:t>Ӹ</w:t>
      </w:r>
      <w:r>
        <w:rPr>
          <w:rFonts w:ascii="Arial" w:cs="Arial" w:eastAsia="Arial" w:hAnsi="Arial"/>
          <w:sz w:val="18"/>
          <w:szCs w:val="18"/>
          <w:color w:val="auto"/>
        </w:rPr>
        <w:t>ƺƃɰȃ</w:t>
      </w:r>
      <w:r>
        <w:rPr>
          <w:rFonts w:ascii="PMingLiU" w:cs="PMingLiU" w:eastAsia="PMingLiU" w:hAnsi="PMingLiU"/>
          <w:sz w:val="18"/>
          <w:szCs w:val="18"/>
          <w:color w:val="auto"/>
        </w:rPr>
        <w:t/>
      </w:r>
      <w:r>
        <w:rPr>
          <w:rFonts w:ascii="Arial" w:cs="Arial" w:eastAsia="Arial" w:hAnsi="Arial"/>
          <w:sz w:val="18"/>
          <w:szCs w:val="18"/>
          <w:color w:val="auto"/>
        </w:rPr>
        <w:t>ȈȴɥƃȈɨȴǉȶɽ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loss is recognized in the amount of that excess.</w:t>
      </w:r>
    </w:p>
    <w:p>
      <w:pPr>
        <w:spacing w:after="0" w:line="288" w:lineRule="exact"/>
        <w:rPr>
          <w:sz w:val="20"/>
          <w:szCs w:val="20"/>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When performing the quantitative assessment, key assumptions used in the income and market approaches are </w:t>
      </w:r>
      <w:r>
        <w:rPr>
          <w:rFonts w:ascii="Arial" w:cs="Arial" w:eastAsia="Arial" w:hAnsi="Arial"/>
          <w:sz w:val="18"/>
          <w:szCs w:val="18"/>
          <w:color w:val="auto"/>
        </w:rPr>
        <w:t>ʍɥǁƃɽǉǁ</w:t>
      </w:r>
      <w:r>
        <w:rPr>
          <w:rFonts w:ascii="PMingLiU" w:cs="PMingLiU" w:eastAsia="PMingLiU" w:hAnsi="PMingLiU"/>
          <w:sz w:val="18"/>
          <w:szCs w:val="18"/>
          <w:color w:val="auto"/>
        </w:rPr>
        <w:t/>
      </w:r>
      <w:r>
        <w:rPr>
          <w:rFonts w:ascii="Arial" w:cs="Arial" w:eastAsia="Arial" w:hAnsi="Arial"/>
          <w:sz w:val="18"/>
          <w:szCs w:val="18"/>
          <w:color w:val="auto"/>
        </w:rPr>
        <w:t xml:space="preserve"> ʥȃǉȶ</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ƃȶƃȢʰɰȈɰ</w:t>
      </w:r>
      <w:r>
        <w:rPr>
          <w:rFonts w:ascii="PMingLiU" w:cs="PMingLiU" w:eastAsia="PMingLiU" w:hAnsi="PMingLiU"/>
          <w:sz w:val="18"/>
          <w:szCs w:val="18"/>
          <w:color w:val="auto"/>
        </w:rPr>
        <w:t/>
      </w:r>
      <w:r>
        <w:rPr>
          <w:rFonts w:ascii="Arial" w:cs="Arial" w:eastAsia="Arial" w:hAnsi="Arial"/>
          <w:sz w:val="18"/>
          <w:szCs w:val="18"/>
          <w:color w:val="auto"/>
        </w:rPr>
        <w:t xml:space="preserve"> Ȉɰ</w:t>
      </w:r>
      <w:r>
        <w:rPr>
          <w:rFonts w:ascii="PMingLiU" w:cs="PMingLiU" w:eastAsia="PMingLiU" w:hAnsi="PMingLiU"/>
          <w:sz w:val="18"/>
          <w:szCs w:val="18"/>
          <w:color w:val="auto"/>
        </w:rPr>
        <w:t/>
      </w:r>
      <w:r>
        <w:rPr>
          <w:rFonts w:ascii="Arial" w:cs="Arial" w:eastAsia="Arial" w:hAnsi="Arial"/>
          <w:sz w:val="18"/>
          <w:szCs w:val="18"/>
          <w:color w:val="auto"/>
        </w:rPr>
        <w:t xml:space="preserve"> ɥǉɨǹɁɨȴǉǁ</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 xml:space="preserve"> ǉƃƺȃ</w:t>
      </w:r>
      <w:r>
        <w:rPr>
          <w:rFonts w:ascii="PMingLiU" w:cs="PMingLiU" w:eastAsia="PMingLiU" w:hAnsi="PMingLiU"/>
          <w:sz w:val="18"/>
          <w:szCs w:val="18"/>
          <w:color w:val="auto"/>
        </w:rPr>
        <w:t/>
      </w:r>
      <w:r>
        <w:rPr>
          <w:rFonts w:ascii="Arial" w:cs="Arial" w:eastAsia="Arial" w:hAnsi="Arial"/>
          <w:sz w:val="18"/>
          <w:szCs w:val="18"/>
          <w:color w:val="auto"/>
        </w:rPr>
        <w:t xml:space="preserve"> ɨǉɥɁɨɽȈȶǼ</w:t>
      </w:r>
      <w:r>
        <w:rPr>
          <w:rFonts w:ascii="PMingLiU" w:cs="PMingLiU" w:eastAsia="PMingLiU" w:hAnsi="PMingLiU"/>
          <w:sz w:val="18"/>
          <w:szCs w:val="18"/>
          <w:color w:val="auto"/>
        </w:rPr>
        <w:t/>
      </w:r>
      <w:r>
        <w:rPr>
          <w:rFonts w:ascii="Arial" w:cs="Arial" w:eastAsia="Arial" w:hAnsi="Arial"/>
          <w:sz w:val="18"/>
          <w:szCs w:val="18"/>
          <w:color w:val="auto"/>
        </w:rPr>
        <w:t xml:space="preserve"> ʍȶȈɽ</w:t>
      </w:r>
      <w:r>
        <w:rPr>
          <w:rFonts w:ascii="Arial" w:cs="Arial" w:eastAsia="Arial" w:hAnsi="Arial"/>
          <w:sz w:val="18"/>
          <w:szCs w:val="18"/>
          <w:color w:val="auto"/>
        </w:rPr>
        <w:t>ӝ</w:t>
      </w:r>
      <w:r>
        <w:rPr>
          <w:rFonts w:ascii="Arial" w:cs="Arial" w:eastAsia="Arial" w:hAnsi="Arial"/>
          <w:sz w:val="18"/>
          <w:szCs w:val="18"/>
          <w:color w:val="auto"/>
        </w:rPr>
        <w:t>ԝ ěȃǉ</w:t>
      </w:r>
      <w:r>
        <w:rPr>
          <w:rFonts w:ascii="PMingLiU" w:cs="PMingLiU" w:eastAsia="PMingLiU" w:hAnsi="PMingLiU"/>
          <w:sz w:val="18"/>
          <w:szCs w:val="18"/>
          <w:color w:val="auto"/>
        </w:rPr>
        <w:t/>
      </w:r>
      <w:r>
        <w:rPr>
          <w:rFonts w:ascii="Arial" w:cs="Arial" w:eastAsia="Arial" w:hAnsi="Arial"/>
          <w:sz w:val="18"/>
          <w:szCs w:val="18"/>
          <w:color w:val="auto"/>
        </w:rPr>
        <w:t xml:space="preserve"> ƃɰɰʍȴɥɽȈɁȶɰ</w:t>
      </w:r>
      <w:r>
        <w:rPr>
          <w:rFonts w:ascii="PMingLiU" w:cs="PMingLiU" w:eastAsia="PMingLiU" w:hAnsi="PMingLiU"/>
          <w:sz w:val="18"/>
          <w:szCs w:val="18"/>
          <w:color w:val="auto"/>
        </w:rPr>
        <w:t/>
      </w:r>
      <w:r>
        <w:rPr>
          <w:rFonts w:ascii="Arial" w:cs="Arial" w:eastAsia="Arial" w:hAnsi="Arial"/>
          <w:sz w:val="18"/>
          <w:szCs w:val="18"/>
          <w:color w:val="auto"/>
        </w:rPr>
        <w:t xml:space="preserve"> ɽȃƃɽ</w:t>
      </w:r>
      <w:r>
        <w:rPr>
          <w:rFonts w:ascii="PMingLiU" w:cs="PMingLiU" w:eastAsia="PMingLiU" w:hAnsi="PMingLiU"/>
          <w:sz w:val="18"/>
          <w:szCs w:val="18"/>
          <w:color w:val="auto"/>
        </w:rPr>
        <w:t/>
      </w:r>
      <w:r>
        <w:rPr>
          <w:rFonts w:ascii="Arial" w:cs="Arial" w:eastAsia="Arial" w:hAnsi="Arial"/>
          <w:sz w:val="18"/>
          <w:szCs w:val="18"/>
          <w:color w:val="auto"/>
        </w:rPr>
        <w:t xml:space="preserve"> ȃƃʤǉ</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ȴɁɰɽ</w:t>
      </w:r>
      <w:r>
        <w:rPr>
          <w:rFonts w:ascii="PMingLiU" w:cs="PMingLiU" w:eastAsia="PMingLiU" w:hAnsi="PMingLiU"/>
          <w:sz w:val="18"/>
          <w:szCs w:val="18"/>
          <w:color w:val="auto"/>
        </w:rPr>
        <w:t/>
      </w:r>
      <w:r>
        <w:rPr>
          <w:rFonts w:ascii="Arial" w:cs="Arial" w:eastAsia="Arial" w:hAnsi="Arial"/>
          <w:sz w:val="18"/>
          <w:szCs w:val="18"/>
          <w:color w:val="auto"/>
        </w:rPr>
        <w:t xml:space="preserve"> ɰȈǼȶȈǹȈƺƃȶɽ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effect on the fair value calculations are the projected revenue growth rates, future operating margins, discount rates, </w:t>
      </w:r>
      <w:r>
        <w:rPr>
          <w:rFonts w:ascii="Arial" w:cs="Arial" w:eastAsia="Arial" w:hAnsi="Arial"/>
          <w:sz w:val="18"/>
          <w:szCs w:val="18"/>
          <w:color w:val="auto"/>
        </w:rPr>
        <w:t>ɽǉɨȴȈȶƃȢ</w:t>
      </w:r>
      <w:r>
        <w:rPr>
          <w:rFonts w:ascii="PMingLiU" w:cs="PMingLiU" w:eastAsia="PMingLiU" w:hAnsi="PMingLiU"/>
          <w:sz w:val="18"/>
          <w:szCs w:val="18"/>
          <w:color w:val="auto"/>
        </w:rPr>
        <w:t/>
      </w:r>
      <w:r>
        <w:rPr>
          <w:rFonts w:ascii="Arial" w:cs="Arial" w:eastAsia="Arial" w:hAnsi="Arial"/>
          <w:sz w:val="18"/>
          <w:szCs w:val="18"/>
          <w:color w:val="auto"/>
        </w:rPr>
        <w:t>ʤƃȢʍǉɰ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ǉƃɨȶȈȶǼɰ</w:t>
      </w:r>
      <w:r>
        <w:rPr>
          <w:rFonts w:ascii="PMingLiU" w:cs="PMingLiU" w:eastAsia="PMingLiU" w:hAnsi="PMingLiU"/>
          <w:sz w:val="18"/>
          <w:szCs w:val="18"/>
          <w:color w:val="auto"/>
        </w:rPr>
        <w:t/>
      </w:r>
      <w:r>
        <w:rPr>
          <w:rFonts w:ascii="Arial" w:cs="Arial" w:eastAsia="Arial" w:hAnsi="Arial"/>
          <w:sz w:val="18"/>
          <w:szCs w:val="18"/>
          <w:color w:val="auto"/>
        </w:rPr>
        <w:t xml:space="preserve"> ȴʍȢɽȈɥȢǉɰ</w:t>
      </w:r>
      <w:r>
        <w:rPr>
          <w:rFonts w:ascii="Arial" w:cs="Arial" w:eastAsia="Arial" w:hAnsi="Arial"/>
          <w:sz w:val="18"/>
          <w:szCs w:val="18"/>
          <w:color w:val="auto"/>
        </w:rPr>
        <w:t>ӝ</w:t>
      </w:r>
      <w:r>
        <w:rPr>
          <w:rFonts w:ascii="Arial" w:cs="Arial" w:eastAsia="Arial" w:hAnsi="Arial"/>
          <w:sz w:val="18"/>
          <w:szCs w:val="18"/>
          <w:color w:val="auto"/>
        </w:rPr>
        <w:t>ԝŚȃȈȢǉ</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 xml:space="preserve"> :Ɂȴɥƃȶʰ</w:t>
      </w:r>
      <w:r>
        <w:rPr>
          <w:rFonts w:ascii="PMingLiU" w:cs="PMingLiU" w:eastAsia="PMingLiU" w:hAnsi="PMingLiU"/>
          <w:sz w:val="18"/>
          <w:szCs w:val="18"/>
          <w:color w:val="auto"/>
        </w:rPr>
        <w:t/>
      </w:r>
      <w:r>
        <w:rPr>
          <w:rFonts w:ascii="Arial" w:cs="Arial" w:eastAsia="Arial" w:hAnsi="Arial"/>
          <w:sz w:val="18"/>
          <w:szCs w:val="18"/>
          <w:color w:val="auto"/>
        </w:rPr>
        <w:t>ʍɰǉɰ</w:t>
      </w:r>
      <w:r>
        <w:rPr>
          <w:rFonts w:ascii="PMingLiU" w:cs="PMingLiU" w:eastAsia="PMingLiU" w:hAnsi="PMingLiU"/>
          <w:sz w:val="18"/>
          <w:szCs w:val="18"/>
          <w:color w:val="auto"/>
        </w:rPr>
        <w:t/>
      </w:r>
      <w:r>
        <w:rPr>
          <w:rFonts w:ascii="Arial" w:cs="Arial" w:eastAsia="Arial" w:hAnsi="Arial"/>
          <w:sz w:val="18"/>
          <w:szCs w:val="18"/>
          <w:color w:val="auto"/>
        </w:rPr>
        <w:t>ɨǉƃɰɁȶƃƹȢǉ</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 xml:space="preserve"> ɽȈȴǉȢʰ</w:t>
      </w:r>
      <w:r>
        <w:rPr>
          <w:rFonts w:ascii="PMingLiU" w:cs="PMingLiU" w:eastAsia="PMingLiU" w:hAnsi="PMingLiU"/>
          <w:sz w:val="18"/>
          <w:szCs w:val="18"/>
          <w:color w:val="auto"/>
        </w:rPr>
        <w:t/>
      </w:r>
      <w:r>
        <w:rPr>
          <w:rFonts w:ascii="Arial" w:cs="Arial" w:eastAsia="Arial" w:hAnsi="Arial"/>
          <w:sz w:val="18"/>
          <w:szCs w:val="18"/>
          <w:color w:val="auto"/>
        </w:rPr>
        <w:t>ȈȶǹɁɨȴƃɽȈɁȶ</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ɥɨǉɥƃɨǉ</w:t>
      </w:r>
      <w:r>
        <w:rPr>
          <w:rFonts w:ascii="PMingLiU" w:cs="PMingLiU" w:eastAsia="PMingLiU" w:hAnsi="PMingLiU"/>
          <w:sz w:val="18"/>
          <w:szCs w:val="18"/>
          <w:color w:val="auto"/>
        </w:rPr>
        <w:t/>
      </w:r>
      <w:r>
        <w:rPr>
          <w:rFonts w:ascii="Arial" w:cs="Arial" w:eastAsia="Arial" w:hAnsi="Arial"/>
          <w:sz w:val="18"/>
          <w:szCs w:val="18"/>
          <w:color w:val="auto"/>
        </w:rPr>
        <w:t>Ȉɽɰ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discounted cash flow analysis, actual future cash flows or market conditions could differ significantly and could result in future impairment charges related to recorded goodwill balances.</w:t>
      </w:r>
    </w:p>
    <w:p>
      <w:pPr>
        <w:spacing w:after="0" w:line="68" w:lineRule="exact"/>
        <w:rPr>
          <w:sz w:val="20"/>
          <w:szCs w:val="20"/>
          <w:color w:val="auto"/>
        </w:rPr>
      </w:pPr>
    </w:p>
    <w:p>
      <w:pPr>
        <w:jc w:val="both"/>
        <w:spacing w:after="0" w:line="234" w:lineRule="exact"/>
        <w:rPr>
          <w:sz w:val="20"/>
          <w:szCs w:val="20"/>
          <w:color w:val="auto"/>
        </w:rPr>
      </w:pPr>
      <w:r>
        <w:rPr>
          <w:rFonts w:ascii="Arial" w:cs="Arial" w:eastAsia="Arial" w:hAnsi="Arial"/>
          <w:sz w:val="18"/>
          <w:szCs w:val="18"/>
          <w:color w:val="auto"/>
        </w:rPr>
        <w:t xml:space="preserve">As of the annual impairment test, Roper has 25 reporting units with individual goodwill amounts ranging from $17.5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јӗјќіӝўӝ</w:t>
      </w:r>
      <w:r>
        <w:rPr>
          <w:rFonts w:ascii="Arial" w:cs="Arial" w:eastAsia="Arial" w:hAnsi="Arial"/>
          <w:sz w:val="18"/>
          <w:szCs w:val="18"/>
          <w:color w:val="auto"/>
        </w:rPr>
        <w:t>ԝ</w:t>
      </w:r>
      <w:r>
        <w:rPr>
          <w:rFonts w:ascii="PMingLiU" w:cs="PMingLiU" w:eastAsia="PMingLiU" w:hAnsi="PMingLiU"/>
          <w:sz w:val="18"/>
          <w:szCs w:val="18"/>
          <w:color w:val="auto"/>
        </w:rPr>
        <w:t></w:t>
      </w:r>
      <w:r>
        <w:rPr>
          <w:rFonts w:ascii="Arial" w:cs="Arial" w:eastAsia="Arial" w:hAnsi="Arial"/>
          <w:sz w:val="18"/>
          <w:szCs w:val="18"/>
          <w:color w:val="auto"/>
        </w:rPr>
        <w:t>ȶ</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ɥǉɨǹɁɨȴǉǁ</w:t>
      </w:r>
      <w:r>
        <w:rPr>
          <w:rFonts w:ascii="PMingLiU" w:cs="PMingLiU" w:eastAsia="PMingLiU" w:hAnsi="PMingLiU"/>
          <w:sz w:val="18"/>
          <w:szCs w:val="18"/>
          <w:color w:val="auto"/>
        </w:rPr>
        <w:t/>
      </w:r>
      <w:r>
        <w:rPr>
          <w:rFonts w:ascii="Arial" w:cs="Arial" w:eastAsia="Arial" w:hAnsi="Arial"/>
          <w:sz w:val="18"/>
          <w:szCs w:val="18"/>
          <w:color w:val="auto"/>
        </w:rPr>
        <w:t>Ȉɽɰ</w:t>
      </w:r>
      <w:r>
        <w:rPr>
          <w:rFonts w:ascii="PMingLiU" w:cs="PMingLiU" w:eastAsia="PMingLiU" w:hAnsi="PMingLiU"/>
          <w:sz w:val="18"/>
          <w:szCs w:val="18"/>
          <w:color w:val="auto"/>
        </w:rPr>
        <w:t/>
      </w:r>
      <w:r>
        <w:rPr>
          <w:rFonts w:ascii="Arial" w:cs="Arial" w:eastAsia="Arial" w:hAnsi="Arial"/>
          <w:sz w:val="18"/>
          <w:szCs w:val="18"/>
          <w:color w:val="auto"/>
        </w:rPr>
        <w:t>ƃȶȶʍƃȢ</w:t>
      </w:r>
      <w:r>
        <w:rPr>
          <w:rFonts w:ascii="PMingLiU" w:cs="PMingLiU" w:eastAsia="PMingLiU" w:hAnsi="PMingLiU"/>
          <w:sz w:val="18"/>
          <w:szCs w:val="18"/>
          <w:color w:val="auto"/>
        </w:rPr>
        <w:t/>
      </w:r>
      <w:r>
        <w:rPr>
          <w:rFonts w:ascii="Arial" w:cs="Arial" w:eastAsia="Arial" w:hAnsi="Arial"/>
          <w:sz w:val="18"/>
          <w:szCs w:val="18"/>
          <w:color w:val="auto"/>
        </w:rPr>
        <w:t>ȈȴɥƃȈɨȴǉȶɽ</w:t>
      </w:r>
      <w:r>
        <w:rPr>
          <w:rFonts w:ascii="PMingLiU" w:cs="PMingLiU" w:eastAsia="PMingLiU" w:hAnsi="PMingLiU"/>
          <w:sz w:val="18"/>
          <w:szCs w:val="18"/>
          <w:color w:val="auto"/>
        </w:rPr>
        <w:t/>
      </w:r>
      <w:r>
        <w:rPr>
          <w:rFonts w:ascii="Arial" w:cs="Arial" w:eastAsia="Arial" w:hAnsi="Arial"/>
          <w:sz w:val="18"/>
          <w:szCs w:val="18"/>
          <w:color w:val="auto"/>
        </w:rPr>
        <w:t>ɽǉɰɽ</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ǹɁʍɨɽȃ</w:t>
      </w:r>
      <w:r>
        <w:rPr>
          <w:rFonts w:ascii="PMingLiU" w:cs="PMingLiU" w:eastAsia="PMingLiU" w:hAnsi="PMingLiU"/>
          <w:sz w:val="18"/>
          <w:szCs w:val="18"/>
          <w:color w:val="auto"/>
        </w:rPr>
        <w:t/>
      </w:r>
      <w:r>
        <w:rPr>
          <w:rFonts w:ascii="Arial" w:cs="Arial" w:eastAsia="Arial" w:hAnsi="Arial"/>
          <w:sz w:val="18"/>
          <w:szCs w:val="18"/>
          <w:color w:val="auto"/>
        </w:rPr>
        <w:t>ɧʍƃɨɽǉɨ</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ƃȢȢ</w:t>
      </w:r>
      <w:r>
        <w:rPr>
          <w:rFonts w:ascii="PMingLiU" w:cs="PMingLiU" w:eastAsia="PMingLiU" w:hAnsi="PMingLiU"/>
          <w:sz w:val="18"/>
          <w:szCs w:val="18"/>
          <w:color w:val="auto"/>
        </w:rPr>
        <w:t/>
      </w:r>
      <w:r>
        <w:rPr>
          <w:rFonts w:ascii="Arial" w:cs="Arial" w:eastAsia="Arial" w:hAnsi="Arial"/>
          <w:sz w:val="18"/>
          <w:szCs w:val="18"/>
          <w:color w:val="auto"/>
        </w:rPr>
        <w:t>ɨǉɥɁɨɽȈȶǼ</w:t>
      </w:r>
      <w:r>
        <w:rPr>
          <w:rFonts w:ascii="PMingLiU" w:cs="PMingLiU" w:eastAsia="PMingLiU" w:hAnsi="PMingLiU"/>
          <w:sz w:val="18"/>
          <w:szCs w:val="18"/>
          <w:color w:val="auto"/>
        </w:rPr>
        <w:t/>
      </w:r>
      <w:r>
        <w:rPr>
          <w:rFonts w:ascii="Arial" w:cs="Arial" w:eastAsia="Arial" w:hAnsi="Arial"/>
          <w:sz w:val="18"/>
          <w:szCs w:val="18"/>
          <w:color w:val="auto"/>
        </w:rPr>
        <w:t>ʍȶȈɽɰ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The Company conducted its analysis qualitatively and assessed whether it was more likely than not that the</w:t>
      </w:r>
    </w:p>
    <w:p>
      <w:pPr>
        <w:sectPr>
          <w:pgSz w:w="12240" w:h="15840" w:orient="portrait"/>
          <w:cols w:equalWidth="0" w:num="1">
            <w:col w:w="10380"/>
          </w:cols>
          <w:pgMar w:left="960" w:top="929" w:right="900" w:bottom="9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29" w:right="900" w:bottom="90" w:gutter="0" w:footer="0" w:header="0"/>
          <w:type w:val="continuous"/>
        </w:sectPr>
      </w:pPr>
    </w:p>
    <w:bookmarkStart w:id="44" w:name="page45"/>
    <w:bookmarkEnd w:id="44"/>
    <w:p>
      <w:pPr>
        <w:jc w:val="both"/>
        <w:ind w:right="6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respective fair values of these reporting units were less than their carrying amounts. The Company determined that impairment of goodwill was not likely in any of its reporting units and thus was not required to perform a quantitative assessment for these reporting units.</w:t>
      </w:r>
    </w:p>
    <w:p>
      <w:pPr>
        <w:spacing w:after="0" w:line="27"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Recently acquired reporting units generally represent a higher inherent risk of impairment, which typically decreases as the businesses are integrated into the enterprise. Negative industry or economic trends, disruptions to its business, actual results significantly below expected results, unexpected significant changes or planned changes in the use of the assets, divestitures, and market capitalization declines may have a negative effect on the fair value of Roper’s reporting units.</w:t>
      </w:r>
    </w:p>
    <w:p>
      <w:pPr>
        <w:spacing w:after="0" w:line="268" w:lineRule="exact"/>
        <w:rPr>
          <w:sz w:val="20"/>
          <w:szCs w:val="20"/>
          <w:color w:val="auto"/>
        </w:rPr>
      </w:pPr>
    </w:p>
    <w:p>
      <w:pPr>
        <w:jc w:val="both"/>
        <w:ind w:right="60"/>
        <w:spacing w:after="0" w:line="283" w:lineRule="auto"/>
        <w:rPr>
          <w:sz w:val="20"/>
          <w:szCs w:val="20"/>
          <w:color w:val="auto"/>
        </w:rPr>
      </w:pPr>
      <w:r>
        <w:rPr>
          <w:rFonts w:ascii="Arial" w:cs="Arial" w:eastAsia="Arial" w:hAnsi="Arial"/>
          <w:sz w:val="18"/>
          <w:szCs w:val="18"/>
          <w:color w:val="auto"/>
        </w:rPr>
        <w:t>The following events or circumstances, although not comprehensive, would be considered to determine whether interim testing of goodwill would be required:</w:t>
      </w:r>
    </w:p>
    <w:p>
      <w:pPr>
        <w:spacing w:after="0" w:line="7" w:lineRule="exact"/>
        <w:rPr>
          <w:sz w:val="20"/>
          <w:szCs w:val="20"/>
          <w:color w:val="auto"/>
        </w:rPr>
      </w:pPr>
    </w:p>
    <w:p>
      <w:pPr>
        <w:ind w:left="540" w:hanging="180"/>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w:t>
      </w:r>
    </w:p>
    <w:p>
      <w:pPr>
        <w:spacing w:after="0" w:line="68" w:lineRule="exact"/>
        <w:rPr>
          <w:rFonts w:ascii="Arial" w:cs="Arial" w:eastAsia="Arial" w:hAnsi="Arial"/>
          <w:sz w:val="18"/>
          <w:szCs w:val="18"/>
          <w:color w:val="auto"/>
        </w:rPr>
      </w:pPr>
    </w:p>
    <w:p>
      <w:pPr>
        <w:ind w:left="540" w:hanging="180"/>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68" w:lineRule="exact"/>
        <w:rPr>
          <w:rFonts w:ascii="Arial" w:cs="Arial" w:eastAsia="Arial" w:hAnsi="Arial"/>
          <w:sz w:val="18"/>
          <w:szCs w:val="18"/>
          <w:color w:val="auto"/>
        </w:rPr>
      </w:pPr>
    </w:p>
    <w:p>
      <w:pPr>
        <w:ind w:left="540" w:hanging="180"/>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68" w:lineRule="exact"/>
        <w:rPr>
          <w:rFonts w:ascii="Arial" w:cs="Arial" w:eastAsia="Arial" w:hAnsi="Arial"/>
          <w:sz w:val="18"/>
          <w:szCs w:val="18"/>
          <w:color w:val="auto"/>
        </w:rPr>
      </w:pPr>
    </w:p>
    <w:p>
      <w:pPr>
        <w:ind w:left="540" w:hanging="180"/>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loss of key personnel;</w:t>
      </w:r>
    </w:p>
    <w:p>
      <w:pPr>
        <w:spacing w:after="0" w:line="68" w:lineRule="exact"/>
        <w:rPr>
          <w:rFonts w:ascii="Arial" w:cs="Arial" w:eastAsia="Arial" w:hAnsi="Arial"/>
          <w:sz w:val="18"/>
          <w:szCs w:val="18"/>
          <w:color w:val="auto"/>
        </w:rPr>
      </w:pPr>
    </w:p>
    <w:p>
      <w:pPr>
        <w:ind w:left="540" w:right="60" w:hanging="180"/>
        <w:spacing w:after="0" w:line="28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w:t>
      </w:r>
    </w:p>
    <w:p>
      <w:pPr>
        <w:spacing w:after="0" w:line="6" w:lineRule="exact"/>
        <w:rPr>
          <w:rFonts w:ascii="Arial" w:cs="Arial" w:eastAsia="Arial" w:hAnsi="Arial"/>
          <w:sz w:val="18"/>
          <w:szCs w:val="18"/>
          <w:color w:val="auto"/>
        </w:rPr>
      </w:pPr>
    </w:p>
    <w:p>
      <w:pPr>
        <w:ind w:left="540" w:hanging="180"/>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a reporting unit; and</w:t>
      </w:r>
    </w:p>
    <w:p>
      <w:pPr>
        <w:spacing w:after="0" w:line="68" w:lineRule="exact"/>
        <w:rPr>
          <w:rFonts w:ascii="Arial" w:cs="Arial" w:eastAsia="Arial" w:hAnsi="Arial"/>
          <w:sz w:val="18"/>
          <w:szCs w:val="18"/>
          <w:color w:val="auto"/>
        </w:rPr>
      </w:pPr>
    </w:p>
    <w:p>
      <w:pPr>
        <w:ind w:left="540" w:right="60" w:hanging="180"/>
        <w:spacing w:after="0" w:line="27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recognition of a goodwill impairment loss in the financial statements of a subsidiary that is a component of a reporting unit.</w:t>
      </w:r>
    </w:p>
    <w:p>
      <w:pPr>
        <w:spacing w:after="0" w:line="309"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Trade names that are determined to have indefinite useful economic lives are not amortized, but are separately tested for impairment during the fourth quarter of the fiscal year or on an interim basis if an event occurs that indi-</w:t>
      </w:r>
      <w:r>
        <w:rPr>
          <w:rFonts w:ascii="Arial" w:cs="Arial" w:eastAsia="Arial" w:hAnsi="Arial"/>
          <w:sz w:val="18"/>
          <w:szCs w:val="18"/>
          <w:color w:val="auto"/>
        </w:rPr>
        <w:t>ƺƃɽǉɰ</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ǹƃȈɨ</w:t>
      </w:r>
      <w:r>
        <w:rPr>
          <w:rFonts w:ascii="PMingLiU" w:cs="PMingLiU" w:eastAsia="PMingLiU" w:hAnsi="PMingLiU"/>
          <w:sz w:val="18"/>
          <w:szCs w:val="18"/>
          <w:color w:val="auto"/>
        </w:rPr>
        <w:t/>
      </w:r>
      <w:r>
        <w:rPr>
          <w:rFonts w:ascii="Arial" w:cs="Arial" w:eastAsia="Arial" w:hAnsi="Arial"/>
          <w:sz w:val="18"/>
          <w:szCs w:val="18"/>
          <w:color w:val="auto"/>
        </w:rPr>
        <w:t xml:space="preserve"> ʤƃȢʍǉ</w:t>
      </w:r>
      <w:r>
        <w:rPr>
          <w:rFonts w:ascii="PMingLiU" w:cs="PMingLiU" w:eastAsia="PMingLiU" w:hAnsi="PMingLiU"/>
          <w:sz w:val="18"/>
          <w:szCs w:val="18"/>
          <w:color w:val="auto"/>
        </w:rPr>
        <w:t/>
      </w:r>
      <w:r>
        <w:rPr>
          <w:rFonts w:ascii="Arial" w:cs="Arial" w:eastAsia="Arial" w:hAnsi="Arial"/>
          <w:sz w:val="18"/>
          <w:szCs w:val="18"/>
          <w:color w:val="auto"/>
        </w:rPr>
        <w:t xml:space="preserve"> Ȉɰ</w:t>
      </w:r>
      <w:r>
        <w:rPr>
          <w:rFonts w:ascii="PMingLiU" w:cs="PMingLiU" w:eastAsia="PMingLiU" w:hAnsi="PMingLiU"/>
          <w:sz w:val="18"/>
          <w:szCs w:val="18"/>
          <w:color w:val="auto"/>
        </w:rPr>
        <w:t/>
      </w:r>
      <w:r>
        <w:rPr>
          <w:rFonts w:ascii="Arial" w:cs="Arial" w:eastAsia="Arial" w:hAnsi="Arial"/>
          <w:sz w:val="18"/>
          <w:szCs w:val="18"/>
          <w:color w:val="auto"/>
        </w:rPr>
        <w:t xml:space="preserve"> ȴɁɨǉ</w:t>
      </w:r>
      <w:r>
        <w:rPr>
          <w:rFonts w:ascii="PMingLiU" w:cs="PMingLiU" w:eastAsia="PMingLiU" w:hAnsi="PMingLiU"/>
          <w:sz w:val="18"/>
          <w:szCs w:val="18"/>
          <w:color w:val="auto"/>
        </w:rPr>
        <w:t/>
      </w:r>
      <w:r>
        <w:rPr>
          <w:rFonts w:ascii="Arial" w:cs="Arial" w:eastAsia="Arial" w:hAnsi="Arial"/>
          <w:sz w:val="18"/>
          <w:szCs w:val="18"/>
          <w:color w:val="auto"/>
        </w:rPr>
        <w:t xml:space="preserve"> ȢȈȟǉȢʰ</w:t>
      </w:r>
      <w:r>
        <w:rPr>
          <w:rFonts w:ascii="PMingLiU" w:cs="PMingLiU" w:eastAsia="PMingLiU" w:hAnsi="PMingLiU"/>
          <w:sz w:val="18"/>
          <w:szCs w:val="18"/>
          <w:color w:val="auto"/>
        </w:rPr>
        <w:t/>
      </w:r>
      <w:r>
        <w:rPr>
          <w:rFonts w:ascii="Arial" w:cs="Arial" w:eastAsia="Arial" w:hAnsi="Arial"/>
          <w:sz w:val="18"/>
          <w:szCs w:val="18"/>
          <w:color w:val="auto"/>
        </w:rPr>
        <w:t xml:space="preserve"> ɽȃƃȶ</w:t>
      </w:r>
      <w:r>
        <w:rPr>
          <w:rFonts w:ascii="PMingLiU" w:cs="PMingLiU" w:eastAsia="PMingLiU" w:hAnsi="PMingLiU"/>
          <w:sz w:val="18"/>
          <w:szCs w:val="18"/>
          <w:color w:val="auto"/>
        </w:rPr>
        <w:t/>
      </w:r>
      <w:r>
        <w:rPr>
          <w:rFonts w:ascii="Arial" w:cs="Arial" w:eastAsia="Arial" w:hAnsi="Arial"/>
          <w:sz w:val="18"/>
          <w:szCs w:val="18"/>
          <w:color w:val="auto"/>
        </w:rPr>
        <w:t xml:space="preserve"> ȶɁɽ</w:t>
      </w:r>
      <w:r>
        <w:rPr>
          <w:rFonts w:ascii="PMingLiU" w:cs="PMingLiU" w:eastAsia="PMingLiU" w:hAnsi="PMingLiU"/>
          <w:sz w:val="18"/>
          <w:szCs w:val="18"/>
          <w:color w:val="auto"/>
        </w:rPr>
        <w:t/>
      </w:r>
      <w:r>
        <w:rPr>
          <w:rFonts w:ascii="Arial" w:cs="Arial" w:eastAsia="Arial" w:hAnsi="Arial"/>
          <w:sz w:val="18"/>
          <w:szCs w:val="18"/>
          <w:color w:val="auto"/>
        </w:rPr>
        <w:t xml:space="preserve"> ƹǉȢɁʥ</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ƺƃɨɨʰȈȶǼ</w:t>
      </w:r>
      <w:r>
        <w:rPr>
          <w:rFonts w:ascii="PMingLiU" w:cs="PMingLiU" w:eastAsia="PMingLiU" w:hAnsi="PMingLiU"/>
          <w:sz w:val="18"/>
          <w:szCs w:val="18"/>
          <w:color w:val="auto"/>
        </w:rPr>
        <w:t/>
      </w:r>
      <w:r>
        <w:rPr>
          <w:rFonts w:ascii="Arial" w:cs="Arial" w:eastAsia="Arial" w:hAnsi="Arial"/>
          <w:sz w:val="18"/>
          <w:szCs w:val="18"/>
          <w:color w:val="auto"/>
        </w:rPr>
        <w:t xml:space="preserve"> ʤƃȢʍǉ</w:t>
      </w:r>
      <w:r>
        <w:rPr>
          <w:rFonts w:ascii="Arial" w:cs="Arial" w:eastAsia="Arial" w:hAnsi="Arial"/>
          <w:sz w:val="18"/>
          <w:szCs w:val="18"/>
          <w:color w:val="auto"/>
        </w:rPr>
        <w:t>ӝ</w:t>
      </w:r>
      <w:r>
        <w:rPr>
          <w:rFonts w:ascii="Arial" w:cs="Arial" w:eastAsia="Arial" w:hAnsi="Arial"/>
          <w:sz w:val="18"/>
          <w:szCs w:val="18"/>
          <w:color w:val="auto"/>
        </w:rPr>
        <w:t xml:space="preserve"> ԝĄɁɥǉɨ</w:t>
      </w:r>
      <w:r>
        <w:rPr>
          <w:rFonts w:ascii="PMingLiU" w:cs="PMingLiU" w:eastAsia="PMingLiU" w:hAnsi="PMingLiU"/>
          <w:sz w:val="18"/>
          <w:szCs w:val="18"/>
          <w:color w:val="auto"/>
        </w:rPr>
        <w:t/>
      </w:r>
      <w:r>
        <w:rPr>
          <w:rFonts w:ascii="Arial" w:cs="Arial" w:eastAsia="Arial" w:hAnsi="Arial"/>
          <w:sz w:val="18"/>
          <w:szCs w:val="18"/>
          <w:color w:val="auto"/>
        </w:rPr>
        <w:t xml:space="preserve"> ǹȈɨɰɽ</w:t>
      </w:r>
      <w:r>
        <w:rPr>
          <w:rFonts w:ascii="PMingLiU" w:cs="PMingLiU" w:eastAsia="PMingLiU" w:hAnsi="PMingLiU"/>
          <w:sz w:val="18"/>
          <w:szCs w:val="18"/>
          <w:color w:val="auto"/>
        </w:rPr>
        <w:t/>
      </w:r>
      <w:r>
        <w:rPr>
          <w:rFonts w:ascii="Arial" w:cs="Arial" w:eastAsia="Arial" w:hAnsi="Arial"/>
          <w:sz w:val="18"/>
          <w:szCs w:val="18"/>
          <w:color w:val="auto"/>
        </w:rPr>
        <w:t xml:space="preserve"> ɧʍƃȢȈɽƃɽȈʤǉȢʰ</w:t>
      </w:r>
      <w:r>
        <w:rPr>
          <w:rFonts w:ascii="PMingLiU" w:cs="PMingLiU" w:eastAsia="PMingLiU" w:hAnsi="PMingLiU"/>
          <w:sz w:val="18"/>
          <w:szCs w:val="18"/>
          <w:color w:val="auto"/>
        </w:rPr>
        <w:t/>
      </w:r>
      <w:r>
        <w:rPr>
          <w:rFonts w:ascii="Arial" w:cs="Arial" w:eastAsia="Arial" w:hAnsi="Arial"/>
          <w:sz w:val="18"/>
          <w:szCs w:val="18"/>
          <w:color w:val="auto"/>
        </w:rPr>
        <w:t xml:space="preserve"> ƃɰɰǉɰɰǉɰ</w:t>
      </w:r>
      <w:r>
        <w:rPr>
          <w:rFonts w:ascii="PMingLiU" w:cs="PMingLiU" w:eastAsia="PMingLiU" w:hAnsi="PMingLiU"/>
          <w:sz w:val="18"/>
          <w:szCs w:val="18"/>
          <w:color w:val="auto"/>
        </w:rPr>
        <w:t/>
      </w:r>
      <w:r>
        <w:rPr>
          <w:rFonts w:ascii="Arial" w:cs="Arial" w:eastAsia="Arial" w:hAnsi="Arial"/>
          <w:sz w:val="18"/>
          <w:szCs w:val="18"/>
          <w:color w:val="auto"/>
        </w:rPr>
        <w:t xml:space="preserve"> ʥȃǉɽȃǉɨ</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existence of events or circumstances leads to a determination that it is more likely than not that the estimated fair value of an indefinite-lived trade name is less than its carrying amount. If necessary, Roper conducts a quantita-</w:t>
      </w:r>
      <w:r>
        <w:rPr>
          <w:rFonts w:ascii="Arial" w:cs="Arial" w:eastAsia="Arial" w:hAnsi="Arial"/>
          <w:sz w:val="18"/>
          <w:szCs w:val="18"/>
          <w:color w:val="auto"/>
        </w:rPr>
        <w:t>ɽȈʤǉ</w:t>
      </w:r>
      <w:r>
        <w:rPr>
          <w:rFonts w:ascii="PMingLiU" w:cs="PMingLiU" w:eastAsia="PMingLiU" w:hAnsi="PMingLiU"/>
          <w:sz w:val="18"/>
          <w:szCs w:val="18"/>
          <w:color w:val="auto"/>
        </w:rPr>
        <w:t/>
      </w:r>
      <w:r>
        <w:rPr>
          <w:rFonts w:ascii="Arial" w:cs="Arial" w:eastAsia="Arial" w:hAnsi="Arial"/>
          <w:sz w:val="18"/>
          <w:szCs w:val="18"/>
          <w:color w:val="auto"/>
        </w:rPr>
        <w:t>ƃɰɰǉɰɰȴǉȶɽ</w:t>
      </w:r>
      <w:r>
        <w:rPr>
          <w:rFonts w:ascii="PMingLiU" w:cs="PMingLiU" w:eastAsia="PMingLiU" w:hAnsi="PMingLiU"/>
          <w:sz w:val="18"/>
          <w:szCs w:val="18"/>
          <w:color w:val="auto"/>
        </w:rPr>
        <w:t/>
      </w:r>
      <w:r>
        <w:rPr>
          <w:rFonts w:ascii="Arial" w:cs="Arial" w:eastAsia="Arial" w:hAnsi="Arial"/>
          <w:sz w:val="18"/>
          <w:szCs w:val="18"/>
          <w:color w:val="auto"/>
        </w:rPr>
        <w:t>ʍɰȈȶǼ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ɨǉȢȈǉǹ</w:t>
      </w:r>
      <w:r>
        <w:rPr>
          <w:rFonts w:ascii="Arial" w:cs="Arial" w:eastAsia="Arial" w:hAnsi="Arial"/>
          <w:sz w:val="18"/>
          <w:szCs w:val="18"/>
          <w:color w:val="auto"/>
        </w:rPr>
        <w:t>Ӹ</w:t>
      </w:r>
      <w:r>
        <w:rPr>
          <w:rFonts w:ascii="Arial" w:cs="Arial" w:eastAsia="Arial" w:hAnsi="Arial"/>
          <w:sz w:val="18"/>
          <w:szCs w:val="18"/>
          <w:color w:val="auto"/>
        </w:rPr>
        <w:t>ǹɨɁȴ</w:t>
      </w:r>
      <w:r>
        <w:rPr>
          <w:rFonts w:ascii="Arial" w:cs="Arial" w:eastAsia="Arial" w:hAnsi="Arial"/>
          <w:sz w:val="18"/>
          <w:szCs w:val="18"/>
          <w:color w:val="auto"/>
        </w:rPr>
        <w:t>Ӹ</w:t>
      </w:r>
      <w:r>
        <w:rPr>
          <w:rFonts w:ascii="Arial" w:cs="Arial" w:eastAsia="Arial" w:hAnsi="Arial"/>
          <w:sz w:val="18"/>
          <w:szCs w:val="18"/>
          <w:color w:val="auto"/>
        </w:rPr>
        <w:t>ɨɁʰƃȢɽʰ</w:t>
      </w:r>
      <w:r>
        <w:rPr>
          <w:rFonts w:ascii="PMingLiU" w:cs="PMingLiU" w:eastAsia="PMingLiU" w:hAnsi="PMingLiU"/>
          <w:sz w:val="18"/>
          <w:szCs w:val="18"/>
          <w:color w:val="auto"/>
        </w:rPr>
        <w:t/>
      </w:r>
      <w:r>
        <w:rPr>
          <w:rFonts w:ascii="Arial" w:cs="Arial" w:eastAsia="Arial" w:hAnsi="Arial"/>
          <w:sz w:val="18"/>
          <w:szCs w:val="18"/>
          <w:color w:val="auto"/>
        </w:rPr>
        <w:t>ȴǉɽȃɁǁ</w:t>
      </w:r>
      <w:r>
        <w:rPr>
          <w:rFonts w:ascii="Arial" w:cs="Arial" w:eastAsia="Arial" w:hAnsi="Arial"/>
          <w:sz w:val="18"/>
          <w:szCs w:val="18"/>
          <w:color w:val="auto"/>
        </w:rPr>
        <w:t>ӝ</w:t>
      </w:r>
      <w:r>
        <w:rPr>
          <w:rFonts w:ascii="Arial" w:cs="Arial" w:eastAsia="Arial" w:hAnsi="Arial"/>
          <w:sz w:val="18"/>
          <w:szCs w:val="18"/>
          <w:color w:val="auto"/>
        </w:rPr>
        <w:t>ԝěȃȈɰ</w:t>
      </w:r>
      <w:r>
        <w:rPr>
          <w:rFonts w:ascii="PMingLiU" w:cs="PMingLiU" w:eastAsia="PMingLiU" w:hAnsi="PMingLiU"/>
          <w:sz w:val="18"/>
          <w:szCs w:val="18"/>
          <w:color w:val="auto"/>
        </w:rPr>
        <w:t/>
      </w:r>
      <w:r>
        <w:rPr>
          <w:rFonts w:ascii="Arial" w:cs="Arial" w:eastAsia="Arial" w:hAnsi="Arial"/>
          <w:sz w:val="18"/>
          <w:szCs w:val="18"/>
          <w:color w:val="auto"/>
        </w:rPr>
        <w:t>ȴǉɽȃɁǁɁȢɁǼʰ</w:t>
      </w:r>
      <w:r>
        <w:rPr>
          <w:rFonts w:ascii="PMingLiU" w:cs="PMingLiU" w:eastAsia="PMingLiU" w:hAnsi="PMingLiU"/>
          <w:sz w:val="18"/>
          <w:szCs w:val="18"/>
          <w:color w:val="auto"/>
        </w:rPr>
        <w:t/>
      </w:r>
      <w:r>
        <w:rPr>
          <w:rFonts w:ascii="Arial" w:cs="Arial" w:eastAsia="Arial" w:hAnsi="Arial"/>
          <w:sz w:val="18"/>
          <w:szCs w:val="18"/>
          <w:color w:val="auto"/>
        </w:rPr>
        <w:t>ƃɰɰʍȴǉɰ</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ȢȈǉʍ</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ɁʥȶǉɨɰȃȈɥ</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ɽȃȈɨǁ</w:t>
      </w:r>
      <w:r>
        <w:rPr>
          <w:rFonts w:ascii="PMingLiU" w:cs="PMingLiU" w:eastAsia="PMingLiU" w:hAnsi="PMingLiU"/>
          <w:sz w:val="18"/>
          <w:szCs w:val="18"/>
          <w:color w:val="auto"/>
        </w:rPr>
        <w:t/>
      </w:r>
      <w:r>
        <w:rPr>
          <w:rFonts w:ascii="Arial" w:cs="Arial" w:eastAsia="Arial" w:hAnsi="Arial"/>
          <w:sz w:val="18"/>
          <w:szCs w:val="18"/>
          <w:color w:val="auto"/>
        </w:rPr>
        <w:t xml:space="preserve"> ɥƃɨɽʰ</w:t>
      </w:r>
      <w:r>
        <w:rPr>
          <w:rFonts w:ascii="PMingLiU" w:cs="PMingLiU" w:eastAsia="PMingLiU" w:hAnsi="PMingLiU"/>
          <w:sz w:val="18"/>
          <w:szCs w:val="18"/>
          <w:color w:val="auto"/>
        </w:rPr>
        <w:t/>
      </w:r>
      <w:r>
        <w:rPr>
          <w:rFonts w:ascii="Arial" w:cs="Arial" w:eastAsia="Arial" w:hAnsi="Arial"/>
          <w:sz w:val="18"/>
          <w:szCs w:val="18"/>
          <w:color w:val="auto"/>
        </w:rPr>
        <w:t xml:space="preserve"> ʥɁʍȢǁ</w:t>
      </w:r>
      <w:r>
        <w:rPr>
          <w:rFonts w:ascii="PMingLiU" w:cs="PMingLiU" w:eastAsia="PMingLiU" w:hAnsi="PMingLiU"/>
          <w:sz w:val="18"/>
          <w:szCs w:val="18"/>
          <w:color w:val="auto"/>
        </w:rPr>
        <w:t/>
      </w:r>
      <w:r>
        <w:rPr>
          <w:rFonts w:ascii="Arial" w:cs="Arial" w:eastAsia="Arial" w:hAnsi="Arial"/>
          <w:sz w:val="18"/>
          <w:szCs w:val="18"/>
          <w:color w:val="auto"/>
        </w:rPr>
        <w:t xml:space="preserve"> ƹǉ</w:t>
      </w:r>
      <w:r>
        <w:rPr>
          <w:rFonts w:ascii="PMingLiU" w:cs="PMingLiU" w:eastAsia="PMingLiU" w:hAnsi="PMingLiU"/>
          <w:sz w:val="18"/>
          <w:szCs w:val="18"/>
          <w:color w:val="auto"/>
        </w:rPr>
        <w:t/>
      </w:r>
      <w:r>
        <w:rPr>
          <w:rFonts w:ascii="Arial" w:cs="Arial" w:eastAsia="Arial" w:hAnsi="Arial"/>
          <w:sz w:val="18"/>
          <w:szCs w:val="18"/>
          <w:color w:val="auto"/>
        </w:rPr>
        <w:t xml:space="preserve"> ʥȈȢȢȈȶǼ</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ɥƃʰ</w:t>
      </w:r>
      <w:r>
        <w:rPr>
          <w:rFonts w:ascii="PMingLiU" w:cs="PMingLiU" w:eastAsia="PMingLiU" w:hAnsi="PMingLiU"/>
          <w:sz w:val="18"/>
          <w:szCs w:val="18"/>
          <w:color w:val="auto"/>
        </w:rPr>
        <w:t/>
      </w:r>
      <w:r>
        <w:rPr>
          <w:rFonts w:ascii="Arial" w:cs="Arial" w:eastAsia="Arial" w:hAnsi="Arial"/>
          <w:sz w:val="18"/>
          <w:szCs w:val="18"/>
          <w:color w:val="auto"/>
        </w:rPr>
        <w:t xml:space="preserve"> ƃ</w:t>
      </w:r>
      <w:r>
        <w:rPr>
          <w:rFonts w:ascii="PMingLiU" w:cs="PMingLiU" w:eastAsia="PMingLiU" w:hAnsi="PMingLiU"/>
          <w:sz w:val="18"/>
          <w:szCs w:val="18"/>
          <w:color w:val="auto"/>
        </w:rPr>
        <w:t/>
      </w:r>
      <w:r>
        <w:rPr>
          <w:rFonts w:ascii="Arial" w:cs="Arial" w:eastAsia="Arial" w:hAnsi="Arial"/>
          <w:sz w:val="18"/>
          <w:szCs w:val="18"/>
          <w:color w:val="auto"/>
        </w:rPr>
        <w:t xml:space="preserve"> ɨɁʰƃȢɽʰ</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Ɂɨǁǉɨ</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ǉʯɥȢɁȈɽ</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ɨǉȢƃɽǉǁ</w:t>
      </w:r>
      <w:r>
        <w:rPr>
          <w:rFonts w:ascii="PMingLiU" w:cs="PMingLiU" w:eastAsia="PMingLiU" w:hAnsi="PMingLiU"/>
          <w:sz w:val="18"/>
          <w:szCs w:val="18"/>
          <w:color w:val="auto"/>
        </w:rPr>
        <w:t/>
      </w:r>
      <w:r>
        <w:rPr>
          <w:rFonts w:ascii="Arial" w:cs="Arial" w:eastAsia="Arial" w:hAnsi="Arial"/>
          <w:sz w:val="18"/>
          <w:szCs w:val="18"/>
          <w:color w:val="auto"/>
        </w:rPr>
        <w:t xml:space="preserve"> ƹǉȶǉǹȈɽɰ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ɽȃǉɰǉ</w:t>
      </w:r>
      <w:r>
        <w:rPr>
          <w:rFonts w:ascii="PMingLiU" w:cs="PMingLiU" w:eastAsia="PMingLiU" w:hAnsi="PMingLiU"/>
          <w:sz w:val="18"/>
          <w:szCs w:val="18"/>
          <w:color w:val="auto"/>
        </w:rPr>
        <w:t/>
      </w:r>
      <w:r>
        <w:rPr>
          <w:rFonts w:ascii="Arial" w:cs="Arial" w:eastAsia="Arial" w:hAnsi="Arial"/>
          <w:sz w:val="18"/>
          <w:szCs w:val="18"/>
          <w:color w:val="auto"/>
        </w:rPr>
        <w:t xml:space="preserve"> ƃɰɰǉɽɰ </w:t>
      </w:r>
      <w:r>
        <w:rPr>
          <w:rFonts w:ascii="Arial" w:cs="Arial" w:eastAsia="Arial" w:hAnsi="Arial"/>
          <w:sz w:val="18"/>
          <w:szCs w:val="18"/>
          <w:color w:val="auto"/>
        </w:rPr>
        <w:t>ӝ</w:t>
      </w:r>
      <w:r>
        <w:rPr>
          <w:rFonts w:ascii="Arial" w:cs="Arial" w:eastAsia="Arial" w:hAnsi="Arial"/>
          <w:sz w:val="18"/>
          <w:szCs w:val="18"/>
          <w:color w:val="auto"/>
        </w:rPr>
        <w:t>ԝ ěɁ</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ǉʯɽǉȶɽ</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Company determines a fair value, the inputs used represent a Level 3 fair value measurement in the FASB fair value hierarchy given that the inputs are unobservable. The assumptions that have the most significant effect on the fair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 xml:space="preserve"> ƺƃȢƺʍȢƃɽȈɁȶɰ</w:t>
      </w:r>
      <w:r>
        <w:rPr>
          <w:rFonts w:ascii="PMingLiU" w:cs="PMingLiU" w:eastAsia="PMingLiU" w:hAnsi="PMingLiU"/>
          <w:sz w:val="18"/>
          <w:szCs w:val="18"/>
          <w:color w:val="auto"/>
        </w:rPr>
        <w:t/>
      </w:r>
      <w:r>
        <w:rPr>
          <w:rFonts w:ascii="Arial" w:cs="Arial" w:eastAsia="Arial" w:hAnsi="Arial"/>
          <w:sz w:val="18"/>
          <w:szCs w:val="18"/>
          <w:color w:val="auto"/>
        </w:rPr>
        <w:t xml:space="preserve"> ƃɨǉ</w:t>
      </w:r>
      <w:r>
        <w:rPr>
          <w:rFonts w:ascii="PMingLiU" w:cs="PMingLiU" w:eastAsia="PMingLiU" w:hAnsi="PMingLiU"/>
          <w:sz w:val="18"/>
          <w:szCs w:val="18"/>
          <w:color w:val="auto"/>
        </w:rPr>
        <w:t/>
      </w:r>
      <w:r>
        <w:rPr>
          <w:rFonts w:ascii="Arial" w:cs="Arial" w:eastAsia="Arial" w:hAnsi="Arial"/>
          <w:sz w:val="18"/>
          <w:szCs w:val="18"/>
          <w:color w:val="auto"/>
        </w:rPr>
        <w:t xml:space="preserve"> ɽȃǉ </w:t>
      </w:r>
      <w:r>
        <w:rPr>
          <w:rFonts w:ascii="PMingLiU" w:cs="PMingLiU" w:eastAsia="PMingLiU" w:hAnsi="PMingLiU"/>
          <w:sz w:val="18"/>
          <w:szCs w:val="18"/>
          <w:color w:val="auto"/>
        </w:rPr>
        <w:t/>
      </w:r>
      <w:r>
        <w:rPr>
          <w:rFonts w:ascii="Arial" w:cs="Arial" w:eastAsia="Arial" w:hAnsi="Arial"/>
          <w:sz w:val="18"/>
          <w:szCs w:val="18"/>
          <w:color w:val="auto"/>
        </w:rPr>
        <w:t xml:space="preserve"> ɨɁʰƃȢɽʰ</w:t>
      </w:r>
      <w:r>
        <w:rPr>
          <w:rFonts w:ascii="PMingLiU" w:cs="PMingLiU" w:eastAsia="PMingLiU" w:hAnsi="PMingLiU"/>
          <w:sz w:val="18"/>
          <w:szCs w:val="18"/>
          <w:color w:val="auto"/>
        </w:rPr>
        <w:t/>
      </w:r>
      <w:r>
        <w:rPr>
          <w:rFonts w:ascii="Arial" w:cs="Arial" w:eastAsia="Arial" w:hAnsi="Arial"/>
          <w:sz w:val="18"/>
          <w:szCs w:val="18"/>
          <w:color w:val="auto"/>
        </w:rPr>
        <w:t xml:space="preserve"> ɨƃɽǉɰ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ɥɨɁȚǉƺɽǉǁ</w:t>
      </w:r>
      <w:r>
        <w:rPr>
          <w:rFonts w:ascii="PMingLiU" w:cs="PMingLiU" w:eastAsia="PMingLiU" w:hAnsi="PMingLiU"/>
          <w:sz w:val="18"/>
          <w:szCs w:val="18"/>
          <w:color w:val="auto"/>
        </w:rPr>
        <w:t/>
      </w:r>
      <w:r>
        <w:rPr>
          <w:rFonts w:ascii="Arial" w:cs="Arial" w:eastAsia="Arial" w:hAnsi="Arial"/>
          <w:sz w:val="18"/>
          <w:szCs w:val="18"/>
          <w:color w:val="auto"/>
        </w:rPr>
        <w:t xml:space="preserve"> ɨǉʤǉȶʍǉ</w:t>
      </w:r>
      <w:r>
        <w:rPr>
          <w:rFonts w:ascii="PMingLiU" w:cs="PMingLiU" w:eastAsia="PMingLiU" w:hAnsi="PMingLiU"/>
          <w:sz w:val="18"/>
          <w:szCs w:val="18"/>
          <w:color w:val="auto"/>
        </w:rPr>
        <w:t/>
      </w:r>
      <w:r>
        <w:rPr>
          <w:rFonts w:ascii="Arial" w:cs="Arial" w:eastAsia="Arial" w:hAnsi="Arial"/>
          <w:sz w:val="18"/>
          <w:szCs w:val="18"/>
          <w:color w:val="auto"/>
        </w:rPr>
        <w:t xml:space="preserve"> ǼɨɁʥɽȃ</w:t>
      </w:r>
      <w:r>
        <w:rPr>
          <w:rFonts w:ascii="PMingLiU" w:cs="PMingLiU" w:eastAsia="PMingLiU" w:hAnsi="PMingLiU"/>
          <w:sz w:val="18"/>
          <w:szCs w:val="18"/>
          <w:color w:val="auto"/>
        </w:rPr>
        <w:t/>
      </w:r>
      <w:r>
        <w:rPr>
          <w:rFonts w:ascii="Arial" w:cs="Arial" w:eastAsia="Arial" w:hAnsi="Arial"/>
          <w:sz w:val="18"/>
          <w:szCs w:val="18"/>
          <w:color w:val="auto"/>
        </w:rPr>
        <w:t xml:space="preserve"> ɨƃɽǉɰ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ǁȈɰƺɁʍȶɽ </w:t>
      </w:r>
      <w:r>
        <w:rPr>
          <w:rFonts w:ascii="PMingLiU" w:cs="PMingLiU" w:eastAsia="PMingLiU" w:hAnsi="PMingLiU"/>
          <w:sz w:val="18"/>
          <w:szCs w:val="18"/>
          <w:color w:val="auto"/>
        </w:rPr>
        <w:t/>
      </w:r>
      <w:r>
        <w:rPr>
          <w:rFonts w:ascii="Arial" w:cs="Arial" w:eastAsia="Arial" w:hAnsi="Arial"/>
          <w:sz w:val="18"/>
          <w:szCs w:val="18"/>
          <w:color w:val="auto"/>
        </w:rPr>
        <w:t xml:space="preserve"> ɨƃɽǉɰ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ɽǉɨȴȈȶƃȢ</w:t>
      </w:r>
      <w:r>
        <w:rPr>
          <w:rFonts w:ascii="PMingLiU" w:cs="PMingLiU" w:eastAsia="PMingLiU" w:hAnsi="PMingLiU"/>
          <w:sz w:val="18"/>
          <w:szCs w:val="18"/>
          <w:color w:val="auto"/>
        </w:rPr>
        <w:t/>
      </w:r>
      <w:r>
        <w:rPr>
          <w:rFonts w:ascii="Arial" w:cs="Arial" w:eastAsia="Arial" w:hAnsi="Arial"/>
          <w:sz w:val="18"/>
          <w:szCs w:val="18"/>
          <w:color w:val="auto"/>
        </w:rPr>
        <w:t xml:space="preserve"> ʤƃȢʍǉɰ</w:t>
      </w:r>
      <w:r>
        <w:rPr>
          <w:rFonts w:ascii="Arial" w:cs="Arial" w:eastAsia="Arial" w:hAnsi="Arial"/>
          <w:sz w:val="18"/>
          <w:szCs w:val="18"/>
          <w:color w:val="auto"/>
        </w:rPr>
        <w:t>ӝ</w:t>
      </w:r>
      <w:r>
        <w:rPr>
          <w:rFonts w:ascii="Arial" w:cs="Arial" w:eastAsia="Arial" w:hAnsi="Arial"/>
          <w:sz w:val="18"/>
          <w:szCs w:val="18"/>
          <w:color w:val="auto"/>
        </w:rPr>
        <w:t>ԝ Kƃƺȃ</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royalty rate is determined based on the profitability of the trade name to which it relates and observed market roy-</w:t>
      </w:r>
      <w:r>
        <w:rPr>
          <w:rFonts w:ascii="Arial" w:cs="Arial" w:eastAsia="Arial" w:hAnsi="Arial"/>
          <w:sz w:val="18"/>
          <w:szCs w:val="18"/>
          <w:color w:val="auto"/>
        </w:rPr>
        <w:t>ƃȢɽʰ</w:t>
      </w:r>
      <w:r>
        <w:rPr>
          <w:rFonts w:ascii="PMingLiU" w:cs="PMingLiU" w:eastAsia="PMingLiU" w:hAnsi="PMingLiU"/>
          <w:sz w:val="18"/>
          <w:szCs w:val="18"/>
          <w:color w:val="auto"/>
        </w:rPr>
        <w:t/>
      </w:r>
      <w:r>
        <w:rPr>
          <w:rFonts w:ascii="Arial" w:cs="Arial" w:eastAsia="Arial" w:hAnsi="Arial"/>
          <w:sz w:val="18"/>
          <w:szCs w:val="18"/>
          <w:color w:val="auto"/>
        </w:rPr>
        <w:t>ɨƃɽǉɰ</w:t>
      </w:r>
      <w:r>
        <w:rPr>
          <w:rFonts w:ascii="Arial" w:cs="Arial" w:eastAsia="Arial" w:hAnsi="Arial"/>
          <w:sz w:val="18"/>
          <w:szCs w:val="18"/>
          <w:color w:val="auto"/>
        </w:rPr>
        <w:t>ӝ</w:t>
      </w:r>
      <w:r>
        <w:rPr>
          <w:rFonts w:ascii="Arial" w:cs="Arial" w:eastAsia="Arial" w:hAnsi="Arial"/>
          <w:sz w:val="18"/>
          <w:szCs w:val="18"/>
          <w:color w:val="auto"/>
        </w:rPr>
        <w:t>ԝĄǉʤǉȶʍǉ</w:t>
      </w:r>
      <w:r>
        <w:rPr>
          <w:rFonts w:ascii="PMingLiU" w:cs="PMingLiU" w:eastAsia="PMingLiU" w:hAnsi="PMingLiU"/>
          <w:sz w:val="18"/>
          <w:szCs w:val="18"/>
          <w:color w:val="auto"/>
        </w:rPr>
        <w:t/>
      </w:r>
      <w:r>
        <w:rPr>
          <w:rFonts w:ascii="Arial" w:cs="Arial" w:eastAsia="Arial" w:hAnsi="Arial"/>
          <w:sz w:val="18"/>
          <w:szCs w:val="18"/>
          <w:color w:val="auto"/>
        </w:rPr>
        <w:t>ǼɨɁʥɽȃ</w:t>
      </w:r>
      <w:r>
        <w:rPr>
          <w:rFonts w:ascii="PMingLiU" w:cs="PMingLiU" w:eastAsia="PMingLiU" w:hAnsi="PMingLiU"/>
          <w:sz w:val="18"/>
          <w:szCs w:val="18"/>
          <w:color w:val="auto"/>
        </w:rPr>
        <w:t/>
      </w:r>
      <w:r>
        <w:rPr>
          <w:rFonts w:ascii="Arial" w:cs="Arial" w:eastAsia="Arial" w:hAnsi="Arial"/>
          <w:sz w:val="18"/>
          <w:szCs w:val="18"/>
          <w:color w:val="auto"/>
        </w:rPr>
        <w:t>ɨƃɽǉɰ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ǁǉɽǉɨȴȈȶǉǁ</w:t>
      </w:r>
      <w:r>
        <w:rPr>
          <w:rFonts w:ascii="PMingLiU" w:cs="PMingLiU" w:eastAsia="PMingLiU" w:hAnsi="PMingLiU"/>
          <w:sz w:val="18"/>
          <w:szCs w:val="18"/>
          <w:color w:val="auto"/>
        </w:rPr>
        <w:t/>
      </w:r>
      <w:r>
        <w:rPr>
          <w:rFonts w:ascii="Arial" w:cs="Arial" w:eastAsia="Arial" w:hAnsi="Arial"/>
          <w:sz w:val="18"/>
          <w:szCs w:val="18"/>
          <w:color w:val="auto"/>
        </w:rPr>
        <w:t>ƃǹɽǉɨ</w:t>
      </w:r>
      <w:r>
        <w:rPr>
          <w:rFonts w:ascii="PMingLiU" w:cs="PMingLiU" w:eastAsia="PMingLiU" w:hAnsi="PMingLiU"/>
          <w:sz w:val="18"/>
          <w:szCs w:val="18"/>
          <w:color w:val="auto"/>
        </w:rPr>
        <w:t/>
      </w:r>
      <w:r>
        <w:rPr>
          <w:rFonts w:ascii="Arial" w:cs="Arial" w:eastAsia="Arial" w:hAnsi="Arial"/>
          <w:sz w:val="18"/>
          <w:szCs w:val="18"/>
          <w:color w:val="auto"/>
        </w:rPr>
        <w:t>ƺɁȶɰȈǁǉɨȈȶǼ</w:t>
      </w:r>
      <w:r>
        <w:rPr>
          <w:rFonts w:ascii="PMingLiU" w:cs="PMingLiU" w:eastAsia="PMingLiU" w:hAnsi="PMingLiU"/>
          <w:sz w:val="18"/>
          <w:szCs w:val="18"/>
          <w:color w:val="auto"/>
        </w:rPr>
        <w:t/>
      </w:r>
      <w:r>
        <w:rPr>
          <w:rFonts w:ascii="Arial" w:cs="Arial" w:eastAsia="Arial" w:hAnsi="Arial"/>
          <w:sz w:val="18"/>
          <w:szCs w:val="18"/>
          <w:color w:val="auto"/>
        </w:rPr>
        <w:t>ƺʍɨɨǉȶɽ</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ǹʍɽʍɨǉ</w:t>
      </w:r>
      <w:r>
        <w:rPr>
          <w:rFonts w:ascii="PMingLiU" w:cs="PMingLiU" w:eastAsia="PMingLiU" w:hAnsi="PMingLiU"/>
          <w:sz w:val="18"/>
          <w:szCs w:val="18"/>
          <w:color w:val="auto"/>
        </w:rPr>
        <w:t/>
      </w:r>
      <w:r>
        <w:rPr>
          <w:rFonts w:ascii="Arial" w:cs="Arial" w:eastAsia="Arial" w:hAnsi="Arial"/>
          <w:sz w:val="18"/>
          <w:szCs w:val="18"/>
          <w:color w:val="auto"/>
        </w:rPr>
        <w:t xml:space="preserve"> ǉƺɁȶɁȴȈƺ</w:t>
      </w:r>
      <w:r>
        <w:rPr>
          <w:rFonts w:ascii="PMingLiU" w:cs="PMingLiU" w:eastAsia="PMingLiU" w:hAnsi="PMingLiU"/>
          <w:sz w:val="18"/>
          <w:szCs w:val="18"/>
          <w:color w:val="auto"/>
        </w:rPr>
        <w:t/>
      </w:r>
      <w:r>
        <w:rPr>
          <w:rFonts w:ascii="Arial" w:cs="Arial" w:eastAsia="Arial" w:hAnsi="Arial"/>
          <w:sz w:val="18"/>
          <w:szCs w:val="18"/>
          <w:color w:val="auto"/>
        </w:rPr>
        <w:t>ƺɁȶǁȈɽȈɁȶɰ</w:t>
      </w:r>
      <w:r>
        <w:rPr>
          <w:rFonts w:ascii="Arial" w:cs="Arial" w:eastAsia="Arial" w:hAnsi="Arial"/>
          <w:sz w:val="18"/>
          <w:szCs w:val="18"/>
          <w:color w:val="auto"/>
        </w:rPr>
        <w:t>ӗ</w:t>
      </w:r>
      <w:r>
        <w:rPr>
          <w:rFonts w:ascii="Arial" w:cs="Arial" w:eastAsia="Arial" w:hAnsi="Arial"/>
          <w:sz w:val="18"/>
          <w:szCs w:val="18"/>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ɨǉƺǉȶɽ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sales trends, discussions with customers, planned timing of new product launches, or other variables. Trade names resulting from recent acquisitions generally represent the highest risk of impairment, which typically decreases as the businesses are integrated into Roper.</w:t>
      </w:r>
    </w:p>
    <w:p>
      <w:pPr>
        <w:spacing w:after="0" w:line="81"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auto"/>
        </w:rPr>
        <w:t>The assessment of fair value for impairment purposes requires significant judgments to be made by manage-</w:t>
      </w:r>
      <w:r>
        <w:rPr>
          <w:rFonts w:ascii="Arial" w:cs="Arial" w:eastAsia="Arial" w:hAnsi="Arial"/>
          <w:sz w:val="18"/>
          <w:szCs w:val="18"/>
          <w:color w:val="auto"/>
        </w:rPr>
        <w:t>ȴǉȶɽ</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
      </w:r>
      <w:r>
        <w:rPr>
          <w:rFonts w:ascii="Arial" w:cs="Arial" w:eastAsia="Arial" w:hAnsi="Arial"/>
          <w:sz w:val="18"/>
          <w:szCs w:val="18"/>
          <w:color w:val="auto"/>
        </w:rPr>
        <w:t>ȢɽȃɁʍǼȃ</w:t>
      </w:r>
      <w:r>
        <w:rPr>
          <w:rFonts w:ascii="PMingLiU" w:cs="PMingLiU" w:eastAsia="PMingLiU" w:hAnsi="PMingLiU"/>
          <w:sz w:val="18"/>
          <w:szCs w:val="18"/>
          <w:color w:val="auto"/>
        </w:rPr>
        <w:t/>
      </w:r>
      <w:r>
        <w:rPr>
          <w:rFonts w:ascii="Arial" w:cs="Arial" w:eastAsia="Arial" w:hAnsi="Arial"/>
          <w:sz w:val="18"/>
          <w:szCs w:val="18"/>
          <w:color w:val="auto"/>
        </w:rPr>
        <w:t>ǹɁɨǉƺƃɰɽɰ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 xml:space="preserve"> ƹƃɰǉǁ</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ƃɰɰʍȴɥɽȈɁȶɰ</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ƺɁȶɰȈǁǉɨǉǁ</w:t>
      </w:r>
      <w:r>
        <w:rPr>
          <w:rFonts w:ascii="PMingLiU" w:cs="PMingLiU" w:eastAsia="PMingLiU" w:hAnsi="PMingLiU"/>
          <w:sz w:val="18"/>
          <w:szCs w:val="18"/>
          <w:color w:val="auto"/>
        </w:rPr>
        <w:t/>
      </w:r>
      <w:r>
        <w:rPr>
          <w:rFonts w:ascii="Arial" w:cs="Arial" w:eastAsia="Arial" w:hAnsi="Arial"/>
          <w:sz w:val="18"/>
          <w:szCs w:val="18"/>
          <w:color w:val="auto"/>
        </w:rPr>
        <w:t>ɨǉƃɰɁȶƃƹȢǉ</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 xml:space="preserve"> ȴƃȶƃǼǉȴǉȶɽ</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 xml:space="preserve"> ƺɁȶɰȈɰɽǉȶɽ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with the plans and estimates management uses to operate the underlying businesses, there is significant judgment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ǉɰɽȈȴƃɽȈȶǼ</w:t>
      </w:r>
      <w:r>
        <w:rPr>
          <w:rFonts w:ascii="PMingLiU" w:cs="PMingLiU" w:eastAsia="PMingLiU" w:hAnsi="PMingLiU"/>
          <w:sz w:val="18"/>
          <w:szCs w:val="18"/>
          <w:color w:val="auto"/>
        </w:rPr>
        <w:t/>
      </w:r>
      <w:r>
        <w:rPr>
          <w:rFonts w:ascii="Arial" w:cs="Arial" w:eastAsia="Arial" w:hAnsi="Arial"/>
          <w:sz w:val="18"/>
          <w:szCs w:val="18"/>
          <w:color w:val="auto"/>
        </w:rPr>
        <w:t>ǹʍɽʍɨǉ</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ɨǉɰʍȢɽɰ</w:t>
      </w:r>
      <w:r>
        <w:rPr>
          <w:rFonts w:ascii="Arial" w:cs="Arial" w:eastAsia="Arial" w:hAnsi="Arial"/>
          <w:sz w:val="18"/>
          <w:szCs w:val="18"/>
          <w:color w:val="auto"/>
        </w:rPr>
        <w:t>ӝ</w:t>
      </w:r>
      <w:r>
        <w:rPr>
          <w:rFonts w:ascii="Arial" w:cs="Arial" w:eastAsia="Arial" w:hAnsi="Arial"/>
          <w:sz w:val="18"/>
          <w:szCs w:val="18"/>
          <w:color w:val="auto"/>
        </w:rPr>
        <w:t>ԝ:ȃƃȶǼǉɰ</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ǉɰɽȈȴƃɽǉɰ</w:t>
      </w:r>
      <w:r>
        <w:rPr>
          <w:rFonts w:ascii="PMingLiU" w:cs="PMingLiU" w:eastAsia="PMingLiU" w:hAnsi="PMingLiU"/>
          <w:sz w:val="18"/>
          <w:szCs w:val="18"/>
          <w:color w:val="auto"/>
        </w:rPr>
        <w:t/>
      </w:r>
      <w:r>
        <w:rPr>
          <w:rFonts w:ascii="Arial" w:cs="Arial" w:eastAsia="Arial" w:hAnsi="Arial"/>
          <w:sz w:val="18"/>
          <w:szCs w:val="18"/>
          <w:color w:val="auto"/>
        </w:rPr>
        <w:t>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ƃɥɥȢȈƺƃɽȈɁȶ</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ƃȢɽǉɨȶƃɽȈʤǉ</w:t>
      </w:r>
      <w:r>
        <w:rPr>
          <w:rFonts w:ascii="PMingLiU" w:cs="PMingLiU" w:eastAsia="PMingLiU" w:hAnsi="PMingLiU"/>
          <w:sz w:val="18"/>
          <w:szCs w:val="18"/>
          <w:color w:val="auto"/>
        </w:rPr>
        <w:t/>
      </w:r>
      <w:r>
        <w:rPr>
          <w:rFonts w:ascii="Arial" w:cs="Arial" w:eastAsia="Arial" w:hAnsi="Arial"/>
          <w:sz w:val="18"/>
          <w:szCs w:val="18"/>
          <w:color w:val="auto"/>
        </w:rPr>
        <w:t>ƃɰɰʍȴɥɽȈɁȶɰ</w:t>
      </w:r>
      <w:r>
        <w:rPr>
          <w:rFonts w:ascii="PMingLiU" w:cs="PMingLiU" w:eastAsia="PMingLiU" w:hAnsi="PMingLiU"/>
          <w:sz w:val="18"/>
          <w:szCs w:val="18"/>
          <w:color w:val="auto"/>
        </w:rPr>
        <w:t/>
      </w:r>
      <w:r>
        <w:rPr>
          <w:rFonts w:ascii="Arial" w:cs="Arial" w:eastAsia="Arial" w:hAnsi="Arial"/>
          <w:sz w:val="18"/>
          <w:szCs w:val="18"/>
          <w:color w:val="auto"/>
        </w:rPr>
        <w:t>ƺɁʍȢǁ</w:t>
      </w:r>
      <w:r>
        <w:rPr>
          <w:rFonts w:ascii="PMingLiU" w:cs="PMingLiU" w:eastAsia="PMingLiU" w:hAnsi="PMingLiU"/>
          <w:sz w:val="18"/>
          <w:szCs w:val="18"/>
          <w:color w:val="auto"/>
        </w:rPr>
        <w:t/>
      </w:r>
      <w:r>
        <w:rPr>
          <w:rFonts w:ascii="Arial" w:cs="Arial" w:eastAsia="Arial" w:hAnsi="Arial"/>
          <w:sz w:val="18"/>
          <w:szCs w:val="18"/>
          <w:color w:val="auto"/>
        </w:rPr>
        <w:t>ɥɨɁ</w:t>
      </w:r>
      <w:r>
        <w:rPr>
          <w:rFonts w:ascii="Arial" w:cs="Arial" w:eastAsia="Arial" w:hAnsi="Arial"/>
          <w:sz w:val="18"/>
          <w:szCs w:val="18"/>
          <w:color w:val="auto"/>
        </w:rPr>
        <w:t>-duce significantly different results.</w:t>
      </w:r>
    </w:p>
    <w:p>
      <w:pPr>
        <w:spacing w:after="0" w:line="69"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 most significant identifiable intangible assets with definite useful economic lives recognized from our acquisi-tions are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 When testing customer relationship intangible assets for potential impair-ment, management considers historical customer attrition rates and projected revenues and profitability related to customers that existed at acquisition. In evaluating the amortizable life for customer relationship intangible assets, management considers historical customer attrition patterns.</w:t>
      </w:r>
    </w:p>
    <w:p>
      <w:pPr>
        <w:spacing w:after="0" w:line="276"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Roper evaluates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42" w:lineRule="exact"/>
        <w:rPr>
          <w:sz w:val="20"/>
          <w:szCs w:val="20"/>
          <w:color w:val="auto"/>
        </w:rPr>
      </w:pPr>
    </w:p>
    <w:p>
      <w:pPr>
        <w:jc w:val="both"/>
        <w:ind w:right="60"/>
        <w:spacing w:after="0" w:line="290" w:lineRule="auto"/>
        <w:rPr>
          <w:sz w:val="20"/>
          <w:szCs w:val="20"/>
          <w:color w:val="auto"/>
        </w:rPr>
      </w:pP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—The Company determines whether there has been an impairment of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excluding goodwill and other intangible assets, when certain indicators of impairment are present. In the event that facts and circumstances indicate that the cost or life of any long-lived asset may be impaired, an evaluation</w:t>
      </w:r>
    </w:p>
    <w:p>
      <w:pPr>
        <w:sectPr>
          <w:pgSz w:w="12240" w:h="15840" w:orient="portrait"/>
          <w:cols w:equalWidth="0" w:num="1">
            <w:col w:w="10380"/>
          </w:cols>
          <w:pgMar w:left="960" w:top="935" w:right="900" w:bottom="90" w:gutter="0" w:footer="0" w:header="0"/>
        </w:sectPr>
      </w:pPr>
    </w:p>
    <w:p>
      <w:pPr>
        <w:spacing w:after="0" w:line="106"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43</w:t>
      </w:r>
    </w:p>
    <w:p>
      <w:pPr>
        <w:sectPr>
          <w:pgSz w:w="12240" w:h="15840" w:orient="portrait"/>
          <w:cols w:equalWidth="0" w:num="1">
            <w:col w:w="10380"/>
          </w:cols>
          <w:pgMar w:left="960" w:top="935" w:right="900" w:bottom="90" w:gutter="0" w:footer="0" w:header="0"/>
          <w:type w:val="continuous"/>
        </w:sectPr>
      </w:pPr>
    </w:p>
    <w:bookmarkStart w:id="45" w:name="page46"/>
    <w:bookmarkEnd w:id="45"/>
    <w:p>
      <w:pPr>
        <w:jc w:val="both"/>
        <w:ind w:right="60"/>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of recoverability would be performed. If an evaluation is required, the estimated future gross, undiscounted cash flows associated with the asset would be compared to the asset’s carrying amount to determine if a write -down to fair value or a revision to the remaining useful life is required. Future adverse changes in market conditions or poor oper-ating results of underlying long-lived assets could result in losses or an inability to recover the carrying value of the long-lived assets that may not be reflected in the assets’ current carrying value, thereby possibly requiring an impair-ment charge or acceleration of depreciation or amortization expense in the future.</w:t>
      </w:r>
    </w:p>
    <w:p>
      <w:pPr>
        <w:spacing w:after="0" w:line="42" w:lineRule="exact"/>
        <w:rPr>
          <w:sz w:val="20"/>
          <w:szCs w:val="20"/>
          <w:color w:val="auto"/>
        </w:rPr>
      </w:pPr>
    </w:p>
    <w:p>
      <w:pPr>
        <w:jc w:val="both"/>
        <w:ind w:right="60"/>
        <w:spacing w:after="0" w:line="236" w:lineRule="exact"/>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—The Company recognizes in the Consolidated Financial Statements only those tax positions deter-mined to be “more likely than not” of being sustained upon examination based on the technical merits of the posi-</w:t>
      </w:r>
      <w:r>
        <w:rPr>
          <w:rFonts w:ascii="Arial" w:cs="Arial" w:eastAsia="Arial" w:hAnsi="Arial"/>
          <w:sz w:val="18"/>
          <w:szCs w:val="18"/>
          <w:color w:val="auto"/>
        </w:rPr>
        <w:t>ɽȈɁȶɰ</w:t>
      </w:r>
      <w:r>
        <w:rPr>
          <w:rFonts w:ascii="Arial" w:cs="Arial" w:eastAsia="Arial" w:hAnsi="Arial"/>
          <w:sz w:val="18"/>
          <w:szCs w:val="18"/>
          <w:color w:val="auto"/>
        </w:rPr>
        <w:t>ӝ</w:t>
      </w:r>
      <w:r>
        <w:rPr>
          <w:rFonts w:ascii="Arial" w:cs="Arial" w:eastAsia="Arial" w:hAnsi="Arial"/>
          <w:sz w:val="18"/>
          <w:szCs w:val="18"/>
          <w:color w:val="auto"/>
        </w:rPr>
        <w:t>ԝ</w:t>
      </w:r>
      <w:r>
        <w:rPr>
          <w:rFonts w:ascii="PMingLiU" w:cs="PMingLiU" w:eastAsia="PMingLiU" w:hAnsi="PMingLiU"/>
          <w:sz w:val="18"/>
          <w:szCs w:val="18"/>
          <w:color w:val="auto"/>
        </w:rPr>
        <w:t></w:t>
      </w:r>
      <w:r>
        <w:rPr>
          <w:rFonts w:ascii="Arial" w:cs="Arial" w:eastAsia="Arial" w:hAnsi="Arial"/>
          <w:sz w:val="18"/>
          <w:szCs w:val="18"/>
          <w:color w:val="auto"/>
        </w:rPr>
        <w:t>ȶɽǉɨǉɰɽ</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ɥǉȶƃȢɽȈǉɰ</w:t>
      </w:r>
      <w:r>
        <w:rPr>
          <w:rFonts w:ascii="PMingLiU" w:cs="PMingLiU" w:eastAsia="PMingLiU" w:hAnsi="PMingLiU"/>
          <w:sz w:val="18"/>
          <w:szCs w:val="18"/>
          <w:color w:val="auto"/>
        </w:rPr>
        <w:t/>
      </w:r>
      <w:r>
        <w:rPr>
          <w:rFonts w:ascii="Arial" w:cs="Arial" w:eastAsia="Arial" w:hAnsi="Arial"/>
          <w:sz w:val="18"/>
          <w:szCs w:val="18"/>
          <w:color w:val="auto"/>
        </w:rPr>
        <w:t>ɨǉȢƃɽǉǁ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ʍȶɨǉƺɁǼȶȈ˃ǉǁ</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ƹǉȶǉǹȈɽɰ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ƺȢƃɰɰȈǹȈǉǁ</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ƺɁȴɥɁȶǉȶɽ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ȈȶƺɁȴǉ</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ǉʯɥǉȶɰǉ</w:t>
      </w:r>
      <w:r>
        <w:rPr>
          <w:rFonts w:ascii="Arial" w:cs="Arial" w:eastAsia="Arial" w:hAnsi="Arial"/>
          <w:sz w:val="18"/>
          <w:szCs w:val="18"/>
          <w:color w:val="auto"/>
        </w:rPr>
        <w:t>ӝ</w:t>
      </w:r>
    </w:p>
    <w:p>
      <w:pPr>
        <w:spacing w:after="0" w:line="70"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The Company records a valuation allowance to reduce its deferred tax assets if, based on the weight of available evi-dence, both positive and negative, for each respective tax jurisdiction, it is more likely than not that some portion or all of such deferred tax assets will not be realized. Available evidence which is considered in determining the amount of valuation allowance required includes, but is not limited to, the Company’s estimate of future taxable income and any applicable tax planning strategies.</w:t>
      </w:r>
    </w:p>
    <w:p>
      <w:pPr>
        <w:spacing w:after="0" w:line="268" w:lineRule="exact"/>
        <w:rPr>
          <w:sz w:val="20"/>
          <w:szCs w:val="20"/>
          <w:color w:val="auto"/>
        </w:rPr>
      </w:pPr>
    </w:p>
    <w:p>
      <w:pPr>
        <w:jc w:val="both"/>
        <w:ind w:right="60"/>
        <w:spacing w:after="0" w:line="318" w:lineRule="auto"/>
        <w:rPr>
          <w:sz w:val="20"/>
          <w:szCs w:val="20"/>
          <w:color w:val="auto"/>
        </w:rPr>
      </w:pPr>
      <w:r>
        <w:rPr>
          <w:rFonts w:ascii="Arial" w:cs="Arial" w:eastAsia="Arial" w:hAnsi="Arial"/>
          <w:sz w:val="18"/>
          <w:szCs w:val="18"/>
          <w:color w:val="auto"/>
        </w:rPr>
        <w:t>Certain assets and liabilities have different bases for financial reporting and income tax purposes. Deferred income taxes have been provided for these differences at the enacted tax rates expected to be paid.</w:t>
      </w:r>
    </w:p>
    <w:p>
      <w:pPr>
        <w:spacing w:after="0" w:line="1" w:lineRule="exact"/>
        <w:rPr>
          <w:sz w:val="20"/>
          <w:szCs w:val="20"/>
          <w:color w:val="auto"/>
        </w:rPr>
      </w:pPr>
    </w:p>
    <w:p>
      <w:pPr>
        <w:jc w:val="both"/>
        <w:ind w:right="60"/>
        <w:spacing w:after="0" w:line="265" w:lineRule="auto"/>
        <w:rPr>
          <w:sz w:val="20"/>
          <w:szCs w:val="20"/>
          <w:color w:val="auto"/>
        </w:rPr>
      </w:pPr>
      <w:r>
        <w:rPr>
          <w:rFonts w:ascii="Arial" w:cs="Arial" w:eastAsia="Arial" w:hAnsi="Arial"/>
          <w:sz w:val="18"/>
          <w:szCs w:val="18"/>
          <w:color w:val="auto"/>
        </w:rPr>
        <w:t>On July 4, 2025, the U.S. government enacted H.R. 1, the One Big Beautiful Bill Act (the “OBBBA”), which introduced tax reform provisions that amend, eliminate, or extend certain tax rules under the Inflation Reduction Act and the Tax Cuts and Jobs Act. Legislative changes, including the repeal of the requirement to capitalize and amortize domestic research and development (“R&amp;D”) expenditures, provided the Company with a cash tax benefit for the year ended December 31, 2025. The legislation includes multiple effective dates and, as enacted, did not have a material impact on the Company’s 2025 annual effective tax rate. The Company continues to assess the broader impacts of the OBBBA. See Note 7 for additional information regarding income taxes.</w:t>
      </w:r>
    </w:p>
    <w:p>
      <w:pPr>
        <w:spacing w:after="0" w:line="44" w:lineRule="exact"/>
        <w:rPr>
          <w:sz w:val="20"/>
          <w:szCs w:val="20"/>
          <w:color w:val="auto"/>
        </w:rPr>
      </w:pPr>
    </w:p>
    <w:p>
      <w:pPr>
        <w:jc w:val="both"/>
        <w:ind w:right="60"/>
        <w:spacing w:after="0" w:line="283"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valued at the lower of cost and net realizable value. Cost is determined using the first-in,</w:t>
      </w:r>
      <w:r>
        <w:rPr>
          <w:rFonts w:ascii="Arial" w:cs="Arial" w:eastAsia="Arial" w:hAnsi="Arial"/>
          <w:sz w:val="18"/>
          <w:szCs w:val="18"/>
          <w:i w:val="1"/>
          <w:iCs w:val="1"/>
          <w:color w:val="auto"/>
        </w:rPr>
        <w:t xml:space="preserve"> </w:t>
      </w:r>
      <w:r>
        <w:rPr>
          <w:rFonts w:ascii="Arial" w:cs="Arial" w:eastAsia="Arial" w:hAnsi="Arial"/>
          <w:sz w:val="18"/>
          <w:szCs w:val="18"/>
          <w:color w:val="auto"/>
        </w:rPr>
        <w:t>first-out method. The Company writes down its inventory for estimated obsolescence or excess inventory equal to the difference between the cost of inventory and the estimated net realizable value based upon assumptions about future demand and market conditions.</w:t>
      </w:r>
    </w:p>
    <w:p>
      <w:pPr>
        <w:spacing w:after="0" w:line="258" w:lineRule="exact"/>
        <w:rPr>
          <w:sz w:val="20"/>
          <w:szCs w:val="20"/>
          <w:color w:val="auto"/>
        </w:rPr>
      </w:pPr>
    </w:p>
    <w:p>
      <w:pPr>
        <w:jc w:val="both"/>
        <w:ind w:right="60"/>
        <w:spacing w:after="0" w:line="272" w:lineRule="auto"/>
        <w:rPr>
          <w:sz w:val="20"/>
          <w:szCs w:val="20"/>
          <w:color w:val="auto"/>
        </w:rPr>
      </w:pPr>
      <w:r>
        <w:rPr>
          <w:rFonts w:ascii="Arial" w:cs="Arial" w:eastAsia="Arial" w:hAnsi="Arial"/>
          <w:sz w:val="18"/>
          <w:szCs w:val="18"/>
          <w:i w:val="1"/>
          <w:iCs w:val="1"/>
          <w:color w:val="auto"/>
        </w:rPr>
        <w:t>Product Warranties</w:t>
      </w:r>
      <w:r>
        <w:rPr>
          <w:rFonts w:ascii="Arial" w:cs="Arial" w:eastAsia="Arial" w:hAnsi="Arial"/>
          <w:sz w:val="18"/>
          <w:szCs w:val="18"/>
          <w:color w:val="auto"/>
        </w:rPr>
        <w:t>—The Company sells certain of its products to customers with a product warranty that allows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return a defective product during a specified warranty period following the purchase in exchange for a replacement product, repair at no cost to the customer, or the issuance of a credit to the customer. The Company accrues its estimated exposure to warranty claims based upon current and historical product sales data, warranty costs incurred, and any other related information known to the Company.</w:t>
      </w:r>
    </w:p>
    <w:p>
      <w:pPr>
        <w:spacing w:after="0" w:line="37" w:lineRule="exact"/>
        <w:rPr>
          <w:sz w:val="20"/>
          <w:szCs w:val="20"/>
          <w:color w:val="auto"/>
        </w:rPr>
      </w:pPr>
    </w:p>
    <w:p>
      <w:pPr>
        <w:jc w:val="both"/>
        <w:ind w:right="60"/>
        <w:spacing w:after="0" w:line="290" w:lineRule="auto"/>
        <w:rPr>
          <w:sz w:val="20"/>
          <w:szCs w:val="20"/>
          <w:color w:val="auto"/>
        </w:rPr>
      </w:pPr>
      <w:r>
        <w:rPr>
          <w:rFonts w:ascii="Arial" w:cs="Arial" w:eastAsia="Arial" w:hAnsi="Arial"/>
          <w:sz w:val="18"/>
          <w:szCs w:val="18"/>
          <w:i w:val="1"/>
          <w:iCs w:val="1"/>
          <w:color w:val="auto"/>
        </w:rPr>
        <w:t>Property, Plant and Equipment and Depreciation and Amortization</w:t>
      </w:r>
      <w:r>
        <w:rPr>
          <w:rFonts w:ascii="Arial" w:cs="Arial" w:eastAsia="Arial" w:hAnsi="Arial"/>
          <w:sz w:val="18"/>
          <w:szCs w:val="18"/>
          <w:color w:val="auto"/>
        </w:rPr>
        <w:t>—Property, plant and equipment is stated at</w:t>
      </w:r>
      <w:r>
        <w:rPr>
          <w:rFonts w:ascii="Arial" w:cs="Arial" w:eastAsia="Arial" w:hAnsi="Arial"/>
          <w:sz w:val="18"/>
          <w:szCs w:val="18"/>
          <w:i w:val="1"/>
          <w:iCs w:val="1"/>
          <w:color w:val="auto"/>
        </w:rPr>
        <w:t xml:space="preserve"> </w:t>
      </w:r>
      <w:r>
        <w:rPr>
          <w:rFonts w:ascii="Arial" w:cs="Arial" w:eastAsia="Arial" w:hAnsi="Arial"/>
          <w:sz w:val="18"/>
          <w:szCs w:val="18"/>
          <w:color w:val="auto"/>
        </w:rPr>
        <w:t>cost less accumulated depreciation and amortization. Depreciation and amortization are provided for using principally the straight-line method over the estimated useful lives of the assets as follows:</w:t>
      </w:r>
    </w:p>
    <w:p>
      <w:pPr>
        <w:spacing w:after="0" w:line="107" w:lineRule="exact"/>
        <w:rPr>
          <w:sz w:val="20"/>
          <w:szCs w:val="20"/>
          <w:color w:val="auto"/>
        </w:rPr>
      </w:pPr>
    </w:p>
    <w:tbl>
      <w:tblPr>
        <w:tblLayout w:type="fixed"/>
        <w:tblInd w:w="2560" w:type="dxa"/>
        <w:tblCellMar>
          <w:top w:w="0" w:type="dxa"/>
          <w:left w:w="0" w:type="dxa"/>
          <w:bottom w:w="0" w:type="dxa"/>
          <w:right w:w="0" w:type="dxa"/>
        </w:tblCellMar>
      </w:tblPr>
      <w:tr>
        <w:trPr>
          <w:trHeight w:val="220"/>
        </w:trPr>
        <w:tc>
          <w:tcPr>
            <w:tcW w:w="3660" w:type="dxa"/>
            <w:vAlign w:val="bottom"/>
          </w:tcPr>
          <w:p>
            <w:pPr>
              <w:spacing w:after="0"/>
              <w:rPr>
                <w:sz w:val="20"/>
                <w:szCs w:val="20"/>
                <w:color w:val="auto"/>
              </w:rPr>
            </w:pPr>
            <w:r>
              <w:rPr>
                <w:rFonts w:ascii="Arial" w:cs="Arial" w:eastAsia="Arial" w:hAnsi="Arial"/>
                <w:sz w:val="18"/>
                <w:szCs w:val="18"/>
                <w:color w:val="auto"/>
              </w:rPr>
              <w:t>Buildings</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color w:val="auto"/>
              </w:rPr>
              <w:t>Ӳ</w:t>
            </w:r>
            <w:r>
              <w:rPr>
                <w:rFonts w:ascii="Arial" w:cs="Arial" w:eastAsia="Arial" w:hAnsi="Arial"/>
                <w:sz w:val="18"/>
                <w:szCs w:val="18"/>
                <w:color w:val="auto"/>
              </w:rPr>
              <w:t>30 years</w:t>
            </w:r>
          </w:p>
        </w:tc>
      </w:tr>
      <w:tr>
        <w:trPr>
          <w:trHeight w:val="220"/>
        </w:trPr>
        <w:tc>
          <w:tcPr>
            <w:tcW w:w="3660" w:type="dxa"/>
            <w:vAlign w:val="bottom"/>
          </w:tcPr>
          <w:p>
            <w:pPr>
              <w:spacing w:after="0"/>
              <w:rPr>
                <w:sz w:val="20"/>
                <w:szCs w:val="20"/>
                <w:color w:val="auto"/>
              </w:rPr>
            </w:pPr>
            <w:r>
              <w:rPr>
                <w:rFonts w:ascii="Arial" w:cs="Arial" w:eastAsia="Arial" w:hAnsi="Arial"/>
                <w:sz w:val="18"/>
                <w:szCs w:val="18"/>
                <w:color w:val="auto"/>
              </w:rPr>
              <w:t>Machinery and other equipment</w:t>
            </w:r>
          </w:p>
        </w:tc>
        <w:tc>
          <w:tcPr>
            <w:tcW w:w="1560" w:type="dxa"/>
            <w:vAlign w:val="bottom"/>
          </w:tcPr>
          <w:p>
            <w:pPr>
              <w:jc w:val="right"/>
              <w:spacing w:after="0"/>
              <w:rPr>
                <w:sz w:val="20"/>
                <w:szCs w:val="20"/>
                <w:color w:val="auto"/>
              </w:rPr>
            </w:pPr>
            <w:r>
              <w:rPr>
                <w:rFonts w:ascii="Arial" w:cs="Arial" w:eastAsia="Arial" w:hAnsi="Arial"/>
                <w:sz w:val="18"/>
                <w:szCs w:val="18"/>
                <w:color w:val="auto"/>
              </w:rPr>
              <w:t>8–15 years</w:t>
            </w:r>
          </w:p>
        </w:tc>
      </w:tr>
      <w:tr>
        <w:trPr>
          <w:trHeight w:val="268"/>
        </w:trPr>
        <w:tc>
          <w:tcPr>
            <w:tcW w:w="36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Computer equipment and software</w:t>
            </w:r>
          </w:p>
        </w:tc>
        <w:tc>
          <w:tcPr>
            <w:tcW w:w="15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3–5 years</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depreciated over the shorter of the remaining lease term or the useful life of the asset.</w:t>
      </w:r>
    </w:p>
    <w:p>
      <w:pPr>
        <w:spacing w:after="0" w:line="11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Research, Development and Engineering</w:t>
      </w:r>
      <w:r>
        <w:rPr>
          <w:rFonts w:ascii="Arial" w:cs="Arial" w:eastAsia="Arial" w:hAnsi="Arial"/>
          <w:sz w:val="18"/>
          <w:szCs w:val="18"/>
          <w:color w:val="auto"/>
        </w:rPr>
        <w:t>—Research, development and engineering (“R,D&amp;E”) costs include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benefits, rents, supplies, and other costs related to products under development or improvements to existing products. R,D&amp;E costs are expensed as incurred and are included within selling, general and administrative expenses.</w:t>
      </w:r>
    </w:p>
    <w:p>
      <w:pPr>
        <w:spacing w:after="0" w:line="2" w:lineRule="exact"/>
        <w:rPr>
          <w:sz w:val="20"/>
          <w:szCs w:val="20"/>
          <w:color w:val="auto"/>
        </w:rPr>
      </w:pPr>
    </w:p>
    <w:p>
      <w:pPr>
        <w:spacing w:after="0" w:line="230" w:lineRule="exact"/>
        <w:rPr>
          <w:sz w:val="20"/>
          <w:szCs w:val="20"/>
          <w:color w:val="auto"/>
        </w:rPr>
      </w:pPr>
      <w:r>
        <w:rPr>
          <w:rFonts w:ascii="Arial" w:cs="Arial" w:eastAsia="Arial" w:hAnsi="Arial"/>
          <w:sz w:val="18"/>
          <w:szCs w:val="18"/>
          <w:color w:val="auto"/>
        </w:rPr>
        <w:t>Ą</w:t>
      </w:r>
      <w:r>
        <w:rPr>
          <w:rFonts w:ascii="Arial" w:cs="Arial" w:eastAsia="Arial" w:hAnsi="Arial"/>
          <w:sz w:val="18"/>
          <w:szCs w:val="18"/>
          <w:color w:val="auto"/>
        </w:rPr>
        <w:t>ӗ</w:t>
      </w:r>
      <w:r>
        <w:rPr>
          <w:rFonts w:ascii="Arial" w:cs="Arial" w:eastAsia="Arial" w:hAnsi="Arial"/>
          <w:sz w:val="18"/>
          <w:szCs w:val="18"/>
          <w:color w:val="auto"/>
        </w:rPr>
        <w:t>AծK</w:t>
      </w:r>
      <w:r>
        <w:rPr>
          <w:rFonts w:ascii="PMingLiU" w:cs="PMingLiU" w:eastAsia="PMingLiU" w:hAnsi="PMingLiU"/>
          <w:sz w:val="18"/>
          <w:szCs w:val="18"/>
          <w:color w:val="auto"/>
        </w:rPr>
        <w:t/>
      </w:r>
      <w:r>
        <w:rPr>
          <w:rFonts w:ascii="Arial" w:cs="Arial" w:eastAsia="Arial" w:hAnsi="Arial"/>
          <w:sz w:val="18"/>
          <w:szCs w:val="18"/>
          <w:color w:val="auto"/>
        </w:rPr>
        <w:t xml:space="preserve"> ǉʯɥǉȶɰǉɰ</w:t>
      </w:r>
      <w:r>
        <w:rPr>
          <w:rFonts w:ascii="PMingLiU" w:cs="PMingLiU" w:eastAsia="PMingLiU" w:hAnsi="PMingLiU"/>
          <w:sz w:val="18"/>
          <w:szCs w:val="18"/>
          <w:color w:val="auto"/>
        </w:rPr>
        <w:t/>
      </w:r>
      <w:r>
        <w:rPr>
          <w:rFonts w:ascii="Arial" w:cs="Arial" w:eastAsia="Arial" w:hAnsi="Arial"/>
          <w:sz w:val="18"/>
          <w:szCs w:val="18"/>
          <w:color w:val="auto"/>
        </w:rPr>
        <w:t xml:space="preserve"> ɽɁɽƃȢǉǁ</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ѝњїӝњӗ</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ќљѝӝіӗ</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ћљћӝі</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ʰǉƃɨɰ</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їѕїјӗ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respectively.</w:t>
      </w:r>
    </w:p>
    <w:p>
      <w:pPr>
        <w:spacing w:after="0" w:line="291"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—The reported results reflect the application of ASC 606 guidance. The amount of revenue rec-ognized reflects the consideration which the Company expects to be entitled to receive in exchange for these prod-ucts and/or services. To achieve this principle, the Company applies the following five steps:</w:t>
      </w:r>
    </w:p>
    <w:p>
      <w:pPr>
        <w:spacing w:after="0" w:line="7" w:lineRule="exact"/>
        <w:rPr>
          <w:sz w:val="20"/>
          <w:szCs w:val="20"/>
          <w:color w:val="auto"/>
        </w:rPr>
      </w:pPr>
    </w:p>
    <w:p>
      <w:pPr>
        <w:ind w:left="540" w:hanging="180"/>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68" w:lineRule="exact"/>
        <w:rPr>
          <w:rFonts w:ascii="Arial" w:cs="Arial" w:eastAsia="Arial" w:hAnsi="Arial"/>
          <w:sz w:val="18"/>
          <w:szCs w:val="18"/>
          <w:color w:val="auto"/>
        </w:rPr>
      </w:pPr>
    </w:p>
    <w:p>
      <w:pPr>
        <w:ind w:left="540" w:hanging="180"/>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68" w:lineRule="exact"/>
        <w:rPr>
          <w:rFonts w:ascii="Arial" w:cs="Arial" w:eastAsia="Arial" w:hAnsi="Arial"/>
          <w:sz w:val="18"/>
          <w:szCs w:val="18"/>
          <w:color w:val="auto"/>
        </w:rPr>
      </w:pPr>
    </w:p>
    <w:p>
      <w:pPr>
        <w:ind w:left="540" w:hanging="180"/>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68" w:lineRule="exact"/>
        <w:rPr>
          <w:rFonts w:ascii="Arial" w:cs="Arial" w:eastAsia="Arial" w:hAnsi="Arial"/>
          <w:sz w:val="18"/>
          <w:szCs w:val="18"/>
          <w:color w:val="auto"/>
        </w:rPr>
      </w:pPr>
    </w:p>
    <w:p>
      <w:pPr>
        <w:ind w:left="540" w:hanging="180"/>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 and</w:t>
      </w:r>
    </w:p>
    <w:p>
      <w:pPr>
        <w:spacing w:after="0" w:line="68" w:lineRule="exact"/>
        <w:rPr>
          <w:rFonts w:ascii="Arial" w:cs="Arial" w:eastAsia="Arial" w:hAnsi="Arial"/>
          <w:sz w:val="18"/>
          <w:szCs w:val="18"/>
          <w:color w:val="auto"/>
        </w:rPr>
      </w:pPr>
    </w:p>
    <w:p>
      <w:pPr>
        <w:ind w:left="540" w:hanging="180"/>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ectPr>
          <w:pgSz w:w="12240" w:h="15840" w:orient="portrait"/>
          <w:cols w:equalWidth="0" w:num="1">
            <w:col w:w="10380"/>
          </w:cols>
          <w:pgMar w:left="960" w:top="935" w:right="90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35" w:right="900" w:bottom="90" w:gutter="0" w:footer="0" w:header="0"/>
          <w:type w:val="continuous"/>
        </w:sectPr>
      </w:pPr>
    </w:p>
    <w:bookmarkStart w:id="46" w:name="page47"/>
    <w:bookmarkEnd w:id="46"/>
    <w:p>
      <w:pPr>
        <w:jc w:val="both"/>
        <w:spacing w:after="0" w:line="27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Disaggregated Revenue—We disaggregate our revenues by reportable segment into four categories: (i) recurring rev-enue comprised of Software-as-a-Service (“SaaS”), annual term licenses, and software post-contract support (“PCS”);</w:t>
      </w:r>
    </w:p>
    <w:p>
      <w:pPr>
        <w:spacing w:after="0" w:line="1" w:lineRule="exact"/>
        <w:rPr>
          <w:sz w:val="20"/>
          <w:szCs w:val="20"/>
          <w:color w:val="auto"/>
        </w:rPr>
      </w:pPr>
    </w:p>
    <w:p>
      <w:pPr>
        <w:jc w:val="both"/>
        <w:spacing w:after="0" w:line="270" w:lineRule="auto"/>
        <w:tabs>
          <w:tab w:leader="none" w:pos="2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reoccurring revenue comprised of transactional and volume-based fees facilitated through our software; (iii) non-recurring revenue comprised of multi-year term and perpetual software licenses, professional services associated with software products and hardware sold with our software licenses; and (iv) product revenue. See details in the tables below:</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820" w:type="dxa"/>
            <w:vAlign w:val="bottom"/>
            <w:tcBorders>
              <w:bottom w:val="single" w:sz="8" w:color="000041"/>
            </w:tcBorders>
          </w:tcPr>
          <w:p>
            <w:pPr>
              <w:spacing w:after="0"/>
              <w:rPr>
                <w:sz w:val="23"/>
                <w:szCs w:val="23"/>
                <w:color w:val="auto"/>
              </w:rPr>
            </w:pPr>
          </w:p>
        </w:tc>
        <w:tc>
          <w:tcPr>
            <w:tcW w:w="5500" w:type="dxa"/>
            <w:vAlign w:val="bottom"/>
            <w:tcBorders>
              <w:bottom w:val="single" w:sz="8" w:color="000041"/>
            </w:tcBorders>
            <w:gridSpan w:val="4"/>
          </w:tcPr>
          <w:p>
            <w:pPr>
              <w:jc w:val="right"/>
              <w:ind w:right="130"/>
              <w:spacing w:after="0"/>
              <w:rPr>
                <w:sz w:val="20"/>
                <w:szCs w:val="20"/>
                <w:color w:val="auto"/>
              </w:rPr>
            </w:pPr>
            <w:r>
              <w:rPr>
                <w:rFonts w:ascii="Arial" w:cs="Arial" w:eastAsia="Arial" w:hAnsi="Arial"/>
                <w:sz w:val="18"/>
                <w:szCs w:val="18"/>
                <w:color w:val="auto"/>
              </w:rPr>
              <w:t>Year ended December 31, 2025</w:t>
            </w:r>
          </w:p>
        </w:tc>
        <w:tc>
          <w:tcPr>
            <w:tcW w:w="1000" w:type="dxa"/>
            <w:vAlign w:val="bottom"/>
            <w:tcBorders>
              <w:bottom w:val="single" w:sz="8" w:color="000041"/>
            </w:tcBorders>
          </w:tcPr>
          <w:p>
            <w:pPr>
              <w:spacing w:after="0"/>
              <w:rPr>
                <w:sz w:val="23"/>
                <w:szCs w:val="23"/>
                <w:color w:val="auto"/>
              </w:rPr>
            </w:pPr>
          </w:p>
        </w:tc>
      </w:tr>
      <w:tr>
        <w:trPr>
          <w:trHeight w:val="212"/>
        </w:trPr>
        <w:tc>
          <w:tcPr>
            <w:tcW w:w="3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color w:val="auto"/>
              </w:rPr>
              <w:t>Technology</w:t>
            </w:r>
          </w:p>
        </w:tc>
        <w:tc>
          <w:tcPr>
            <w:tcW w:w="1000" w:type="dxa"/>
            <w:vAlign w:val="bottom"/>
          </w:tcPr>
          <w:p>
            <w:pPr>
              <w:spacing w:after="0"/>
              <w:rPr>
                <w:sz w:val="18"/>
                <w:szCs w:val="18"/>
                <w:color w:val="auto"/>
              </w:rPr>
            </w:pPr>
          </w:p>
        </w:tc>
      </w:tr>
      <w:tr>
        <w:trPr>
          <w:trHeight w:val="220"/>
        </w:trPr>
        <w:tc>
          <w:tcPr>
            <w:tcW w:w="3820" w:type="dxa"/>
            <w:vAlign w:val="bottom"/>
          </w:tcPr>
          <w:p>
            <w:pPr>
              <w:spacing w:after="0"/>
              <w:rPr>
                <w:sz w:val="19"/>
                <w:szCs w:val="19"/>
                <w:color w:val="auto"/>
              </w:rPr>
            </w:pP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Application</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Network</w:t>
            </w:r>
          </w:p>
        </w:tc>
        <w:tc>
          <w:tcPr>
            <w:tcW w:w="1460" w:type="dxa"/>
            <w:vAlign w:val="bottom"/>
            <w:gridSpan w:val="2"/>
          </w:tcPr>
          <w:p>
            <w:pPr>
              <w:jc w:val="right"/>
              <w:ind w:right="210"/>
              <w:spacing w:after="0"/>
              <w:rPr>
                <w:sz w:val="20"/>
                <w:szCs w:val="20"/>
                <w:color w:val="auto"/>
              </w:rPr>
            </w:pPr>
            <w:r>
              <w:rPr>
                <w:rFonts w:ascii="Arial" w:cs="Arial" w:eastAsia="Arial" w:hAnsi="Arial"/>
                <w:sz w:val="18"/>
                <w:szCs w:val="18"/>
                <w:color w:val="auto"/>
              </w:rPr>
              <w:t>Enabled</w:t>
            </w:r>
          </w:p>
        </w:tc>
        <w:tc>
          <w:tcPr>
            <w:tcW w:w="1000" w:type="dxa"/>
            <w:vAlign w:val="bottom"/>
          </w:tcPr>
          <w:p>
            <w:pPr>
              <w:spacing w:after="0"/>
              <w:rPr>
                <w:sz w:val="19"/>
                <w:szCs w:val="19"/>
                <w:color w:val="auto"/>
              </w:rPr>
            </w:pPr>
          </w:p>
        </w:tc>
      </w:tr>
      <w:tr>
        <w:trPr>
          <w:trHeight w:val="268"/>
        </w:trPr>
        <w:tc>
          <w:tcPr>
            <w:tcW w:w="38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Revenue stream</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Software</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Software</w:t>
            </w:r>
          </w:p>
        </w:tc>
        <w:tc>
          <w:tcPr>
            <w:tcW w:w="1460" w:type="dxa"/>
            <w:vAlign w:val="bottom"/>
            <w:tcBorders>
              <w:bottom w:val="single" w:sz="8" w:color="000041"/>
            </w:tcBorders>
            <w:gridSpan w:val="2"/>
          </w:tcPr>
          <w:p>
            <w:pPr>
              <w:jc w:val="right"/>
              <w:ind w:right="210"/>
              <w:spacing w:after="0"/>
              <w:rPr>
                <w:sz w:val="20"/>
                <w:szCs w:val="20"/>
                <w:color w:val="auto"/>
              </w:rPr>
            </w:pPr>
            <w:r>
              <w:rPr>
                <w:rFonts w:ascii="Arial" w:cs="Arial" w:eastAsia="Arial" w:hAnsi="Arial"/>
                <w:sz w:val="18"/>
                <w:szCs w:val="18"/>
                <w:color w:val="auto"/>
              </w:rPr>
              <w:t>Products</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Total</w:t>
            </w:r>
          </w:p>
        </w:tc>
      </w:tr>
      <w:tr>
        <w:trPr>
          <w:trHeight w:val="261"/>
        </w:trPr>
        <w:tc>
          <w:tcPr>
            <w:tcW w:w="3820" w:type="dxa"/>
            <w:vAlign w:val="bottom"/>
          </w:tcPr>
          <w:p>
            <w:pPr>
              <w:ind w:left="180"/>
              <w:spacing w:after="0"/>
              <w:rPr>
                <w:sz w:val="20"/>
                <w:szCs w:val="20"/>
                <w:color w:val="auto"/>
              </w:rPr>
            </w:pPr>
            <w:r>
              <w:rPr>
                <w:rFonts w:ascii="Arial" w:cs="Arial" w:eastAsia="Arial" w:hAnsi="Arial"/>
                <w:sz w:val="18"/>
                <w:szCs w:val="18"/>
                <w:color w:val="auto"/>
              </w:rPr>
              <w:t>Software related</w:t>
            </w:r>
          </w:p>
        </w:tc>
        <w:tc>
          <w:tcPr>
            <w:tcW w:w="2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4"/>
        </w:trPr>
        <w:tc>
          <w:tcPr>
            <w:tcW w:w="3820" w:type="dxa"/>
            <w:vAlign w:val="bottom"/>
          </w:tcPr>
          <w:p>
            <w:pPr>
              <w:ind w:left="360"/>
              <w:spacing w:after="0"/>
              <w:rPr>
                <w:sz w:val="20"/>
                <w:szCs w:val="20"/>
                <w:color w:val="auto"/>
              </w:rPr>
            </w:pPr>
            <w:r>
              <w:rPr>
                <w:rFonts w:ascii="Arial" w:cs="Arial" w:eastAsia="Arial" w:hAnsi="Arial"/>
                <w:sz w:val="18"/>
                <w:szCs w:val="18"/>
                <w:color w:val="auto"/>
              </w:rPr>
              <w:t>Recurring</w:t>
            </w: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јӗїѝїӝї</w:t>
            </w:r>
          </w:p>
        </w:tc>
        <w:tc>
          <w:tcPr>
            <w:tcW w:w="1200" w:type="dxa"/>
            <w:vAlign w:val="bottom"/>
          </w:tcPr>
          <w:p>
            <w:pPr>
              <w:jc w:val="right"/>
              <w:ind w:right="5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іӗіњљӝћ</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46.1</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ԤԞ</w:t>
            </w:r>
            <w:r>
              <w:rPr>
                <w:rFonts w:ascii="Arial" w:cs="Arial" w:eastAsia="Arial" w:hAnsi="Arial"/>
                <w:sz w:val="18"/>
                <w:szCs w:val="18"/>
                <w:color w:val="auto"/>
                <w:w w:val="88"/>
              </w:rPr>
              <w:t>љӗљѝїӝў</w:t>
            </w:r>
          </w:p>
        </w:tc>
      </w:tr>
      <w:tr>
        <w:trPr>
          <w:trHeight w:val="234"/>
        </w:trPr>
        <w:tc>
          <w:tcPr>
            <w:tcW w:w="3820" w:type="dxa"/>
            <w:vAlign w:val="bottom"/>
          </w:tcPr>
          <w:p>
            <w:pPr>
              <w:ind w:left="360"/>
              <w:spacing w:after="0"/>
              <w:rPr>
                <w:sz w:val="20"/>
                <w:szCs w:val="20"/>
                <w:color w:val="auto"/>
              </w:rPr>
            </w:pPr>
            <w:r>
              <w:rPr>
                <w:rFonts w:ascii="Arial" w:cs="Arial" w:eastAsia="Arial" w:hAnsi="Arial"/>
                <w:sz w:val="18"/>
                <w:szCs w:val="18"/>
                <w:color w:val="auto"/>
              </w:rPr>
              <w:t>Reoccurring</w:t>
            </w: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522.6</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310.5</w:t>
            </w:r>
          </w:p>
        </w:tc>
        <w:tc>
          <w:tcPr>
            <w:tcW w:w="7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833.1</w:t>
            </w:r>
          </w:p>
        </w:tc>
      </w:tr>
      <w:tr>
        <w:trPr>
          <w:trHeight w:val="268"/>
        </w:trPr>
        <w:tc>
          <w:tcPr>
            <w:tcW w:w="382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Non-recurring</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678.2</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135.7</w:t>
            </w:r>
          </w:p>
        </w:tc>
        <w:tc>
          <w:tcPr>
            <w:tcW w:w="720" w:type="dxa"/>
            <w:vAlign w:val="bottom"/>
            <w:tcBorders>
              <w:bottom w:val="single" w:sz="8" w:color="000041"/>
            </w:tcBorders>
          </w:tcPr>
          <w:p>
            <w:pPr>
              <w:spacing w:after="0"/>
              <w:rPr>
                <w:sz w:val="23"/>
                <w:szCs w:val="23"/>
                <w:color w:val="auto"/>
              </w:rPr>
            </w:pPr>
          </w:p>
        </w:tc>
        <w:tc>
          <w:tcPr>
            <w:tcW w:w="74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813.9</w:t>
            </w:r>
          </w:p>
        </w:tc>
      </w:tr>
      <w:tr>
        <w:trPr>
          <w:trHeight w:val="206"/>
        </w:trPr>
        <w:tc>
          <w:tcPr>
            <w:tcW w:w="3820" w:type="dxa"/>
            <w:vAlign w:val="bottom"/>
          </w:tcPr>
          <w:p>
            <w:pPr>
              <w:ind w:left="180"/>
              <w:spacing w:after="0" w:line="206" w:lineRule="exact"/>
              <w:rPr>
                <w:sz w:val="20"/>
                <w:szCs w:val="20"/>
                <w:color w:val="auto"/>
              </w:rPr>
            </w:pPr>
            <w:r>
              <w:rPr>
                <w:rFonts w:ascii="Arial" w:cs="Arial" w:eastAsia="Arial" w:hAnsi="Arial"/>
                <w:sz w:val="18"/>
                <w:szCs w:val="18"/>
                <w:color w:val="auto"/>
              </w:rPr>
              <w:t>Total Software Revenue</w:t>
            </w:r>
          </w:p>
        </w:tc>
        <w:tc>
          <w:tcPr>
            <w:tcW w:w="2840" w:type="dxa"/>
            <w:vAlign w:val="bottom"/>
          </w:tcPr>
          <w:p>
            <w:pPr>
              <w:jc w:val="right"/>
              <w:ind w:right="170"/>
              <w:spacing w:after="0" w:line="206" w:lineRule="exact"/>
              <w:rPr>
                <w:sz w:val="20"/>
                <w:szCs w:val="20"/>
                <w:color w:val="auto"/>
              </w:rPr>
            </w:pPr>
            <w:r>
              <w:rPr>
                <w:rFonts w:ascii="Arial" w:cs="Arial" w:eastAsia="Arial" w:hAnsi="Arial"/>
                <w:sz w:val="18"/>
                <w:szCs w:val="18"/>
                <w:color w:val="auto"/>
              </w:rPr>
              <w:t>4,483.0</w:t>
            </w:r>
          </w:p>
        </w:tc>
        <w:tc>
          <w:tcPr>
            <w:tcW w:w="1200" w:type="dxa"/>
            <w:vAlign w:val="bottom"/>
          </w:tcPr>
          <w:p>
            <w:pPr>
              <w:jc w:val="right"/>
              <w:ind w:right="70"/>
              <w:spacing w:after="0" w:line="206" w:lineRule="exact"/>
              <w:rPr>
                <w:sz w:val="20"/>
                <w:szCs w:val="20"/>
                <w:color w:val="auto"/>
              </w:rPr>
            </w:pPr>
            <w:r>
              <w:rPr>
                <w:rFonts w:ascii="Arial" w:cs="Arial" w:eastAsia="Arial" w:hAnsi="Arial"/>
                <w:sz w:val="18"/>
                <w:szCs w:val="18"/>
                <w:color w:val="auto"/>
              </w:rPr>
              <w:t>1,600.8</w:t>
            </w:r>
          </w:p>
        </w:tc>
        <w:tc>
          <w:tcPr>
            <w:tcW w:w="720" w:type="dxa"/>
            <w:vAlign w:val="bottom"/>
          </w:tcPr>
          <w:p>
            <w:pPr>
              <w:spacing w:after="0"/>
              <w:rPr>
                <w:sz w:val="17"/>
                <w:szCs w:val="17"/>
                <w:color w:val="auto"/>
              </w:rPr>
            </w:pPr>
          </w:p>
        </w:tc>
        <w:tc>
          <w:tcPr>
            <w:tcW w:w="740" w:type="dxa"/>
            <w:vAlign w:val="bottom"/>
          </w:tcPr>
          <w:p>
            <w:pPr>
              <w:jc w:val="right"/>
              <w:ind w:right="230"/>
              <w:spacing w:after="0" w:line="206" w:lineRule="exact"/>
              <w:rPr>
                <w:sz w:val="20"/>
                <w:szCs w:val="20"/>
                <w:color w:val="auto"/>
              </w:rPr>
            </w:pPr>
            <w:r>
              <w:rPr>
                <w:rFonts w:ascii="Arial" w:cs="Arial" w:eastAsia="Arial" w:hAnsi="Arial"/>
                <w:sz w:val="18"/>
                <w:szCs w:val="18"/>
                <w:color w:val="auto"/>
              </w:rPr>
              <w:t>46.1</w:t>
            </w: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6,129.9</w:t>
            </w:r>
          </w:p>
        </w:tc>
      </w:tr>
      <w:tr>
        <w:trPr>
          <w:trHeight w:val="268"/>
        </w:trPr>
        <w:tc>
          <w:tcPr>
            <w:tcW w:w="38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Product Revenue</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000041"/>
            </w:tcBorders>
            <w:gridSpan w:val="2"/>
          </w:tcPr>
          <w:p>
            <w:pPr>
              <w:jc w:val="right"/>
              <w:ind w:right="210"/>
              <w:spacing w:after="0"/>
              <w:rPr>
                <w:sz w:val="20"/>
                <w:szCs w:val="20"/>
                <w:color w:val="auto"/>
              </w:rPr>
            </w:pPr>
            <w:r>
              <w:rPr>
                <w:rFonts w:ascii="Arial" w:cs="Arial" w:eastAsia="Arial" w:hAnsi="Arial"/>
                <w:sz w:val="18"/>
                <w:szCs w:val="18"/>
                <w:color w:val="auto"/>
              </w:rPr>
              <w:t>1,772.6</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1,772.6</w:t>
            </w:r>
          </w:p>
        </w:tc>
      </w:tr>
      <w:tr>
        <w:trPr>
          <w:trHeight w:val="295"/>
        </w:trPr>
        <w:tc>
          <w:tcPr>
            <w:tcW w:w="38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Total Revenue</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$4,483.0</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$1,600.8</w:t>
            </w:r>
          </w:p>
        </w:tc>
        <w:tc>
          <w:tcPr>
            <w:tcW w:w="1460" w:type="dxa"/>
            <w:vAlign w:val="bottom"/>
            <w:tcBorders>
              <w:bottom w:val="single" w:sz="8" w:color="000041"/>
            </w:tcBorders>
            <w:gridSpan w:val="2"/>
          </w:tcPr>
          <w:p>
            <w:pPr>
              <w:jc w:val="right"/>
              <w:ind w:right="210"/>
              <w:spacing w:after="0"/>
              <w:rPr>
                <w:sz w:val="20"/>
                <w:szCs w:val="20"/>
                <w:color w:val="auto"/>
              </w:rPr>
            </w:pPr>
            <w:r>
              <w:rPr>
                <w:rFonts w:ascii="Arial" w:cs="Arial" w:eastAsia="Arial" w:hAnsi="Arial"/>
                <w:sz w:val="18"/>
                <w:szCs w:val="18"/>
                <w:color w:val="auto"/>
              </w:rPr>
              <w:t>$1,818.7</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$7,902.5</w:t>
            </w:r>
          </w:p>
        </w:tc>
      </w:tr>
      <w:tr>
        <w:trPr>
          <w:trHeight w:val="484"/>
        </w:trPr>
        <w:tc>
          <w:tcPr>
            <w:tcW w:w="3820" w:type="dxa"/>
            <w:vAlign w:val="bottom"/>
            <w:tcBorders>
              <w:bottom w:val="single" w:sz="8" w:color="000041"/>
            </w:tcBorders>
          </w:tcPr>
          <w:p>
            <w:pPr>
              <w:spacing w:after="0"/>
              <w:rPr>
                <w:sz w:val="24"/>
                <w:szCs w:val="24"/>
                <w:color w:val="auto"/>
              </w:rPr>
            </w:pPr>
          </w:p>
        </w:tc>
        <w:tc>
          <w:tcPr>
            <w:tcW w:w="5500" w:type="dxa"/>
            <w:vAlign w:val="bottom"/>
            <w:tcBorders>
              <w:bottom w:val="single" w:sz="8" w:color="000041"/>
            </w:tcBorders>
            <w:gridSpan w:val="4"/>
          </w:tcPr>
          <w:p>
            <w:pPr>
              <w:jc w:val="right"/>
              <w:ind w:right="130"/>
              <w:spacing w:after="0"/>
              <w:rPr>
                <w:sz w:val="20"/>
                <w:szCs w:val="20"/>
                <w:color w:val="auto"/>
              </w:rPr>
            </w:pPr>
            <w:r>
              <w:rPr>
                <w:rFonts w:ascii="Arial" w:cs="Arial" w:eastAsia="Arial" w:hAnsi="Arial"/>
                <w:sz w:val="18"/>
                <w:szCs w:val="18"/>
                <w:color w:val="auto"/>
              </w:rPr>
              <w:t>Year ended December 31, 2024</w:t>
            </w:r>
          </w:p>
        </w:tc>
        <w:tc>
          <w:tcPr>
            <w:tcW w:w="1000" w:type="dxa"/>
            <w:vAlign w:val="bottom"/>
            <w:tcBorders>
              <w:bottom w:val="single" w:sz="8" w:color="000041"/>
            </w:tcBorders>
          </w:tcPr>
          <w:p>
            <w:pPr>
              <w:spacing w:after="0"/>
              <w:rPr>
                <w:sz w:val="24"/>
                <w:szCs w:val="24"/>
                <w:color w:val="auto"/>
              </w:rPr>
            </w:pPr>
          </w:p>
        </w:tc>
      </w:tr>
      <w:tr>
        <w:trPr>
          <w:trHeight w:val="212"/>
        </w:trPr>
        <w:tc>
          <w:tcPr>
            <w:tcW w:w="3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color w:val="auto"/>
              </w:rPr>
              <w:t>Technology</w:t>
            </w:r>
          </w:p>
        </w:tc>
        <w:tc>
          <w:tcPr>
            <w:tcW w:w="1000" w:type="dxa"/>
            <w:vAlign w:val="bottom"/>
          </w:tcPr>
          <w:p>
            <w:pPr>
              <w:spacing w:after="0"/>
              <w:rPr>
                <w:sz w:val="18"/>
                <w:szCs w:val="18"/>
                <w:color w:val="auto"/>
              </w:rPr>
            </w:pPr>
          </w:p>
        </w:tc>
      </w:tr>
      <w:tr>
        <w:trPr>
          <w:trHeight w:val="220"/>
        </w:trPr>
        <w:tc>
          <w:tcPr>
            <w:tcW w:w="3820" w:type="dxa"/>
            <w:vAlign w:val="bottom"/>
          </w:tcPr>
          <w:p>
            <w:pPr>
              <w:spacing w:after="0"/>
              <w:rPr>
                <w:sz w:val="19"/>
                <w:szCs w:val="19"/>
                <w:color w:val="auto"/>
              </w:rPr>
            </w:pP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Application</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Network</w:t>
            </w:r>
          </w:p>
        </w:tc>
        <w:tc>
          <w:tcPr>
            <w:tcW w:w="1460" w:type="dxa"/>
            <w:vAlign w:val="bottom"/>
            <w:gridSpan w:val="2"/>
          </w:tcPr>
          <w:p>
            <w:pPr>
              <w:jc w:val="right"/>
              <w:ind w:right="210"/>
              <w:spacing w:after="0"/>
              <w:rPr>
                <w:sz w:val="20"/>
                <w:szCs w:val="20"/>
                <w:color w:val="auto"/>
              </w:rPr>
            </w:pPr>
            <w:r>
              <w:rPr>
                <w:rFonts w:ascii="Arial" w:cs="Arial" w:eastAsia="Arial" w:hAnsi="Arial"/>
                <w:sz w:val="18"/>
                <w:szCs w:val="18"/>
                <w:color w:val="auto"/>
              </w:rPr>
              <w:t>Enabled</w:t>
            </w:r>
          </w:p>
        </w:tc>
        <w:tc>
          <w:tcPr>
            <w:tcW w:w="1000" w:type="dxa"/>
            <w:vAlign w:val="bottom"/>
          </w:tcPr>
          <w:p>
            <w:pPr>
              <w:spacing w:after="0"/>
              <w:rPr>
                <w:sz w:val="19"/>
                <w:szCs w:val="19"/>
                <w:color w:val="auto"/>
              </w:rPr>
            </w:pPr>
          </w:p>
        </w:tc>
      </w:tr>
      <w:tr>
        <w:trPr>
          <w:trHeight w:val="268"/>
        </w:trPr>
        <w:tc>
          <w:tcPr>
            <w:tcW w:w="38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Revenue stream</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Software</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Software</w:t>
            </w:r>
          </w:p>
        </w:tc>
        <w:tc>
          <w:tcPr>
            <w:tcW w:w="1460" w:type="dxa"/>
            <w:vAlign w:val="bottom"/>
            <w:tcBorders>
              <w:bottom w:val="single" w:sz="8" w:color="000041"/>
            </w:tcBorders>
            <w:gridSpan w:val="2"/>
          </w:tcPr>
          <w:p>
            <w:pPr>
              <w:jc w:val="right"/>
              <w:ind w:right="210"/>
              <w:spacing w:after="0"/>
              <w:rPr>
                <w:sz w:val="20"/>
                <w:szCs w:val="20"/>
                <w:color w:val="auto"/>
              </w:rPr>
            </w:pPr>
            <w:r>
              <w:rPr>
                <w:rFonts w:ascii="Arial" w:cs="Arial" w:eastAsia="Arial" w:hAnsi="Arial"/>
                <w:sz w:val="18"/>
                <w:szCs w:val="18"/>
                <w:color w:val="auto"/>
              </w:rPr>
              <w:t>Products</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Total</w:t>
            </w:r>
          </w:p>
        </w:tc>
      </w:tr>
      <w:tr>
        <w:trPr>
          <w:trHeight w:val="261"/>
        </w:trPr>
        <w:tc>
          <w:tcPr>
            <w:tcW w:w="3820" w:type="dxa"/>
            <w:vAlign w:val="bottom"/>
          </w:tcPr>
          <w:p>
            <w:pPr>
              <w:ind w:left="180"/>
              <w:spacing w:after="0"/>
              <w:rPr>
                <w:sz w:val="20"/>
                <w:szCs w:val="20"/>
                <w:color w:val="auto"/>
              </w:rPr>
            </w:pPr>
            <w:r>
              <w:rPr>
                <w:rFonts w:ascii="Arial" w:cs="Arial" w:eastAsia="Arial" w:hAnsi="Arial"/>
                <w:sz w:val="18"/>
                <w:szCs w:val="18"/>
                <w:color w:val="auto"/>
              </w:rPr>
              <w:t>Software related</w:t>
            </w:r>
          </w:p>
        </w:tc>
        <w:tc>
          <w:tcPr>
            <w:tcW w:w="2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4"/>
        </w:trPr>
        <w:tc>
          <w:tcPr>
            <w:tcW w:w="3820" w:type="dxa"/>
            <w:vAlign w:val="bottom"/>
          </w:tcPr>
          <w:p>
            <w:pPr>
              <w:ind w:left="360"/>
              <w:spacing w:after="0"/>
              <w:rPr>
                <w:sz w:val="20"/>
                <w:szCs w:val="20"/>
                <w:color w:val="auto"/>
              </w:rPr>
            </w:pPr>
            <w:r>
              <w:rPr>
                <w:rFonts w:ascii="Arial" w:cs="Arial" w:eastAsia="Arial" w:hAnsi="Arial"/>
                <w:sz w:val="18"/>
                <w:szCs w:val="18"/>
                <w:color w:val="auto"/>
              </w:rPr>
              <w:t>Recurring</w:t>
            </w: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$2,880.0</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іӗѕќѕӝі</w:t>
            </w:r>
          </w:p>
        </w:tc>
        <w:tc>
          <w:tcPr>
            <w:tcW w:w="1460" w:type="dxa"/>
            <w:vAlign w:val="bottom"/>
            <w:gridSpan w:val="2"/>
          </w:tcPr>
          <w:p>
            <w:pPr>
              <w:jc w:val="right"/>
              <w:ind w:right="21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їћӝі</w:t>
            </w:r>
          </w:p>
        </w:tc>
        <w:tc>
          <w:tcPr>
            <w:tcW w:w="1000" w:type="dxa"/>
            <w:vAlign w:val="bottom"/>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јӗўќћӝї</w:t>
            </w:r>
          </w:p>
        </w:tc>
      </w:tr>
      <w:tr>
        <w:trPr>
          <w:trHeight w:val="234"/>
        </w:trPr>
        <w:tc>
          <w:tcPr>
            <w:tcW w:w="3820" w:type="dxa"/>
            <w:vAlign w:val="bottom"/>
          </w:tcPr>
          <w:p>
            <w:pPr>
              <w:ind w:left="360"/>
              <w:spacing w:after="0"/>
              <w:rPr>
                <w:sz w:val="20"/>
                <w:szCs w:val="20"/>
                <w:color w:val="auto"/>
              </w:rPr>
            </w:pPr>
            <w:r>
              <w:rPr>
                <w:rFonts w:ascii="Arial" w:cs="Arial" w:eastAsia="Arial" w:hAnsi="Arial"/>
                <w:sz w:val="18"/>
                <w:szCs w:val="18"/>
                <w:color w:val="auto"/>
              </w:rPr>
              <w:t>Reoccurring</w:t>
            </w: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353.9</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270.3</w:t>
            </w:r>
          </w:p>
        </w:tc>
        <w:tc>
          <w:tcPr>
            <w:tcW w:w="7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624.2</w:t>
            </w:r>
          </w:p>
        </w:tc>
      </w:tr>
      <w:tr>
        <w:trPr>
          <w:trHeight w:val="268"/>
        </w:trPr>
        <w:tc>
          <w:tcPr>
            <w:tcW w:w="382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Non-recurring</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634.4</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135.2</w:t>
            </w:r>
          </w:p>
        </w:tc>
        <w:tc>
          <w:tcPr>
            <w:tcW w:w="720" w:type="dxa"/>
            <w:vAlign w:val="bottom"/>
            <w:tcBorders>
              <w:bottom w:val="single" w:sz="8" w:color="000041"/>
            </w:tcBorders>
          </w:tcPr>
          <w:p>
            <w:pPr>
              <w:spacing w:after="0"/>
              <w:rPr>
                <w:sz w:val="23"/>
                <w:szCs w:val="23"/>
                <w:color w:val="auto"/>
              </w:rPr>
            </w:pPr>
          </w:p>
        </w:tc>
        <w:tc>
          <w:tcPr>
            <w:tcW w:w="74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769.6</w:t>
            </w:r>
          </w:p>
        </w:tc>
      </w:tr>
      <w:tr>
        <w:trPr>
          <w:trHeight w:val="261"/>
        </w:trPr>
        <w:tc>
          <w:tcPr>
            <w:tcW w:w="3820" w:type="dxa"/>
            <w:vAlign w:val="bottom"/>
          </w:tcPr>
          <w:p>
            <w:pPr>
              <w:ind w:left="180"/>
              <w:spacing w:after="0"/>
              <w:rPr>
                <w:sz w:val="20"/>
                <w:szCs w:val="20"/>
                <w:color w:val="auto"/>
              </w:rPr>
            </w:pPr>
            <w:r>
              <w:rPr>
                <w:rFonts w:ascii="Arial" w:cs="Arial" w:eastAsia="Arial" w:hAnsi="Arial"/>
                <w:sz w:val="18"/>
                <w:szCs w:val="18"/>
                <w:color w:val="auto"/>
              </w:rPr>
              <w:t>Total Software Revenue</w:t>
            </w: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3,868.3</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1,475.6</w:t>
            </w:r>
          </w:p>
        </w:tc>
        <w:tc>
          <w:tcPr>
            <w:tcW w:w="720" w:type="dxa"/>
            <w:vAlign w:val="bottom"/>
          </w:tcPr>
          <w:p>
            <w:pPr>
              <w:spacing w:after="0"/>
              <w:rPr>
                <w:sz w:val="22"/>
                <w:szCs w:val="22"/>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26.1</w:t>
            </w:r>
          </w:p>
        </w:tc>
        <w:tc>
          <w:tcPr>
            <w:tcW w:w="1000" w:type="dxa"/>
            <w:vAlign w:val="bottom"/>
          </w:tcPr>
          <w:p>
            <w:pPr>
              <w:jc w:val="right"/>
              <w:spacing w:after="0"/>
              <w:rPr>
                <w:sz w:val="20"/>
                <w:szCs w:val="20"/>
                <w:color w:val="auto"/>
              </w:rPr>
            </w:pPr>
            <w:r>
              <w:rPr>
                <w:rFonts w:ascii="Arial" w:cs="Arial" w:eastAsia="Arial" w:hAnsi="Arial"/>
                <w:sz w:val="18"/>
                <w:szCs w:val="18"/>
                <w:color w:val="auto"/>
              </w:rPr>
              <w:t>5,370.0</w:t>
            </w:r>
          </w:p>
        </w:tc>
      </w:tr>
      <w:tr>
        <w:trPr>
          <w:trHeight w:val="268"/>
        </w:trPr>
        <w:tc>
          <w:tcPr>
            <w:tcW w:w="38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Product Revenue</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000041"/>
            </w:tcBorders>
            <w:gridSpan w:val="2"/>
          </w:tcPr>
          <w:p>
            <w:pPr>
              <w:jc w:val="right"/>
              <w:ind w:right="210"/>
              <w:spacing w:after="0"/>
              <w:rPr>
                <w:sz w:val="20"/>
                <w:szCs w:val="20"/>
                <w:color w:val="auto"/>
              </w:rPr>
            </w:pPr>
            <w:r>
              <w:rPr>
                <w:rFonts w:ascii="Arial" w:cs="Arial" w:eastAsia="Arial" w:hAnsi="Arial"/>
                <w:sz w:val="18"/>
                <w:szCs w:val="18"/>
                <w:color w:val="auto"/>
              </w:rPr>
              <w:t>1,669.2</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1,669.2</w:t>
            </w:r>
          </w:p>
        </w:tc>
      </w:tr>
      <w:tr>
        <w:trPr>
          <w:trHeight w:val="295"/>
        </w:trPr>
        <w:tc>
          <w:tcPr>
            <w:tcW w:w="38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Total Revenue</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јӗѝћѝӝј</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$1,475.6</w:t>
            </w:r>
          </w:p>
        </w:tc>
        <w:tc>
          <w:tcPr>
            <w:tcW w:w="1460" w:type="dxa"/>
            <w:vAlign w:val="bottom"/>
            <w:tcBorders>
              <w:bottom w:val="single" w:sz="8" w:color="000041"/>
            </w:tcBorders>
            <w:gridSpan w:val="2"/>
          </w:tcPr>
          <w:p>
            <w:pPr>
              <w:jc w:val="right"/>
              <w:ind w:right="210"/>
              <w:spacing w:after="0"/>
              <w:rPr>
                <w:sz w:val="20"/>
                <w:szCs w:val="20"/>
                <w:color w:val="auto"/>
              </w:rPr>
            </w:pPr>
            <w:r>
              <w:rPr>
                <w:rFonts w:ascii="Arial" w:cs="Arial" w:eastAsia="Arial" w:hAnsi="Arial"/>
                <w:sz w:val="18"/>
                <w:szCs w:val="18"/>
                <w:color w:val="auto"/>
              </w:rPr>
              <w:t>$1,695.3</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$7,039.2</w:t>
            </w:r>
          </w:p>
        </w:tc>
      </w:tr>
      <w:tr>
        <w:trPr>
          <w:trHeight w:val="484"/>
        </w:trPr>
        <w:tc>
          <w:tcPr>
            <w:tcW w:w="3820" w:type="dxa"/>
            <w:vAlign w:val="bottom"/>
            <w:tcBorders>
              <w:bottom w:val="single" w:sz="8" w:color="000041"/>
            </w:tcBorders>
          </w:tcPr>
          <w:p>
            <w:pPr>
              <w:spacing w:after="0"/>
              <w:rPr>
                <w:sz w:val="24"/>
                <w:szCs w:val="24"/>
                <w:color w:val="auto"/>
              </w:rPr>
            </w:pPr>
          </w:p>
        </w:tc>
        <w:tc>
          <w:tcPr>
            <w:tcW w:w="5500" w:type="dxa"/>
            <w:vAlign w:val="bottom"/>
            <w:tcBorders>
              <w:bottom w:val="single" w:sz="8" w:color="000041"/>
            </w:tcBorders>
            <w:gridSpan w:val="4"/>
          </w:tcPr>
          <w:p>
            <w:pPr>
              <w:jc w:val="right"/>
              <w:ind w:right="130"/>
              <w:spacing w:after="0"/>
              <w:rPr>
                <w:sz w:val="20"/>
                <w:szCs w:val="20"/>
                <w:color w:val="auto"/>
              </w:rPr>
            </w:pPr>
            <w:r>
              <w:rPr>
                <w:rFonts w:ascii="Arial" w:cs="Arial" w:eastAsia="Arial" w:hAnsi="Arial"/>
                <w:sz w:val="18"/>
                <w:szCs w:val="18"/>
                <w:color w:val="auto"/>
              </w:rPr>
              <w:t>Year ended December 31, 2023</w:t>
            </w:r>
          </w:p>
        </w:tc>
        <w:tc>
          <w:tcPr>
            <w:tcW w:w="1000" w:type="dxa"/>
            <w:vAlign w:val="bottom"/>
            <w:tcBorders>
              <w:bottom w:val="single" w:sz="8" w:color="000041"/>
            </w:tcBorders>
          </w:tcPr>
          <w:p>
            <w:pPr>
              <w:spacing w:after="0"/>
              <w:rPr>
                <w:sz w:val="24"/>
                <w:szCs w:val="24"/>
                <w:color w:val="auto"/>
              </w:rPr>
            </w:pPr>
          </w:p>
        </w:tc>
      </w:tr>
      <w:tr>
        <w:trPr>
          <w:trHeight w:val="212"/>
        </w:trPr>
        <w:tc>
          <w:tcPr>
            <w:tcW w:w="3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color w:val="auto"/>
              </w:rPr>
              <w:t>Technology</w:t>
            </w:r>
          </w:p>
        </w:tc>
        <w:tc>
          <w:tcPr>
            <w:tcW w:w="1000" w:type="dxa"/>
            <w:vAlign w:val="bottom"/>
          </w:tcPr>
          <w:p>
            <w:pPr>
              <w:spacing w:after="0"/>
              <w:rPr>
                <w:sz w:val="18"/>
                <w:szCs w:val="18"/>
                <w:color w:val="auto"/>
              </w:rPr>
            </w:pPr>
          </w:p>
        </w:tc>
      </w:tr>
      <w:tr>
        <w:trPr>
          <w:trHeight w:val="220"/>
        </w:trPr>
        <w:tc>
          <w:tcPr>
            <w:tcW w:w="3820" w:type="dxa"/>
            <w:vAlign w:val="bottom"/>
          </w:tcPr>
          <w:p>
            <w:pPr>
              <w:spacing w:after="0"/>
              <w:rPr>
                <w:sz w:val="19"/>
                <w:szCs w:val="19"/>
                <w:color w:val="auto"/>
              </w:rPr>
            </w:pP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Application</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Network</w:t>
            </w:r>
          </w:p>
        </w:tc>
        <w:tc>
          <w:tcPr>
            <w:tcW w:w="1460" w:type="dxa"/>
            <w:vAlign w:val="bottom"/>
            <w:gridSpan w:val="2"/>
          </w:tcPr>
          <w:p>
            <w:pPr>
              <w:jc w:val="right"/>
              <w:ind w:right="210"/>
              <w:spacing w:after="0"/>
              <w:rPr>
                <w:sz w:val="20"/>
                <w:szCs w:val="20"/>
                <w:color w:val="auto"/>
              </w:rPr>
            </w:pPr>
            <w:r>
              <w:rPr>
                <w:rFonts w:ascii="Arial" w:cs="Arial" w:eastAsia="Arial" w:hAnsi="Arial"/>
                <w:sz w:val="18"/>
                <w:szCs w:val="18"/>
                <w:color w:val="auto"/>
              </w:rPr>
              <w:t>Enabled</w:t>
            </w:r>
          </w:p>
        </w:tc>
        <w:tc>
          <w:tcPr>
            <w:tcW w:w="1000" w:type="dxa"/>
            <w:vAlign w:val="bottom"/>
          </w:tcPr>
          <w:p>
            <w:pPr>
              <w:spacing w:after="0"/>
              <w:rPr>
                <w:sz w:val="19"/>
                <w:szCs w:val="19"/>
                <w:color w:val="auto"/>
              </w:rPr>
            </w:pPr>
          </w:p>
        </w:tc>
      </w:tr>
      <w:tr>
        <w:trPr>
          <w:trHeight w:val="268"/>
        </w:trPr>
        <w:tc>
          <w:tcPr>
            <w:tcW w:w="38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Revenue stream</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Software</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Software</w:t>
            </w:r>
          </w:p>
        </w:tc>
        <w:tc>
          <w:tcPr>
            <w:tcW w:w="1460" w:type="dxa"/>
            <w:vAlign w:val="bottom"/>
            <w:tcBorders>
              <w:bottom w:val="single" w:sz="8" w:color="000041"/>
            </w:tcBorders>
            <w:gridSpan w:val="2"/>
          </w:tcPr>
          <w:p>
            <w:pPr>
              <w:jc w:val="right"/>
              <w:ind w:right="210"/>
              <w:spacing w:after="0"/>
              <w:rPr>
                <w:sz w:val="20"/>
                <w:szCs w:val="20"/>
                <w:color w:val="auto"/>
              </w:rPr>
            </w:pPr>
            <w:r>
              <w:rPr>
                <w:rFonts w:ascii="Arial" w:cs="Arial" w:eastAsia="Arial" w:hAnsi="Arial"/>
                <w:sz w:val="18"/>
                <w:szCs w:val="18"/>
                <w:color w:val="auto"/>
              </w:rPr>
              <w:t>Products</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Total</w:t>
            </w:r>
          </w:p>
        </w:tc>
      </w:tr>
      <w:tr>
        <w:trPr>
          <w:trHeight w:val="261"/>
        </w:trPr>
        <w:tc>
          <w:tcPr>
            <w:tcW w:w="3820" w:type="dxa"/>
            <w:vAlign w:val="bottom"/>
          </w:tcPr>
          <w:p>
            <w:pPr>
              <w:ind w:left="180"/>
              <w:spacing w:after="0"/>
              <w:rPr>
                <w:sz w:val="20"/>
                <w:szCs w:val="20"/>
                <w:color w:val="auto"/>
              </w:rPr>
            </w:pPr>
            <w:r>
              <w:rPr>
                <w:rFonts w:ascii="Arial" w:cs="Arial" w:eastAsia="Arial" w:hAnsi="Arial"/>
                <w:sz w:val="18"/>
                <w:szCs w:val="18"/>
                <w:color w:val="auto"/>
              </w:rPr>
              <w:t>Software related</w:t>
            </w:r>
          </w:p>
        </w:tc>
        <w:tc>
          <w:tcPr>
            <w:tcW w:w="2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4"/>
        </w:trPr>
        <w:tc>
          <w:tcPr>
            <w:tcW w:w="3820" w:type="dxa"/>
            <w:vAlign w:val="bottom"/>
          </w:tcPr>
          <w:p>
            <w:pPr>
              <w:ind w:left="360"/>
              <w:spacing w:after="0"/>
              <w:rPr>
                <w:sz w:val="20"/>
                <w:szCs w:val="20"/>
                <w:color w:val="auto"/>
              </w:rPr>
            </w:pPr>
            <w:r>
              <w:rPr>
                <w:rFonts w:ascii="Arial" w:cs="Arial" w:eastAsia="Arial" w:hAnsi="Arial"/>
                <w:sz w:val="18"/>
                <w:szCs w:val="18"/>
                <w:color w:val="auto"/>
              </w:rPr>
              <w:t>Recurring</w:t>
            </w: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$2,454.3</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$1,039.5</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17.3</w:t>
            </w:r>
          </w:p>
        </w:tc>
        <w:tc>
          <w:tcPr>
            <w:tcW w:w="1000" w:type="dxa"/>
            <w:vAlign w:val="bottom"/>
          </w:tcPr>
          <w:p>
            <w:pPr>
              <w:jc w:val="right"/>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јӗњііӝі</w:t>
            </w:r>
          </w:p>
        </w:tc>
      </w:tr>
      <w:tr>
        <w:trPr>
          <w:trHeight w:val="234"/>
        </w:trPr>
        <w:tc>
          <w:tcPr>
            <w:tcW w:w="3820" w:type="dxa"/>
            <w:vAlign w:val="bottom"/>
          </w:tcPr>
          <w:p>
            <w:pPr>
              <w:ind w:left="360"/>
              <w:spacing w:after="0"/>
              <w:rPr>
                <w:sz w:val="20"/>
                <w:szCs w:val="20"/>
                <w:color w:val="auto"/>
              </w:rPr>
            </w:pPr>
            <w:r>
              <w:rPr>
                <w:rFonts w:ascii="Arial" w:cs="Arial" w:eastAsia="Arial" w:hAnsi="Arial"/>
                <w:sz w:val="18"/>
                <w:szCs w:val="18"/>
                <w:color w:val="auto"/>
              </w:rPr>
              <w:t>Reoccurring</w:t>
            </w: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137.8</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263.4</w:t>
            </w:r>
          </w:p>
        </w:tc>
        <w:tc>
          <w:tcPr>
            <w:tcW w:w="7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401.2</w:t>
            </w:r>
          </w:p>
        </w:tc>
      </w:tr>
      <w:tr>
        <w:trPr>
          <w:trHeight w:val="268"/>
        </w:trPr>
        <w:tc>
          <w:tcPr>
            <w:tcW w:w="382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Non-recurring</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594.8</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136.5</w:t>
            </w:r>
          </w:p>
        </w:tc>
        <w:tc>
          <w:tcPr>
            <w:tcW w:w="720" w:type="dxa"/>
            <w:vAlign w:val="bottom"/>
            <w:tcBorders>
              <w:bottom w:val="single" w:sz="8" w:color="000041"/>
            </w:tcBorders>
          </w:tcPr>
          <w:p>
            <w:pPr>
              <w:spacing w:after="0"/>
              <w:rPr>
                <w:sz w:val="23"/>
                <w:szCs w:val="23"/>
                <w:color w:val="auto"/>
              </w:rPr>
            </w:pPr>
          </w:p>
        </w:tc>
        <w:tc>
          <w:tcPr>
            <w:tcW w:w="74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732.8</w:t>
            </w:r>
          </w:p>
        </w:tc>
      </w:tr>
      <w:tr>
        <w:trPr>
          <w:trHeight w:val="261"/>
        </w:trPr>
        <w:tc>
          <w:tcPr>
            <w:tcW w:w="3820" w:type="dxa"/>
            <w:vAlign w:val="bottom"/>
          </w:tcPr>
          <w:p>
            <w:pPr>
              <w:ind w:left="180"/>
              <w:spacing w:after="0"/>
              <w:rPr>
                <w:sz w:val="20"/>
                <w:szCs w:val="20"/>
                <w:color w:val="auto"/>
              </w:rPr>
            </w:pPr>
            <w:r>
              <w:rPr>
                <w:rFonts w:ascii="Arial" w:cs="Arial" w:eastAsia="Arial" w:hAnsi="Arial"/>
                <w:sz w:val="18"/>
                <w:szCs w:val="18"/>
                <w:color w:val="auto"/>
              </w:rPr>
              <w:t>Total Software Revenue</w:t>
            </w: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3,186.9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1,439.4</w:t>
            </w:r>
          </w:p>
        </w:tc>
        <w:tc>
          <w:tcPr>
            <w:tcW w:w="720" w:type="dxa"/>
            <w:vAlign w:val="bottom"/>
          </w:tcPr>
          <w:p>
            <w:pPr>
              <w:spacing w:after="0"/>
              <w:rPr>
                <w:sz w:val="22"/>
                <w:szCs w:val="22"/>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18.8</w:t>
            </w:r>
          </w:p>
        </w:tc>
        <w:tc>
          <w:tcPr>
            <w:tcW w:w="1000" w:type="dxa"/>
            <w:vAlign w:val="bottom"/>
          </w:tcPr>
          <w:p>
            <w:pPr>
              <w:jc w:val="right"/>
              <w:spacing w:after="0"/>
              <w:rPr>
                <w:sz w:val="20"/>
                <w:szCs w:val="20"/>
                <w:color w:val="auto"/>
              </w:rPr>
            </w:pPr>
            <w:r>
              <w:rPr>
                <w:rFonts w:ascii="Arial" w:cs="Arial" w:eastAsia="Arial" w:hAnsi="Arial"/>
                <w:sz w:val="18"/>
                <w:szCs w:val="18"/>
                <w:color w:val="auto"/>
              </w:rPr>
              <w:t>4,645.1</w:t>
            </w:r>
          </w:p>
        </w:tc>
      </w:tr>
      <w:tr>
        <w:trPr>
          <w:trHeight w:val="268"/>
        </w:trPr>
        <w:tc>
          <w:tcPr>
            <w:tcW w:w="38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Product Revenue</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000041"/>
            </w:tcBorders>
            <w:gridSpan w:val="2"/>
          </w:tcPr>
          <w:p>
            <w:pPr>
              <w:jc w:val="right"/>
              <w:ind w:right="210"/>
              <w:spacing w:after="0"/>
              <w:rPr>
                <w:sz w:val="20"/>
                <w:szCs w:val="20"/>
                <w:color w:val="auto"/>
              </w:rPr>
            </w:pPr>
            <w:r>
              <w:rPr>
                <w:rFonts w:ascii="Arial" w:cs="Arial" w:eastAsia="Arial" w:hAnsi="Arial"/>
                <w:sz w:val="18"/>
                <w:szCs w:val="18"/>
                <w:color w:val="auto"/>
              </w:rPr>
              <w:t>1,532.7</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1,532.7</w:t>
            </w:r>
          </w:p>
        </w:tc>
      </w:tr>
      <w:tr>
        <w:trPr>
          <w:trHeight w:val="295"/>
        </w:trPr>
        <w:tc>
          <w:tcPr>
            <w:tcW w:w="38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Total Revenue</w:t>
            </w:r>
          </w:p>
        </w:tc>
        <w:tc>
          <w:tcPr>
            <w:tcW w:w="2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јӗіѝћӝў</w:t>
            </w:r>
          </w:p>
        </w:tc>
        <w:tc>
          <w:tcPr>
            <w:tcW w:w="12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іӗљјўӝљ</w:t>
            </w:r>
          </w:p>
        </w:tc>
        <w:tc>
          <w:tcPr>
            <w:tcW w:w="1460" w:type="dxa"/>
            <w:vAlign w:val="bottom"/>
            <w:tcBorders>
              <w:bottom w:val="single" w:sz="8" w:color="000041"/>
            </w:tcBorders>
            <w:gridSpan w:val="2"/>
          </w:tcPr>
          <w:p>
            <w:pPr>
              <w:jc w:val="right"/>
              <w:ind w:right="210"/>
              <w:spacing w:after="0"/>
              <w:rPr>
                <w:sz w:val="20"/>
                <w:szCs w:val="20"/>
                <w:color w:val="auto"/>
              </w:rPr>
            </w:pPr>
            <w:r>
              <w:rPr>
                <w:rFonts w:ascii="Arial" w:cs="Arial" w:eastAsia="Arial" w:hAnsi="Arial"/>
                <w:sz w:val="18"/>
                <w:szCs w:val="18"/>
                <w:color w:val="auto"/>
              </w:rPr>
              <w:t>$1,551.5</w:t>
            </w:r>
          </w:p>
        </w:tc>
        <w:tc>
          <w:tcPr>
            <w:tcW w:w="10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$6,177.8</w:t>
            </w:r>
          </w:p>
        </w:tc>
      </w:tr>
    </w:tbl>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recognize revenue over time or at a point in time depending on our evaluation of when the customer obtains control over the promised products or services. For software arrangements that include multiple performance obliga-tions, we allocate revenue to each performance obligation based on estimates of the price that we would charge the customer for each promised product or service if it were sold on a standalone basis. Software licenses may be com-bined with implementation/installation services as a single performance obligation if the implementation/installation significantly modifies or customizes the functionality of the software license.</w:t>
      </w:r>
    </w:p>
    <w:p>
      <w:pPr>
        <w:sectPr>
          <w:pgSz w:w="12240" w:h="15840" w:orient="portrait"/>
          <w:cols w:equalWidth="0" w:num="1">
            <w:col w:w="10320"/>
          </w:cols>
          <w:pgMar w:left="960" w:top="930"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45</w:t>
      </w:r>
    </w:p>
    <w:p>
      <w:pPr>
        <w:sectPr>
          <w:pgSz w:w="12240" w:h="15840" w:orient="portrait"/>
          <w:cols w:equalWidth="0" w:num="1">
            <w:col w:w="10320"/>
          </w:cols>
          <w:pgMar w:left="960" w:top="930" w:right="960" w:bottom="9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Software and related services</w:t>
      </w:r>
    </w:p>
    <w:p>
      <w:pPr>
        <w:spacing w:after="0" w:line="73" w:lineRule="exact"/>
        <w:rPr>
          <w:sz w:val="20"/>
          <w:szCs w:val="20"/>
          <w:color w:val="auto"/>
        </w:rPr>
      </w:pPr>
    </w:p>
    <w:p>
      <w:pPr>
        <w:ind w:left="540" w:right="40" w:hanging="180"/>
        <w:spacing w:after="0" w:line="28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Recurring—consists primarily of SaaS subscriptions and PCS which are recognized ratably over the contractual term, and annual term software licenses which are generally recognized at a point in time.</w:t>
      </w:r>
    </w:p>
    <w:p>
      <w:pPr>
        <w:spacing w:after="0" w:line="1" w:lineRule="exact"/>
        <w:rPr>
          <w:rFonts w:ascii="Arial" w:cs="Arial" w:eastAsia="Arial" w:hAnsi="Arial"/>
          <w:sz w:val="18"/>
          <w:szCs w:val="18"/>
          <w:color w:val="auto"/>
        </w:rPr>
      </w:pPr>
    </w:p>
    <w:p>
      <w:pPr>
        <w:ind w:left="540" w:right="40" w:hanging="180"/>
        <w:spacing w:after="0" w:line="286"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Reoccurring—consists primarily of transactional and volume-based fees which are highly reoccurring and rec-ognized at a point in time under a usage-based model.</w:t>
      </w:r>
    </w:p>
    <w:p>
      <w:pPr>
        <w:spacing w:after="0" w:line="1" w:lineRule="exact"/>
        <w:rPr>
          <w:rFonts w:ascii="Arial" w:cs="Arial" w:eastAsia="Arial" w:hAnsi="Arial"/>
          <w:sz w:val="18"/>
          <w:szCs w:val="18"/>
          <w:color w:val="auto"/>
        </w:rPr>
      </w:pPr>
    </w:p>
    <w:p>
      <w:pPr>
        <w:jc w:val="both"/>
        <w:ind w:left="540" w:right="40" w:hanging="180"/>
        <w:spacing w:after="0" w:line="27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Non-recurring—consists primarily of perpetual, multi-year term software licenses, or installation/implementa-tion services and associated hardware. Revenues from perpetual and multi-year term licenses are generally recognized at a point in time. Revenues from software implementation projects are generally recognized over time using the input method, utilizing the ratio of costs or labor hours incurred to total estimated costs or labor, as the measure of performance.</w:t>
      </w:r>
    </w:p>
    <w:p>
      <w:pPr>
        <w:spacing w:after="0" w:line="271" w:lineRule="exact"/>
        <w:rPr>
          <w:sz w:val="20"/>
          <w:szCs w:val="20"/>
          <w:color w:val="auto"/>
        </w:rPr>
      </w:pPr>
    </w:p>
    <w:p>
      <w:pPr>
        <w:jc w:val="both"/>
        <w:ind w:right="40"/>
        <w:spacing w:after="0" w:line="273" w:lineRule="auto"/>
        <w:rPr>
          <w:sz w:val="20"/>
          <w:szCs w:val="20"/>
          <w:color w:val="auto"/>
        </w:rPr>
      </w:pPr>
      <w:r>
        <w:rPr>
          <w:rFonts w:ascii="Arial" w:cs="Arial" w:eastAsia="Arial" w:hAnsi="Arial"/>
          <w:sz w:val="18"/>
          <w:szCs w:val="18"/>
          <w:color w:val="auto"/>
        </w:rPr>
        <w:t>Payment for software licenses is generally required within 30 to 60 days of the transfer of control. Payment for PCS is generally required within 30 to 60 days of the commencement of the service period, which is primarily offered to customers over a one-year timeframe. Payment terms do not contain a significant financing component. Payment for implementation/installation services that are recognized over time is typically commensurate with milestones defined in the contract, or billable hours incurred.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74"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Revenue from product sales is recognized when control transfers to the customer, which is generally when the prod-uct is shipped. Non-project- based installation and repair services are performed by certain of our businesses for which revenue is recognized upon completion.</w:t>
      </w:r>
    </w:p>
    <w:p>
      <w:pPr>
        <w:spacing w:after="0" w:line="27" w:lineRule="exact"/>
        <w:rPr>
          <w:sz w:val="20"/>
          <w:szCs w:val="20"/>
          <w:color w:val="auto"/>
        </w:rPr>
      </w:pPr>
    </w:p>
    <w:p>
      <w:pPr>
        <w:jc w:val="both"/>
        <w:ind w:right="40"/>
        <w:spacing w:after="0" w:line="315" w:lineRule="auto"/>
        <w:rPr>
          <w:sz w:val="20"/>
          <w:szCs w:val="20"/>
          <w:color w:val="auto"/>
        </w:rPr>
      </w:pPr>
      <w:r>
        <w:rPr>
          <w:rFonts w:ascii="Arial" w:cs="Arial" w:eastAsia="Arial" w:hAnsi="Arial"/>
          <w:sz w:val="18"/>
          <w:szCs w:val="18"/>
          <w:color w:val="auto"/>
        </w:rPr>
        <w:t>Payment terms are generally 30 to 60 days from the transfer of control. Payment terms do not contain a significant financing component.</w:t>
      </w:r>
    </w:p>
    <w:p>
      <w:pPr>
        <w:spacing w:after="0" w:line="1"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i w:val="1"/>
          <w:iCs w:val="1"/>
          <w:color w:val="auto"/>
        </w:rPr>
        <w:t>Accounts receivable, net</w:t>
      </w:r>
      <w:r>
        <w:rPr>
          <w:rFonts w:ascii="Arial" w:cs="Arial" w:eastAsia="Arial" w:hAnsi="Arial"/>
          <w:sz w:val="18"/>
          <w:szCs w:val="18"/>
          <w:color w:val="auto"/>
        </w:rPr>
        <w:t>—Accounts receivable, net includes amounts billed and currently due from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amounts due are stated at their net estimated realizable value. Accounts receivable are stated net of an allowance for </w:t>
      </w:r>
      <w:r>
        <w:rPr>
          <w:rFonts w:ascii="Arial" w:cs="Arial" w:eastAsia="Arial" w:hAnsi="Arial"/>
          <w:sz w:val="18"/>
          <w:szCs w:val="18"/>
          <w:color w:val="auto"/>
        </w:rPr>
        <w:t>ǁɁʍƹɽǹʍȢ</w:t>
      </w:r>
      <w:r>
        <w:rPr>
          <w:rFonts w:ascii="PMingLiU" w:cs="PMingLiU" w:eastAsia="PMingLiU" w:hAnsi="PMingLiU"/>
          <w:sz w:val="18"/>
          <w:szCs w:val="18"/>
          <w:color w:val="auto"/>
        </w:rPr>
        <w:t/>
      </w:r>
      <w:r>
        <w:rPr>
          <w:rFonts w:ascii="Arial" w:cs="Arial" w:eastAsia="Arial" w:hAnsi="Arial"/>
          <w:sz w:val="18"/>
          <w:szCs w:val="18"/>
          <w:color w:val="auto"/>
        </w:rPr>
        <w:t xml:space="preserve"> ƃƺƺɁʍȶɽɰ</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ɰƃȢǉɰ</w:t>
      </w:r>
      <w:r>
        <w:rPr>
          <w:rFonts w:ascii="PMingLiU" w:cs="PMingLiU" w:eastAsia="PMingLiU" w:hAnsi="PMingLiU"/>
          <w:sz w:val="18"/>
          <w:szCs w:val="18"/>
          <w:color w:val="auto"/>
        </w:rPr>
        <w:t/>
      </w:r>
      <w:r>
        <w:rPr>
          <w:rFonts w:ascii="Arial" w:cs="Arial" w:eastAsia="Arial" w:hAnsi="Arial"/>
          <w:sz w:val="18"/>
          <w:szCs w:val="18"/>
          <w:color w:val="auto"/>
        </w:rPr>
        <w:t xml:space="preserve"> ƃȢȢɁʥƃȶƺǉɰ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їњӝњ</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їіӝћ</w:t>
      </w:r>
      <w:r>
        <w:rPr>
          <w:rFonts w:ascii="PMingLiU" w:cs="PMingLiU" w:eastAsia="PMingLiU" w:hAnsi="PMingLiU"/>
          <w:sz w:val="18"/>
          <w:szCs w:val="18"/>
          <w:color w:val="auto"/>
        </w:rPr>
        <w:t/>
      </w:r>
      <w:r>
        <w:rPr>
          <w:rFonts w:ascii="Arial" w:cs="Arial" w:eastAsia="Arial" w:hAnsi="Arial"/>
          <w:sz w:val="18"/>
          <w:szCs w:val="18"/>
          <w:color w:val="auto"/>
        </w:rPr>
        <w:t xml:space="preserve"> ƃɽ</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 xml:space="preserve"> ɨǉɰɥǉƺɽȈʤǉȢʰ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 xml:space="preserve"> Śǉ</w:t>
      </w:r>
      <w:r>
        <w:rPr>
          <w:rFonts w:ascii="PMingLiU" w:cs="PMingLiU" w:eastAsia="PMingLiU" w:hAnsi="PMingLiU"/>
          <w:sz w:val="18"/>
          <w:szCs w:val="18"/>
          <w:color w:val="auto"/>
        </w:rPr>
        <w:t/>
      </w:r>
      <w:r>
        <w:rPr>
          <w:rFonts w:ascii="Arial" w:cs="Arial" w:eastAsia="Arial" w:hAnsi="Arial"/>
          <w:sz w:val="18"/>
          <w:szCs w:val="18"/>
          <w:color w:val="auto"/>
        </w:rPr>
        <w:t xml:space="preserve"> ȴƃȟǉ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estimates of expected allowance for doubtful accounts based upon our assessment of various factors, including his-torical experience, the age of the accounts receivable balances, changes to customer creditworthiness, and other factors that may affect our ability to collect from customers.</w:t>
      </w:r>
    </w:p>
    <w:p>
      <w:pPr>
        <w:spacing w:after="0" w:line="65" w:lineRule="exact"/>
        <w:rPr>
          <w:sz w:val="20"/>
          <w:szCs w:val="20"/>
          <w:color w:val="auto"/>
        </w:rPr>
      </w:pPr>
    </w:p>
    <w:p>
      <w:pPr>
        <w:jc w:val="both"/>
        <w:ind w:right="40"/>
        <w:spacing w:after="0" w:line="278" w:lineRule="auto"/>
        <w:rPr>
          <w:sz w:val="20"/>
          <w:szCs w:val="20"/>
          <w:color w:val="auto"/>
        </w:rPr>
      </w:pPr>
      <w:r>
        <w:rPr>
          <w:rFonts w:ascii="Arial" w:cs="Arial" w:eastAsia="Arial" w:hAnsi="Arial"/>
          <w:sz w:val="18"/>
          <w:szCs w:val="18"/>
          <w:i w:val="1"/>
          <w:iCs w:val="1"/>
          <w:color w:val="auto"/>
        </w:rPr>
        <w:t>Unbilled receivables</w:t>
      </w:r>
      <w:r>
        <w:rPr>
          <w:rFonts w:ascii="Arial" w:cs="Arial" w:eastAsia="Arial" w:hAnsi="Arial"/>
          <w:sz w:val="18"/>
          <w:szCs w:val="18"/>
          <w:color w:val="auto"/>
        </w:rPr>
        <w:t>—Our unbilled receivables include unbilled amounts typically resulting from sales under soft-ware milestone billings associated with multi-year term license renewals and software implementations when the input method of revenue recognition is utilized and revenue recognized exceeds the amount billed to the customer, and right to payment is not solely due to the passage of time. Amounts may not exceed their net realizable value.</w:t>
      </w:r>
    </w:p>
    <w:p>
      <w:pPr>
        <w:spacing w:after="0" w:line="31" w:lineRule="exact"/>
        <w:rPr>
          <w:sz w:val="20"/>
          <w:szCs w:val="20"/>
          <w:color w:val="auto"/>
        </w:rPr>
      </w:pPr>
    </w:p>
    <w:p>
      <w:pPr>
        <w:jc w:val="both"/>
        <w:ind w:right="40"/>
        <w:spacing w:after="0" w:line="278" w:lineRule="auto"/>
        <w:rPr>
          <w:sz w:val="20"/>
          <w:szCs w:val="20"/>
          <w:color w:val="auto"/>
        </w:rPr>
      </w:pPr>
      <w:r>
        <w:rPr>
          <w:rFonts w:ascii="Arial" w:cs="Arial" w:eastAsia="Arial" w:hAnsi="Arial"/>
          <w:sz w:val="18"/>
          <w:szCs w:val="18"/>
          <w:i w:val="1"/>
          <w:iCs w:val="1"/>
          <w:color w:val="auto"/>
        </w:rPr>
        <w:t>Deferred revenue</w:t>
      </w:r>
      <w:r>
        <w:rPr>
          <w:rFonts w:ascii="Arial" w:cs="Arial" w:eastAsia="Arial" w:hAnsi="Arial"/>
          <w:sz w:val="18"/>
          <w:szCs w:val="18"/>
          <w:color w:val="auto"/>
        </w:rPr>
        <w:t>—We record deferred revenue when cash payments are received or due in advance of our perfor-mance. Our deferred revenue relates primarily to software and related services. In most cases, we recognize deferred revenue ratably over time as the SaaS or PCS performance obligation is satisfied. The non-current portion of deferred revenue is included in “Other liabilities” in our Consolidated Balance Sheets.</w:t>
      </w:r>
    </w:p>
    <w:p>
      <w:pPr>
        <w:spacing w:after="0" w:line="37"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Our unbilled receivables and deferred revenue are reported in a net position on a contract-by-contract basis at the end of each reporting period. The net balances are classified as current or non-current based on expected timing of revenue recognition and billable milestones.</w:t>
      </w:r>
    </w:p>
    <w:p>
      <w:pPr>
        <w:spacing w:after="0" w:line="21"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i w:val="1"/>
          <w:iCs w:val="1"/>
          <w:color w:val="auto"/>
        </w:rPr>
        <w:t>Deferred commissions</w:t>
      </w:r>
      <w:r>
        <w:rPr>
          <w:rFonts w:ascii="Arial" w:cs="Arial" w:eastAsia="Arial" w:hAnsi="Arial"/>
          <w:sz w:val="18"/>
          <w:szCs w:val="18"/>
          <w:color w:val="auto"/>
        </w:rPr>
        <w:t>—Our incremental direct costs of obtaining a contract, which consist of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for our software sales, are deferred and amortized on a straight-line basis over the period of contract perfor-mance or a longer period, depending on facts and circumstances. We classify deferred commissions as current or non-current based on the expected timing of expense recognition. Where the amortization period would have been one year or less, we expense the associated incremental direct cost as incurred. The current and non-current portions of deferred commissions are included in “Prepaid expenses and other current assets” and “Other assets,” respectively,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 xml:space="preserve"> :ɁȶɰɁȢȈǁƃɽǉǁ</w:t>
      </w:r>
      <w:r>
        <w:rPr>
          <w:rFonts w:ascii="PMingLiU" w:cs="PMingLiU" w:eastAsia="PMingLiU" w:hAnsi="PMingLiU"/>
          <w:sz w:val="18"/>
          <w:szCs w:val="18"/>
          <w:color w:val="auto"/>
        </w:rPr>
        <w:t/>
      </w:r>
      <w:r>
        <w:rPr>
          <w:rFonts w:ascii="Arial" w:cs="Arial" w:eastAsia="Arial" w:hAnsi="Arial"/>
          <w:sz w:val="18"/>
          <w:szCs w:val="18"/>
          <w:color w:val="auto"/>
        </w:rPr>
        <w:t xml:space="preserve"> 9ƃȢƃȶƺǉ</w:t>
      </w:r>
      <w:r>
        <w:rPr>
          <w:rFonts w:ascii="PMingLiU" w:cs="PMingLiU" w:eastAsia="PMingLiU" w:hAnsi="PMingLiU"/>
          <w:sz w:val="18"/>
          <w:szCs w:val="18"/>
          <w:color w:val="auto"/>
        </w:rPr>
        <w:t/>
      </w:r>
      <w:r>
        <w:rPr>
          <w:rFonts w:ascii="Arial" w:cs="Arial" w:eastAsia="Arial" w:hAnsi="Arial"/>
          <w:sz w:val="18"/>
          <w:szCs w:val="18"/>
          <w:color w:val="auto"/>
        </w:rPr>
        <w:t xml:space="preserve"> Čȃǉǉɽɰ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Arial" w:cs="Arial" w:eastAsia="Arial" w:hAnsi="Arial"/>
          <w:sz w:val="18"/>
          <w:szCs w:val="18"/>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ƺʍɨɨǉȶɽ</w:t>
      </w:r>
      <w:r>
        <w:rPr>
          <w:rFonts w:ascii="PMingLiU" w:cs="PMingLiU" w:eastAsia="PMingLiU" w:hAnsi="PMingLiU"/>
          <w:sz w:val="18"/>
          <w:szCs w:val="18"/>
          <w:color w:val="auto"/>
        </w:rPr>
        <w:t/>
      </w:r>
      <w:r>
        <w:rPr>
          <w:rFonts w:ascii="Arial" w:cs="Arial" w:eastAsia="Arial" w:hAnsi="Arial"/>
          <w:sz w:val="18"/>
          <w:szCs w:val="18"/>
          <w:color w:val="auto"/>
        </w:rPr>
        <w:t xml:space="preserve"> ɥɁɨɽȈɁȶ</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ǁǉǹǉɨɨǉǁ</w:t>
      </w:r>
      <w:r>
        <w:rPr>
          <w:rFonts w:ascii="PMingLiU" w:cs="PMingLiU" w:eastAsia="PMingLiU" w:hAnsi="PMingLiU"/>
          <w:sz w:val="18"/>
          <w:szCs w:val="18"/>
          <w:color w:val="auto"/>
        </w:rPr>
        <w:t/>
      </w:r>
      <w:r>
        <w:rPr>
          <w:rFonts w:ascii="Arial" w:cs="Arial" w:eastAsia="Arial" w:hAnsi="Arial"/>
          <w:sz w:val="18"/>
          <w:szCs w:val="18"/>
          <w:color w:val="auto"/>
        </w:rPr>
        <w:t xml:space="preserve"> ƺɁȴȴȈɰɰȈɁȶɰ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was $ 47.4 and $40.5, respectively, and the non-current portion of deferred commissions was $66.2 and $50.0, respec-tively. The Company recognized $36.7, $32.2, and $29.3 of expense related to deferred commissions for the years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їѕїјӗ</w:t>
      </w:r>
      <w:r>
        <w:rPr>
          <w:rFonts w:ascii="PMingLiU" w:cs="PMingLiU" w:eastAsia="PMingLiU" w:hAnsi="PMingLiU"/>
          <w:sz w:val="18"/>
          <w:szCs w:val="18"/>
          <w:color w:val="auto"/>
        </w:rPr>
        <w:t/>
      </w:r>
      <w:r>
        <w:rPr>
          <w:rFonts w:ascii="Arial" w:cs="Arial" w:eastAsia="Arial" w:hAnsi="Arial"/>
          <w:sz w:val="18"/>
          <w:szCs w:val="18"/>
          <w:color w:val="auto"/>
        </w:rPr>
        <w:t>ɨǉɰɥǉƺɽȈʤǉȢʰ</w:t>
      </w:r>
      <w:r>
        <w:rPr>
          <w:rFonts w:ascii="Arial" w:cs="Arial" w:eastAsia="Arial" w:hAnsi="Arial"/>
          <w:sz w:val="18"/>
          <w:szCs w:val="18"/>
          <w:color w:val="auto"/>
        </w:rPr>
        <w:t>ӝ</w:t>
      </w:r>
    </w:p>
    <w:p>
      <w:pPr>
        <w:spacing w:after="0" w:line="271" w:lineRule="exact"/>
        <w:rPr>
          <w:sz w:val="20"/>
          <w:szCs w:val="20"/>
          <w:color w:val="auto"/>
        </w:rPr>
      </w:pPr>
    </w:p>
    <w:p>
      <w:pPr>
        <w:jc w:val="both"/>
        <w:spacing w:after="0" w:line="235" w:lineRule="exact"/>
        <w:rPr>
          <w:sz w:val="20"/>
          <w:szCs w:val="20"/>
          <w:color w:val="auto"/>
        </w:rPr>
      </w:pPr>
      <w:r>
        <w:rPr>
          <w:rFonts w:ascii="Arial" w:cs="Arial" w:eastAsia="Arial" w:hAnsi="Arial"/>
          <w:sz w:val="18"/>
          <w:szCs w:val="18"/>
          <w:i w:val="1"/>
          <w:iCs w:val="1"/>
          <w:color w:val="auto"/>
        </w:rPr>
        <w:t>Remaining performance obligations</w:t>
      </w:r>
      <w:r>
        <w:rPr>
          <w:rFonts w:ascii="Arial" w:cs="Arial" w:eastAsia="Arial" w:hAnsi="Arial"/>
          <w:sz w:val="18"/>
          <w:szCs w:val="18"/>
          <w:color w:val="auto"/>
        </w:rPr>
        <w:t>—Remaining performance obligations represent the transaction price of firm</w:t>
      </w:r>
      <w:r>
        <w:rPr>
          <w:rFonts w:ascii="Arial" w:cs="Arial" w:eastAsia="Arial" w:hAnsi="Arial"/>
          <w:sz w:val="18"/>
          <w:szCs w:val="18"/>
          <w:i w:val="1"/>
          <w:iCs w:val="1"/>
          <w:color w:val="auto"/>
        </w:rPr>
        <w:t xml:space="preserve"> </w:t>
      </w:r>
      <w:r>
        <w:rPr>
          <w:rFonts w:ascii="Arial" w:cs="Arial" w:eastAsia="Arial" w:hAnsi="Arial"/>
          <w:sz w:val="18"/>
          <w:szCs w:val="18"/>
          <w:color w:val="auto"/>
        </w:rPr>
        <w:t>Ɂɨǁǉɨɰ</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 xml:space="preserve"> ʥȃȈƺȃ</w:t>
      </w:r>
      <w:r>
        <w:rPr>
          <w:rFonts w:ascii="PMingLiU" w:cs="PMingLiU" w:eastAsia="PMingLiU" w:hAnsi="PMingLiU"/>
          <w:sz w:val="18"/>
          <w:szCs w:val="18"/>
          <w:color w:val="auto"/>
        </w:rPr>
        <w:t/>
      </w:r>
      <w:r>
        <w:rPr>
          <w:rFonts w:ascii="Arial" w:cs="Arial" w:eastAsia="Arial" w:hAnsi="Arial"/>
          <w:sz w:val="18"/>
          <w:szCs w:val="18"/>
          <w:color w:val="auto"/>
        </w:rPr>
        <w:t xml:space="preserve"> ʥɁɨȟ</w:t>
      </w:r>
      <w:r>
        <w:rPr>
          <w:rFonts w:ascii="PMingLiU" w:cs="PMingLiU" w:eastAsia="PMingLiU" w:hAnsi="PMingLiU"/>
          <w:sz w:val="18"/>
          <w:szCs w:val="18"/>
          <w:color w:val="auto"/>
        </w:rPr>
        <w:t/>
      </w:r>
      <w:r>
        <w:rPr>
          <w:rFonts w:ascii="Arial" w:cs="Arial" w:eastAsia="Arial" w:hAnsi="Arial"/>
          <w:sz w:val="18"/>
          <w:szCs w:val="18"/>
          <w:color w:val="auto"/>
        </w:rPr>
        <w:t xml:space="preserve"> ȃƃɰ</w:t>
      </w:r>
      <w:r>
        <w:rPr>
          <w:rFonts w:ascii="PMingLiU" w:cs="PMingLiU" w:eastAsia="PMingLiU" w:hAnsi="PMingLiU"/>
          <w:sz w:val="18"/>
          <w:szCs w:val="18"/>
          <w:color w:val="auto"/>
        </w:rPr>
        <w:t/>
      </w:r>
      <w:r>
        <w:rPr>
          <w:rFonts w:ascii="Arial" w:cs="Arial" w:eastAsia="Arial" w:hAnsi="Arial"/>
          <w:sz w:val="18"/>
          <w:szCs w:val="18"/>
          <w:color w:val="auto"/>
        </w:rPr>
        <w:t xml:space="preserve"> ȶɁɽ</w:t>
      </w:r>
      <w:r>
        <w:rPr>
          <w:rFonts w:ascii="PMingLiU" w:cs="PMingLiU" w:eastAsia="PMingLiU" w:hAnsi="PMingLiU"/>
          <w:sz w:val="18"/>
          <w:szCs w:val="18"/>
          <w:color w:val="auto"/>
        </w:rPr>
        <w:t/>
      </w:r>
      <w:r>
        <w:rPr>
          <w:rFonts w:ascii="Arial" w:cs="Arial" w:eastAsia="Arial" w:hAnsi="Arial"/>
          <w:sz w:val="18"/>
          <w:szCs w:val="18"/>
          <w:color w:val="auto"/>
        </w:rPr>
        <w:t xml:space="preserve"> ƹǉǉȶ</w:t>
      </w:r>
      <w:r>
        <w:rPr>
          <w:rFonts w:ascii="PMingLiU" w:cs="PMingLiU" w:eastAsia="PMingLiU" w:hAnsi="PMingLiU"/>
          <w:sz w:val="18"/>
          <w:szCs w:val="18"/>
          <w:color w:val="auto"/>
        </w:rPr>
        <w:t/>
      </w:r>
      <w:r>
        <w:rPr>
          <w:rFonts w:ascii="Arial" w:cs="Arial" w:eastAsia="Arial" w:hAnsi="Arial"/>
          <w:sz w:val="18"/>
          <w:szCs w:val="18"/>
          <w:color w:val="auto"/>
        </w:rPr>
        <w:t xml:space="preserve"> ɥǉɨǹɁɨȴǉǁ</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ǉʯƺȢʍǁȈȶǼ</w:t>
      </w:r>
      <w:r>
        <w:rPr>
          <w:rFonts w:ascii="PMingLiU" w:cs="PMingLiU" w:eastAsia="PMingLiU" w:hAnsi="PMingLiU"/>
          <w:sz w:val="18"/>
          <w:szCs w:val="18"/>
          <w:color w:val="auto"/>
        </w:rPr>
        <w:t/>
      </w:r>
      <w:r>
        <w:rPr>
          <w:rFonts w:ascii="Arial" w:cs="Arial" w:eastAsia="Arial" w:hAnsi="Arial"/>
          <w:sz w:val="18"/>
          <w:szCs w:val="18"/>
          <w:color w:val="auto"/>
        </w:rPr>
        <w:t xml:space="preserve"> ʍȶǉʯǉɨƺȈɰǉǁ</w:t>
      </w:r>
      <w:r>
        <w:rPr>
          <w:rFonts w:ascii="PMingLiU" w:cs="PMingLiU" w:eastAsia="PMingLiU" w:hAnsi="PMingLiU"/>
          <w:sz w:val="18"/>
          <w:szCs w:val="18"/>
          <w:color w:val="auto"/>
        </w:rPr>
        <w:t/>
      </w:r>
      <w:r>
        <w:rPr>
          <w:rFonts w:ascii="Arial" w:cs="Arial" w:eastAsia="Arial" w:hAnsi="Arial"/>
          <w:sz w:val="18"/>
          <w:szCs w:val="18"/>
          <w:color w:val="auto"/>
        </w:rPr>
        <w:t xml:space="preserve"> ƺɁȶɽɨƃƺɽ</w:t>
      </w:r>
      <w:r>
        <w:rPr>
          <w:rFonts w:ascii="PMingLiU" w:cs="PMingLiU" w:eastAsia="PMingLiU" w:hAnsi="PMingLiU"/>
          <w:sz w:val="18"/>
          <w:szCs w:val="18"/>
          <w:color w:val="auto"/>
        </w:rPr>
        <w:t/>
      </w:r>
      <w:r>
        <w:rPr>
          <w:rFonts w:ascii="Arial" w:cs="Arial" w:eastAsia="Arial" w:hAnsi="Arial"/>
          <w:sz w:val="18"/>
          <w:szCs w:val="18"/>
          <w:color w:val="auto"/>
        </w:rPr>
        <w:t xml:space="preserve"> ɁɥɽȈɁȶɰ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total remaining performance obligations were $5,204.2. We expect to recognize revenues on approximately 66% of our remaining performance obligations over the next 12 months, with the remainder of the revenue to be recognized thereafter.</w:t>
      </w:r>
    </w:p>
    <w:p>
      <w:pPr>
        <w:sectPr>
          <w:pgSz w:w="12240" w:h="15840" w:orient="portrait"/>
          <w:cols w:equalWidth="0" w:num="1">
            <w:col w:w="10360"/>
          </w:cols>
          <w:pgMar w:left="960" w:top="930" w:right="92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46</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60"/>
          </w:cols>
          <w:pgMar w:left="960" w:top="930" w:right="920" w:bottom="90" w:gutter="0" w:footer="0" w:header="0"/>
          <w:type w:val="continuous"/>
        </w:sectPr>
      </w:pPr>
    </w:p>
    <w:bookmarkStart w:id="48" w:name="page49"/>
    <w:bookmarkEnd w:id="48"/>
    <w:p>
      <w:pPr>
        <w:jc w:val="both"/>
        <w:spacing w:after="0" w:line="230" w:lineRule="exact"/>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Capitalized Software</w:t>
      </w:r>
      <w:r>
        <w:rPr>
          <w:rFonts w:ascii="Arial" w:cs="Arial" w:eastAsia="Arial" w:hAnsi="Arial"/>
          <w:sz w:val="18"/>
          <w:szCs w:val="18"/>
          <w:color w:val="auto"/>
        </w:rPr>
        <w:t>—The Company accounts for capitalized software under applicable accounting guidance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among other provisions, requires capitalization of certain internal-use software costs once certain criteria are </w:t>
      </w:r>
      <w:r>
        <w:rPr>
          <w:rFonts w:ascii="Arial" w:cs="Arial" w:eastAsia="Arial" w:hAnsi="Arial"/>
          <w:sz w:val="18"/>
          <w:szCs w:val="18"/>
          <w:color w:val="auto"/>
        </w:rPr>
        <w:t>ȴǉɽ</w:t>
      </w:r>
      <w:r>
        <w:rPr>
          <w:rFonts w:ascii="Arial" w:cs="Arial" w:eastAsia="Arial" w:hAnsi="Arial"/>
          <w:sz w:val="18"/>
          <w:szCs w:val="18"/>
          <w:color w:val="auto"/>
        </w:rPr>
        <w:t>ӝ</w:t>
      </w:r>
      <w:r>
        <w:rPr>
          <w:rFonts w:ascii="Arial" w:cs="Arial" w:eastAsia="Arial" w:hAnsi="Arial"/>
          <w:sz w:val="18"/>
          <w:szCs w:val="18"/>
          <w:color w:val="auto"/>
        </w:rPr>
        <w:t>ԝÝʤǉɨȃǉƃǁ</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ǼǉȶǉɨƃȢ</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ƃǁȴȈȶȈɰɽɨƃɽȈʤǉ</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ɽɨƃȈȶȈȶǼ</w:t>
      </w:r>
      <w:r>
        <w:rPr>
          <w:rFonts w:ascii="PMingLiU" w:cs="PMingLiU" w:eastAsia="PMingLiU" w:hAnsi="PMingLiU"/>
          <w:sz w:val="18"/>
          <w:szCs w:val="18"/>
          <w:color w:val="auto"/>
        </w:rPr>
        <w:t/>
      </w:r>
      <w:r>
        <w:rPr>
          <w:rFonts w:ascii="Arial" w:cs="Arial" w:eastAsia="Arial" w:hAnsi="Arial"/>
          <w:sz w:val="18"/>
          <w:szCs w:val="18"/>
          <w:color w:val="auto"/>
        </w:rPr>
        <w:t>ƺɁɰɽɰ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ȶɁɽ</w:t>
      </w:r>
      <w:r>
        <w:rPr>
          <w:rFonts w:ascii="PMingLiU" w:cs="PMingLiU" w:eastAsia="PMingLiU" w:hAnsi="PMingLiU"/>
          <w:sz w:val="18"/>
          <w:szCs w:val="18"/>
          <w:color w:val="auto"/>
        </w:rPr>
        <w:t/>
      </w:r>
      <w:r>
        <w:rPr>
          <w:rFonts w:ascii="Arial" w:cs="Arial" w:eastAsia="Arial" w:hAnsi="Arial"/>
          <w:sz w:val="18"/>
          <w:szCs w:val="18"/>
          <w:color w:val="auto"/>
        </w:rPr>
        <w:t>ƺƃɥȈɽƃȢȈ˃ǉǁ</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:ƃɥȈɽƃȢȈ˃ǉǁ</w:t>
      </w:r>
      <w:r>
        <w:rPr>
          <w:rFonts w:ascii="PMingLiU" w:cs="PMingLiU" w:eastAsia="PMingLiU" w:hAnsi="PMingLiU"/>
          <w:sz w:val="18"/>
          <w:szCs w:val="18"/>
          <w:color w:val="auto"/>
        </w:rPr>
        <w:t/>
      </w:r>
      <w:r>
        <w:rPr>
          <w:rFonts w:ascii="Arial" w:cs="Arial" w:eastAsia="Arial" w:hAnsi="Arial"/>
          <w:sz w:val="18"/>
          <w:szCs w:val="18"/>
          <w:color w:val="auto"/>
        </w:rPr>
        <w:t>ɰɁǹɽʥƃɨǉ</w:t>
      </w:r>
      <w:r>
        <w:rPr>
          <w:rFonts w:ascii="PMingLiU" w:cs="PMingLiU" w:eastAsia="PMingLiU" w:hAnsi="PMingLiU"/>
          <w:sz w:val="18"/>
          <w:szCs w:val="18"/>
          <w:color w:val="auto"/>
        </w:rPr>
        <w:t/>
      </w:r>
      <w:r>
        <w:rPr>
          <w:rFonts w:ascii="Arial" w:cs="Arial" w:eastAsia="Arial" w:hAnsi="Arial"/>
          <w:sz w:val="18"/>
          <w:szCs w:val="18"/>
          <w:color w:val="auto"/>
        </w:rPr>
        <w:t>ƹƃȢƃȶƺǉɰ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ƃƺƺʍȴʍȢƃɽǉǁ</w:t>
      </w:r>
      <w:r>
        <w:rPr>
          <w:rFonts w:ascii="PMingLiU" w:cs="PMingLiU" w:eastAsia="PMingLiU" w:hAnsi="PMingLiU"/>
          <w:sz w:val="18"/>
          <w:szCs w:val="18"/>
          <w:color w:val="auto"/>
        </w:rPr>
        <w:t/>
      </w:r>
      <w:r>
        <w:rPr>
          <w:rFonts w:ascii="Arial" w:cs="Arial" w:eastAsia="Arial" w:hAnsi="Arial"/>
          <w:sz w:val="18"/>
          <w:szCs w:val="18"/>
          <w:color w:val="auto"/>
        </w:rPr>
        <w:t xml:space="preserve"> ƃȴɁɨɽȈ˃ƃɽȈɁȶ</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 xml:space="preserve">Ԥ </w:t>
      </w:r>
      <w:r>
        <w:rPr>
          <w:rFonts w:ascii="Arial" w:cs="Arial" w:eastAsia="Arial" w:hAnsi="Arial"/>
          <w:sz w:val="18"/>
          <w:szCs w:val="18"/>
          <w:color w:val="auto"/>
        </w:rPr>
        <w:t>іјіӝѕ</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ііћӝў</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ɨǉɰɥǉƺɽȈʤǉȢʰ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ʥȃȈƺȃ</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ȈȶƺȢʍǁǉǁ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in “Other assets” in our Consolidated Balance Sheets.</w:t>
      </w:r>
    </w:p>
    <w:p>
      <w:pPr>
        <w:spacing w:after="0" w:line="64"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—The Company recognizes expense for the grant date fair value of its stock-based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a straight-line basis (or, in the case of certain performance-based awards, on a graded basis) over the employee’s </w:t>
      </w:r>
      <w:r>
        <w:rPr>
          <w:rFonts w:ascii="Arial" w:cs="Arial" w:eastAsia="Arial" w:hAnsi="Arial"/>
          <w:sz w:val="18"/>
          <w:szCs w:val="18"/>
          <w:color w:val="auto"/>
        </w:rPr>
        <w:t>ɨǉɧʍȈɰȈɽǉ</w:t>
      </w:r>
      <w:r>
        <w:rPr>
          <w:rFonts w:ascii="PMingLiU" w:cs="PMingLiU" w:eastAsia="PMingLiU" w:hAnsi="PMingLiU"/>
          <w:sz w:val="18"/>
          <w:szCs w:val="18"/>
          <w:color w:val="auto"/>
        </w:rPr>
        <w:t/>
      </w:r>
      <w:r>
        <w:rPr>
          <w:rFonts w:ascii="Arial" w:cs="Arial" w:eastAsia="Arial" w:hAnsi="Arial"/>
          <w:sz w:val="18"/>
          <w:szCs w:val="18"/>
          <w:color w:val="auto"/>
        </w:rPr>
        <w:t>ɰǉɨʤȈƺǉ</w:t>
      </w:r>
      <w:r>
        <w:rPr>
          <w:rFonts w:ascii="PMingLiU" w:cs="PMingLiU" w:eastAsia="PMingLiU" w:hAnsi="PMingLiU"/>
          <w:sz w:val="18"/>
          <w:szCs w:val="18"/>
          <w:color w:val="auto"/>
        </w:rPr>
        <w:t/>
      </w:r>
      <w:r>
        <w:rPr>
          <w:rFonts w:ascii="Arial" w:cs="Arial" w:eastAsia="Arial" w:hAnsi="Arial"/>
          <w:sz w:val="18"/>
          <w:szCs w:val="18"/>
          <w:color w:val="auto"/>
        </w:rPr>
        <w:t>ɥǉɨȈɁǁ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ӯ</w:t>
      </w:r>
      <w:r>
        <w:rPr>
          <w:rFonts w:ascii="Arial" w:cs="Arial" w:eastAsia="Arial" w:hAnsi="Arial"/>
          <w:sz w:val="18"/>
          <w:szCs w:val="18"/>
          <w:color w:val="auto"/>
        </w:rPr>
        <w:t>ǼǉȶǉɨƃȢȢʰ</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ʤǉɰɽȈȶǼ</w:t>
      </w:r>
      <w:r>
        <w:rPr>
          <w:rFonts w:ascii="PMingLiU" w:cs="PMingLiU" w:eastAsia="PMingLiU" w:hAnsi="PMingLiU"/>
          <w:sz w:val="18"/>
          <w:szCs w:val="18"/>
          <w:color w:val="auto"/>
        </w:rPr>
        <w:t/>
      </w:r>
      <w:r>
        <w:rPr>
          <w:rFonts w:ascii="Arial" w:cs="Arial" w:eastAsia="Arial" w:hAnsi="Arial"/>
          <w:sz w:val="18"/>
          <w:szCs w:val="18"/>
          <w:color w:val="auto"/>
        </w:rPr>
        <w:t>ɥǉɨȈɁǁ</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ƃʥƃɨǁ</w:t>
      </w:r>
      <w:r>
        <w:rPr>
          <w:rFonts w:ascii="Arial" w:cs="Arial" w:eastAsia="Arial" w:hAnsi="Arial"/>
          <w:sz w:val="18"/>
          <w:szCs w:val="18"/>
          <w:color w:val="auto"/>
        </w:rPr>
        <w:t>Ӱӝ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 xml:space="preserve"> ʤƃȢʍǉɰ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ɥǉɨǹɁɨȴƃȶƺǉ</w:t>
      </w:r>
      <w:r>
        <w:rPr>
          <w:rFonts w:ascii="Arial" w:cs="Arial" w:eastAsia="Arial" w:hAnsi="Arial"/>
          <w:sz w:val="18"/>
          <w:szCs w:val="18"/>
          <w:color w:val="auto"/>
        </w:rPr>
        <w:t>Ӹ</w:t>
      </w:r>
      <w:r>
        <w:rPr>
          <w:rFonts w:ascii="Arial" w:cs="Arial" w:eastAsia="Arial" w:hAnsi="Arial"/>
          <w:sz w:val="18"/>
          <w:szCs w:val="18"/>
          <w:color w:val="auto"/>
        </w:rPr>
        <w:t>ƹƃɰǉǁ</w:t>
      </w:r>
      <w:r>
        <w:rPr>
          <w:rFonts w:ascii="PMingLiU" w:cs="PMingLiU" w:eastAsia="PMingLiU" w:hAnsi="PMingLiU"/>
          <w:sz w:val="18"/>
          <w:szCs w:val="18"/>
          <w:color w:val="auto"/>
        </w:rPr>
        <w:t/>
      </w:r>
      <w:r>
        <w:rPr>
          <w:rFonts w:ascii="Arial" w:cs="Arial" w:eastAsia="Arial" w:hAnsi="Arial"/>
          <w:sz w:val="18"/>
          <w:szCs w:val="18"/>
          <w:color w:val="auto"/>
        </w:rPr>
        <w:t>ɨǉɰɽɨȈƺɽǉǁ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stock awards which are subject to a market modifier were estimated using a Monte Carlo simulation model, using risk-free interest rate, expected volatility, expected dividend yield, and correlation coefficient as key assumptions. The fair values of option awards are estimated using the Black-Scholes option valuation model. The Company accounts for forfeitures of stock-based awards as they occur, with previously recognized compensation reversed in the period in which the awards are forfeited.</w:t>
      </w:r>
    </w:p>
    <w:p>
      <w:pPr>
        <w:spacing w:after="0" w:line="399"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ӭїӮ</w:t>
      </w:r>
      <w:r>
        <w:rPr>
          <w:rFonts w:ascii="PMingLiU" w:cs="PMingLiU" w:eastAsia="PMingLiU" w:hAnsi="PMingLiU"/>
          <w:sz w:val="20"/>
          <w:szCs w:val="20"/>
          <w:color w:val="000041"/>
        </w:rPr>
        <w:t/>
      </w:r>
      <w:r>
        <w:rPr>
          <w:rFonts w:ascii="Arial" w:cs="Arial" w:eastAsia="Arial" w:hAnsi="Arial"/>
          <w:sz w:val="20"/>
          <w:szCs w:val="20"/>
          <w:color w:val="000041"/>
        </w:rPr>
        <w:t>9ĩČ</w:t>
      </w:r>
      <w:r>
        <w:rPr>
          <w:rFonts w:ascii="PMingLiU" w:cs="PMingLiU" w:eastAsia="PMingLiU" w:hAnsi="PMingLiU"/>
          <w:sz w:val="20"/>
          <w:szCs w:val="20"/>
          <w:color w:val="000041"/>
        </w:rPr>
        <w:t></w:t>
      </w:r>
      <w:r>
        <w:rPr>
          <w:rFonts w:ascii="Arial" w:cs="Arial" w:eastAsia="Arial" w:hAnsi="Arial"/>
          <w:sz w:val="20"/>
          <w:szCs w:val="20"/>
          <w:color w:val="000041"/>
        </w:rPr>
        <w:t>ÇKČČ</w:t>
      </w:r>
      <w:r>
        <w:rPr>
          <w:rFonts w:ascii="PMingLiU" w:cs="PMingLiU" w:eastAsia="PMingLiU" w:hAnsi="PMingLiU"/>
          <w:sz w:val="20"/>
          <w:szCs w:val="20"/>
          <w:color w:val="000041"/>
        </w:rPr>
        <w:t/>
      </w:r>
      <w:r>
        <w:rPr>
          <w:rFonts w:ascii="Arial" w:cs="Arial" w:eastAsia="Arial" w:hAnsi="Arial"/>
          <w:sz w:val="20"/>
          <w:szCs w:val="20"/>
          <w:color w:val="000041"/>
        </w:rPr>
        <w:t>:Ăĩ</w:t>
      </w:r>
      <w:r>
        <w:rPr>
          <w:rFonts w:ascii="PMingLiU" w:cs="PMingLiU" w:eastAsia="PMingLiU" w:hAnsi="PMingLiU"/>
          <w:sz w:val="20"/>
          <w:szCs w:val="20"/>
          <w:color w:val="000041"/>
        </w:rPr>
        <w:t></w:t>
      </w:r>
      <w:r>
        <w:rPr>
          <w:rFonts w:ascii="Arial" w:cs="Arial" w:eastAsia="Arial" w:hAnsi="Arial"/>
          <w:sz w:val="20"/>
          <w:szCs w:val="20"/>
          <w:color w:val="000041"/>
        </w:rPr>
        <w:t>Č</w:t>
      </w:r>
      <w:r>
        <w:rPr>
          <w:rFonts w:ascii="PMingLiU" w:cs="PMingLiU" w:eastAsia="PMingLiU" w:hAnsi="PMingLiU"/>
          <w:sz w:val="20"/>
          <w:szCs w:val="20"/>
          <w:color w:val="000041"/>
        </w:rPr>
        <w:t></w:t>
      </w:r>
      <w:r>
        <w:rPr>
          <w:rFonts w:ascii="Arial" w:cs="Arial" w:eastAsia="Arial" w:hAnsi="Arial"/>
          <w:sz w:val="20"/>
          <w:szCs w:val="20"/>
          <w:color w:val="000041"/>
        </w:rPr>
        <w:t>ě</w:t>
      </w:r>
      <w:r>
        <w:rPr>
          <w:rFonts w:ascii="PMingLiU" w:cs="PMingLiU" w:eastAsia="PMingLiU" w:hAnsi="PMingLiU"/>
          <w:sz w:val="20"/>
          <w:szCs w:val="20"/>
          <w:color w:val="000041"/>
        </w:rPr>
        <w:t></w:t>
      </w:r>
      <w:r>
        <w:rPr>
          <w:rFonts w:ascii="Arial" w:cs="Arial" w:eastAsia="Arial" w:hAnsi="Arial"/>
          <w:sz w:val="20"/>
          <w:szCs w:val="20"/>
          <w:color w:val="000041"/>
        </w:rPr>
        <w:t>ÝÇČ</w:t>
      </w:r>
      <w:r>
        <w:rPr>
          <w:rFonts w:ascii="PMingLiU" w:cs="PMingLiU" w:eastAsia="PMingLiU" w:hAnsi="PMingLiU"/>
          <w:sz w:val="20"/>
          <w:szCs w:val="20"/>
          <w:color w:val="000041"/>
        </w:rPr>
        <w:t/>
      </w:r>
      <w:r>
        <w:rPr>
          <w:rFonts w:ascii="Arial" w:cs="Arial" w:eastAsia="Arial" w:hAnsi="Arial"/>
          <w:sz w:val="20"/>
          <w:szCs w:val="20"/>
          <w:color w:val="000041"/>
        </w:rPr>
        <w:t>ÇA</w:t>
      </w:r>
      <w:r>
        <w:rPr>
          <w:rFonts w:ascii="PMingLiU" w:cs="PMingLiU" w:eastAsia="PMingLiU" w:hAnsi="PMingLiU"/>
          <w:sz w:val="20"/>
          <w:szCs w:val="20"/>
          <w:color w:val="000041"/>
        </w:rPr>
        <w:t/>
      </w:r>
      <w:r>
        <w:rPr>
          <w:rFonts w:ascii="Arial" w:cs="Arial" w:eastAsia="Arial" w:hAnsi="Arial"/>
          <w:sz w:val="20"/>
          <w:szCs w:val="20"/>
          <w:color w:val="000041"/>
        </w:rPr>
        <w:t>A</w:t>
      </w:r>
      <w:r>
        <w:rPr>
          <w:rFonts w:ascii="PMingLiU" w:cs="PMingLiU" w:eastAsia="PMingLiU" w:hAnsi="PMingLiU"/>
          <w:sz w:val="20"/>
          <w:szCs w:val="20"/>
          <w:color w:val="000041"/>
        </w:rPr>
        <w:t></w:t>
      </w:r>
      <w:r>
        <w:rPr>
          <w:rFonts w:ascii="Arial" w:cs="Arial" w:eastAsia="Arial" w:hAnsi="Arial"/>
          <w:sz w:val="20"/>
          <w:szCs w:val="20"/>
          <w:color w:val="000041"/>
        </w:rPr>
        <w:t>ČĀÝČ</w:t>
      </w:r>
      <w:r>
        <w:rPr>
          <w:rFonts w:ascii="PMingLiU" w:cs="PMingLiU" w:eastAsia="PMingLiU" w:hAnsi="PMingLiU"/>
          <w:sz w:val="20"/>
          <w:szCs w:val="20"/>
          <w:color w:val="000041"/>
        </w:rPr>
        <w:t></w:t>
      </w:r>
      <w:r>
        <w:rPr>
          <w:rFonts w:ascii="Arial" w:cs="Arial" w:eastAsia="Arial" w:hAnsi="Arial"/>
          <w:sz w:val="20"/>
          <w:szCs w:val="20"/>
          <w:color w:val="000041"/>
        </w:rPr>
        <w:t>ě</w:t>
      </w:r>
      <w:r>
        <w:rPr>
          <w:rFonts w:ascii="PMingLiU" w:cs="PMingLiU" w:eastAsia="PMingLiU" w:hAnsi="PMingLiU"/>
          <w:sz w:val="20"/>
          <w:szCs w:val="20"/>
          <w:color w:val="000041"/>
        </w:rPr>
        <w:t></w:t>
      </w:r>
      <w:r>
        <w:rPr>
          <w:rFonts w:ascii="Arial" w:cs="Arial" w:eastAsia="Arial" w:hAnsi="Arial"/>
          <w:sz w:val="20"/>
          <w:szCs w:val="20"/>
          <w:color w:val="000041"/>
        </w:rPr>
        <w:t>ÝÇČ</w:t>
      </w:r>
    </w:p>
    <w:p>
      <w:pPr>
        <w:spacing w:after="0" w:line="109" w:lineRule="exact"/>
        <w:rPr>
          <w:sz w:val="20"/>
          <w:szCs w:val="20"/>
          <w:color w:val="auto"/>
        </w:rPr>
      </w:pPr>
    </w:p>
    <w:p>
      <w:pPr>
        <w:jc w:val="both"/>
        <w:ind w:right="40"/>
        <w:spacing w:after="0" w:line="272" w:lineRule="auto"/>
        <w:rPr>
          <w:sz w:val="20"/>
          <w:szCs w:val="20"/>
          <w:color w:val="auto"/>
        </w:rPr>
      </w:pPr>
      <w:r>
        <w:rPr>
          <w:rFonts w:ascii="Arial" w:cs="Arial" w:eastAsia="Arial" w:hAnsi="Arial"/>
          <w:sz w:val="18"/>
          <w:szCs w:val="18"/>
          <w:i w:val="1"/>
          <w:iCs w:val="1"/>
          <w:color w:val="auto"/>
        </w:rPr>
        <w:t>2025 Acquisitions</w:t>
      </w:r>
      <w:r>
        <w:rPr>
          <w:rFonts w:ascii="Arial" w:cs="Arial" w:eastAsia="Arial" w:hAnsi="Arial"/>
          <w:sz w:val="18"/>
          <w:szCs w:val="18"/>
          <w:color w:val="auto"/>
        </w:rPr>
        <w:t>—Roper completed nine business acquisitions in the year ended December 31, 2025.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the acquired businesses are included in Roper’s Consolidated Financial Statements from the date of each acquisition. Pro forma results of operations and the revenues and net earnings subsequent to each acquisition date for the 2025 acquisitions have not been presented because the effects of the acquisitions, individually and in the aggregate, were not material to our financial results.</w:t>
      </w:r>
    </w:p>
    <w:p>
      <w:pPr>
        <w:spacing w:after="0" w:line="43"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On April 23, 2025, Roper acquired CentralReach Holdings, LLC (“CentralReach”) for a purchase price of $1,850, net of cash acquired and certain liabilities assumed. Additionally, the purchase price contemplated a net present value tax benefit of approximately $200, which is expected to be utilized over the subsequent 15 years. CentralReach is a lead-ing provider of SaaS and AI- enabled solutions enabling the workflow and administration of ABA therapy for ASD and related disabilities care. The transaction was funded using borrowings under Roper’s unsecured revolving credit facil-ity. The results of CentralReach are reported in the Application Software reportable segment.</w:t>
      </w:r>
    </w:p>
    <w:p>
      <w:pPr>
        <w:spacing w:after="0" w:line="48"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The Company recorded $1,049.0 in goodwill, $48.0 assigned to trade names that are not subject to amortization, and $842.0 of other identifiable intangibles in connection with the CentralReach acquisition. The amortizable intangible assets include customer relationships of $776.0 (19 year useful life) and technology of $66.0 (6 year useful life). Including measurement period adjustments, net assets acquired also include approximately $84 of net deferred tax liabilities, primarily attributable to acquired intangible assets, partially offset by federal tax attributes. Approximately $590 of goodwill is expected to be deductible for income tax purposes.</w:t>
      </w:r>
    </w:p>
    <w:p>
      <w:pPr>
        <w:spacing w:after="0" w:line="48"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On July 25, 2025, Roper acquired Subsplash TopCo, LLC (“Subsplash”) for a purchase price of $800.0, net of cash acquired and certain liabilities assumed. Subsplash is a leading provider of AI-enabled SaaS providing digital engage-ment, as well as church management and integrated giving solutions for faith-based organizations. The results of Subsplash are reported in the Network Software reportable segment.</w:t>
      </w:r>
    </w:p>
    <w:p>
      <w:pPr>
        <w:spacing w:after="0" w:line="38"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The Company recorded $513.9 in goodwill, $26.0 assigned to trade names that are not subject to amortization, and $365.1 of other identifiable intangibles in connection with the Subsplash acquisition. The amortizable intangible assets include customer relationships of $328.1 (17 year useful life) and technology of $37.0 (6 year useful life). Including measurement period adjustments, net assets acquired also include approximately $88 of net deferred tax liabilities, primarily attributable to acquired intangible assets, partially offset by federal tax attributes.</w:t>
      </w:r>
    </w:p>
    <w:p>
      <w:pPr>
        <w:spacing w:after="0" w:line="41" w:lineRule="exact"/>
        <w:rPr>
          <w:sz w:val="20"/>
          <w:szCs w:val="20"/>
          <w:color w:val="auto"/>
        </w:rPr>
      </w:pPr>
    </w:p>
    <w:p>
      <w:pPr>
        <w:jc w:val="both"/>
        <w:ind w:right="40"/>
        <w:spacing w:after="0" w:line="318" w:lineRule="auto"/>
        <w:rPr>
          <w:sz w:val="20"/>
          <w:szCs w:val="20"/>
          <w:color w:val="auto"/>
        </w:rPr>
      </w:pPr>
      <w:r>
        <w:rPr>
          <w:rFonts w:ascii="Arial" w:cs="Arial" w:eastAsia="Arial" w:hAnsi="Arial"/>
          <w:sz w:val="18"/>
          <w:szCs w:val="18"/>
          <w:color w:val="auto"/>
        </w:rPr>
        <w:t>During the year ended December 31, 2025, Roper completed the following bolt-on acquisitions listed below for pur-chase prices totaling $664.4, net of cash acquired and certain liabilities assumed.</w:t>
      </w:r>
    </w:p>
    <w:p>
      <w:pPr>
        <w:spacing w:after="0" w:line="1"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On February 19, 2025, Roper acquired substantially all of the assets of Muni-Link, a leading provider of cloud-based utility management, billing, and customer communication software solutions for municipalities and other local gov-ernments. This acquisition has been integrated into our Neptune business and its results are reported in the Technology Enabled Products reportable segment.</w:t>
      </w:r>
    </w:p>
    <w:p>
      <w:pPr>
        <w:spacing w:after="0" w:line="38" w:lineRule="exact"/>
        <w:rPr>
          <w:sz w:val="20"/>
          <w:szCs w:val="20"/>
          <w:color w:val="auto"/>
        </w:rPr>
      </w:pPr>
    </w:p>
    <w:p>
      <w:pPr>
        <w:jc w:val="both"/>
        <w:ind w:right="40"/>
        <w:spacing w:after="0" w:line="269" w:lineRule="auto"/>
        <w:rPr>
          <w:sz w:val="20"/>
          <w:szCs w:val="20"/>
          <w:color w:val="auto"/>
        </w:rPr>
      </w:pPr>
      <w:r>
        <w:rPr>
          <w:rFonts w:ascii="Arial" w:cs="Arial" w:eastAsia="Arial" w:hAnsi="Arial"/>
          <w:sz w:val="18"/>
          <w:szCs w:val="18"/>
          <w:color w:val="auto"/>
        </w:rPr>
        <w:t>On May 15, 2025, Roper acquired Outgo Inc. (“Outgo”), a provider of cloud-based freight payment software and AI-enabled factoring solutions that automate invoicing, underwriting, payments, and collections for commercial trucking. Additionally, on July 30, 2025, Roper acquired Flexport Freight Tech LLC (“Convoy”), a leading provider of automated load management and digital freight- matching technology, matching trusted brokers and carriers for commercial trucking. These acquisitions have been integrated into our DAT business and their results are reported in the Network Software reportable segment.</w:t>
      </w:r>
    </w:p>
    <w:p>
      <w:pPr>
        <w:spacing w:after="0" w:line="270"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On July 28, 2025, Roper acquired Brickyard Topco, Inc. (“Orchard Software”), a provider of laboratory information man-agement systems for hospitals, reference labs, physician groups, and public health entities. This acquisition has been integrated into our Clinisys business and its results are reported in the Application Software reportable segment.</w:t>
      </w:r>
    </w:p>
    <w:p>
      <w:pPr>
        <w:sectPr>
          <w:pgSz w:w="12240" w:h="15840" w:orient="portrait"/>
          <w:cols w:equalWidth="0" w:num="1">
            <w:col w:w="10360"/>
          </w:cols>
          <w:pgMar w:left="960" w:top="930" w:right="920" w:bottom="90" w:gutter="0" w:footer="0" w:header="0"/>
        </w:sectPr>
      </w:pPr>
    </w:p>
    <w:p>
      <w:pPr>
        <w:spacing w:after="0" w:line="200" w:lineRule="exact"/>
        <w:rPr>
          <w:sz w:val="20"/>
          <w:szCs w:val="20"/>
          <w:color w:val="auto"/>
        </w:rPr>
      </w:pPr>
    </w:p>
    <w:p>
      <w:pPr>
        <w:spacing w:after="0" w:line="363" w:lineRule="exact"/>
        <w:rPr>
          <w:sz w:val="20"/>
          <w:szCs w:val="20"/>
          <w:color w:val="auto"/>
        </w:rPr>
      </w:pPr>
    </w:p>
    <w:p>
      <w:pPr>
        <w:ind w:left="3500"/>
        <w:spacing w:after="0" w:line="146" w:lineRule="exact"/>
        <w:tabs>
          <w:tab w:leader="none" w:pos="1016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47</w:t>
      </w:r>
    </w:p>
    <w:p>
      <w:pPr>
        <w:sectPr>
          <w:pgSz w:w="12240" w:h="15840" w:orient="portrait"/>
          <w:cols w:equalWidth="0" w:num="1">
            <w:col w:w="10360"/>
          </w:cols>
          <w:pgMar w:left="960" w:top="930" w:right="920" w:bottom="90" w:gutter="0" w:footer="0" w:header="0"/>
          <w:type w:val="continuous"/>
        </w:sectPr>
      </w:pPr>
    </w:p>
    <w:bookmarkStart w:id="49" w:name="page50"/>
    <w:bookmarkEnd w:id="49"/>
    <w:p>
      <w:pPr>
        <w:jc w:val="both"/>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In August 2025, Roper acquired Spectrum AI, Inc., as well as the legal technology assets of Zero Cognitive Systems, Inc. (“HerculesAI”). In October 2025, Roper acquired Valuation Pricing Director Limited (VPD). These acquisitions have been integrated into businesses within our Application Software reportable segment and their results are reported in the Application Software reportable segment.</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Company recorded $460.9 in goodwill, $8.4 assigned to trade names that are not subject to amortization, and $210.4 of other identifiable intangibles in connection with these 2025 bolt-on acquisitions. The amortizable intangible assets include customer relationships of $123.8 (16.7 year weighted average useful life) and technology of $86.6 (7.5 year weighted average useful life). Approximately $273 of goodwill is expected to be deductible for income tax purposes.</w:t>
      </w:r>
    </w:p>
    <w:p>
      <w:pPr>
        <w:spacing w:after="0" w:line="2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2024 Acquisitions</w:t>
      </w:r>
      <w:r>
        <w:rPr>
          <w:rFonts w:ascii="Arial" w:cs="Arial" w:eastAsia="Arial" w:hAnsi="Arial"/>
          <w:sz w:val="18"/>
          <w:szCs w:val="18"/>
          <w:color w:val="auto"/>
        </w:rPr>
        <w:t>—Roper completed four business acquisitions in the year ended December 31, 2024.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the acquired businesses are included in Roper’s Consolidated Financial Statements from the date of each acquisition. Pro forma results of operations and the revenues and net earnings subsequent to each acquisition date for the 2024 acquisitions have not been presented because the effects of the acquisitions, individually and in the aggregate, were not material to our financial results.</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February 26, 2024, Roper acquired Genesis Ultimate Holding Co., the parent company of Procare Software, LLC (“Procare”), a leading provider of SaaS and integrated payment processing for the management of early childhood education centers, for a purchase price of $1,860.0, net of cash acquired and certain liabilities assumed. Additionally, the purchase price contemplated a net present value tax benefit of approximately $110, which is expected to be uti-lized over the subsequent 13 years. The results of Procare are reported in the Application Software reportable segment.</w:t>
      </w:r>
    </w:p>
    <w:p>
      <w:pPr>
        <w:spacing w:after="0" w:line="2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recorded $1,208.2 in goodwill, $39.0 assigned to trade names that are not subject to amortization, and $762.0 of other identifiable intangibles in connection with the Procare acquisition. The amortizable intangible assets include customer relationships of $708.0 (20 year useful life) and technology of $54.0 (5 year useful life). Net assets acquired also include approximately $122 of net deferred tax liabilities, primarily attributable to acquired intangible assets, partially offset by federal tax attributes.</w:t>
      </w:r>
    </w:p>
    <w:p>
      <w:pPr>
        <w:spacing w:after="0" w:line="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20, 2024, Roper acquired RCP Vega Holdings, LLC, the parent company of Transact Campus Inc. (“Transact”), a leading provider of integrated campus technology and payment solutions, including campus identity software and secure access, tuition and fees management software and payment processing, as well as point-of-sale commerce solutions. Transact serves higher education institutions, healthcare facilities, and business campuses. Roper acquired Transact for a purchase price of $1,607, net of cash acquired and certain liabilities assumed. Additionally, the purchase price contemplated a net present value tax benefit of approximately $100, which is expected to be utilized over the subsequent 14 years. This acquisition has been integrated with our CBORD business and its results are reported in the Application Software reportable segment.</w:t>
      </w: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recorded $947.3 in goodwill, $41.0 assigned to trade names that are not subject to amortization, and $705.0 of other identifiable intangibles in connection with the Transact acquisition. The amortizable intangible assets include customer relationships of $656.0 (18 year useful life) and technology of $49.0 (6 year useful life). Including measurement period adjustments, net assets acquired also include approximately $74 of net deferred tax liabilities, primarily attributable to acquired intangible assets, partially offset by federal tax attributes.</w:t>
      </w:r>
    </w:p>
    <w:p>
      <w:pPr>
        <w:spacing w:after="0" w:line="4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During the year ended December 31, 2024, Roper completed two other bolt-on acquisitions for purchase prices total-ing $153.1, net of cash acquired and certain liabilities assumed.</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November 4, 2024, Roper acquired the issued and outstanding shares of Surefyre, Inc., a leading provider of cloud-based insurance software that automates the submission and underwriting processes for managing general agents, wholesalers, and carriers. This acquisition has been integrated into our Vertafore business and its results are reported in the Application Software reportable segment.</w:t>
      </w:r>
    </w:p>
    <w:p>
      <w:pPr>
        <w:spacing w:after="0" w:line="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December 17, 2024, Roper acquired the outstanding membership interests of Trucker Tools, LLC, a leader in load visibility, automated booking, and digital freight matching software solutions for commercial trucking. This acquisition has been integrated into our DAT business and its results are reported in the Network Software reportable segment.</w:t>
      </w:r>
    </w:p>
    <w:p>
      <w:pPr>
        <w:spacing w:after="0" w:line="2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Company recorded $99.9 in goodwill, $3.2 assigned to trade names that are not subject to amortization, and $53.3 of other identifiable intangibles in connection with the other 2024 acquisitions. The amortizable intangible assets include customer relationships of $47.3 (14.5 year weighted average useful life) and technology of $6.0 (5.0 year weighted average useful life).</w:t>
      </w:r>
    </w:p>
    <w:p>
      <w:pPr>
        <w:sectPr>
          <w:pgSz w:w="12240" w:h="15840" w:orient="portrait"/>
          <w:cols w:equalWidth="0" w:num="1">
            <w:col w:w="10320"/>
          </w:cols>
          <w:pgMar w:left="960" w:top="935"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48</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20"/>
          </w:cols>
          <w:pgMar w:left="960" w:top="935" w:right="960" w:bottom="90" w:gutter="0" w:footer="0" w:header="0"/>
          <w:type w:val="continuous"/>
        </w:sectPr>
      </w:pPr>
    </w:p>
    <w:bookmarkStart w:id="50" w:name="page51"/>
    <w:bookmarkEnd w:id="50"/>
    <w:p>
      <w:pPr>
        <w:jc w:val="both"/>
        <w:ind w:right="40"/>
        <w:spacing w:after="0" w:line="272"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2023 Acquisitions</w:t>
      </w:r>
      <w:r>
        <w:rPr>
          <w:rFonts w:ascii="Arial" w:cs="Arial" w:eastAsia="Arial" w:hAnsi="Arial"/>
          <w:sz w:val="18"/>
          <w:szCs w:val="18"/>
          <w:color w:val="auto"/>
        </w:rPr>
        <w:t>—Roper completed four business acquisitions in the year ended December 31, 2023.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the acquired businesses are included in Roper’s Consolidated Financial Statements from the date of each acquisition. Pro forma results of operations and the revenues and net earnings subsequent to each acquisition date for the 2023 acquisitions have not been presented because the effects of the acquisitions, individually and in the aggregate, were not material to our financial results.</w:t>
      </w:r>
    </w:p>
    <w:p>
      <w:pPr>
        <w:spacing w:after="0" w:line="43" w:lineRule="exact"/>
        <w:rPr>
          <w:sz w:val="20"/>
          <w:szCs w:val="20"/>
          <w:color w:val="auto"/>
        </w:rPr>
      </w:pPr>
    </w:p>
    <w:p>
      <w:pPr>
        <w:jc w:val="both"/>
        <w:ind w:right="40"/>
        <w:spacing w:after="0" w:line="265" w:lineRule="auto"/>
        <w:rPr>
          <w:sz w:val="20"/>
          <w:szCs w:val="20"/>
          <w:color w:val="auto"/>
        </w:rPr>
      </w:pPr>
      <w:r>
        <w:rPr>
          <w:rFonts w:ascii="Arial" w:cs="Arial" w:eastAsia="Arial" w:hAnsi="Arial"/>
          <w:sz w:val="18"/>
          <w:szCs w:val="18"/>
          <w:color w:val="auto"/>
        </w:rPr>
        <w:t>The largest of the 2023 acquisitions was Syntellis Parent, LLC (“Syntellis”), the parent company of Syntellis Performance Solutions, LLC, a leading provider of cloud-based performance management and data solutions for healthcare, finan-cial institution, and higher education providers. Roper acquired the outstanding membership interests of Syntellis on August 7, 2023, for a purchase price of $1,381, adjusted for cash acquired and certain liabilities assumed. Additionally, the purchase price contemplated a net present value tax benefit of approximately $135, which is expected to be uti-lized over the subsequent 15 years. This acquisition has been integrated into our Strata business and its results are reported in the Application Software reportable segment.</w:t>
      </w:r>
    </w:p>
    <w:p>
      <w:pPr>
        <w:spacing w:after="0" w:line="50"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Company recorded $859.0 in goodwill, $17.0 assigned to trade names that are not subject to amortization, and $594.0 of other identifiable intangibles in connection with the Syntellis acquisition. The amortizable intangible assets include customer relationships of $529.0 (20 year useful life) and technology of $65.0 (7 year useful life).</w:t>
      </w:r>
    </w:p>
    <w:p>
      <w:pPr>
        <w:spacing w:after="0" w:line="27" w:lineRule="exact"/>
        <w:rPr>
          <w:sz w:val="20"/>
          <w:szCs w:val="20"/>
          <w:color w:val="auto"/>
        </w:rPr>
      </w:pPr>
    </w:p>
    <w:p>
      <w:pPr>
        <w:jc w:val="both"/>
        <w:ind w:right="40"/>
        <w:spacing w:after="0" w:line="318" w:lineRule="auto"/>
        <w:rPr>
          <w:sz w:val="20"/>
          <w:szCs w:val="20"/>
          <w:color w:val="auto"/>
        </w:rPr>
      </w:pPr>
      <w:r>
        <w:rPr>
          <w:rFonts w:ascii="Arial" w:cs="Arial" w:eastAsia="Arial" w:hAnsi="Arial"/>
          <w:sz w:val="18"/>
          <w:szCs w:val="18"/>
          <w:color w:val="auto"/>
        </w:rPr>
        <w:t>During the year ended December 31, 2023, Roper completed three other bolt-on acquisitions for purchase prices totaling $543.5, net of cash acquired and certain liabilities assumed.</w:t>
      </w:r>
    </w:p>
    <w:p>
      <w:pPr>
        <w:spacing w:after="0" w:line="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On May 2, 2023, Roper acquired the outstanding membership interests of Promium, L.L.C., a leading provider of labo-ratory information management systems in the environmental and water markets. This acquisition has been inte-grated into our Clinisys business and its results are reported in the Application Software reportable segment.</w:t>
      </w:r>
    </w:p>
    <w:p>
      <w:pPr>
        <w:spacing w:after="0" w:line="27"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On August 21, 2023, Roper acquired the assets of Replicon Inc., a provider of time tracking software solutions for proj-ect and services centric organizations, for a purchase price of $447.5, adjusted for cash acquired and certain liabilities assumed. Additionally, the purchase price contemplated a net present value tax benefit of approximately $80, which is expected to be utilized over the subsequent 15 years. This acquisition has been integrated into our Deltek business and its results are reported in the Application Software reportable segment.</w:t>
      </w:r>
    </w:p>
    <w:p>
      <w:pPr>
        <w:spacing w:after="0" w:line="41" w:lineRule="exact"/>
        <w:rPr>
          <w:sz w:val="20"/>
          <w:szCs w:val="20"/>
          <w:color w:val="auto"/>
        </w:rPr>
      </w:pPr>
    </w:p>
    <w:p>
      <w:pPr>
        <w:jc w:val="both"/>
        <w:ind w:right="40"/>
        <w:spacing w:after="0" w:line="280" w:lineRule="auto"/>
        <w:rPr>
          <w:sz w:val="20"/>
          <w:szCs w:val="20"/>
          <w:color w:val="auto"/>
        </w:rPr>
      </w:pPr>
      <w:r>
        <w:rPr>
          <w:rFonts w:ascii="Arial" w:cs="Arial" w:eastAsia="Arial" w:hAnsi="Arial"/>
          <w:sz w:val="18"/>
          <w:szCs w:val="18"/>
          <w:color w:val="auto"/>
        </w:rPr>
        <w:t>On December 26, 2023, Roper acquired the issued and outstanding shares of Executive Business Services, Inc. (“ProPricer”), a leading provider of proposal pricing software solutions for government contractors and government agencies. This acquisition has been integrated into our Deltek business and its results are reported in the Application Software reportable segment.</w:t>
      </w:r>
    </w:p>
    <w:p>
      <w:pPr>
        <w:spacing w:after="0" w:line="265" w:lineRule="exact"/>
        <w:rPr>
          <w:sz w:val="20"/>
          <w:szCs w:val="20"/>
          <w:color w:val="auto"/>
        </w:rPr>
      </w:pPr>
    </w:p>
    <w:p>
      <w:pPr>
        <w:jc w:val="both"/>
        <w:ind w:right="40"/>
        <w:spacing w:after="0" w:line="280" w:lineRule="auto"/>
        <w:rPr>
          <w:sz w:val="20"/>
          <w:szCs w:val="20"/>
          <w:color w:val="auto"/>
        </w:rPr>
      </w:pPr>
      <w:r>
        <w:rPr>
          <w:rFonts w:ascii="Arial" w:cs="Arial" w:eastAsia="Arial" w:hAnsi="Arial"/>
          <w:sz w:val="18"/>
          <w:szCs w:val="18"/>
          <w:color w:val="auto"/>
        </w:rPr>
        <w:t>The Company recorded $330.6 in goodwill, $15.4 assigned to trade names that are not subject to amortization, and $229.1 of other identifiable intangibles in connection with the other 2023 acquisitions. The amortizable intangible assets include customer relationships of $209.4 (16.9 year weighted average useful life) and technology of $19.7 (5.0 year weighted average useful life).</w:t>
      </w:r>
    </w:p>
    <w:p>
      <w:pPr>
        <w:spacing w:after="0" w:line="265"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On August 4, 2023, Roper acquired an 18.2% limited partnership minority interest in CI Ultimate Holdings, L.P., the parent entity of Certinia Inc., a leading provider of professional services automation software, for $125.0. Roper com-pleted the sale of its equity investment in Certinia in November 2024 for cash proceeds of $245.6. The sale resulted in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 xml:space="preserve"> ɥɨǉɽƃʯ</w:t>
      </w:r>
      <w:r>
        <w:rPr>
          <w:rFonts w:ascii="PMingLiU" w:cs="PMingLiU" w:eastAsia="PMingLiU" w:hAnsi="PMingLiU"/>
          <w:sz w:val="18"/>
          <w:szCs w:val="18"/>
          <w:color w:val="auto"/>
        </w:rPr>
        <w:t/>
      </w:r>
      <w:r>
        <w:rPr>
          <w:rFonts w:ascii="Arial" w:cs="Arial" w:eastAsia="Arial" w:hAnsi="Arial"/>
          <w:sz w:val="18"/>
          <w:szCs w:val="18"/>
          <w:color w:val="auto"/>
        </w:rPr>
        <w:t xml:space="preserve"> ǼƃȈȶ</w:t>
      </w:r>
      <w:r>
        <w:rPr>
          <w:rFonts w:ascii="PMingLiU" w:cs="PMingLiU" w:eastAsia="PMingLiU" w:hAnsi="PMingLiU"/>
          <w:sz w:val="18"/>
          <w:szCs w:val="18"/>
          <w:color w:val="auto"/>
        </w:rPr>
        <w:t/>
      </w:r>
      <w:r>
        <w:rPr>
          <w:rFonts w:ascii="Arial" w:cs="Arial" w:eastAsia="Arial" w:hAnsi="Arial"/>
          <w:sz w:val="18"/>
          <w:szCs w:val="18"/>
          <w:color w:val="auto"/>
        </w:rPr>
        <w:t xml:space="preserve"> Ɂǹԝ Ԥ</w:t>
      </w:r>
      <w:r>
        <w:rPr>
          <w:rFonts w:ascii="Arial" w:cs="Arial" w:eastAsia="Arial" w:hAnsi="Arial"/>
          <w:sz w:val="18"/>
          <w:szCs w:val="18"/>
          <w:color w:val="auto"/>
        </w:rPr>
        <w:t>іјњӝћӗ</w:t>
      </w:r>
      <w:r>
        <w:rPr>
          <w:rFonts w:ascii="PMingLiU" w:cs="PMingLiU" w:eastAsia="PMingLiU" w:hAnsi="PMingLiU"/>
          <w:sz w:val="18"/>
          <w:szCs w:val="18"/>
          <w:color w:val="auto"/>
        </w:rPr>
        <w:t/>
      </w:r>
      <w:r>
        <w:rPr>
          <w:rFonts w:ascii="Arial" w:cs="Arial" w:eastAsia="Arial" w:hAnsi="Arial"/>
          <w:sz w:val="18"/>
          <w:szCs w:val="18"/>
          <w:color w:val="auto"/>
        </w:rPr>
        <w:t xml:space="preserve"> ʥȃȈƺȃ</w:t>
      </w:r>
      <w:r>
        <w:rPr>
          <w:rFonts w:ascii="PMingLiU" w:cs="PMingLiU" w:eastAsia="PMingLiU" w:hAnsi="PMingLiU"/>
          <w:sz w:val="18"/>
          <w:szCs w:val="18"/>
          <w:color w:val="auto"/>
        </w:rPr>
        <w:t/>
      </w:r>
      <w:r>
        <w:rPr>
          <w:rFonts w:ascii="Arial" w:cs="Arial" w:eastAsia="Arial" w:hAnsi="Arial"/>
          <w:sz w:val="18"/>
          <w:szCs w:val="18"/>
          <w:color w:val="auto"/>
        </w:rPr>
        <w:t xml:space="preserve"> Ȉɰ</w:t>
      </w:r>
      <w:r>
        <w:rPr>
          <w:rFonts w:ascii="PMingLiU" w:cs="PMingLiU" w:eastAsia="PMingLiU" w:hAnsi="PMingLiU"/>
          <w:sz w:val="18"/>
          <w:szCs w:val="18"/>
          <w:color w:val="auto"/>
        </w:rPr>
        <w:t/>
      </w:r>
      <w:r>
        <w:rPr>
          <w:rFonts w:ascii="Arial" w:cs="Arial" w:eastAsia="Arial" w:hAnsi="Arial"/>
          <w:sz w:val="18"/>
          <w:szCs w:val="18"/>
          <w:color w:val="auto"/>
        </w:rPr>
        <w:t xml:space="preserve"> ɨǉɥɁɨɽǉǁ</w:t>
      </w:r>
      <w:r>
        <w:rPr>
          <w:rFonts w:ascii="PMingLiU" w:cs="PMingLiU" w:eastAsia="PMingLiU" w:hAnsi="PMingLiU"/>
          <w:sz w:val="18"/>
          <w:szCs w:val="18"/>
          <w:color w:val="auto"/>
        </w:rPr>
        <w:t/>
      </w:r>
      <w:r>
        <w:rPr>
          <w:rFonts w:ascii="Arial" w:cs="Arial" w:eastAsia="Arial" w:hAnsi="Arial"/>
          <w:sz w:val="18"/>
          <w:szCs w:val="18"/>
          <w:color w:val="auto"/>
        </w:rPr>
        <w:t xml:space="preserve"> ʥȈɽȃȈȶ </w:t>
      </w:r>
      <w:r>
        <w:rPr>
          <w:rFonts w:ascii="PMingLiU" w:cs="PMingLiU" w:eastAsia="PMingLiU" w:hAnsi="PMingLiU"/>
          <w:sz w:val="18"/>
          <w:szCs w:val="18"/>
          <w:color w:val="auto"/>
        </w:rPr>
        <w:t/>
      </w:r>
      <w:r>
        <w:rPr>
          <w:rFonts w:ascii="Arial" w:cs="Arial" w:eastAsia="Arial" w:hAnsi="Arial"/>
          <w:sz w:val="18"/>
          <w:szCs w:val="18"/>
          <w:color w:val="auto"/>
        </w:rPr>
        <w:t xml:space="preserve"> ԄKɧʍȈɽʰ</w:t>
      </w:r>
      <w:r>
        <w:rPr>
          <w:rFonts w:ascii="PMingLiU" w:cs="PMingLiU" w:eastAsia="PMingLiU" w:hAnsi="PMingLiU"/>
          <w:sz w:val="18"/>
          <w:szCs w:val="18"/>
          <w:color w:val="auto"/>
        </w:rPr>
        <w:t/>
      </w:r>
      <w:r>
        <w:rPr>
          <w:rFonts w:ascii="Arial" w:cs="Arial" w:eastAsia="Arial" w:hAnsi="Arial"/>
          <w:sz w:val="18"/>
          <w:szCs w:val="18"/>
          <w:color w:val="auto"/>
        </w:rPr>
        <w:t xml:space="preserve"> Ȉȶʤǉɰɽȴǉȶɽɰ </w:t>
      </w:r>
      <w:r>
        <w:rPr>
          <w:rFonts w:ascii="PMingLiU" w:cs="PMingLiU" w:eastAsia="PMingLiU" w:hAnsi="PMingLiU"/>
          <w:sz w:val="18"/>
          <w:szCs w:val="18"/>
          <w:color w:val="auto"/>
        </w:rPr>
        <w:t/>
      </w:r>
      <w:r>
        <w:rPr>
          <w:rFonts w:ascii="Arial" w:cs="Arial" w:eastAsia="Arial" w:hAnsi="Arial"/>
          <w:sz w:val="18"/>
          <w:szCs w:val="18"/>
          <w:color w:val="auto"/>
        </w:rPr>
        <w:t xml:space="preserve"> ǼƃȈȶ</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ȶǉɽԅ</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Ɂʍɨ</w:t>
      </w:r>
      <w:r>
        <w:rPr>
          <w:rFonts w:ascii="PMingLiU" w:cs="PMingLiU" w:eastAsia="PMingLiU" w:hAnsi="PMingLiU"/>
          <w:sz w:val="18"/>
          <w:szCs w:val="18"/>
          <w:color w:val="auto"/>
        </w:rPr>
        <w:t/>
      </w:r>
      <w:r>
        <w:rPr>
          <w:rFonts w:ascii="Arial" w:cs="Arial" w:eastAsia="Arial" w:hAnsi="Arial"/>
          <w:sz w:val="18"/>
          <w:szCs w:val="18"/>
          <w:color w:val="auto"/>
        </w:rPr>
        <w:t xml:space="preserve"> :ɁȶɰɁȢȈǁƃɽǉǁ</w:t>
      </w:r>
      <w:r>
        <w:rPr>
          <w:rFonts w:ascii="PMingLiU" w:cs="PMingLiU" w:eastAsia="PMingLiU" w:hAnsi="PMingLiU"/>
          <w:sz w:val="18"/>
          <w:szCs w:val="18"/>
          <w:color w:val="auto"/>
        </w:rPr>
        <w:t/>
      </w:r>
      <w:r>
        <w:rPr>
          <w:rFonts w:ascii="Arial" w:cs="Arial" w:eastAsia="Arial" w:hAnsi="Arial"/>
          <w:sz w:val="18"/>
          <w:szCs w:val="18"/>
          <w:color w:val="auto"/>
        </w:rPr>
        <w:t xml:space="preserve"> Čɽƃɽǉȴǉȶɽ</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Earnings. In addition, we recognized income tax expense of $30.2 in connection with the sale, which is included within “Income taxes” in our Consolidated Statement of Earnings.</w:t>
      </w:r>
    </w:p>
    <w:p>
      <w:pPr>
        <w:spacing w:after="0" w:line="195"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ӭјӮ</w:t>
      </w:r>
      <w:r>
        <w:rPr>
          <w:rFonts w:ascii="PMingLiU" w:cs="PMingLiU" w:eastAsia="PMingLiU" w:hAnsi="PMingLiU"/>
          <w:sz w:val="20"/>
          <w:szCs w:val="20"/>
          <w:color w:val="000041"/>
        </w:rPr>
        <w:t></w:t>
      </w:r>
      <w:r>
        <w:rPr>
          <w:rFonts w:ascii="Arial" w:cs="Arial" w:eastAsia="Arial" w:hAnsi="Arial"/>
          <w:sz w:val="20"/>
          <w:szCs w:val="20"/>
          <w:color w:val="000041"/>
        </w:rPr>
        <w:t>ÇřKÇěÝĄ</w:t>
      </w:r>
      <w:r>
        <w:rPr>
          <w:rFonts w:ascii="PMingLiU" w:cs="PMingLiU" w:eastAsia="PMingLiU" w:hAnsi="PMingLiU"/>
          <w:sz w:val="20"/>
          <w:szCs w:val="20"/>
          <w:color w:val="000041"/>
        </w:rPr>
        <w:t></w:t>
      </w:r>
      <w:r>
        <w:rPr>
          <w:rFonts w:ascii="Arial" w:cs="Arial" w:eastAsia="Arial" w:hAnsi="Arial"/>
          <w:sz w:val="20"/>
          <w:szCs w:val="20"/>
          <w:color w:val="000041"/>
        </w:rPr>
        <w:t>KČ</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at December 31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6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390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2025</w:t>
            </w:r>
          </w:p>
        </w:tc>
        <w:tc>
          <w:tcPr>
            <w:tcW w:w="8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2024</w:t>
            </w:r>
          </w:p>
        </w:tc>
      </w:tr>
      <w:tr>
        <w:trPr>
          <w:trHeight w:val="261"/>
        </w:trPr>
        <w:tc>
          <w:tcPr>
            <w:tcW w:w="5600" w:type="dxa"/>
            <w:vAlign w:val="bottom"/>
          </w:tcPr>
          <w:p>
            <w:pPr>
              <w:spacing w:after="0"/>
              <w:rPr>
                <w:sz w:val="20"/>
                <w:szCs w:val="20"/>
                <w:color w:val="auto"/>
              </w:rPr>
            </w:pPr>
            <w:r>
              <w:rPr>
                <w:rFonts w:ascii="Arial" w:cs="Arial" w:eastAsia="Arial" w:hAnsi="Arial"/>
                <w:sz w:val="18"/>
                <w:szCs w:val="18"/>
                <w:color w:val="auto"/>
              </w:rPr>
              <w:t>Raw materials and supplies</w:t>
            </w:r>
          </w:p>
        </w:tc>
        <w:tc>
          <w:tcPr>
            <w:tcW w:w="3900" w:type="dxa"/>
            <w:vAlign w:val="bottom"/>
          </w:tcPr>
          <w:p>
            <w:pPr>
              <w:jc w:val="right"/>
              <w:ind w:right="110"/>
              <w:spacing w:after="0"/>
              <w:rPr>
                <w:sz w:val="20"/>
                <w:szCs w:val="20"/>
                <w:color w:val="auto"/>
              </w:rPr>
            </w:pPr>
            <w:r>
              <w:rPr>
                <w:rFonts w:ascii="Arial" w:cs="Arial" w:eastAsia="Arial" w:hAnsi="Arial"/>
                <w:sz w:val="18"/>
                <w:szCs w:val="18"/>
                <w:color w:val="auto"/>
              </w:rPr>
              <w:t>$71 . 8</w:t>
            </w:r>
          </w:p>
        </w:tc>
        <w:tc>
          <w:tcPr>
            <w:tcW w:w="820" w:type="dxa"/>
            <w:vAlign w:val="bottom"/>
          </w:tcPr>
          <w:p>
            <w:pPr>
              <w:jc w:val="right"/>
              <w:ind w:right="30"/>
              <w:spacing w:after="0" w:line="219" w:lineRule="exact"/>
              <w:rPr>
                <w:sz w:val="20"/>
                <w:szCs w:val="20"/>
                <w:color w:val="auto"/>
              </w:rPr>
            </w:pPr>
            <w:r>
              <w:rPr>
                <w:rFonts w:ascii="Arial" w:cs="Arial" w:eastAsia="Arial" w:hAnsi="Arial"/>
                <w:sz w:val="18"/>
                <w:szCs w:val="18"/>
                <w:color w:val="auto"/>
                <w:w w:val="89"/>
              </w:rPr>
              <w:t>Ԥ</w:t>
            </w:r>
            <w:r>
              <w:rPr>
                <w:rFonts w:ascii="PMingLiU" w:cs="PMingLiU" w:eastAsia="PMingLiU" w:hAnsi="PMingLiU"/>
                <w:sz w:val="18"/>
                <w:szCs w:val="18"/>
                <w:color w:val="auto"/>
                <w:w w:val="89"/>
              </w:rPr>
              <w:t/>
            </w:r>
            <w:r>
              <w:rPr>
                <w:rFonts w:ascii="Arial" w:cs="Arial" w:eastAsia="Arial" w:hAnsi="Arial"/>
                <w:sz w:val="18"/>
                <w:szCs w:val="18"/>
                <w:color w:val="auto"/>
                <w:w w:val="89"/>
              </w:rPr>
              <w:t>Ԟ</w:t>
            </w:r>
            <w:r>
              <w:rPr>
                <w:rFonts w:ascii="Arial" w:cs="Arial" w:eastAsia="Arial" w:hAnsi="Arial"/>
                <w:sz w:val="18"/>
                <w:szCs w:val="18"/>
                <w:color w:val="auto"/>
                <w:w w:val="89"/>
              </w:rPr>
              <w:t>ћњӝњ</w:t>
            </w:r>
          </w:p>
        </w:tc>
      </w:tr>
      <w:tr>
        <w:trPr>
          <w:trHeight w:val="234"/>
        </w:trPr>
        <w:tc>
          <w:tcPr>
            <w:tcW w:w="5600" w:type="dxa"/>
            <w:vAlign w:val="bottom"/>
          </w:tcPr>
          <w:p>
            <w:pPr>
              <w:spacing w:after="0"/>
              <w:rPr>
                <w:sz w:val="20"/>
                <w:szCs w:val="20"/>
                <w:color w:val="auto"/>
              </w:rPr>
            </w:pPr>
            <w:r>
              <w:rPr>
                <w:rFonts w:ascii="Arial" w:cs="Arial" w:eastAsia="Arial" w:hAnsi="Arial"/>
                <w:sz w:val="18"/>
                <w:szCs w:val="18"/>
                <w:color w:val="auto"/>
              </w:rPr>
              <w:t>Work in process</w:t>
            </w:r>
          </w:p>
        </w:tc>
        <w:tc>
          <w:tcPr>
            <w:tcW w:w="3900" w:type="dxa"/>
            <w:vAlign w:val="bottom"/>
          </w:tcPr>
          <w:p>
            <w:pPr>
              <w:jc w:val="right"/>
              <w:ind w:right="110"/>
              <w:spacing w:after="0"/>
              <w:rPr>
                <w:sz w:val="20"/>
                <w:szCs w:val="20"/>
                <w:color w:val="auto"/>
              </w:rPr>
            </w:pPr>
            <w:r>
              <w:rPr>
                <w:rFonts w:ascii="Arial" w:cs="Arial" w:eastAsia="Arial" w:hAnsi="Arial"/>
                <w:sz w:val="18"/>
                <w:szCs w:val="18"/>
                <w:color w:val="auto"/>
              </w:rPr>
              <w:t>29.3</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32.1</w:t>
            </w:r>
          </w:p>
        </w:tc>
      </w:tr>
      <w:tr>
        <w:trPr>
          <w:trHeight w:val="234"/>
        </w:trPr>
        <w:tc>
          <w:tcPr>
            <w:tcW w:w="5600" w:type="dxa"/>
            <w:vAlign w:val="bottom"/>
          </w:tcPr>
          <w:p>
            <w:pPr>
              <w:spacing w:after="0"/>
              <w:rPr>
                <w:sz w:val="20"/>
                <w:szCs w:val="20"/>
                <w:color w:val="auto"/>
              </w:rPr>
            </w:pPr>
            <w:r>
              <w:rPr>
                <w:rFonts w:ascii="Arial" w:cs="Arial" w:eastAsia="Arial" w:hAnsi="Arial"/>
                <w:sz w:val="18"/>
                <w:szCs w:val="18"/>
                <w:color w:val="auto"/>
              </w:rPr>
              <w:t>Finished products</w:t>
            </w:r>
          </w:p>
        </w:tc>
        <w:tc>
          <w:tcPr>
            <w:tcW w:w="3900" w:type="dxa"/>
            <w:vAlign w:val="bottom"/>
          </w:tcPr>
          <w:p>
            <w:pPr>
              <w:jc w:val="right"/>
              <w:ind w:right="110"/>
              <w:spacing w:after="0"/>
              <w:rPr>
                <w:sz w:val="20"/>
                <w:szCs w:val="20"/>
                <w:color w:val="auto"/>
              </w:rPr>
            </w:pPr>
            <w:r>
              <w:rPr>
                <w:rFonts w:ascii="Arial" w:cs="Arial" w:eastAsia="Arial" w:hAnsi="Arial"/>
                <w:sz w:val="18"/>
                <w:szCs w:val="18"/>
                <w:color w:val="auto"/>
              </w:rPr>
              <w:t>51.9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34.4</w:t>
            </w:r>
          </w:p>
        </w:tc>
      </w:tr>
      <w:tr>
        <w:trPr>
          <w:trHeight w:val="268"/>
        </w:trPr>
        <w:tc>
          <w:tcPr>
            <w:tcW w:w="56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Inventory reserves</w:t>
            </w:r>
          </w:p>
        </w:tc>
        <w:tc>
          <w:tcPr>
            <w:tcW w:w="39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(11.3)</w:t>
            </w:r>
          </w:p>
        </w:tc>
        <w:tc>
          <w:tcPr>
            <w:tcW w:w="8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(11.2)</w:t>
            </w:r>
          </w:p>
        </w:tc>
      </w:tr>
      <w:tr>
        <w:trPr>
          <w:trHeight w:val="295"/>
        </w:trPr>
        <w:tc>
          <w:tcPr>
            <w:tcW w:w="560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Inventories, net</w:t>
            </w:r>
          </w:p>
        </w:tc>
        <w:tc>
          <w:tcPr>
            <w:tcW w:w="390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іљіӝќ</w:t>
            </w:r>
          </w:p>
        </w:tc>
        <w:tc>
          <w:tcPr>
            <w:tcW w:w="8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$120.8</w:t>
            </w:r>
          </w:p>
        </w:tc>
      </w:tr>
    </w:tbl>
    <w:p>
      <w:pPr>
        <w:spacing w:after="0" w:line="200" w:lineRule="exact"/>
        <w:rPr>
          <w:sz w:val="20"/>
          <w:szCs w:val="20"/>
          <w:color w:val="auto"/>
        </w:rPr>
      </w:pPr>
    </w:p>
    <w:p>
      <w:pPr>
        <w:sectPr>
          <w:pgSz w:w="12240" w:h="15840" w:orient="portrait"/>
          <w:cols w:equalWidth="0" w:num="1">
            <w:col w:w="10360"/>
          </w:cols>
          <w:pgMar w:left="960" w:top="930" w:right="92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49</w:t>
      </w:r>
    </w:p>
    <w:p>
      <w:pPr>
        <w:sectPr>
          <w:pgSz w:w="12240" w:h="15840" w:orient="portrait"/>
          <w:cols w:equalWidth="0" w:num="1">
            <w:col w:w="10360"/>
          </w:cols>
          <w:pgMar w:left="960" w:top="930" w:right="920" w:bottom="90" w:gutter="0" w:footer="0" w:header="0"/>
          <w:type w:val="continuous"/>
        </w:sectPr>
      </w:pPr>
    </w:p>
    <w:bookmarkStart w:id="51" w:name="page52"/>
    <w:bookmarkEnd w:id="51"/>
    <w:p>
      <w:pPr>
        <w:spacing w:after="0" w:line="243" w:lineRule="exact"/>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ӭљӮ</w:t>
      </w:r>
      <w:r>
        <w:rPr>
          <w:rFonts w:ascii="PMingLiU" w:cs="PMingLiU" w:eastAsia="PMingLiU" w:hAnsi="PMingLiU"/>
          <w:sz w:val="20"/>
          <w:szCs w:val="20"/>
          <w:color w:val="000041"/>
        </w:rPr>
        <w:t/>
      </w:r>
      <w:r>
        <w:rPr>
          <w:rFonts w:ascii="Arial" w:cs="Arial" w:eastAsia="Arial" w:hAnsi="Arial"/>
          <w:sz w:val="20"/>
          <w:szCs w:val="20"/>
          <w:color w:val="000041"/>
        </w:rPr>
        <w:t>ĀĄÝĀKĄěť</w:t>
      </w:r>
      <w:r>
        <w:rPr>
          <w:rFonts w:ascii="Arial" w:cs="Arial" w:eastAsia="Arial" w:hAnsi="Arial"/>
          <w:sz w:val="20"/>
          <w:szCs w:val="20"/>
          <w:color w:val="000041"/>
        </w:rPr>
        <w:t>ӗ</w:t>
      </w:r>
      <w:r>
        <w:rPr>
          <w:rFonts w:ascii="PMingLiU" w:cs="PMingLiU" w:eastAsia="PMingLiU" w:hAnsi="PMingLiU"/>
          <w:sz w:val="20"/>
          <w:szCs w:val="20"/>
          <w:color w:val="000041"/>
        </w:rPr>
        <w:t/>
      </w:r>
      <w:r>
        <w:rPr>
          <w:rFonts w:ascii="Arial" w:cs="Arial" w:eastAsia="Arial" w:hAnsi="Arial"/>
          <w:sz w:val="20"/>
          <w:szCs w:val="20"/>
          <w:color w:val="000041"/>
        </w:rPr>
        <w:t>Ā¸</w:t>
      </w:r>
      <w:r>
        <w:rPr>
          <w:rFonts w:ascii="PMingLiU" w:cs="PMingLiU" w:eastAsia="PMingLiU" w:hAnsi="PMingLiU"/>
          <w:sz w:val="20"/>
          <w:szCs w:val="20"/>
          <w:color w:val="000041"/>
        </w:rPr>
        <w:t/>
      </w:r>
      <w:r>
        <w:rPr>
          <w:rFonts w:ascii="Arial" w:cs="Arial" w:eastAsia="Arial" w:hAnsi="Arial"/>
          <w:sz w:val="20"/>
          <w:szCs w:val="20"/>
          <w:color w:val="000041"/>
        </w:rPr>
        <w:t>Çě</w:t>
      </w:r>
      <w:r>
        <w:rPr>
          <w:rFonts w:ascii="PMingLiU" w:cs="PMingLiU" w:eastAsia="PMingLiU" w:hAnsi="PMingLiU"/>
          <w:sz w:val="20"/>
          <w:szCs w:val="20"/>
          <w:color w:val="000041"/>
        </w:rPr>
        <w:t/>
      </w:r>
      <w:r>
        <w:rPr>
          <w:rFonts w:ascii="Arial" w:cs="Arial" w:eastAsia="Arial" w:hAnsi="Arial"/>
          <w:sz w:val="20"/>
          <w:szCs w:val="20"/>
          <w:color w:val="000041"/>
        </w:rPr>
        <w:t>ÇA</w:t>
      </w:r>
      <w:r>
        <w:rPr>
          <w:rFonts w:ascii="PMingLiU" w:cs="PMingLiU" w:eastAsia="PMingLiU" w:hAnsi="PMingLiU"/>
          <w:sz w:val="20"/>
          <w:szCs w:val="20"/>
          <w:color w:val="000041"/>
        </w:rPr>
        <w:t/>
      </w:r>
      <w:r>
        <w:rPr>
          <w:rFonts w:ascii="Arial" w:cs="Arial" w:eastAsia="Arial" w:hAnsi="Arial"/>
          <w:sz w:val="20"/>
          <w:szCs w:val="20"/>
          <w:color w:val="000041"/>
        </w:rPr>
        <w:t>KĂĩ</w:t>
      </w:r>
      <w:r>
        <w:rPr>
          <w:rFonts w:ascii="PMingLiU" w:cs="PMingLiU" w:eastAsia="PMingLiU" w:hAnsi="PMingLiU"/>
          <w:sz w:val="20"/>
          <w:szCs w:val="20"/>
          <w:color w:val="000041"/>
        </w:rPr>
        <w:t></w:t>
      </w:r>
      <w:r>
        <w:rPr>
          <w:rFonts w:ascii="Arial" w:cs="Arial" w:eastAsia="Arial" w:hAnsi="Arial"/>
          <w:sz w:val="20"/>
          <w:szCs w:val="20"/>
          <w:color w:val="000041"/>
        </w:rPr>
        <w:t>ĀÃKÇě</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plant and equipment at December 31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1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2640" w:type="dxa"/>
            <w:vAlign w:val="bottom"/>
            <w:tcBorders>
              <w:bottom w:val="single" w:sz="8" w:color="000041"/>
            </w:tcBorders>
          </w:tcPr>
          <w:p>
            <w:pPr>
              <w:spacing w:after="0"/>
              <w:rPr>
                <w:sz w:val="23"/>
                <w:szCs w:val="23"/>
                <w:color w:val="auto"/>
              </w:rPr>
            </w:pPr>
          </w:p>
        </w:tc>
        <w:tc>
          <w:tcPr>
            <w:tcW w:w="70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2025</w:t>
            </w:r>
          </w:p>
        </w:tc>
        <w:tc>
          <w:tcPr>
            <w:tcW w:w="240" w:type="dxa"/>
            <w:vAlign w:val="bottom"/>
            <w:tcBorders>
              <w:bottom w:val="single" w:sz="8" w:color="000041"/>
            </w:tcBorders>
          </w:tcPr>
          <w:p>
            <w:pPr>
              <w:spacing w:after="0"/>
              <w:rPr>
                <w:sz w:val="23"/>
                <w:szCs w:val="23"/>
                <w:color w:val="auto"/>
              </w:rPr>
            </w:pPr>
          </w:p>
        </w:tc>
        <w:tc>
          <w:tcPr>
            <w:tcW w:w="6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2024</w:t>
            </w:r>
          </w:p>
        </w:tc>
      </w:tr>
      <w:tr>
        <w:trPr>
          <w:trHeight w:val="261"/>
        </w:trPr>
        <w:tc>
          <w:tcPr>
            <w:tcW w:w="6140" w:type="dxa"/>
            <w:vAlign w:val="bottom"/>
          </w:tcPr>
          <w:p>
            <w:pPr>
              <w:ind w:left="180"/>
              <w:spacing w:after="0"/>
              <w:rPr>
                <w:sz w:val="20"/>
                <w:szCs w:val="20"/>
                <w:color w:val="auto"/>
              </w:rPr>
            </w:pPr>
            <w:r>
              <w:rPr>
                <w:rFonts w:ascii="Arial" w:cs="Arial" w:eastAsia="Arial" w:hAnsi="Arial"/>
                <w:sz w:val="18"/>
                <w:szCs w:val="18"/>
                <w:color w:val="auto"/>
              </w:rPr>
              <w:t>Land</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4"/>
        </w:trPr>
        <w:tc>
          <w:tcPr>
            <w:tcW w:w="6140" w:type="dxa"/>
            <w:vAlign w:val="bottom"/>
          </w:tcPr>
          <w:p>
            <w:pPr>
              <w:ind w:left="180"/>
              <w:spacing w:after="0"/>
              <w:rPr>
                <w:sz w:val="20"/>
                <w:szCs w:val="20"/>
                <w:color w:val="auto"/>
              </w:rPr>
            </w:pPr>
            <w:r>
              <w:rPr>
                <w:rFonts w:ascii="Arial" w:cs="Arial" w:eastAsia="Arial" w:hAnsi="Arial"/>
                <w:sz w:val="18"/>
                <w:szCs w:val="18"/>
                <w:color w:val="auto"/>
              </w:rPr>
              <w:t>Buildings and leasehold improvements</w:t>
            </w:r>
          </w:p>
        </w:tc>
        <w:tc>
          <w:tcPr>
            <w:tcW w:w="26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34"/>
        </w:trPr>
        <w:tc>
          <w:tcPr>
            <w:tcW w:w="6140" w:type="dxa"/>
            <w:vAlign w:val="bottom"/>
          </w:tcPr>
          <w:p>
            <w:pPr>
              <w:ind w:left="180"/>
              <w:spacing w:after="0"/>
              <w:rPr>
                <w:sz w:val="20"/>
                <w:szCs w:val="20"/>
                <w:color w:val="auto"/>
              </w:rPr>
            </w:pPr>
            <w:r>
              <w:rPr>
                <w:rFonts w:ascii="Arial" w:cs="Arial" w:eastAsia="Arial" w:hAnsi="Arial"/>
                <w:sz w:val="18"/>
                <w:szCs w:val="18"/>
                <w:color w:val="auto"/>
              </w:rPr>
              <w:t>Machinery and other equipment</w:t>
            </w:r>
          </w:p>
        </w:tc>
        <w:tc>
          <w:tcPr>
            <w:tcW w:w="26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186.7</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234"/>
        </w:trPr>
        <w:tc>
          <w:tcPr>
            <w:tcW w:w="6140" w:type="dxa"/>
            <w:vAlign w:val="bottom"/>
          </w:tcPr>
          <w:p>
            <w:pPr>
              <w:ind w:left="180"/>
              <w:spacing w:after="0"/>
              <w:rPr>
                <w:sz w:val="20"/>
                <w:szCs w:val="20"/>
                <w:color w:val="auto"/>
              </w:rPr>
            </w:pPr>
            <w:r>
              <w:rPr>
                <w:rFonts w:ascii="Arial" w:cs="Arial" w:eastAsia="Arial" w:hAnsi="Arial"/>
                <w:sz w:val="18"/>
                <w:szCs w:val="18"/>
                <w:color w:val="auto"/>
              </w:rPr>
              <w:t>Computer equipment</w:t>
            </w:r>
          </w:p>
        </w:tc>
        <w:tc>
          <w:tcPr>
            <w:tcW w:w="26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68"/>
        </w:trPr>
        <w:tc>
          <w:tcPr>
            <w:tcW w:w="614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Software</w:t>
            </w:r>
          </w:p>
        </w:tc>
        <w:tc>
          <w:tcPr>
            <w:tcW w:w="2640" w:type="dxa"/>
            <w:vAlign w:val="bottom"/>
            <w:tcBorders>
              <w:bottom w:val="single" w:sz="8" w:color="000041"/>
            </w:tcBorders>
          </w:tcPr>
          <w:p>
            <w:pPr>
              <w:spacing w:after="0"/>
              <w:rPr>
                <w:sz w:val="23"/>
                <w:szCs w:val="23"/>
                <w:color w:val="auto"/>
              </w:rPr>
            </w:pPr>
          </w:p>
        </w:tc>
        <w:tc>
          <w:tcPr>
            <w:tcW w:w="70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71.4</w:t>
            </w:r>
          </w:p>
        </w:tc>
        <w:tc>
          <w:tcPr>
            <w:tcW w:w="240" w:type="dxa"/>
            <w:vAlign w:val="bottom"/>
            <w:tcBorders>
              <w:bottom w:val="single" w:sz="8" w:color="000041"/>
            </w:tcBorders>
          </w:tcPr>
          <w:p>
            <w:pPr>
              <w:spacing w:after="0"/>
              <w:rPr>
                <w:sz w:val="23"/>
                <w:szCs w:val="23"/>
                <w:color w:val="auto"/>
              </w:rPr>
            </w:pPr>
          </w:p>
        </w:tc>
        <w:tc>
          <w:tcPr>
            <w:tcW w:w="6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75.6</w:t>
            </w:r>
          </w:p>
        </w:tc>
      </w:tr>
      <w:tr>
        <w:trPr>
          <w:trHeight w:val="261"/>
        </w:trPr>
        <w:tc>
          <w:tcPr>
            <w:tcW w:w="614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2640" w:type="dxa"/>
            <w:vAlign w:val="bottom"/>
          </w:tcPr>
          <w:p>
            <w:pPr>
              <w:spacing w:after="0"/>
              <w:rPr>
                <w:sz w:val="22"/>
                <w:szCs w:val="22"/>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443.2</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427.7</w:t>
            </w:r>
          </w:p>
        </w:tc>
      </w:tr>
      <w:tr>
        <w:trPr>
          <w:trHeight w:val="268"/>
        </w:trPr>
        <w:tc>
          <w:tcPr>
            <w:tcW w:w="614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Accumulated depreciation</w:t>
            </w:r>
          </w:p>
        </w:tc>
        <w:tc>
          <w:tcPr>
            <w:tcW w:w="2640" w:type="dxa"/>
            <w:vAlign w:val="bottom"/>
            <w:tcBorders>
              <w:bottom w:val="single" w:sz="8" w:color="000041"/>
            </w:tcBorders>
          </w:tcPr>
          <w:p>
            <w:pPr>
              <w:spacing w:after="0"/>
              <w:rPr>
                <w:sz w:val="23"/>
                <w:szCs w:val="23"/>
                <w:color w:val="auto"/>
              </w:rPr>
            </w:pPr>
          </w:p>
        </w:tc>
        <w:tc>
          <w:tcPr>
            <w:tcW w:w="70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w w:val="98"/>
              </w:rPr>
              <w:t>(286.3)</w:t>
            </w:r>
          </w:p>
        </w:tc>
        <w:tc>
          <w:tcPr>
            <w:tcW w:w="240" w:type="dxa"/>
            <w:vAlign w:val="bottom"/>
            <w:tcBorders>
              <w:bottom w:val="single" w:sz="8" w:color="000041"/>
            </w:tcBorders>
          </w:tcPr>
          <w:p>
            <w:pPr>
              <w:spacing w:after="0"/>
              <w:rPr>
                <w:sz w:val="23"/>
                <w:szCs w:val="23"/>
                <w:color w:val="auto"/>
              </w:rPr>
            </w:pPr>
          </w:p>
        </w:tc>
        <w:tc>
          <w:tcPr>
            <w:tcW w:w="6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(278.0)</w:t>
            </w:r>
          </w:p>
        </w:tc>
      </w:tr>
      <w:tr>
        <w:trPr>
          <w:trHeight w:val="295"/>
        </w:trPr>
        <w:tc>
          <w:tcPr>
            <w:tcW w:w="61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Property, plant and equipment, net</w:t>
            </w:r>
          </w:p>
        </w:tc>
        <w:tc>
          <w:tcPr>
            <w:tcW w:w="26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156.9</w:t>
            </w:r>
          </w:p>
        </w:tc>
        <w:tc>
          <w:tcPr>
            <w:tcW w:w="2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149.7</w:t>
            </w:r>
          </w:p>
        </w:tc>
      </w:tr>
    </w:tbl>
    <w:p>
      <w:pPr>
        <w:spacing w:after="0" w:line="142" w:lineRule="exact"/>
        <w:rPr>
          <w:sz w:val="20"/>
          <w:szCs w:val="20"/>
          <w:color w:val="auto"/>
        </w:rPr>
      </w:pPr>
    </w:p>
    <w:p>
      <w:pPr>
        <w:jc w:val="both"/>
        <w:ind w:right="20"/>
        <w:spacing w:after="0" w:line="241" w:lineRule="exact"/>
        <w:rPr>
          <w:sz w:val="20"/>
          <w:szCs w:val="20"/>
          <w:color w:val="auto"/>
        </w:rPr>
      </w:pPr>
      <w:r>
        <w:rPr>
          <w:rFonts w:ascii="Arial" w:cs="Arial" w:eastAsia="Arial" w:hAnsi="Arial"/>
          <w:sz w:val="18"/>
          <w:szCs w:val="18"/>
          <w:color w:val="auto"/>
        </w:rPr>
        <w:t xml:space="preserve">Depreciation and amortization expense related to property, plant and equipment was $39.8, $37.1, and $35.4 for the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їѕїјӗ</w:t>
      </w:r>
      <w:r>
        <w:rPr>
          <w:rFonts w:ascii="PMingLiU" w:cs="PMingLiU" w:eastAsia="PMingLiU" w:hAnsi="PMingLiU"/>
          <w:sz w:val="18"/>
          <w:szCs w:val="18"/>
          <w:color w:val="auto"/>
        </w:rPr>
        <w:t/>
      </w:r>
      <w:r>
        <w:rPr>
          <w:rFonts w:ascii="Arial" w:cs="Arial" w:eastAsia="Arial" w:hAnsi="Arial"/>
          <w:sz w:val="18"/>
          <w:szCs w:val="18"/>
          <w:color w:val="auto"/>
        </w:rPr>
        <w:t>ɨǉɰɥǉƺɽȈʤǉȢʰ</w:t>
      </w:r>
      <w:r>
        <w:rPr>
          <w:rFonts w:ascii="Arial" w:cs="Arial" w:eastAsia="Arial" w:hAnsi="Arial"/>
          <w:sz w:val="18"/>
          <w:szCs w:val="18"/>
          <w:color w:val="auto"/>
        </w:rPr>
        <w:t>ӝ</w:t>
      </w:r>
    </w:p>
    <w:p>
      <w:pPr>
        <w:spacing w:after="0" w:line="191"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ӭњӮ</w:t>
      </w:r>
      <w:r>
        <w:rPr>
          <w:rFonts w:ascii="PMingLiU" w:cs="PMingLiU" w:eastAsia="PMingLiU" w:hAnsi="PMingLiU"/>
          <w:sz w:val="20"/>
          <w:szCs w:val="20"/>
          <w:color w:val="000041"/>
        </w:rPr>
        <w:t/>
      </w:r>
      <w:r>
        <w:rPr>
          <w:rFonts w:ascii="Arial" w:cs="Arial" w:eastAsia="Arial" w:hAnsi="Arial"/>
          <w:sz w:val="20"/>
          <w:szCs w:val="20"/>
          <w:color w:val="000041"/>
        </w:rPr>
        <w:t>{ÝÝAŚ</w:t>
      </w:r>
      <w:r>
        <w:rPr>
          <w:rFonts w:ascii="PMingLiU" w:cs="PMingLiU" w:eastAsia="PMingLiU" w:hAnsi="PMingLiU"/>
          <w:sz w:val="20"/>
          <w:szCs w:val="20"/>
          <w:color w:val="000041"/>
        </w:rPr>
        <w:t></w:t>
      </w:r>
      <w:r>
        <w:rPr>
          <w:rFonts w:ascii="Arial" w:cs="Arial" w:eastAsia="Arial" w:hAnsi="Arial"/>
          <w:sz w:val="20"/>
          <w:szCs w:val="20"/>
          <w:color w:val="000041"/>
        </w:rPr>
        <w:t>¸¸</w:t>
      </w:r>
      <w:r>
        <w:rPr>
          <w:rFonts w:ascii="PMingLiU" w:cs="PMingLiU" w:eastAsia="PMingLiU" w:hAnsi="PMingLiU"/>
          <w:sz w:val="20"/>
          <w:szCs w:val="20"/>
          <w:color w:val="000041"/>
        </w:rPr>
        <w:t/>
      </w:r>
      <w:r>
        <w:rPr>
          <w:rFonts w:ascii="Arial" w:cs="Arial" w:eastAsia="Arial" w:hAnsi="Arial"/>
          <w:sz w:val="20"/>
          <w:szCs w:val="20"/>
          <w:color w:val="000041"/>
        </w:rPr>
        <w:t>ÇA</w:t>
      </w:r>
      <w:r>
        <w:rPr>
          <w:rFonts w:ascii="PMingLiU" w:cs="PMingLiU" w:eastAsia="PMingLiU" w:hAnsi="PMingLiU"/>
          <w:sz w:val="20"/>
          <w:szCs w:val="20"/>
          <w:color w:val="000041"/>
        </w:rPr>
        <w:t/>
      </w:r>
      <w:r>
        <w:rPr>
          <w:rFonts w:ascii="Arial" w:cs="Arial" w:eastAsia="Arial" w:hAnsi="Arial"/>
          <w:sz w:val="20"/>
          <w:szCs w:val="20"/>
          <w:color w:val="000041"/>
        </w:rPr>
        <w:t>Ýě</w:t>
      </w:r>
      <w:r>
        <w:rPr>
          <w:rFonts w:ascii="PMingLiU" w:cs="PMingLiU" w:eastAsia="PMingLiU" w:hAnsi="PMingLiU"/>
          <w:sz w:val="20"/>
          <w:szCs w:val="20"/>
          <w:color w:val="000041"/>
        </w:rPr>
        <w:t></w:t>
      </w:r>
      <w:r>
        <w:rPr>
          <w:rFonts w:ascii="Arial" w:cs="Arial" w:eastAsia="Arial" w:hAnsi="Arial"/>
          <w:sz w:val="20"/>
          <w:szCs w:val="20"/>
          <w:color w:val="000041"/>
        </w:rPr>
        <w:t>KĄ</w:t>
      </w:r>
      <w:r>
        <w:rPr>
          <w:rFonts w:ascii="PMingLiU" w:cs="PMingLiU" w:eastAsia="PMingLiU" w:hAnsi="PMingLiU"/>
          <w:sz w:val="20"/>
          <w:szCs w:val="20"/>
          <w:color w:val="000041"/>
        </w:rPr>
        <w:t></w:t>
      </w:r>
      <w:r>
        <w:rPr>
          <w:rFonts w:ascii="Arial" w:cs="Arial" w:eastAsia="Arial" w:hAnsi="Arial"/>
          <w:sz w:val="20"/>
          <w:szCs w:val="20"/>
          <w:color w:val="000041"/>
        </w:rPr>
        <w:t>Çě</w:t>
      </w:r>
      <w:r>
        <w:rPr>
          <w:rFonts w:ascii="PMingLiU" w:cs="PMingLiU" w:eastAsia="PMingLiU" w:hAnsi="PMingLiU"/>
          <w:sz w:val="20"/>
          <w:szCs w:val="20"/>
          <w:color w:val="000041"/>
        </w:rPr>
        <w:t/>
      </w:r>
      <w:r>
        <w:rPr>
          <w:rFonts w:ascii="Arial" w:cs="Arial" w:eastAsia="Arial" w:hAnsi="Arial"/>
          <w:sz w:val="20"/>
          <w:szCs w:val="20"/>
          <w:color w:val="000041"/>
        </w:rPr>
        <w:t>Ç{</w:t>
      </w:r>
      <w:r>
        <w:rPr>
          <w:rFonts w:ascii="PMingLiU" w:cs="PMingLiU" w:eastAsia="PMingLiU" w:hAnsi="PMingLiU"/>
          <w:sz w:val="20"/>
          <w:szCs w:val="20"/>
          <w:color w:val="000041"/>
        </w:rPr>
        <w:t></w:t>
      </w:r>
      <w:r>
        <w:rPr>
          <w:rFonts w:ascii="Arial" w:cs="Arial" w:eastAsia="Arial" w:hAnsi="Arial"/>
          <w:sz w:val="20"/>
          <w:szCs w:val="20"/>
          <w:color w:val="000041"/>
        </w:rPr>
        <w:t>9¸K</w:t>
      </w:r>
      <w:r>
        <w:rPr>
          <w:rFonts w:ascii="PMingLiU" w:cs="PMingLiU" w:eastAsia="PMingLiU" w:hAnsi="PMingLiU"/>
          <w:sz w:val="20"/>
          <w:szCs w:val="20"/>
          <w:color w:val="000041"/>
        </w:rPr>
        <w:t/>
      </w:r>
      <w:r>
        <w:rPr>
          <w:rFonts w:ascii="Arial" w:cs="Arial" w:eastAsia="Arial" w:hAnsi="Arial"/>
          <w:sz w:val="20"/>
          <w:szCs w:val="20"/>
          <w:color w:val="000041"/>
        </w:rPr>
        <w:t>ČČKěČ</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goodwill by segment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Technology</w:t>
            </w:r>
          </w:p>
        </w:tc>
        <w:tc>
          <w:tcPr>
            <w:tcW w:w="1060" w:type="dxa"/>
            <w:vAlign w:val="bottom"/>
          </w:tcPr>
          <w:p>
            <w:pPr>
              <w:spacing w:after="0"/>
              <w:rPr>
                <w:sz w:val="19"/>
                <w:szCs w:val="19"/>
                <w:color w:val="auto"/>
              </w:rPr>
            </w:pPr>
          </w:p>
        </w:tc>
      </w:tr>
      <w:tr>
        <w:trPr>
          <w:trHeight w:val="220"/>
        </w:trPr>
        <w:tc>
          <w:tcPr>
            <w:tcW w:w="4220" w:type="dxa"/>
            <w:vAlign w:val="bottom"/>
          </w:tcPr>
          <w:p>
            <w:pPr>
              <w:spacing w:after="0"/>
              <w:rPr>
                <w:sz w:val="19"/>
                <w:szCs w:val="19"/>
                <w:color w:val="auto"/>
              </w:rPr>
            </w:pP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Application</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Network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Enabled</w:t>
            </w:r>
          </w:p>
        </w:tc>
        <w:tc>
          <w:tcPr>
            <w:tcW w:w="1060" w:type="dxa"/>
            <w:vAlign w:val="bottom"/>
          </w:tcPr>
          <w:p>
            <w:pPr>
              <w:spacing w:after="0"/>
              <w:rPr>
                <w:sz w:val="19"/>
                <w:szCs w:val="19"/>
                <w:color w:val="auto"/>
              </w:rPr>
            </w:pPr>
          </w:p>
        </w:tc>
      </w:tr>
      <w:tr>
        <w:trPr>
          <w:trHeight w:val="268"/>
        </w:trPr>
        <w:tc>
          <w:tcPr>
            <w:tcW w:w="42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242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Software</w:t>
            </w:r>
          </w:p>
        </w:tc>
        <w:tc>
          <w:tcPr>
            <w:tcW w:w="120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Software</w:t>
            </w:r>
          </w:p>
        </w:tc>
        <w:tc>
          <w:tcPr>
            <w:tcW w:w="144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Products</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Total</w:t>
            </w:r>
          </w:p>
        </w:tc>
      </w:tr>
      <w:tr>
        <w:trPr>
          <w:trHeight w:val="261"/>
        </w:trPr>
        <w:tc>
          <w:tcPr>
            <w:tcW w:w="4220" w:type="dxa"/>
            <w:vAlign w:val="bottom"/>
          </w:tcPr>
          <w:p>
            <w:pPr>
              <w:spacing w:after="0"/>
              <w:rPr>
                <w:sz w:val="20"/>
                <w:szCs w:val="20"/>
                <w:color w:val="auto"/>
              </w:rPr>
            </w:pPr>
            <w:r>
              <w:rPr>
                <w:rFonts w:ascii="Arial" w:cs="Arial" w:eastAsia="Arial" w:hAnsi="Arial"/>
                <w:sz w:val="18"/>
                <w:szCs w:val="18"/>
                <w:color w:val="auto"/>
              </w:rPr>
              <w:t>Balances at December 31, 2023</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$12,563.4</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јӗћїљӝћ</w:t>
            </w:r>
          </w:p>
        </w:tc>
        <w:tc>
          <w:tcPr>
            <w:tcW w:w="1440" w:type="dxa"/>
            <w:vAlign w:val="bottom"/>
          </w:tcPr>
          <w:p>
            <w:pPr>
              <w:jc w:val="right"/>
              <w:ind w:right="21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ўјѕӝѝ</w:t>
            </w:r>
          </w:p>
        </w:tc>
        <w:tc>
          <w:tcPr>
            <w:tcW w:w="1060" w:type="dxa"/>
            <w:vAlign w:val="bottom"/>
          </w:tcPr>
          <w:p>
            <w:pPr>
              <w:jc w:val="right"/>
              <w:spacing w:after="0"/>
              <w:rPr>
                <w:sz w:val="20"/>
                <w:szCs w:val="20"/>
                <w:color w:val="auto"/>
              </w:rPr>
            </w:pPr>
            <w:r>
              <w:rPr>
                <w:rFonts w:ascii="Arial" w:cs="Arial" w:eastAsia="Arial" w:hAnsi="Arial"/>
                <w:sz w:val="18"/>
                <w:szCs w:val="18"/>
                <w:color w:val="auto"/>
              </w:rPr>
              <w:t>$ 17,118.8</w:t>
            </w: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color w:val="auto"/>
              </w:rPr>
              <w:t>Goodwill acquired</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2,167.6</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87.8</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2,255.4</w:t>
            </w: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420" w:type="dxa"/>
            <w:vAlign w:val="bottom"/>
          </w:tcPr>
          <w:p>
            <w:pPr>
              <w:jc w:val="right"/>
              <w:ind w:right="150"/>
              <w:spacing w:after="0"/>
              <w:rPr>
                <w:sz w:val="20"/>
                <w:szCs w:val="20"/>
                <w:color w:val="auto"/>
              </w:rPr>
            </w:pPr>
            <w:r>
              <w:rPr>
                <w:rFonts w:ascii="Arial" w:cs="Arial" w:eastAsia="Arial" w:hAnsi="Arial"/>
                <w:sz w:val="18"/>
                <w:szCs w:val="18"/>
                <w:color w:val="auto"/>
              </w:rPr>
              <w:t>(11.0)</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68"/>
        </w:trPr>
        <w:tc>
          <w:tcPr>
            <w:tcW w:w="4220" w:type="dxa"/>
            <w:vAlign w:val="bottom"/>
            <w:tcBorders>
              <w:bottom w:val="single" w:sz="8" w:color="000041"/>
            </w:tcBorders>
          </w:tcPr>
          <w:p>
            <w:pPr>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 xml:space="preserve">  ĄǉƺȢƃɰɰȈˎƺƃɽȈɁȶɰ</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Ɂɽȃǉɨ</w:t>
            </w:r>
          </w:p>
        </w:tc>
        <w:tc>
          <w:tcPr>
            <w:tcW w:w="24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(42.4)</w:t>
            </w:r>
          </w:p>
        </w:tc>
        <w:tc>
          <w:tcPr>
            <w:tcW w:w="120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(42.4)</w:t>
            </w:r>
          </w:p>
        </w:tc>
      </w:tr>
      <w:tr>
        <w:trPr>
          <w:trHeight w:val="295"/>
        </w:trPr>
        <w:tc>
          <w:tcPr>
            <w:tcW w:w="42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Balances at December 31, 2024</w:t>
            </w:r>
          </w:p>
        </w:tc>
        <w:tc>
          <w:tcPr>
            <w:tcW w:w="242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$14,677.6</w:t>
            </w:r>
          </w:p>
        </w:tc>
        <w:tc>
          <w:tcPr>
            <w:tcW w:w="120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$3,706.4</w:t>
            </w:r>
          </w:p>
        </w:tc>
        <w:tc>
          <w:tcPr>
            <w:tcW w:w="144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  928.9</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$19,312.9</w:t>
            </w:r>
          </w:p>
        </w:tc>
      </w:tr>
      <w:tr>
        <w:trPr>
          <w:trHeight w:val="260"/>
        </w:trPr>
        <w:tc>
          <w:tcPr>
            <w:tcW w:w="4220" w:type="dxa"/>
            <w:vAlign w:val="bottom"/>
          </w:tcPr>
          <w:p>
            <w:pPr>
              <w:ind w:left="180"/>
              <w:spacing w:after="0"/>
              <w:rPr>
                <w:sz w:val="20"/>
                <w:szCs w:val="20"/>
                <w:color w:val="auto"/>
              </w:rPr>
            </w:pPr>
            <w:r>
              <w:rPr>
                <w:rFonts w:ascii="Arial" w:cs="Arial" w:eastAsia="Arial" w:hAnsi="Arial"/>
                <w:sz w:val="18"/>
                <w:szCs w:val="18"/>
                <w:color w:val="auto"/>
              </w:rPr>
              <w:t>Goodwill acquired</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1,247.4</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702.9</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73.5</w:t>
            </w:r>
          </w:p>
        </w:tc>
        <w:tc>
          <w:tcPr>
            <w:tcW w:w="1060" w:type="dxa"/>
            <w:vAlign w:val="bottom"/>
          </w:tcPr>
          <w:p>
            <w:pPr>
              <w:jc w:val="right"/>
              <w:spacing w:after="0"/>
              <w:rPr>
                <w:sz w:val="20"/>
                <w:szCs w:val="20"/>
                <w:color w:val="auto"/>
              </w:rPr>
            </w:pPr>
            <w:r>
              <w:rPr>
                <w:rFonts w:ascii="Arial" w:cs="Arial" w:eastAsia="Arial" w:hAnsi="Arial"/>
                <w:sz w:val="18"/>
                <w:szCs w:val="18"/>
                <w:color w:val="auto"/>
              </w:rPr>
              <w:t>2,023.8</w:t>
            </w: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28.9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14.9</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68"/>
        </w:trPr>
        <w:tc>
          <w:tcPr>
            <w:tcW w:w="4220" w:type="dxa"/>
            <w:vAlign w:val="bottom"/>
            <w:tcBorders>
              <w:bottom w:val="single" w:sz="8" w:color="000041"/>
            </w:tcBorders>
          </w:tcPr>
          <w:p>
            <w:pPr>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 xml:space="preserve">  ĄǉƺȢƃɰɰȈˎƺƃɽȈɁȶɰ</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Ɂɽȃǉɨ</w:t>
            </w:r>
          </w:p>
        </w:tc>
        <w:tc>
          <w:tcPr>
            <w:tcW w:w="24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(36.7)</w:t>
            </w:r>
          </w:p>
        </w:tc>
        <w:tc>
          <w:tcPr>
            <w:tcW w:w="120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(4.1)</w:t>
            </w:r>
          </w:p>
        </w:tc>
        <w:tc>
          <w:tcPr>
            <w:tcW w:w="144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(40.5)</w:t>
            </w:r>
          </w:p>
        </w:tc>
      </w:tr>
      <w:tr>
        <w:trPr>
          <w:trHeight w:val="295"/>
        </w:trPr>
        <w:tc>
          <w:tcPr>
            <w:tcW w:w="42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Balances at December 31, 2025</w:t>
            </w:r>
          </w:p>
        </w:tc>
        <w:tc>
          <w:tcPr>
            <w:tcW w:w="242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іњӗўіќӝї</w:t>
            </w:r>
          </w:p>
        </w:tc>
        <w:tc>
          <w:tcPr>
            <w:tcW w:w="120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$ 4,420.1</w:t>
            </w:r>
          </w:p>
        </w:tc>
        <w:tc>
          <w:tcPr>
            <w:tcW w:w="144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$1,003.9</w:t>
            </w:r>
          </w:p>
        </w:tc>
        <w:tc>
          <w:tcPr>
            <w:tcW w:w="10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їіӗјљіӝї</w:t>
            </w:r>
          </w:p>
        </w:tc>
      </w:tr>
    </w:tbl>
    <w:p>
      <w:pPr>
        <w:spacing w:after="0" w:line="142" w:lineRule="exact"/>
        <w:rPr>
          <w:sz w:val="20"/>
          <w:szCs w:val="20"/>
          <w:color w:val="auto"/>
        </w:rPr>
      </w:pPr>
    </w:p>
    <w:p>
      <w:pPr>
        <w:jc w:val="both"/>
        <w:ind w:right="20"/>
        <w:spacing w:after="0" w:line="234" w:lineRule="exact"/>
        <w:rPr>
          <w:sz w:val="20"/>
          <w:szCs w:val="20"/>
          <w:color w:val="auto"/>
        </w:rPr>
      </w:pPr>
      <w:r>
        <w:rPr>
          <w:rFonts w:ascii="Arial" w:cs="Arial" w:eastAsia="Arial" w:hAnsi="Arial"/>
          <w:sz w:val="18"/>
          <w:szCs w:val="18"/>
          <w:color w:val="auto"/>
        </w:rPr>
        <w:t xml:space="preserve">Reclassifications and other relates to purchase accounting adjustments for completed acquisitions, composed pri-marily of purchase accounting adjustments that decrease goodwill and deferred tax liabilities, for both the years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ɨǉɰɥǉƺɽȈʤǉȢʰ</w:t>
      </w:r>
      <w:r>
        <w:rPr>
          <w:rFonts w:ascii="Arial" w:cs="Arial" w:eastAsia="Arial" w:hAnsi="Arial"/>
          <w:sz w:val="18"/>
          <w:szCs w:val="18"/>
          <w:color w:val="auto"/>
        </w:rPr>
        <w:t>ӝ</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were comprised of:</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Accumulated</w:t>
            </w:r>
          </w:p>
        </w:tc>
        <w:tc>
          <w:tcPr>
            <w:tcW w:w="1560" w:type="dxa"/>
            <w:vAlign w:val="bottom"/>
          </w:tcPr>
          <w:p>
            <w:pPr>
              <w:spacing w:after="0"/>
              <w:rPr>
                <w:sz w:val="19"/>
                <w:szCs w:val="19"/>
                <w:color w:val="auto"/>
              </w:rPr>
            </w:pPr>
          </w:p>
        </w:tc>
      </w:tr>
      <w:tr>
        <w:trPr>
          <w:trHeight w:val="268"/>
        </w:trPr>
        <w:tc>
          <w:tcPr>
            <w:tcW w:w="468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246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Cost</w:t>
            </w:r>
          </w:p>
        </w:tc>
        <w:tc>
          <w:tcPr>
            <w:tcW w:w="162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amortization</w:t>
            </w:r>
          </w:p>
        </w:tc>
        <w:tc>
          <w:tcPr>
            <w:tcW w:w="15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Net book value</w:t>
            </w:r>
          </w:p>
        </w:tc>
      </w:tr>
      <w:tr>
        <w:trPr>
          <w:trHeight w:val="247"/>
        </w:trPr>
        <w:tc>
          <w:tcPr>
            <w:tcW w:w="4680" w:type="dxa"/>
            <w:vAlign w:val="bottom"/>
          </w:tcPr>
          <w:p>
            <w:pPr>
              <w:spacing w:after="0"/>
              <w:rPr>
                <w:sz w:val="20"/>
                <w:szCs w:val="20"/>
                <w:color w:val="auto"/>
              </w:rPr>
            </w:pPr>
            <w:r>
              <w:rPr>
                <w:rFonts w:ascii="Arial" w:cs="Arial" w:eastAsia="Arial" w:hAnsi="Arial"/>
                <w:sz w:val="18"/>
                <w:szCs w:val="18"/>
                <w:color w:val="auto"/>
              </w:rPr>
              <w:t>Assets subject to amortization:</w:t>
            </w:r>
          </w:p>
        </w:tc>
        <w:tc>
          <w:tcPr>
            <w:tcW w:w="2460" w:type="dxa"/>
            <w:vAlign w:val="bottom"/>
          </w:tcPr>
          <w:p>
            <w:pPr>
              <w:spacing w:after="0"/>
              <w:rPr>
                <w:sz w:val="21"/>
                <w:szCs w:val="21"/>
                <w:color w:val="auto"/>
              </w:rPr>
            </w:pPr>
          </w:p>
        </w:tc>
        <w:tc>
          <w:tcPr>
            <w:tcW w:w="1620" w:type="dxa"/>
            <w:vAlign w:val="bottom"/>
          </w:tcPr>
          <w:p>
            <w:pPr>
              <w:jc w:val="right"/>
              <w:ind w:right="1290"/>
              <w:spacing w:after="0"/>
              <w:rPr>
                <w:sz w:val="20"/>
                <w:szCs w:val="20"/>
                <w:color w:val="auto"/>
              </w:rPr>
            </w:pPr>
            <w:r>
              <w:rPr>
                <w:rFonts w:ascii="Arial" w:cs="Arial" w:eastAsia="Arial" w:hAnsi="Arial"/>
                <w:sz w:val="18"/>
                <w:szCs w:val="18"/>
                <w:color w:val="auto"/>
              </w:rPr>
              <w:t>ԝ</w:t>
            </w:r>
          </w:p>
        </w:tc>
        <w:tc>
          <w:tcPr>
            <w:tcW w:w="1560" w:type="dxa"/>
            <w:vAlign w:val="bottom"/>
          </w:tcPr>
          <w:p>
            <w:pPr>
              <w:ind w:left="180"/>
              <w:spacing w:after="0"/>
              <w:rPr>
                <w:sz w:val="20"/>
                <w:szCs w:val="20"/>
                <w:color w:val="auto"/>
              </w:rPr>
            </w:pPr>
            <w:r>
              <w:rPr>
                <w:rFonts w:ascii="Arial" w:cs="Arial" w:eastAsia="Arial" w:hAnsi="Arial"/>
                <w:sz w:val="18"/>
                <w:szCs w:val="18"/>
                <w:color w:val="auto"/>
              </w:rPr>
              <w:t>ԝ</w:t>
            </w:r>
          </w:p>
        </w:tc>
      </w:tr>
      <w:tr>
        <w:trPr>
          <w:trHeight w:val="220"/>
        </w:trPr>
        <w:tc>
          <w:tcPr>
            <w:tcW w:w="4680" w:type="dxa"/>
            <w:vAlign w:val="bottom"/>
          </w:tcPr>
          <w:p>
            <w:pPr>
              <w:ind w:left="180"/>
              <w:spacing w:after="0"/>
              <w:rPr>
                <w:sz w:val="20"/>
                <w:szCs w:val="20"/>
                <w:color w:val="auto"/>
              </w:rPr>
            </w:pPr>
            <w:r>
              <w:rPr>
                <w:rFonts w:ascii="Arial" w:cs="Arial" w:eastAsia="Arial" w:hAnsi="Arial"/>
                <w:sz w:val="18"/>
                <w:szCs w:val="18"/>
                <w:color w:val="auto"/>
              </w:rPr>
              <w:t>Customer related intangibles</w:t>
            </w:r>
          </w:p>
        </w:tc>
        <w:tc>
          <w:tcPr>
            <w:tcW w:w="2460" w:type="dxa"/>
            <w:vAlign w:val="bottom"/>
          </w:tcPr>
          <w:p>
            <w:pPr>
              <w:jc w:val="right"/>
              <w:ind w:right="110"/>
              <w:spacing w:after="0"/>
              <w:rPr>
                <w:sz w:val="20"/>
                <w:szCs w:val="20"/>
                <w:color w:val="auto"/>
              </w:rPr>
            </w:pPr>
            <w:r>
              <w:rPr>
                <w:rFonts w:ascii="Arial" w:cs="Arial" w:eastAsia="Arial" w:hAnsi="Arial"/>
                <w:sz w:val="18"/>
                <w:szCs w:val="18"/>
                <w:color w:val="auto"/>
              </w:rPr>
              <w:t>$ 11,303.7</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ӯјӗљњќӝѕ</w:t>
            </w: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$ 7,846.7</w:t>
            </w:r>
          </w:p>
        </w:tc>
      </w:tr>
      <w:tr>
        <w:trPr>
          <w:trHeight w:val="220"/>
        </w:trPr>
        <w:tc>
          <w:tcPr>
            <w:tcW w:w="4680" w:type="dxa"/>
            <w:vAlign w:val="bottom"/>
          </w:tcPr>
          <w:p>
            <w:pPr>
              <w:ind w:left="180"/>
              <w:spacing w:after="0"/>
              <w:rPr>
                <w:sz w:val="20"/>
                <w:szCs w:val="20"/>
                <w:color w:val="auto"/>
              </w:rPr>
            </w:pPr>
            <w:r>
              <w:rPr>
                <w:rFonts w:ascii="Arial" w:cs="Arial" w:eastAsia="Arial" w:hAnsi="Arial"/>
                <w:sz w:val="18"/>
                <w:szCs w:val="18"/>
                <w:color w:val="auto"/>
              </w:rPr>
              <w:t>Unpatented technology</w:t>
            </w:r>
          </w:p>
        </w:tc>
        <w:tc>
          <w:tcPr>
            <w:tcW w:w="2460" w:type="dxa"/>
            <w:vAlign w:val="bottom"/>
          </w:tcPr>
          <w:p>
            <w:pPr>
              <w:jc w:val="right"/>
              <w:ind w:right="110"/>
              <w:spacing w:after="0"/>
              <w:rPr>
                <w:sz w:val="20"/>
                <w:szCs w:val="20"/>
                <w:color w:val="auto"/>
              </w:rPr>
            </w:pPr>
            <w:r>
              <w:rPr>
                <w:rFonts w:ascii="Arial" w:cs="Arial" w:eastAsia="Arial" w:hAnsi="Arial"/>
                <w:sz w:val="18"/>
                <w:szCs w:val="18"/>
                <w:color w:val="auto"/>
              </w:rPr>
              <w:t>851.7</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(454.7)</w:t>
            </w:r>
          </w:p>
        </w:tc>
        <w:tc>
          <w:tcPr>
            <w:tcW w:w="1560" w:type="dxa"/>
            <w:vAlign w:val="bottom"/>
          </w:tcPr>
          <w:p>
            <w:pPr>
              <w:jc w:val="right"/>
              <w:spacing w:after="0"/>
              <w:rPr>
                <w:sz w:val="20"/>
                <w:szCs w:val="20"/>
                <w:color w:val="auto"/>
              </w:rPr>
            </w:pPr>
            <w:r>
              <w:rPr>
                <w:rFonts w:ascii="Arial" w:cs="Arial" w:eastAsia="Arial" w:hAnsi="Arial"/>
                <w:sz w:val="18"/>
                <w:szCs w:val="18"/>
                <w:color w:val="auto"/>
              </w:rPr>
              <w:t>397.0</w:t>
            </w:r>
          </w:p>
        </w:tc>
      </w:tr>
      <w:tr>
        <w:trPr>
          <w:trHeight w:val="220"/>
        </w:trPr>
        <w:tc>
          <w:tcPr>
            <w:tcW w:w="4680" w:type="dxa"/>
            <w:vAlign w:val="bottom"/>
          </w:tcPr>
          <w:p>
            <w:pPr>
              <w:ind w:left="180"/>
              <w:spacing w:after="0"/>
              <w:rPr>
                <w:sz w:val="20"/>
                <w:szCs w:val="20"/>
                <w:color w:val="auto"/>
              </w:rPr>
            </w:pPr>
            <w:r>
              <w:rPr>
                <w:rFonts w:ascii="Arial" w:cs="Arial" w:eastAsia="Arial" w:hAnsi="Arial"/>
                <w:sz w:val="18"/>
                <w:szCs w:val="18"/>
                <w:color w:val="auto"/>
              </w:rPr>
              <w:t>Patents and other protective rights</w:t>
            </w:r>
          </w:p>
        </w:tc>
        <w:tc>
          <w:tcPr>
            <w:tcW w:w="2460" w:type="dxa"/>
            <w:vAlign w:val="bottom"/>
          </w:tcPr>
          <w:p>
            <w:pPr>
              <w:jc w:val="right"/>
              <w:ind w:right="110"/>
              <w:spacing w:after="0"/>
              <w:rPr>
                <w:sz w:val="20"/>
                <w:szCs w:val="20"/>
                <w:color w:val="auto"/>
              </w:rPr>
            </w:pPr>
            <w:r>
              <w:rPr>
                <w:rFonts w:ascii="Arial" w:cs="Arial" w:eastAsia="Arial" w:hAnsi="Arial"/>
                <w:sz w:val="18"/>
                <w:szCs w:val="18"/>
                <w:color w:val="auto"/>
              </w:rPr>
              <w:t>9.2</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0"/>
        </w:trPr>
        <w:tc>
          <w:tcPr>
            <w:tcW w:w="4680" w:type="dxa"/>
            <w:vAlign w:val="bottom"/>
          </w:tcPr>
          <w:p>
            <w:pPr>
              <w:spacing w:after="0"/>
              <w:rPr>
                <w:sz w:val="20"/>
                <w:szCs w:val="20"/>
                <w:color w:val="auto"/>
              </w:rPr>
            </w:pPr>
            <w:r>
              <w:rPr>
                <w:rFonts w:ascii="Arial" w:cs="Arial" w:eastAsia="Arial" w:hAnsi="Arial"/>
                <w:sz w:val="18"/>
                <w:szCs w:val="18"/>
                <w:color w:val="auto"/>
              </w:rPr>
              <w:t>Assets not subject to amortization:</w:t>
            </w:r>
          </w:p>
        </w:tc>
        <w:tc>
          <w:tcPr>
            <w:tcW w:w="2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8"/>
        </w:trPr>
        <w:tc>
          <w:tcPr>
            <w:tcW w:w="468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Trade names</w:t>
            </w:r>
          </w:p>
        </w:tc>
        <w:tc>
          <w:tcPr>
            <w:tcW w:w="246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808.6</w:t>
            </w:r>
          </w:p>
        </w:tc>
        <w:tc>
          <w:tcPr>
            <w:tcW w:w="162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808.6</w:t>
            </w:r>
          </w:p>
        </w:tc>
      </w:tr>
      <w:tr>
        <w:trPr>
          <w:trHeight w:val="295"/>
        </w:trPr>
        <w:tc>
          <w:tcPr>
            <w:tcW w:w="468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Balances at December 31, 2024</w:t>
            </w:r>
          </w:p>
        </w:tc>
        <w:tc>
          <w:tcPr>
            <w:tcW w:w="246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$ 12,973.2</w:t>
            </w:r>
          </w:p>
        </w:tc>
        <w:tc>
          <w:tcPr>
            <w:tcW w:w="162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 (3,913.6)</w:t>
            </w:r>
          </w:p>
        </w:tc>
        <w:tc>
          <w:tcPr>
            <w:tcW w:w="15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$9,059.6</w:t>
            </w:r>
          </w:p>
        </w:tc>
      </w:tr>
    </w:tbl>
    <w:p>
      <w:pPr>
        <w:spacing w:after="0" w:line="200" w:lineRule="exact"/>
        <w:rPr>
          <w:sz w:val="20"/>
          <w:szCs w:val="20"/>
          <w:color w:val="auto"/>
        </w:rPr>
      </w:pPr>
    </w:p>
    <w:p>
      <w:pPr>
        <w:sectPr>
          <w:pgSz w:w="12240" w:h="15840" w:orient="portrait"/>
          <w:cols w:equalWidth="0" w:num="1">
            <w:col w:w="10340"/>
          </w:cols>
          <w:pgMar w:left="960" w:top="926" w:right="94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50</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40"/>
          </w:cols>
          <w:pgMar w:left="960" w:top="926" w:right="940" w:bottom="9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20"/>
        </w:trPr>
        <w:tc>
          <w:tcPr>
            <w:tcW w:w="46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Accumulated</w:t>
            </w:r>
          </w:p>
        </w:tc>
        <w:tc>
          <w:tcPr>
            <w:tcW w:w="1560" w:type="dxa"/>
            <w:vAlign w:val="bottom"/>
          </w:tcPr>
          <w:p>
            <w:pPr>
              <w:spacing w:after="0"/>
              <w:rPr>
                <w:sz w:val="19"/>
                <w:szCs w:val="19"/>
                <w:color w:val="auto"/>
              </w:rPr>
            </w:pPr>
          </w:p>
        </w:tc>
      </w:tr>
      <w:tr>
        <w:trPr>
          <w:trHeight w:val="268"/>
        </w:trPr>
        <w:tc>
          <w:tcPr>
            <w:tcW w:w="468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246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Cost</w:t>
            </w:r>
          </w:p>
        </w:tc>
        <w:tc>
          <w:tcPr>
            <w:tcW w:w="162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amortization</w:t>
            </w:r>
          </w:p>
        </w:tc>
        <w:tc>
          <w:tcPr>
            <w:tcW w:w="15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Net book value</w:t>
            </w:r>
          </w:p>
        </w:tc>
      </w:tr>
      <w:tr>
        <w:trPr>
          <w:trHeight w:val="242"/>
        </w:trPr>
        <w:tc>
          <w:tcPr>
            <w:tcW w:w="4680" w:type="dxa"/>
            <w:vAlign w:val="bottom"/>
          </w:tcPr>
          <w:p>
            <w:pPr>
              <w:spacing w:after="0"/>
              <w:rPr>
                <w:sz w:val="20"/>
                <w:szCs w:val="20"/>
                <w:color w:val="auto"/>
              </w:rPr>
            </w:pPr>
            <w:r>
              <w:rPr>
                <w:rFonts w:ascii="Arial" w:cs="Arial" w:eastAsia="Arial" w:hAnsi="Arial"/>
                <w:sz w:val="18"/>
                <w:szCs w:val="18"/>
                <w:color w:val="auto"/>
              </w:rPr>
              <w:t>Assets subject to amortization:</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ԝ</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ԝ</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ԝ</w:t>
            </w:r>
          </w:p>
        </w:tc>
      </w:tr>
      <w:tr>
        <w:trPr>
          <w:trHeight w:val="220"/>
        </w:trPr>
        <w:tc>
          <w:tcPr>
            <w:tcW w:w="4680" w:type="dxa"/>
            <w:vAlign w:val="bottom"/>
          </w:tcPr>
          <w:p>
            <w:pPr>
              <w:ind w:left="180"/>
              <w:spacing w:after="0"/>
              <w:rPr>
                <w:sz w:val="20"/>
                <w:szCs w:val="20"/>
                <w:color w:val="auto"/>
              </w:rPr>
            </w:pPr>
            <w:r>
              <w:rPr>
                <w:rFonts w:ascii="Arial" w:cs="Arial" w:eastAsia="Arial" w:hAnsi="Arial"/>
                <w:sz w:val="18"/>
                <w:szCs w:val="18"/>
                <w:color w:val="auto"/>
              </w:rPr>
              <w:t>Customer related intangibles</w:t>
            </w:r>
          </w:p>
        </w:tc>
        <w:tc>
          <w:tcPr>
            <w:tcW w:w="2460" w:type="dxa"/>
            <w:vAlign w:val="bottom"/>
          </w:tcPr>
          <w:p>
            <w:pPr>
              <w:jc w:val="right"/>
              <w:ind w:right="110"/>
              <w:spacing w:after="0"/>
              <w:rPr>
                <w:sz w:val="20"/>
                <w:szCs w:val="20"/>
                <w:color w:val="auto"/>
              </w:rPr>
            </w:pPr>
            <w:r>
              <w:rPr>
                <w:rFonts w:ascii="Arial" w:cs="Arial" w:eastAsia="Arial" w:hAnsi="Arial"/>
                <w:sz w:val="18"/>
                <w:szCs w:val="18"/>
                <w:color w:val="auto"/>
              </w:rPr>
              <w:t>$ 12,301.5</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$(3,894.6)</w:t>
            </w:r>
          </w:p>
        </w:tc>
        <w:tc>
          <w:tcPr>
            <w:tcW w:w="1560" w:type="dxa"/>
            <w:vAlign w:val="bottom"/>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ѝӗљѕћӝў</w:t>
            </w:r>
          </w:p>
        </w:tc>
      </w:tr>
      <w:tr>
        <w:trPr>
          <w:trHeight w:val="220"/>
        </w:trPr>
        <w:tc>
          <w:tcPr>
            <w:tcW w:w="4680" w:type="dxa"/>
            <w:vAlign w:val="bottom"/>
          </w:tcPr>
          <w:p>
            <w:pPr>
              <w:ind w:left="180"/>
              <w:spacing w:after="0"/>
              <w:rPr>
                <w:sz w:val="20"/>
                <w:szCs w:val="20"/>
                <w:color w:val="auto"/>
              </w:rPr>
            </w:pPr>
            <w:r>
              <w:rPr>
                <w:rFonts w:ascii="Arial" w:cs="Arial" w:eastAsia="Arial" w:hAnsi="Arial"/>
                <w:sz w:val="18"/>
                <w:szCs w:val="18"/>
                <w:color w:val="auto"/>
              </w:rPr>
              <w:t>Unpatented technology</w:t>
            </w:r>
          </w:p>
        </w:tc>
        <w:tc>
          <w:tcPr>
            <w:tcW w:w="2460" w:type="dxa"/>
            <w:vAlign w:val="bottom"/>
          </w:tcPr>
          <w:p>
            <w:pPr>
              <w:jc w:val="right"/>
              <w:ind w:right="110"/>
              <w:spacing w:after="0"/>
              <w:rPr>
                <w:sz w:val="20"/>
                <w:szCs w:val="20"/>
                <w:color w:val="auto"/>
              </w:rPr>
            </w:pPr>
            <w:r>
              <w:rPr>
                <w:rFonts w:ascii="Arial" w:cs="Arial" w:eastAsia="Arial" w:hAnsi="Arial"/>
                <w:sz w:val="18"/>
                <w:szCs w:val="18"/>
                <w:color w:val="auto"/>
              </w:rPr>
              <w:t>880.3</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(425.6)</w:t>
            </w:r>
          </w:p>
        </w:tc>
        <w:tc>
          <w:tcPr>
            <w:tcW w:w="1560" w:type="dxa"/>
            <w:vAlign w:val="bottom"/>
          </w:tcPr>
          <w:p>
            <w:pPr>
              <w:jc w:val="right"/>
              <w:spacing w:after="0"/>
              <w:rPr>
                <w:sz w:val="20"/>
                <w:szCs w:val="20"/>
                <w:color w:val="auto"/>
              </w:rPr>
            </w:pPr>
            <w:r>
              <w:rPr>
                <w:rFonts w:ascii="Arial" w:cs="Arial" w:eastAsia="Arial" w:hAnsi="Arial"/>
                <w:sz w:val="18"/>
                <w:szCs w:val="18"/>
                <w:color w:val="auto"/>
              </w:rPr>
              <w:t>454.7</w:t>
            </w:r>
          </w:p>
        </w:tc>
      </w:tr>
      <w:tr>
        <w:trPr>
          <w:trHeight w:val="220"/>
        </w:trPr>
        <w:tc>
          <w:tcPr>
            <w:tcW w:w="4680" w:type="dxa"/>
            <w:vAlign w:val="bottom"/>
          </w:tcPr>
          <w:p>
            <w:pPr>
              <w:ind w:left="180"/>
              <w:spacing w:after="0"/>
              <w:rPr>
                <w:sz w:val="20"/>
                <w:szCs w:val="20"/>
                <w:color w:val="auto"/>
              </w:rPr>
            </w:pPr>
            <w:r>
              <w:rPr>
                <w:rFonts w:ascii="Arial" w:cs="Arial" w:eastAsia="Arial" w:hAnsi="Arial"/>
                <w:sz w:val="18"/>
                <w:szCs w:val="18"/>
                <w:color w:val="auto"/>
              </w:rPr>
              <w:t>Patents and other protective rights</w:t>
            </w:r>
          </w:p>
        </w:tc>
        <w:tc>
          <w:tcPr>
            <w:tcW w:w="246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0"/>
        </w:trPr>
        <w:tc>
          <w:tcPr>
            <w:tcW w:w="4680" w:type="dxa"/>
            <w:vAlign w:val="bottom"/>
          </w:tcPr>
          <w:p>
            <w:pPr>
              <w:spacing w:after="0"/>
              <w:rPr>
                <w:sz w:val="20"/>
                <w:szCs w:val="20"/>
                <w:color w:val="auto"/>
              </w:rPr>
            </w:pPr>
            <w:r>
              <w:rPr>
                <w:rFonts w:ascii="Arial" w:cs="Arial" w:eastAsia="Arial" w:hAnsi="Arial"/>
                <w:sz w:val="18"/>
                <w:szCs w:val="18"/>
                <w:color w:val="auto"/>
              </w:rPr>
              <w:t>Assets not subject to amortization:</w:t>
            </w:r>
          </w:p>
        </w:tc>
        <w:tc>
          <w:tcPr>
            <w:tcW w:w="2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8"/>
        </w:trPr>
        <w:tc>
          <w:tcPr>
            <w:tcW w:w="468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Trade names</w:t>
            </w:r>
          </w:p>
        </w:tc>
        <w:tc>
          <w:tcPr>
            <w:tcW w:w="246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895.8</w:t>
            </w:r>
          </w:p>
        </w:tc>
        <w:tc>
          <w:tcPr>
            <w:tcW w:w="162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895.8</w:t>
            </w:r>
          </w:p>
        </w:tc>
      </w:tr>
      <w:tr>
        <w:trPr>
          <w:trHeight w:val="295"/>
        </w:trPr>
        <w:tc>
          <w:tcPr>
            <w:tcW w:w="468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Balances at December 31, 2025</w:t>
            </w:r>
          </w:p>
        </w:tc>
        <w:tc>
          <w:tcPr>
            <w:tcW w:w="246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$14,086.7</w:t>
            </w:r>
          </w:p>
        </w:tc>
        <w:tc>
          <w:tcPr>
            <w:tcW w:w="162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ӯљӗјїїӝњ</w:t>
            </w:r>
            <w:r>
              <w:rPr>
                <w:rFonts w:ascii="Arial" w:cs="Arial" w:eastAsia="Arial" w:hAnsi="Arial"/>
                <w:sz w:val="18"/>
                <w:szCs w:val="18"/>
                <w:color w:val="auto"/>
              </w:rPr>
              <w:t>)</w:t>
            </w:r>
          </w:p>
        </w:tc>
        <w:tc>
          <w:tcPr>
            <w:tcW w:w="15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$ 9,764.2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jc w:val="both"/>
        <w:spacing w:after="0" w:line="234"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ȴɁɨɽȈ˃ƃɽȈɁȶ</w:t>
      </w:r>
      <w:r>
        <w:rPr>
          <w:rFonts w:ascii="PMingLiU" w:cs="PMingLiU" w:eastAsia="PMingLiU" w:hAnsi="PMingLiU"/>
          <w:sz w:val="18"/>
          <w:szCs w:val="18"/>
          <w:color w:val="auto"/>
        </w:rPr>
        <w:t/>
      </w:r>
      <w:r>
        <w:rPr>
          <w:rFonts w:ascii="Arial" w:cs="Arial" w:eastAsia="Arial" w:hAnsi="Arial"/>
          <w:sz w:val="18"/>
          <w:szCs w:val="18"/>
          <w:color w:val="auto"/>
        </w:rPr>
        <w:t>ǉʯɥǉȶɰǉ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Ɂɽȃǉɨ</w:t>
      </w:r>
      <w:r>
        <w:rPr>
          <w:rFonts w:ascii="PMingLiU" w:cs="PMingLiU" w:eastAsia="PMingLiU" w:hAnsi="PMingLiU"/>
          <w:sz w:val="18"/>
          <w:szCs w:val="18"/>
          <w:color w:val="auto"/>
        </w:rPr>
        <w:t/>
      </w:r>
      <w:r>
        <w:rPr>
          <w:rFonts w:ascii="Arial" w:cs="Arial" w:eastAsia="Arial" w:hAnsi="Arial"/>
          <w:sz w:val="18"/>
          <w:szCs w:val="18"/>
          <w:color w:val="auto"/>
        </w:rPr>
        <w:t>ȈȶɽƃȶǼȈƹȢǉ</w:t>
      </w:r>
      <w:r>
        <w:rPr>
          <w:rFonts w:ascii="PMingLiU" w:cs="PMingLiU" w:eastAsia="PMingLiU" w:hAnsi="PMingLiU"/>
          <w:sz w:val="18"/>
          <w:szCs w:val="18"/>
          <w:color w:val="auto"/>
        </w:rPr>
        <w:t/>
      </w:r>
      <w:r>
        <w:rPr>
          <w:rFonts w:ascii="Arial" w:cs="Arial" w:eastAsia="Arial" w:hAnsi="Arial"/>
          <w:sz w:val="18"/>
          <w:szCs w:val="18"/>
          <w:color w:val="auto"/>
        </w:rPr>
        <w:t>ƃɰɰǉɽɰ</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ѝіњӝљӗ</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ќљњӝїӗ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ћўѝӝљ</w:t>
      </w:r>
      <w:r>
        <w:rPr>
          <w:rFonts w:ascii="PMingLiU" w:cs="PMingLiU" w:eastAsia="PMingLiU" w:hAnsi="PMingLiU"/>
          <w:sz w:val="18"/>
          <w:szCs w:val="18"/>
          <w:color w:val="auto"/>
        </w:rPr>
        <w:t/>
      </w:r>
      <w:r>
        <w:rPr>
          <w:rFonts w:ascii="Arial" w:cs="Arial" w:eastAsia="Arial" w:hAnsi="Arial"/>
          <w:sz w:val="18"/>
          <w:szCs w:val="18"/>
          <w:color w:val="auto"/>
        </w:rPr>
        <w:t>ǁʍɨȈȶǼ</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 xml:space="preserve">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2025, 2024, and 2023, respectively. Amortization expense is expected to be $833.0 in 2026, $791.0 in 2027, $751.0 in 2028, $680.0 in 2029, and $671.0 in 2030.</w:t>
      </w:r>
    </w:p>
    <w:p>
      <w:pPr>
        <w:spacing w:after="0" w:line="192"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ӭћӮ</w:t>
      </w:r>
      <w:r>
        <w:rPr>
          <w:rFonts w:ascii="PMingLiU" w:cs="PMingLiU" w:eastAsia="PMingLiU" w:hAnsi="PMingLiU"/>
          <w:sz w:val="20"/>
          <w:szCs w:val="20"/>
          <w:color w:val="000041"/>
        </w:rPr>
        <w:t/>
      </w:r>
      <w:r>
        <w:rPr>
          <w:rFonts w:ascii="Arial" w:cs="Arial" w:eastAsia="Arial" w:hAnsi="Arial"/>
          <w:sz w:val="20"/>
          <w:szCs w:val="20"/>
          <w:color w:val="000041"/>
        </w:rPr>
        <w:t>Ýě</w:t>
      </w:r>
      <w:r>
        <w:rPr>
          <w:rFonts w:ascii="PMingLiU" w:cs="PMingLiU" w:eastAsia="PMingLiU" w:hAnsi="PMingLiU"/>
          <w:sz w:val="20"/>
          <w:szCs w:val="20"/>
          <w:color w:val="000041"/>
        </w:rPr>
        <w:t></w:t>
      </w:r>
      <w:r>
        <w:rPr>
          <w:rFonts w:ascii="Arial" w:cs="Arial" w:eastAsia="Arial" w:hAnsi="Arial"/>
          <w:sz w:val="20"/>
          <w:szCs w:val="20"/>
          <w:color w:val="000041"/>
        </w:rPr>
        <w:t>KĄ</w:t>
      </w:r>
      <w:r>
        <w:rPr>
          <w:rFonts w:ascii="PMingLiU" w:cs="PMingLiU" w:eastAsia="PMingLiU" w:hAnsi="PMingLiU"/>
          <w:sz w:val="20"/>
          <w:szCs w:val="20"/>
          <w:color w:val="000041"/>
        </w:rPr>
        <w:t/>
      </w:r>
      <w:r>
        <w:rPr>
          <w:rFonts w:ascii="Arial" w:cs="Arial" w:eastAsia="Arial" w:hAnsi="Arial"/>
          <w:sz w:val="20"/>
          <w:szCs w:val="20"/>
          <w:color w:val="000041"/>
        </w:rPr>
        <w:t>::ĄĩKA</w:t>
      </w:r>
      <w:r>
        <w:rPr>
          <w:rFonts w:ascii="PMingLiU" w:cs="PMingLiU" w:eastAsia="PMingLiU" w:hAnsi="PMingLiU"/>
          <w:sz w:val="20"/>
          <w:szCs w:val="20"/>
          <w:color w:val="000041"/>
        </w:rPr>
        <w:t/>
      </w:r>
      <w:r>
        <w:rPr>
          <w:rFonts w:ascii="Arial" w:cs="Arial" w:eastAsia="Arial" w:hAnsi="Arial"/>
          <w:sz w:val="20"/>
          <w:szCs w:val="20"/>
          <w:color w:val="000041"/>
        </w:rPr>
        <w:t>¸</w:t>
      </w:r>
      <w:r>
        <w:rPr>
          <w:rFonts w:ascii="PMingLiU" w:cs="PMingLiU" w:eastAsia="PMingLiU" w:hAnsi="PMingLiU"/>
          <w:sz w:val="20"/>
          <w:szCs w:val="20"/>
          <w:color w:val="000041"/>
        </w:rPr>
        <w:t></w:t>
      </w:r>
      <w:r>
        <w:rPr>
          <w:rFonts w:ascii="Arial" w:cs="Arial" w:eastAsia="Arial" w:hAnsi="Arial"/>
          <w:sz w:val="20"/>
          <w:szCs w:val="20"/>
          <w:color w:val="000041"/>
        </w:rPr>
        <w:t>9</w:t>
      </w:r>
      <w:r>
        <w:rPr>
          <w:rFonts w:ascii="PMingLiU" w:cs="PMingLiU" w:eastAsia="PMingLiU" w:hAnsi="PMingLiU"/>
          <w:sz w:val="20"/>
          <w:szCs w:val="20"/>
          <w:color w:val="000041"/>
        </w:rPr>
        <w:t></w:t>
      </w:r>
      <w:r>
        <w:rPr>
          <w:rFonts w:ascii="Arial" w:cs="Arial" w:eastAsia="Arial" w:hAnsi="Arial"/>
          <w:sz w:val="20"/>
          <w:szCs w:val="20"/>
          <w:color w:val="000041"/>
        </w:rPr>
        <w:t>¸</w:t>
      </w:r>
      <w:r>
        <w:rPr>
          <w:rFonts w:ascii="PMingLiU" w:cs="PMingLiU" w:eastAsia="PMingLiU" w:hAnsi="PMingLiU"/>
          <w:sz w:val="20"/>
          <w:szCs w:val="20"/>
          <w:color w:val="000041"/>
        </w:rPr>
        <w:t></w:t>
      </w:r>
      <w:r>
        <w:rPr>
          <w:rFonts w:ascii="Arial" w:cs="Arial" w:eastAsia="Arial" w:hAnsi="Arial"/>
          <w:sz w:val="20"/>
          <w:szCs w:val="20"/>
          <w:color w:val="000041"/>
        </w:rPr>
        <w:t>ě</w:t>
      </w:r>
      <w:r>
        <w:rPr>
          <w:rFonts w:ascii="PMingLiU" w:cs="PMingLiU" w:eastAsia="PMingLiU" w:hAnsi="PMingLiU"/>
          <w:sz w:val="20"/>
          <w:szCs w:val="20"/>
          <w:color w:val="000041"/>
        </w:rPr>
        <w:t></w:t>
      </w:r>
      <w:r>
        <w:rPr>
          <w:rFonts w:ascii="Arial" w:cs="Arial" w:eastAsia="Arial" w:hAnsi="Arial"/>
          <w:sz w:val="20"/>
          <w:szCs w:val="20"/>
          <w:color w:val="000041"/>
        </w:rPr>
        <w:t>KČ</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 at December 31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6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38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2025</w:t>
            </w:r>
          </w:p>
        </w:tc>
        <w:tc>
          <w:tcPr>
            <w:tcW w:w="300" w:type="dxa"/>
            <w:vAlign w:val="bottom"/>
            <w:tcBorders>
              <w:bottom w:val="single" w:sz="8" w:color="000041"/>
            </w:tcBorders>
          </w:tcPr>
          <w:p>
            <w:pPr>
              <w:spacing w:after="0"/>
              <w:rPr>
                <w:sz w:val="23"/>
                <w:szCs w:val="23"/>
                <w:color w:val="auto"/>
              </w:rPr>
            </w:pPr>
          </w:p>
        </w:tc>
        <w:tc>
          <w:tcPr>
            <w:tcW w:w="5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2024</w:t>
            </w:r>
          </w:p>
        </w:tc>
      </w:tr>
      <w:tr>
        <w:trPr>
          <w:trHeight w:val="247"/>
        </w:trPr>
        <w:tc>
          <w:tcPr>
            <w:tcW w:w="5660" w:type="dxa"/>
            <w:vAlign w:val="bottom"/>
          </w:tcPr>
          <w:p>
            <w:pPr>
              <w:spacing w:after="0"/>
              <w:rPr>
                <w:sz w:val="20"/>
                <w:szCs w:val="20"/>
                <w:color w:val="auto"/>
              </w:rPr>
            </w:pPr>
            <w:r>
              <w:rPr>
                <w:rFonts w:ascii="Arial" w:cs="Arial" w:eastAsia="Arial" w:hAnsi="Arial"/>
                <w:sz w:val="18"/>
                <w:szCs w:val="18"/>
                <w:color w:val="auto"/>
              </w:rPr>
              <w:t>Interest</w:t>
            </w:r>
          </w:p>
        </w:tc>
        <w:tc>
          <w:tcPr>
            <w:tcW w:w="3820" w:type="dxa"/>
            <w:vAlign w:val="bottom"/>
          </w:tcPr>
          <w:p>
            <w:pPr>
              <w:jc w:val="right"/>
              <w:ind w:right="9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ѝўӝњ</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20"/>
        </w:trPr>
        <w:tc>
          <w:tcPr>
            <w:tcW w:w="5660" w:type="dxa"/>
            <w:vAlign w:val="bottom"/>
          </w:tcPr>
          <w:p>
            <w:pPr>
              <w:spacing w:after="0"/>
              <w:rPr>
                <w:sz w:val="20"/>
                <w:szCs w:val="20"/>
                <w:color w:val="auto"/>
              </w:rPr>
            </w:pPr>
            <w:r>
              <w:rPr>
                <w:rFonts w:ascii="Arial" w:cs="Arial" w:eastAsia="Arial" w:hAnsi="Arial"/>
                <w:sz w:val="18"/>
                <w:szCs w:val="18"/>
                <w:color w:val="auto"/>
              </w:rPr>
              <w:t>Customer deposits</w:t>
            </w:r>
          </w:p>
        </w:tc>
        <w:tc>
          <w:tcPr>
            <w:tcW w:w="3820" w:type="dxa"/>
            <w:vAlign w:val="bottom"/>
          </w:tcPr>
          <w:p>
            <w:pPr>
              <w:jc w:val="right"/>
              <w:ind w:right="90"/>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0"/>
        </w:trPr>
        <w:tc>
          <w:tcPr>
            <w:tcW w:w="5660" w:type="dxa"/>
            <w:vAlign w:val="bottom"/>
          </w:tcPr>
          <w:p>
            <w:pPr>
              <w:spacing w:after="0"/>
              <w:rPr>
                <w:sz w:val="20"/>
                <w:szCs w:val="20"/>
                <w:color w:val="auto"/>
              </w:rPr>
            </w:pPr>
            <w:r>
              <w:rPr>
                <w:rFonts w:ascii="Arial" w:cs="Arial" w:eastAsia="Arial" w:hAnsi="Arial"/>
                <w:sz w:val="18"/>
                <w:szCs w:val="18"/>
                <w:color w:val="auto"/>
              </w:rPr>
              <w:t>Accrued dividends</w:t>
            </w:r>
          </w:p>
        </w:tc>
        <w:tc>
          <w:tcPr>
            <w:tcW w:w="3820" w:type="dxa"/>
            <w:vAlign w:val="bottom"/>
          </w:tcPr>
          <w:p>
            <w:pPr>
              <w:jc w:val="right"/>
              <w:ind w:right="90"/>
              <w:spacing w:after="0"/>
              <w:rPr>
                <w:sz w:val="20"/>
                <w:szCs w:val="20"/>
                <w:color w:val="auto"/>
              </w:rPr>
            </w:pPr>
            <w:r>
              <w:rPr>
                <w:rFonts w:ascii="Arial" w:cs="Arial" w:eastAsia="Arial" w:hAnsi="Arial"/>
                <w:sz w:val="18"/>
                <w:szCs w:val="18"/>
                <w:color w:val="auto"/>
              </w:rPr>
              <w:t>101.8</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20"/>
        </w:trPr>
        <w:tc>
          <w:tcPr>
            <w:tcW w:w="5660" w:type="dxa"/>
            <w:vAlign w:val="bottom"/>
          </w:tcPr>
          <w:p>
            <w:pPr>
              <w:spacing w:after="0"/>
              <w:rPr>
                <w:sz w:val="20"/>
                <w:szCs w:val="20"/>
                <w:color w:val="auto"/>
              </w:rPr>
            </w:pPr>
            <w:r>
              <w:rPr>
                <w:rFonts w:ascii="Arial" w:cs="Arial" w:eastAsia="Arial" w:hAnsi="Arial"/>
                <w:sz w:val="18"/>
                <w:szCs w:val="18"/>
                <w:color w:val="auto"/>
              </w:rPr>
              <w:t>Rebates</w:t>
            </w:r>
          </w:p>
        </w:tc>
        <w:tc>
          <w:tcPr>
            <w:tcW w:w="3820" w:type="dxa"/>
            <w:vAlign w:val="bottom"/>
          </w:tcPr>
          <w:p>
            <w:pPr>
              <w:jc w:val="right"/>
              <w:ind w:right="90"/>
              <w:spacing w:after="0"/>
              <w:rPr>
                <w:sz w:val="20"/>
                <w:szCs w:val="20"/>
                <w:color w:val="auto"/>
              </w:rPr>
            </w:pPr>
            <w:r>
              <w:rPr>
                <w:rFonts w:ascii="Arial" w:cs="Arial" w:eastAsia="Arial" w:hAnsi="Arial"/>
                <w:sz w:val="18"/>
                <w:szCs w:val="18"/>
                <w:color w:val="auto"/>
              </w:rPr>
              <w:t>103.6</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20"/>
        </w:trPr>
        <w:tc>
          <w:tcPr>
            <w:tcW w:w="56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820" w:type="dxa"/>
            <w:vAlign w:val="bottom"/>
          </w:tcPr>
          <w:p>
            <w:pPr>
              <w:jc w:val="right"/>
              <w:ind w:right="90"/>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20"/>
        </w:trPr>
        <w:tc>
          <w:tcPr>
            <w:tcW w:w="5660" w:type="dxa"/>
            <w:vAlign w:val="bottom"/>
          </w:tcPr>
          <w:p>
            <w:pPr>
              <w:spacing w:after="0"/>
              <w:rPr>
                <w:sz w:val="20"/>
                <w:szCs w:val="20"/>
                <w:color w:val="auto"/>
              </w:rPr>
            </w:pPr>
            <w:r>
              <w:rPr>
                <w:rFonts w:ascii="Arial" w:cs="Arial" w:eastAsia="Arial" w:hAnsi="Arial"/>
                <w:sz w:val="18"/>
                <w:szCs w:val="18"/>
                <w:color w:val="auto"/>
              </w:rPr>
              <w:t>Sales and other taxes payable</w:t>
            </w:r>
          </w:p>
        </w:tc>
        <w:tc>
          <w:tcPr>
            <w:tcW w:w="3820" w:type="dxa"/>
            <w:vAlign w:val="bottom"/>
          </w:tcPr>
          <w:p>
            <w:pPr>
              <w:jc w:val="right"/>
              <w:ind w:right="90"/>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67"/>
        </w:trPr>
        <w:tc>
          <w:tcPr>
            <w:tcW w:w="56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214.1</w:t>
            </w:r>
          </w:p>
        </w:tc>
        <w:tc>
          <w:tcPr>
            <w:tcW w:w="300" w:type="dxa"/>
            <w:vAlign w:val="bottom"/>
            <w:tcBorders>
              <w:bottom w:val="single" w:sz="8" w:color="000041"/>
            </w:tcBorders>
          </w:tcPr>
          <w:p>
            <w:pPr>
              <w:spacing w:after="0"/>
              <w:rPr>
                <w:sz w:val="23"/>
                <w:szCs w:val="23"/>
                <w:color w:val="auto"/>
              </w:rPr>
            </w:pPr>
          </w:p>
        </w:tc>
        <w:tc>
          <w:tcPr>
            <w:tcW w:w="5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170.9</w:t>
            </w:r>
          </w:p>
        </w:tc>
      </w:tr>
      <w:tr>
        <w:trPr>
          <w:trHeight w:val="294"/>
        </w:trPr>
        <w:tc>
          <w:tcPr>
            <w:tcW w:w="56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Other accrued liabilities</w:t>
            </w:r>
          </w:p>
        </w:tc>
        <w:tc>
          <w:tcPr>
            <w:tcW w:w="38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$642.3</w:t>
            </w:r>
          </w:p>
        </w:tc>
        <w:tc>
          <w:tcPr>
            <w:tcW w:w="3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546.2</w:t>
            </w:r>
          </w:p>
        </w:tc>
      </w:tr>
    </w:tbl>
    <w:p>
      <w:pPr>
        <w:spacing w:after="0" w:line="232"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ӭќӮ</w:t>
      </w:r>
      <w:r>
        <w:rPr>
          <w:rFonts w:ascii="PMingLiU" w:cs="PMingLiU" w:eastAsia="PMingLiU" w:hAnsi="PMingLiU"/>
          <w:sz w:val="20"/>
          <w:szCs w:val="20"/>
          <w:color w:val="000041"/>
        </w:rPr>
        <w:t></w:t>
      </w:r>
      <w:r>
        <w:rPr>
          <w:rFonts w:ascii="Arial" w:cs="Arial" w:eastAsia="Arial" w:hAnsi="Arial"/>
          <w:sz w:val="20"/>
          <w:szCs w:val="20"/>
          <w:color w:val="000041"/>
        </w:rPr>
        <w:t>Ç:ÝÃK</w:t>
      </w:r>
      <w:r>
        <w:rPr>
          <w:rFonts w:ascii="PMingLiU" w:cs="PMingLiU" w:eastAsia="PMingLiU" w:hAnsi="PMingLiU"/>
          <w:sz w:val="20"/>
          <w:szCs w:val="20"/>
          <w:color w:val="000041"/>
        </w:rPr>
        <w:t/>
      </w:r>
      <w:r>
        <w:rPr>
          <w:rFonts w:ascii="Arial" w:cs="Arial" w:eastAsia="Arial" w:hAnsi="Arial"/>
          <w:sz w:val="20"/>
          <w:szCs w:val="20"/>
          <w:color w:val="000041"/>
        </w:rPr>
        <w:t>ě</w:t>
      </w:r>
      <w:r>
        <w:rPr>
          <w:rFonts w:ascii="PMingLiU" w:cs="PMingLiU" w:eastAsia="PMingLiU" w:hAnsi="PMingLiU"/>
          <w:sz w:val="20"/>
          <w:szCs w:val="20"/>
          <w:color w:val="000041"/>
        </w:rPr>
        <w:t/>
      </w:r>
      <w:r>
        <w:rPr>
          <w:rFonts w:ascii="Arial" w:cs="Arial" w:eastAsia="Arial" w:hAnsi="Arial"/>
          <w:sz w:val="20"/>
          <w:szCs w:val="20"/>
          <w:color w:val="000041"/>
        </w:rPr>
        <w:t>ŤKČ</w:t>
      </w:r>
    </w:p>
    <w:p>
      <w:pPr>
        <w:spacing w:after="0" w:line="117" w:lineRule="exact"/>
        <w:rPr>
          <w:sz w:val="20"/>
          <w:szCs w:val="20"/>
          <w:color w:val="auto"/>
        </w:rPr>
      </w:pPr>
    </w:p>
    <w:p>
      <w:pPr>
        <w:ind w:right="20"/>
        <w:spacing w:after="0" w:line="241" w:lineRule="exact"/>
        <w:rPr>
          <w:sz w:val="20"/>
          <w:szCs w:val="20"/>
          <w:color w:val="auto"/>
        </w:rPr>
      </w:pPr>
      <w:r>
        <w:rPr>
          <w:rFonts w:ascii="Arial" w:cs="Arial" w:eastAsia="Arial" w:hAnsi="Arial"/>
          <w:sz w:val="18"/>
          <w:szCs w:val="18"/>
          <w:color w:val="auto"/>
        </w:rPr>
        <w:t>KƃɨȶȈȶǼɰ</w:t>
      </w:r>
      <w:r>
        <w:rPr>
          <w:rFonts w:ascii="PMingLiU" w:cs="PMingLiU" w:eastAsia="PMingLiU" w:hAnsi="PMingLiU"/>
          <w:sz w:val="18"/>
          <w:szCs w:val="18"/>
          <w:color w:val="auto"/>
        </w:rPr>
        <w:t/>
      </w:r>
      <w:r>
        <w:rPr>
          <w:rFonts w:ascii="Arial" w:cs="Arial" w:eastAsia="Arial" w:hAnsi="Arial"/>
          <w:sz w:val="18"/>
          <w:szCs w:val="18"/>
          <w:color w:val="auto"/>
        </w:rPr>
        <w:t xml:space="preserve"> ƹǉǹɁɨǉ</w:t>
      </w:r>
      <w:r>
        <w:rPr>
          <w:rFonts w:ascii="PMingLiU" w:cs="PMingLiU" w:eastAsia="PMingLiU" w:hAnsi="PMingLiU"/>
          <w:sz w:val="18"/>
          <w:szCs w:val="18"/>
          <w:color w:val="auto"/>
        </w:rPr>
        <w:t/>
      </w:r>
      <w:r>
        <w:rPr>
          <w:rFonts w:ascii="Arial" w:cs="Arial" w:eastAsia="Arial" w:hAnsi="Arial"/>
          <w:sz w:val="18"/>
          <w:szCs w:val="18"/>
          <w:color w:val="auto"/>
        </w:rPr>
        <w:t xml:space="preserve"> ȈȶƺɁȴǉ</w:t>
      </w:r>
      <w:r>
        <w:rPr>
          <w:rFonts w:ascii="PMingLiU" w:cs="PMingLiU" w:eastAsia="PMingLiU" w:hAnsi="PMingLiU"/>
          <w:sz w:val="18"/>
          <w:szCs w:val="18"/>
          <w:color w:val="auto"/>
        </w:rPr>
        <w:t/>
      </w:r>
      <w:r>
        <w:rPr>
          <w:rFonts w:ascii="Arial" w:cs="Arial" w:eastAsia="Arial" w:hAnsi="Arial"/>
          <w:sz w:val="18"/>
          <w:szCs w:val="18"/>
          <w:color w:val="auto"/>
        </w:rPr>
        <w:t xml:space="preserve"> ɽƃʯǉɰ</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ʰǉƃɨɰ</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їѕїј</w:t>
      </w:r>
      <w:r>
        <w:rPr>
          <w:rFonts w:ascii="PMingLiU" w:cs="PMingLiU" w:eastAsia="PMingLiU" w:hAnsi="PMingLiU"/>
          <w:sz w:val="18"/>
          <w:szCs w:val="18"/>
          <w:color w:val="auto"/>
        </w:rPr>
        <w:t/>
      </w:r>
      <w:r>
        <w:rPr>
          <w:rFonts w:ascii="Arial" w:cs="Arial" w:eastAsia="Arial" w:hAnsi="Arial"/>
          <w:sz w:val="18"/>
          <w:szCs w:val="18"/>
          <w:color w:val="auto"/>
        </w:rPr>
        <w:t xml:space="preserve"> ƺɁȶɰȈɰɽǉǁ</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ǹɁȢȢɁʥȈȶǼ</w:t>
      </w:r>
      <w:r>
        <w:rPr>
          <w:rFonts w:ascii="PMingLiU" w:cs="PMingLiU" w:eastAsia="PMingLiU" w:hAnsi="PMingLiU"/>
          <w:sz w:val="18"/>
          <w:szCs w:val="18"/>
          <w:color w:val="auto"/>
        </w:rPr>
        <w:t/>
      </w:r>
      <w:r>
        <w:rPr>
          <w:rFonts w:ascii="Arial" w:cs="Arial" w:eastAsia="Arial" w:hAnsi="Arial"/>
          <w:sz w:val="18"/>
          <w:szCs w:val="18"/>
          <w:color w:val="auto"/>
        </w:rPr>
        <w:t xml:space="preserve"> components: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20" w:type="dxa"/>
            <w:vAlign w:val="bottom"/>
            <w:tcBorders>
              <w:bottom w:val="single" w:sz="8" w:color="000041"/>
            </w:tcBorders>
          </w:tcPr>
          <w:p>
            <w:pPr>
              <w:spacing w:after="0"/>
              <w:rPr>
                <w:sz w:val="23"/>
                <w:szCs w:val="23"/>
                <w:color w:val="auto"/>
              </w:rPr>
            </w:pPr>
          </w:p>
        </w:tc>
        <w:tc>
          <w:tcPr>
            <w:tcW w:w="2340" w:type="dxa"/>
            <w:vAlign w:val="bottom"/>
            <w:tcBorders>
              <w:bottom w:val="single" w:sz="8" w:color="000041"/>
            </w:tcBorders>
          </w:tcPr>
          <w:p>
            <w:pPr>
              <w:spacing w:after="0"/>
              <w:rPr>
                <w:sz w:val="23"/>
                <w:szCs w:val="23"/>
                <w:color w:val="auto"/>
              </w:rPr>
            </w:pPr>
          </w:p>
        </w:tc>
        <w:tc>
          <w:tcPr>
            <w:tcW w:w="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2025</w:t>
            </w:r>
          </w:p>
        </w:tc>
        <w:tc>
          <w:tcPr>
            <w:tcW w:w="380" w:type="dxa"/>
            <w:vAlign w:val="bottom"/>
            <w:tcBorders>
              <w:bottom w:val="single" w:sz="8" w:color="000041"/>
            </w:tcBorders>
          </w:tcPr>
          <w:p>
            <w:pPr>
              <w:spacing w:after="0"/>
              <w:rPr>
                <w:sz w:val="23"/>
                <w:szCs w:val="23"/>
                <w:color w:val="auto"/>
              </w:rPr>
            </w:pPr>
          </w:p>
        </w:tc>
        <w:tc>
          <w:tcPr>
            <w:tcW w:w="72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000041"/>
            </w:tcBorders>
          </w:tcPr>
          <w:p>
            <w:pPr>
              <w:spacing w:after="0"/>
              <w:rPr>
                <w:sz w:val="23"/>
                <w:szCs w:val="23"/>
                <w:color w:val="auto"/>
              </w:rPr>
            </w:pPr>
          </w:p>
        </w:tc>
        <w:tc>
          <w:tcPr>
            <w:tcW w:w="68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2023</w:t>
            </w: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United States</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w w:val="93"/>
              </w:rPr>
              <w:t>1,588.2</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іӗќѕіӝќ</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$1,480.3</w:t>
            </w:r>
          </w:p>
        </w:tc>
      </w:tr>
      <w:tr>
        <w:trPr>
          <w:trHeight w:val="268"/>
        </w:trPr>
        <w:tc>
          <w:tcPr>
            <w:tcW w:w="50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000041"/>
            </w:tcBorders>
          </w:tcPr>
          <w:p>
            <w:pPr>
              <w:spacing w:after="0"/>
              <w:rPr>
                <w:sz w:val="23"/>
                <w:szCs w:val="23"/>
                <w:color w:val="auto"/>
              </w:rPr>
            </w:pPr>
          </w:p>
        </w:tc>
        <w:tc>
          <w:tcPr>
            <w:tcW w:w="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347.9</w:t>
            </w:r>
          </w:p>
        </w:tc>
        <w:tc>
          <w:tcPr>
            <w:tcW w:w="380" w:type="dxa"/>
            <w:vAlign w:val="bottom"/>
            <w:tcBorders>
              <w:bottom w:val="single" w:sz="8" w:color="000041"/>
            </w:tcBorders>
          </w:tcPr>
          <w:p>
            <w:pPr>
              <w:spacing w:after="0"/>
              <w:rPr>
                <w:sz w:val="23"/>
                <w:szCs w:val="23"/>
                <w:color w:val="auto"/>
              </w:rPr>
            </w:pPr>
          </w:p>
        </w:tc>
        <w:tc>
          <w:tcPr>
            <w:tcW w:w="72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265.5</w:t>
            </w:r>
          </w:p>
        </w:tc>
        <w:tc>
          <w:tcPr>
            <w:tcW w:w="340" w:type="dxa"/>
            <w:vAlign w:val="bottom"/>
            <w:tcBorders>
              <w:bottom w:val="single" w:sz="8" w:color="000041"/>
            </w:tcBorders>
          </w:tcPr>
          <w:p>
            <w:pPr>
              <w:spacing w:after="0"/>
              <w:rPr>
                <w:sz w:val="23"/>
                <w:szCs w:val="23"/>
                <w:color w:val="auto"/>
              </w:rPr>
            </w:pPr>
          </w:p>
        </w:tc>
        <w:tc>
          <w:tcPr>
            <w:tcW w:w="68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262.8</w:t>
            </w:r>
          </w:p>
        </w:tc>
      </w:tr>
      <w:tr>
        <w:trPr>
          <w:trHeight w:val="286"/>
        </w:trPr>
        <w:tc>
          <w:tcPr>
            <w:tcW w:w="50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23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w w:val="93"/>
              </w:rPr>
              <w:t>1,936.1</w:t>
            </w:r>
          </w:p>
        </w:tc>
        <w:tc>
          <w:tcPr>
            <w:tcW w:w="1100" w:type="dxa"/>
            <w:vAlign w:val="bottom"/>
            <w:tcBorders>
              <w:bottom w:val="single" w:sz="8" w:color="000041"/>
            </w:tcBorders>
            <w:gridSpan w:val="2"/>
          </w:tcPr>
          <w:p>
            <w:pPr>
              <w:jc w:val="right"/>
              <w:ind w:right="110"/>
              <w:spacing w:after="0"/>
              <w:rPr>
                <w:sz w:val="20"/>
                <w:szCs w:val="20"/>
                <w:color w:val="auto"/>
              </w:rPr>
            </w:pPr>
            <w:r>
              <w:rPr>
                <w:rFonts w:ascii="Arial" w:cs="Arial" w:eastAsia="Arial" w:hAnsi="Arial"/>
                <w:sz w:val="18"/>
                <w:szCs w:val="18"/>
                <w:color w:val="auto"/>
              </w:rPr>
              <w:t>$1,967.2</w:t>
            </w:r>
          </w:p>
        </w:tc>
        <w:tc>
          <w:tcPr>
            <w:tcW w:w="1020" w:type="dxa"/>
            <w:vAlign w:val="bottom"/>
            <w:tcBorders>
              <w:bottom w:val="single" w:sz="8" w:color="000041"/>
            </w:tcBorders>
            <w:gridSpan w:val="2"/>
          </w:tcPr>
          <w:p>
            <w:pPr>
              <w:jc w:val="right"/>
              <w:ind w:right="90"/>
              <w:spacing w:after="0"/>
              <w:rPr>
                <w:sz w:val="20"/>
                <w:szCs w:val="20"/>
                <w:color w:val="auto"/>
              </w:rPr>
            </w:pPr>
            <w:r>
              <w:rPr>
                <w:rFonts w:ascii="Arial" w:cs="Arial" w:eastAsia="Arial" w:hAnsi="Arial"/>
                <w:sz w:val="18"/>
                <w:szCs w:val="18"/>
                <w:color w:val="auto"/>
              </w:rPr>
              <w:t>$ 1,743.1</w:t>
            </w:r>
          </w:p>
        </w:tc>
      </w:tr>
      <w:tr>
        <w:trPr>
          <w:trHeight w:val="414"/>
        </w:trPr>
        <w:tc>
          <w:tcPr>
            <w:tcW w:w="9640" w:type="dxa"/>
            <w:vAlign w:val="bottom"/>
            <w:gridSpan w:val="6"/>
          </w:tcPr>
          <w:p>
            <w:pPr>
              <w:spacing w:after="0" w:line="219" w:lineRule="exact"/>
              <w:rPr>
                <w:sz w:val="20"/>
                <w:szCs w:val="20"/>
                <w:color w:val="auto"/>
              </w:rPr>
            </w:pPr>
            <w:r>
              <w:rPr>
                <w:rFonts w:ascii="Arial" w:cs="Arial" w:eastAsia="Arial" w:hAnsi="Arial"/>
                <w:sz w:val="18"/>
                <w:szCs w:val="18"/>
                <w:color w:val="auto"/>
              </w:rPr>
              <w:t>:ɁȴɥɁȶǉȶɽɰ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ȈȶƺɁȴǉ</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ǉʯɥǉȶɰǉ</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ǹɁȢȢɁʥɰ</w:t>
            </w:r>
            <w:r>
              <w:rPr>
                <w:rFonts w:ascii="Arial" w:cs="Arial" w:eastAsia="Arial" w:hAnsi="Arial"/>
                <w:sz w:val="18"/>
                <w:szCs w:val="18"/>
                <w:color w:val="auto"/>
              </w:rPr>
              <w:t>Ӗ</w:t>
            </w:r>
          </w:p>
        </w:tc>
        <w:tc>
          <w:tcPr>
            <w:tcW w:w="680" w:type="dxa"/>
            <w:vAlign w:val="bottom"/>
          </w:tcPr>
          <w:p>
            <w:pPr>
              <w:spacing w:after="0"/>
              <w:rPr>
                <w:sz w:val="24"/>
                <w:szCs w:val="24"/>
                <w:color w:val="auto"/>
              </w:rPr>
            </w:pPr>
          </w:p>
        </w:tc>
      </w:tr>
      <w:tr>
        <w:trPr>
          <w:trHeight w:val="406"/>
        </w:trPr>
        <w:tc>
          <w:tcPr>
            <w:tcW w:w="5020" w:type="dxa"/>
            <w:vAlign w:val="bottom"/>
            <w:tcBorders>
              <w:bottom w:val="single" w:sz="8" w:color="000041"/>
            </w:tcBorders>
          </w:tcPr>
          <w:p>
            <w:pPr>
              <w:spacing w:after="0"/>
              <w:rPr>
                <w:sz w:val="24"/>
                <w:szCs w:val="24"/>
                <w:color w:val="auto"/>
              </w:rPr>
            </w:pPr>
          </w:p>
        </w:tc>
        <w:tc>
          <w:tcPr>
            <w:tcW w:w="2340" w:type="dxa"/>
            <w:vAlign w:val="bottom"/>
            <w:tcBorders>
              <w:bottom w:val="single" w:sz="8" w:color="000041"/>
            </w:tcBorders>
          </w:tcPr>
          <w:p>
            <w:pPr>
              <w:spacing w:after="0"/>
              <w:rPr>
                <w:sz w:val="24"/>
                <w:szCs w:val="24"/>
                <w:color w:val="auto"/>
              </w:rPr>
            </w:pPr>
          </w:p>
        </w:tc>
        <w:tc>
          <w:tcPr>
            <w:tcW w:w="84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2025</w:t>
            </w:r>
          </w:p>
        </w:tc>
        <w:tc>
          <w:tcPr>
            <w:tcW w:w="380" w:type="dxa"/>
            <w:vAlign w:val="bottom"/>
            <w:tcBorders>
              <w:bottom w:val="single" w:sz="8" w:color="000041"/>
            </w:tcBorders>
          </w:tcPr>
          <w:p>
            <w:pPr>
              <w:spacing w:after="0"/>
              <w:rPr>
                <w:sz w:val="24"/>
                <w:szCs w:val="24"/>
                <w:color w:val="auto"/>
              </w:rPr>
            </w:pPr>
          </w:p>
        </w:tc>
        <w:tc>
          <w:tcPr>
            <w:tcW w:w="72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000041"/>
            </w:tcBorders>
          </w:tcPr>
          <w:p>
            <w:pPr>
              <w:spacing w:after="0"/>
              <w:rPr>
                <w:sz w:val="24"/>
                <w:szCs w:val="24"/>
                <w:color w:val="auto"/>
              </w:rPr>
            </w:pPr>
          </w:p>
        </w:tc>
        <w:tc>
          <w:tcPr>
            <w:tcW w:w="68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2023</w:t>
            </w: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Current:</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ԝ</w:t>
            </w:r>
          </w:p>
        </w:tc>
        <w:tc>
          <w:tcPr>
            <w:tcW w:w="84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ԝ</w:t>
            </w:r>
          </w:p>
        </w:tc>
        <w:tc>
          <w:tcPr>
            <w:tcW w:w="72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rPr>
              <w:t>ԝ</w:t>
            </w:r>
          </w:p>
        </w:tc>
        <w:tc>
          <w:tcPr>
            <w:tcW w:w="680" w:type="dxa"/>
            <w:vAlign w:val="bottom"/>
          </w:tcPr>
          <w:p>
            <w:pPr>
              <w:spacing w:after="0"/>
              <w:rPr>
                <w:sz w:val="20"/>
                <w:szCs w:val="20"/>
                <w:color w:val="auto"/>
              </w:rPr>
            </w:pPr>
          </w:p>
        </w:tc>
      </w:tr>
      <w:tr>
        <w:trPr>
          <w:trHeight w:val="220"/>
        </w:trPr>
        <w:tc>
          <w:tcPr>
            <w:tcW w:w="50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67.7</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317.8</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352.6</w:t>
            </w:r>
          </w:p>
        </w:tc>
      </w:tr>
      <w:tr>
        <w:trPr>
          <w:trHeight w:val="220"/>
        </w:trPr>
        <w:tc>
          <w:tcPr>
            <w:tcW w:w="5020" w:type="dxa"/>
            <w:vAlign w:val="bottom"/>
          </w:tcPr>
          <w:p>
            <w:pPr>
              <w:ind w:left="180"/>
              <w:spacing w:after="0"/>
              <w:rPr>
                <w:sz w:val="20"/>
                <w:szCs w:val="20"/>
                <w:color w:val="auto"/>
              </w:rPr>
            </w:pPr>
            <w:r>
              <w:rPr>
                <w:rFonts w:ascii="Arial" w:cs="Arial" w:eastAsia="Arial" w:hAnsi="Arial"/>
                <w:sz w:val="18"/>
                <w:szCs w:val="18"/>
                <w:color w:val="auto"/>
              </w:rPr>
              <w:t>State</w:t>
            </w:r>
          </w:p>
        </w:tc>
        <w:tc>
          <w:tcPr>
            <w:tcW w:w="234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70.4</w:t>
            </w:r>
          </w:p>
        </w:tc>
        <w:tc>
          <w:tcPr>
            <w:tcW w:w="3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80.7</w:t>
            </w:r>
          </w:p>
        </w:tc>
      </w:tr>
      <w:tr>
        <w:trPr>
          <w:trHeight w:val="220"/>
        </w:trPr>
        <w:tc>
          <w:tcPr>
            <w:tcW w:w="5020" w:type="dxa"/>
            <w:vAlign w:val="bottom"/>
          </w:tcPr>
          <w:p>
            <w:pPr>
              <w:ind w:left="180"/>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91.0</w:t>
            </w:r>
          </w:p>
        </w:tc>
        <w:tc>
          <w:tcPr>
            <w:tcW w:w="3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69.9</w:t>
            </w:r>
          </w:p>
        </w:tc>
      </w:tr>
      <w:tr>
        <w:trPr>
          <w:trHeight w:val="220"/>
        </w:trPr>
        <w:tc>
          <w:tcPr>
            <w:tcW w:w="5020" w:type="dxa"/>
            <w:vAlign w:val="bottom"/>
          </w:tcPr>
          <w:p>
            <w:pPr>
              <w:spacing w:after="0"/>
              <w:rPr>
                <w:sz w:val="20"/>
                <w:szCs w:val="20"/>
                <w:color w:val="auto"/>
              </w:rPr>
            </w:pPr>
            <w:r>
              <w:rPr>
                <w:rFonts w:ascii="Arial" w:cs="Arial" w:eastAsia="Arial" w:hAnsi="Arial"/>
                <w:sz w:val="18"/>
                <w:szCs w:val="18"/>
                <w:color w:val="auto"/>
              </w:rPr>
              <w:t>Deferred:</w:t>
            </w:r>
          </w:p>
        </w:tc>
        <w:tc>
          <w:tcPr>
            <w:tcW w:w="2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50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34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188.5</w:t>
            </w:r>
          </w:p>
        </w:tc>
        <w:tc>
          <w:tcPr>
            <w:tcW w:w="38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(94.1)</w:t>
            </w:r>
          </w:p>
        </w:tc>
      </w:tr>
      <w:tr>
        <w:trPr>
          <w:trHeight w:val="220"/>
        </w:trPr>
        <w:tc>
          <w:tcPr>
            <w:tcW w:w="5020" w:type="dxa"/>
            <w:vAlign w:val="bottom"/>
          </w:tcPr>
          <w:p>
            <w:pPr>
              <w:ind w:left="180"/>
              <w:spacing w:after="0"/>
              <w:rPr>
                <w:sz w:val="20"/>
                <w:szCs w:val="20"/>
                <w:color w:val="auto"/>
              </w:rPr>
            </w:pPr>
            <w:r>
              <w:rPr>
                <w:rFonts w:ascii="Arial" w:cs="Arial" w:eastAsia="Arial" w:hAnsi="Arial"/>
                <w:sz w:val="18"/>
                <w:szCs w:val="18"/>
                <w:color w:val="auto"/>
              </w:rPr>
              <w:t>State</w:t>
            </w:r>
          </w:p>
        </w:tc>
        <w:tc>
          <w:tcPr>
            <w:tcW w:w="234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(27.7)</w:t>
            </w:r>
          </w:p>
        </w:tc>
      </w:tr>
      <w:tr>
        <w:trPr>
          <w:trHeight w:val="268"/>
        </w:trPr>
        <w:tc>
          <w:tcPr>
            <w:tcW w:w="50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Foreign</w:t>
            </w:r>
          </w:p>
        </w:tc>
        <w:tc>
          <w:tcPr>
            <w:tcW w:w="2340" w:type="dxa"/>
            <w:vAlign w:val="bottom"/>
            <w:tcBorders>
              <w:bottom w:val="single" w:sz="8" w:color="000041"/>
            </w:tcBorders>
          </w:tcPr>
          <w:p>
            <w:pPr>
              <w:spacing w:after="0"/>
              <w:rPr>
                <w:sz w:val="23"/>
                <w:szCs w:val="23"/>
                <w:color w:val="auto"/>
              </w:rPr>
            </w:pPr>
          </w:p>
        </w:tc>
        <w:tc>
          <w:tcPr>
            <w:tcW w:w="84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000041"/>
            </w:tcBorders>
          </w:tcPr>
          <w:p>
            <w:pPr>
              <w:spacing w:after="0"/>
              <w:rPr>
                <w:sz w:val="23"/>
                <w:szCs w:val="23"/>
                <w:color w:val="auto"/>
              </w:rPr>
            </w:pPr>
          </w:p>
        </w:tc>
        <w:tc>
          <w:tcPr>
            <w:tcW w:w="72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(20.9)</w:t>
            </w:r>
          </w:p>
        </w:tc>
        <w:tc>
          <w:tcPr>
            <w:tcW w:w="340" w:type="dxa"/>
            <w:vAlign w:val="bottom"/>
            <w:tcBorders>
              <w:bottom w:val="single" w:sz="8" w:color="000041"/>
            </w:tcBorders>
          </w:tcPr>
          <w:p>
            <w:pPr>
              <w:spacing w:after="0"/>
              <w:rPr>
                <w:sz w:val="23"/>
                <w:szCs w:val="23"/>
                <w:color w:val="auto"/>
              </w:rPr>
            </w:pPr>
          </w:p>
        </w:tc>
        <w:tc>
          <w:tcPr>
            <w:tcW w:w="68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(6.7)</w:t>
            </w:r>
          </w:p>
        </w:tc>
      </w:tr>
      <w:tr>
        <w:trPr>
          <w:trHeight w:val="286"/>
        </w:trPr>
        <w:tc>
          <w:tcPr>
            <w:tcW w:w="50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Income tax expense</w:t>
            </w:r>
          </w:p>
        </w:tc>
        <w:tc>
          <w:tcPr>
            <w:tcW w:w="3180" w:type="dxa"/>
            <w:vAlign w:val="bottom"/>
            <w:tcBorders>
              <w:bottom w:val="single" w:sz="8" w:color="000041"/>
            </w:tcBorders>
            <w:gridSpan w:val="2"/>
          </w:tcPr>
          <w:p>
            <w:pPr>
              <w:jc w:val="right"/>
              <w:ind w:right="17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јўўӝѝ</w:t>
            </w:r>
          </w:p>
        </w:tc>
        <w:tc>
          <w:tcPr>
            <w:tcW w:w="380" w:type="dxa"/>
            <w:vAlign w:val="bottom"/>
            <w:tcBorders>
              <w:bottom w:val="single" w:sz="8" w:color="000041"/>
            </w:tcBorders>
          </w:tcPr>
          <w:p>
            <w:pPr>
              <w:ind w:lef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417.9</w:t>
            </w:r>
          </w:p>
        </w:tc>
        <w:tc>
          <w:tcPr>
            <w:tcW w:w="340" w:type="dxa"/>
            <w:vAlign w:val="bottom"/>
            <w:tcBorders>
              <w:bottom w:val="single" w:sz="8" w:color="000041"/>
            </w:tcBorders>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374.7</w:t>
            </w:r>
          </w:p>
        </w:tc>
      </w:tr>
    </w:tbl>
    <w:p>
      <w:pPr>
        <w:spacing w:after="0" w:line="200" w:lineRule="exact"/>
        <w:rPr>
          <w:sz w:val="20"/>
          <w:szCs w:val="20"/>
          <w:color w:val="auto"/>
        </w:rPr>
      </w:pPr>
    </w:p>
    <w:p>
      <w:pPr>
        <w:sectPr>
          <w:pgSz w:w="12240" w:h="15840" w:orient="portrait"/>
          <w:cols w:equalWidth="0" w:num="1">
            <w:col w:w="10380"/>
          </w:cols>
          <w:pgMar w:left="960" w:top="996" w:right="90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00"/>
        <w:spacing w:after="0" w:line="146" w:lineRule="exact"/>
        <w:tabs>
          <w:tab w:leader="none" w:pos="1018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0"/>
          <w:szCs w:val="10"/>
          <w:color w:val="auto"/>
        </w:rPr>
        <w:t>51</w:t>
      </w:r>
    </w:p>
    <w:p>
      <w:pPr>
        <w:sectPr>
          <w:pgSz w:w="12240" w:h="15840" w:orient="portrait"/>
          <w:cols w:equalWidth="0" w:num="1">
            <w:col w:w="10380"/>
          </w:cols>
          <w:pgMar w:left="960" w:top="996" w:right="900" w:bottom="90" w:gutter="0" w:footer="0" w:header="0"/>
          <w:type w:val="continuous"/>
        </w:sectPr>
      </w:pPr>
    </w:p>
    <w:bookmarkStart w:id="53" w:name="page54"/>
    <w:bookmarkEnd w:id="53"/>
    <w:p>
      <w:pPr>
        <w:jc w:val="both"/>
        <w:ind w:right="20"/>
        <w:spacing w:after="0" w:line="234"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 xml:space="preserve">The Company adopted ASU 2023-09 on a prospective basis beginning with the 2025 annual reporting period. Reconciliations between the U.S. federal statutory income tax rate and the effective income tax rate for the year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ǹɁȢȢɁʥɰ</w:t>
      </w:r>
      <w:r>
        <w:rPr>
          <w:rFonts w:ascii="Arial" w:cs="Arial" w:eastAsia="Arial" w:hAnsi="Arial"/>
          <w:sz w:val="18"/>
          <w:szCs w:val="18"/>
          <w:color w:val="auto"/>
        </w:rPr>
        <w:t>Ӗ</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740" w:type="dxa"/>
            <w:vAlign w:val="bottom"/>
            <w:tcBorders>
              <w:bottom w:val="single" w:sz="8" w:color="000041"/>
            </w:tcBorders>
          </w:tcPr>
          <w:p>
            <w:pPr>
              <w:spacing w:after="0"/>
              <w:rPr>
                <w:sz w:val="23"/>
                <w:szCs w:val="23"/>
                <w:color w:val="auto"/>
              </w:rPr>
            </w:pPr>
          </w:p>
        </w:tc>
        <w:tc>
          <w:tcPr>
            <w:tcW w:w="2080" w:type="dxa"/>
            <w:vAlign w:val="bottom"/>
            <w:tcBorders>
              <w:bottom w:val="single" w:sz="8" w:color="000041"/>
            </w:tcBorders>
          </w:tcPr>
          <w:p>
            <w:pPr>
              <w:spacing w:after="0"/>
              <w:rPr>
                <w:sz w:val="23"/>
                <w:szCs w:val="23"/>
                <w:color w:val="auto"/>
              </w:rPr>
            </w:pPr>
          </w:p>
        </w:tc>
        <w:tc>
          <w:tcPr>
            <w:tcW w:w="1520" w:type="dxa"/>
            <w:vAlign w:val="bottom"/>
            <w:tcBorders>
              <w:bottom w:val="single" w:sz="8" w:color="000041"/>
            </w:tcBorders>
          </w:tcPr>
          <w:p>
            <w:pPr>
              <w:jc w:val="right"/>
              <w:ind w:right="970"/>
              <w:spacing w:after="0"/>
              <w:rPr>
                <w:sz w:val="20"/>
                <w:szCs w:val="20"/>
                <w:color w:val="auto"/>
              </w:rPr>
            </w:pPr>
            <w:r>
              <w:rPr>
                <w:rFonts w:ascii="Arial" w:cs="Arial" w:eastAsia="Arial" w:hAnsi="Arial"/>
                <w:sz w:val="18"/>
                <w:szCs w:val="18"/>
                <w:color w:val="auto"/>
              </w:rPr>
              <w:t>2025</w:t>
            </w:r>
          </w:p>
        </w:tc>
      </w:tr>
      <w:tr>
        <w:trPr>
          <w:trHeight w:val="285"/>
        </w:trPr>
        <w:tc>
          <w:tcPr>
            <w:tcW w:w="6740" w:type="dxa"/>
            <w:vAlign w:val="bottom"/>
            <w:tcBorders>
              <w:bottom w:val="single" w:sz="8" w:color="000041"/>
            </w:tcBorders>
          </w:tcPr>
          <w:p>
            <w:pPr>
              <w:spacing w:after="0"/>
              <w:rPr>
                <w:sz w:val="24"/>
                <w:szCs w:val="24"/>
                <w:color w:val="auto"/>
              </w:rPr>
            </w:pPr>
          </w:p>
        </w:tc>
        <w:tc>
          <w:tcPr>
            <w:tcW w:w="20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Amount</w:t>
            </w:r>
          </w:p>
        </w:tc>
        <w:tc>
          <w:tcPr>
            <w:tcW w:w="1520" w:type="dxa"/>
            <w:vAlign w:val="bottom"/>
            <w:tcBorders>
              <w:bottom w:val="single" w:sz="8" w:color="000041"/>
            </w:tcBorders>
          </w:tcPr>
          <w:p>
            <w:pPr>
              <w:jc w:val="right"/>
              <w:ind w:right="250"/>
              <w:spacing w:after="0"/>
              <w:rPr>
                <w:sz w:val="20"/>
                <w:szCs w:val="20"/>
                <w:color w:val="auto"/>
              </w:rPr>
            </w:pPr>
            <w:r>
              <w:rPr>
                <w:rFonts w:ascii="Arial" w:cs="Arial" w:eastAsia="Arial" w:hAnsi="Arial"/>
                <w:sz w:val="18"/>
                <w:szCs w:val="18"/>
                <w:color w:val="auto"/>
              </w:rPr>
              <w:t>Percent</w:t>
            </w:r>
          </w:p>
        </w:tc>
      </w:tr>
      <w:tr>
        <w:trPr>
          <w:trHeight w:val="261"/>
        </w:trPr>
        <w:tc>
          <w:tcPr>
            <w:tcW w:w="6740" w:type="dxa"/>
            <w:vAlign w:val="bottom"/>
          </w:tcPr>
          <w:p>
            <w:pPr>
              <w:spacing w:after="0"/>
              <w:rPr>
                <w:sz w:val="20"/>
                <w:szCs w:val="20"/>
                <w:color w:val="auto"/>
              </w:rPr>
            </w:pPr>
            <w:r>
              <w:rPr>
                <w:rFonts w:ascii="Arial" w:cs="Arial" w:eastAsia="Arial" w:hAnsi="Arial"/>
                <w:sz w:val="18"/>
                <w:szCs w:val="18"/>
                <w:color w:val="auto"/>
              </w:rPr>
              <w:t>Federal statutory tax expense and rate</w:t>
            </w:r>
          </w:p>
        </w:tc>
        <w:tc>
          <w:tcPr>
            <w:tcW w:w="2080" w:type="dxa"/>
            <w:vAlign w:val="bottom"/>
          </w:tcPr>
          <w:p>
            <w:pPr>
              <w:jc w:val="right"/>
              <w:spacing w:after="0"/>
              <w:rPr>
                <w:sz w:val="20"/>
                <w:szCs w:val="20"/>
                <w:color w:val="auto"/>
              </w:rPr>
            </w:pPr>
            <w:r>
              <w:rPr>
                <w:rFonts w:ascii="Arial" w:cs="Arial" w:eastAsia="Arial" w:hAnsi="Arial"/>
                <w:sz w:val="18"/>
                <w:szCs w:val="18"/>
                <w:color w:val="auto"/>
              </w:rPr>
              <w:t>$406.6</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21.0%</w:t>
            </w:r>
          </w:p>
        </w:tc>
      </w:tr>
      <w:tr>
        <w:trPr>
          <w:trHeight w:val="234"/>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 income tax, net of federal income tax effect</w:t>
            </w:r>
            <w:r>
              <w:rPr>
                <w:rFonts w:ascii="Arial" w:cs="Arial" w:eastAsia="Arial" w:hAnsi="Arial"/>
                <w:sz w:val="10"/>
                <w:szCs w:val="10"/>
                <w:color w:val="auto"/>
              </w:rPr>
              <w:t>(1)</w:t>
            </w:r>
          </w:p>
        </w:tc>
        <w:tc>
          <w:tcPr>
            <w:tcW w:w="2080" w:type="dxa"/>
            <w:vAlign w:val="bottom"/>
          </w:tcPr>
          <w:p>
            <w:pPr>
              <w:jc w:val="right"/>
              <w:spacing w:after="0"/>
              <w:rPr>
                <w:sz w:val="20"/>
                <w:szCs w:val="20"/>
                <w:color w:val="auto"/>
              </w:rPr>
            </w:pPr>
            <w:r>
              <w:rPr>
                <w:rFonts w:ascii="Arial" w:cs="Arial" w:eastAsia="Arial" w:hAnsi="Arial"/>
                <w:sz w:val="18"/>
                <w:szCs w:val="18"/>
                <w:color w:val="auto"/>
              </w:rPr>
              <w:t>52.3</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2.7</w:t>
            </w:r>
          </w:p>
        </w:tc>
      </w:tr>
      <w:tr>
        <w:trPr>
          <w:trHeight w:val="234"/>
        </w:trPr>
        <w:tc>
          <w:tcPr>
            <w:tcW w:w="6740" w:type="dxa"/>
            <w:vAlign w:val="bottom"/>
          </w:tcPr>
          <w:p>
            <w:pPr>
              <w:ind w:left="180"/>
              <w:spacing w:after="0"/>
              <w:rPr>
                <w:sz w:val="20"/>
                <w:szCs w:val="20"/>
                <w:color w:val="auto"/>
              </w:rPr>
            </w:pPr>
            <w:r>
              <w:rPr>
                <w:rFonts w:ascii="Arial" w:cs="Arial" w:eastAsia="Arial" w:hAnsi="Arial"/>
                <w:sz w:val="18"/>
                <w:szCs w:val="18"/>
                <w:color w:val="auto"/>
              </w:rPr>
              <w:t>Foreign tax effects:</w:t>
            </w:r>
          </w:p>
        </w:tc>
        <w:tc>
          <w:tcPr>
            <w:tcW w:w="20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8"/>
        </w:trPr>
        <w:tc>
          <w:tcPr>
            <w:tcW w:w="6740" w:type="dxa"/>
            <w:vAlign w:val="bottom"/>
          </w:tcPr>
          <w:p>
            <w:pPr>
              <w:ind w:left="360"/>
              <w:spacing w:after="0"/>
              <w:rPr>
                <w:sz w:val="20"/>
                <w:szCs w:val="20"/>
                <w:color w:val="auto"/>
              </w:rPr>
            </w:pPr>
            <w:r>
              <w:rPr>
                <w:rFonts w:ascii="Arial" w:cs="Arial" w:eastAsia="Arial" w:hAnsi="Arial"/>
                <w:sz w:val="18"/>
                <w:szCs w:val="18"/>
                <w:color w:val="auto"/>
              </w:rPr>
              <w:t>Other foreign jurisdictions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11.6</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0.6</w:t>
            </w:r>
          </w:p>
        </w:tc>
      </w:tr>
      <w:tr>
        <w:trPr>
          <w:trHeight w:val="234"/>
        </w:trPr>
        <w:tc>
          <w:tcPr>
            <w:tcW w:w="6740" w:type="dxa"/>
            <w:vAlign w:val="bottom"/>
          </w:tcPr>
          <w:p>
            <w:pPr>
              <w:ind w:left="180"/>
              <w:spacing w:after="0"/>
              <w:rPr>
                <w:sz w:val="20"/>
                <w:szCs w:val="20"/>
                <w:color w:val="auto"/>
              </w:rPr>
            </w:pPr>
            <w:r>
              <w:rPr>
                <w:rFonts w:ascii="Arial" w:cs="Arial" w:eastAsia="Arial" w:hAnsi="Arial"/>
                <w:sz w:val="18"/>
                <w:szCs w:val="18"/>
                <w:color w:val="auto"/>
              </w:rPr>
              <w:t>Effect of cross-border tax laws:</w:t>
            </w:r>
          </w:p>
        </w:tc>
        <w:tc>
          <w:tcPr>
            <w:tcW w:w="20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4"/>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0.1</w:t>
            </w:r>
          </w:p>
        </w:tc>
      </w:tr>
      <w:tr>
        <w:trPr>
          <w:trHeight w:val="234"/>
        </w:trPr>
        <w:tc>
          <w:tcPr>
            <w:tcW w:w="674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20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4"/>
        </w:trPr>
        <w:tc>
          <w:tcPr>
            <w:tcW w:w="6740" w:type="dxa"/>
            <w:vAlign w:val="bottom"/>
          </w:tcPr>
          <w:p>
            <w:pPr>
              <w:ind w:left="360"/>
              <w:spacing w:after="0"/>
              <w:rPr>
                <w:sz w:val="20"/>
                <w:szCs w:val="20"/>
                <w:color w:val="auto"/>
              </w:rPr>
            </w:pPr>
            <w:r>
              <w:rPr>
                <w:rFonts w:ascii="Arial" w:cs="Arial" w:eastAsia="Arial" w:hAnsi="Arial"/>
                <w:sz w:val="18"/>
                <w:szCs w:val="18"/>
                <w:color w:val="auto"/>
              </w:rPr>
              <w:t>R&amp;D tax credits</w:t>
            </w:r>
          </w:p>
        </w:tc>
        <w:tc>
          <w:tcPr>
            <w:tcW w:w="2080" w:type="dxa"/>
            <w:vAlign w:val="bottom"/>
          </w:tcPr>
          <w:p>
            <w:pPr>
              <w:jc w:val="right"/>
              <w:spacing w:after="0"/>
              <w:rPr>
                <w:sz w:val="20"/>
                <w:szCs w:val="20"/>
                <w:color w:val="auto"/>
              </w:rPr>
            </w:pPr>
            <w:r>
              <w:rPr>
                <w:rFonts w:ascii="Arial" w:cs="Arial" w:eastAsia="Arial" w:hAnsi="Arial"/>
                <w:sz w:val="18"/>
                <w:szCs w:val="18"/>
                <w:color w:val="auto"/>
              </w:rPr>
              <w:t>(32.0)</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(1.7)</w:t>
            </w:r>
          </w:p>
        </w:tc>
      </w:tr>
      <w:tr>
        <w:trPr>
          <w:trHeight w:val="234"/>
        </w:trPr>
        <w:tc>
          <w:tcPr>
            <w:tcW w:w="6740" w:type="dxa"/>
            <w:vAlign w:val="bottom"/>
          </w:tcPr>
          <w:p>
            <w:pPr>
              <w:ind w:left="360"/>
              <w:spacing w:after="0"/>
              <w:rPr>
                <w:sz w:val="20"/>
                <w:szCs w:val="20"/>
                <w:color w:val="auto"/>
              </w:rPr>
            </w:pPr>
            <w:r>
              <w:rPr>
                <w:rFonts w:ascii="Arial" w:cs="Arial" w:eastAsia="Arial" w:hAnsi="Arial"/>
                <w:sz w:val="18"/>
                <w:szCs w:val="18"/>
                <w:color w:val="auto"/>
              </w:rPr>
              <w:t>Other credits</w:t>
            </w:r>
          </w:p>
        </w:tc>
        <w:tc>
          <w:tcPr>
            <w:tcW w:w="2080" w:type="dxa"/>
            <w:vAlign w:val="bottom"/>
          </w:tcPr>
          <w:p>
            <w:pPr>
              <w:jc w:val="right"/>
              <w:spacing w:after="0"/>
              <w:rPr>
                <w:sz w:val="20"/>
                <w:szCs w:val="20"/>
                <w:color w:val="auto"/>
              </w:rPr>
            </w:pPr>
            <w:r>
              <w:rPr>
                <w:rFonts w:ascii="Arial" w:cs="Arial" w:eastAsia="Arial" w:hAnsi="Arial"/>
                <w:sz w:val="18"/>
                <w:szCs w:val="18"/>
                <w:color w:val="auto"/>
              </w:rPr>
              <w:t>(6.9)</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(0.4)</w:t>
            </w:r>
          </w:p>
        </w:tc>
      </w:tr>
      <w:tr>
        <w:trPr>
          <w:trHeight w:val="234"/>
        </w:trPr>
        <w:tc>
          <w:tcPr>
            <w:tcW w:w="6740" w:type="dxa"/>
            <w:vAlign w:val="bottom"/>
          </w:tcPr>
          <w:p>
            <w:pPr>
              <w:ind w:left="180"/>
              <w:spacing w:after="0"/>
              <w:rPr>
                <w:sz w:val="20"/>
                <w:szCs w:val="20"/>
                <w:color w:val="auto"/>
              </w:rPr>
            </w:pPr>
            <w:r>
              <w:rPr>
                <w:rFonts w:ascii="Arial" w:cs="Arial" w:eastAsia="Arial" w:hAnsi="Arial"/>
                <w:sz w:val="18"/>
                <w:szCs w:val="18"/>
                <w:color w:val="auto"/>
              </w:rPr>
              <w:t>Nontaxable or nondeductible items:</w:t>
            </w:r>
          </w:p>
        </w:tc>
        <w:tc>
          <w:tcPr>
            <w:tcW w:w="20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4"/>
        </w:trPr>
        <w:tc>
          <w:tcPr>
            <w:tcW w:w="6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080" w:type="dxa"/>
            <w:vAlign w:val="bottom"/>
          </w:tcPr>
          <w:p>
            <w:pPr>
              <w:jc w:val="right"/>
              <w:spacing w:after="0"/>
              <w:rPr>
                <w:sz w:val="20"/>
                <w:szCs w:val="20"/>
                <w:color w:val="auto"/>
              </w:rPr>
            </w:pPr>
            <w:r>
              <w:rPr>
                <w:rFonts w:ascii="Arial" w:cs="Arial" w:eastAsia="Arial" w:hAnsi="Arial"/>
                <w:sz w:val="18"/>
                <w:szCs w:val="18"/>
                <w:color w:val="auto"/>
              </w:rPr>
              <w:t>(14.8)</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(0.8)</w:t>
            </w:r>
          </w:p>
        </w:tc>
      </w:tr>
      <w:tr>
        <w:trPr>
          <w:trHeight w:val="234"/>
        </w:trPr>
        <w:tc>
          <w:tcPr>
            <w:tcW w:w="6740" w:type="dxa"/>
            <w:vAlign w:val="bottom"/>
          </w:tcPr>
          <w:p>
            <w:pPr>
              <w:ind w:left="360"/>
              <w:spacing w:after="0"/>
              <w:rPr>
                <w:sz w:val="20"/>
                <w:szCs w:val="20"/>
                <w:color w:val="auto"/>
              </w:rPr>
            </w:pPr>
            <w:r>
              <w:rPr>
                <w:rFonts w:ascii="Arial" w:cs="Arial" w:eastAsia="Arial" w:hAnsi="Arial"/>
                <w:sz w:val="18"/>
                <w:szCs w:val="18"/>
                <w:color w:val="auto"/>
              </w:rPr>
              <w:t>Legal entity restructuring</w:t>
            </w:r>
          </w:p>
        </w:tc>
        <w:tc>
          <w:tcPr>
            <w:tcW w:w="2080" w:type="dxa"/>
            <w:vAlign w:val="bottom"/>
          </w:tcPr>
          <w:p>
            <w:pPr>
              <w:jc w:val="right"/>
              <w:spacing w:after="0"/>
              <w:rPr>
                <w:sz w:val="20"/>
                <w:szCs w:val="20"/>
                <w:color w:val="auto"/>
              </w:rPr>
            </w:pPr>
            <w:r>
              <w:rPr>
                <w:rFonts w:ascii="Arial" w:cs="Arial" w:eastAsia="Arial" w:hAnsi="Arial"/>
                <w:sz w:val="18"/>
                <w:szCs w:val="18"/>
                <w:color w:val="auto"/>
              </w:rPr>
              <w:t>(25.8)</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(1.3)</w:t>
            </w:r>
          </w:p>
        </w:tc>
      </w:tr>
      <w:tr>
        <w:trPr>
          <w:trHeight w:val="234"/>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2080" w:type="dxa"/>
            <w:vAlign w:val="bottom"/>
          </w:tcPr>
          <w:p>
            <w:pPr>
              <w:jc w:val="right"/>
              <w:spacing w:after="0"/>
              <w:rPr>
                <w:sz w:val="20"/>
                <w:szCs w:val="20"/>
                <w:color w:val="auto"/>
              </w:rPr>
            </w:pPr>
            <w:r>
              <w:rPr>
                <w:rFonts w:ascii="Arial" w:cs="Arial" w:eastAsia="Arial" w:hAnsi="Arial"/>
                <w:sz w:val="18"/>
                <w:szCs w:val="18"/>
                <w:color w:val="auto"/>
              </w:rPr>
              <w:t>10.4</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0.6</w:t>
            </w:r>
          </w:p>
        </w:tc>
      </w:tr>
      <w:tr>
        <w:trPr>
          <w:trHeight w:val="268"/>
        </w:trPr>
        <w:tc>
          <w:tcPr>
            <w:tcW w:w="6740" w:type="dxa"/>
            <w:vAlign w:val="bottom"/>
            <w:tcBorders>
              <w:bottom w:val="single" w:sz="8" w:color="000041"/>
            </w:tcBorders>
          </w:tcPr>
          <w:p>
            <w:pPr>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 xml:space="preserve">  :ȃƃȶǼǉɰ</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ʍȶɨǉƺɁǼȶȈ˃ǉǁ</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ƹǉȶǉˎɽɰ</w:t>
            </w:r>
          </w:p>
        </w:tc>
        <w:tc>
          <w:tcPr>
            <w:tcW w:w="20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(3.6)</w:t>
            </w:r>
          </w:p>
        </w:tc>
        <w:tc>
          <w:tcPr>
            <w:tcW w:w="152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(0.2)</w:t>
            </w:r>
          </w:p>
        </w:tc>
      </w:tr>
      <w:tr>
        <w:trPr>
          <w:trHeight w:val="295"/>
        </w:trPr>
        <w:tc>
          <w:tcPr>
            <w:tcW w:w="67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Income tax expense and effective tax rate</w:t>
            </w:r>
          </w:p>
        </w:tc>
        <w:tc>
          <w:tcPr>
            <w:tcW w:w="20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јўўӝѝ</w:t>
            </w:r>
          </w:p>
        </w:tc>
        <w:tc>
          <w:tcPr>
            <w:tcW w:w="15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20.6%</w:t>
            </w:r>
          </w:p>
        </w:tc>
      </w:tr>
    </w:tbl>
    <w:p>
      <w:pPr>
        <w:spacing w:after="0" w:line="36" w:lineRule="exact"/>
        <w:rPr>
          <w:sz w:val="20"/>
          <w:szCs w:val="20"/>
          <w:color w:val="auto"/>
        </w:rPr>
      </w:pPr>
    </w:p>
    <w:p>
      <w:pPr>
        <w:ind w:left="120" w:right="20" w:hanging="120"/>
        <w:spacing w:after="0" w:line="285" w:lineRule="auto"/>
        <w:tabs>
          <w:tab w:leader="none" w:pos="120" w:val="left"/>
        </w:tabs>
        <w:numPr>
          <w:ilvl w:val="0"/>
          <w:numId w:val="18"/>
        </w:numPr>
        <w:rPr>
          <w:rFonts w:ascii="Arial" w:cs="Arial" w:eastAsia="Arial" w:hAnsi="Arial"/>
          <w:sz w:val="8"/>
          <w:szCs w:val="8"/>
          <w:color w:val="auto"/>
        </w:rPr>
      </w:pPr>
      <w:r>
        <w:rPr>
          <w:rFonts w:ascii="Arial" w:cs="Arial" w:eastAsia="Arial" w:hAnsi="Arial"/>
          <w:sz w:val="14"/>
          <w:szCs w:val="14"/>
          <w:color w:val="auto"/>
        </w:rPr>
        <w:t>Taxes in California, Illinois, Massachusetts, Minnesota, New York, Pennsylvania, and Tennessee made up the majority of the tax effect in this category for 2025.</w:t>
      </w:r>
    </w:p>
    <w:p>
      <w:pPr>
        <w:spacing w:after="0" w:line="274" w:lineRule="exact"/>
        <w:rPr>
          <w:sz w:val="20"/>
          <w:szCs w:val="20"/>
          <w:color w:val="auto"/>
        </w:rPr>
      </w:pPr>
    </w:p>
    <w:p>
      <w:pPr>
        <w:jc w:val="both"/>
        <w:ind w:right="20"/>
        <w:spacing w:after="0" w:line="319" w:lineRule="auto"/>
        <w:rPr>
          <w:sz w:val="20"/>
          <w:szCs w:val="20"/>
          <w:color w:val="auto"/>
        </w:rPr>
      </w:pPr>
      <w:r>
        <w:rPr>
          <w:rFonts w:ascii="Arial" w:cs="Arial" w:eastAsia="Arial" w:hAnsi="Arial"/>
          <w:sz w:val="18"/>
          <w:szCs w:val="18"/>
          <w:color w:val="auto"/>
        </w:rPr>
        <w:t>Reconciliations between the U.S. federal statutory income tax rate and the effective income tax rate for the years ended December 31, 2024 and 2023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7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3540" w:type="dxa"/>
            <w:vAlign w:val="bottom"/>
            <w:tcBorders>
              <w:bottom w:val="single" w:sz="8" w:color="000041"/>
            </w:tcBorders>
          </w:tcPr>
          <w:p>
            <w:pPr>
              <w:jc w:val="right"/>
              <w:ind w:right="370"/>
              <w:spacing w:after="0"/>
              <w:rPr>
                <w:sz w:val="20"/>
                <w:szCs w:val="20"/>
                <w:color w:val="auto"/>
              </w:rPr>
            </w:pPr>
            <w:r>
              <w:rPr>
                <w:rFonts w:ascii="Arial" w:cs="Arial" w:eastAsia="Arial" w:hAnsi="Arial"/>
                <w:sz w:val="18"/>
                <w:szCs w:val="18"/>
                <w:color w:val="auto"/>
              </w:rPr>
              <w:t>2024</w:t>
            </w:r>
          </w:p>
        </w:tc>
        <w:tc>
          <w:tcPr>
            <w:tcW w:w="1100" w:type="dxa"/>
            <w:vAlign w:val="bottom"/>
            <w:tcBorders>
              <w:bottom w:val="single" w:sz="8" w:color="000041"/>
            </w:tcBorders>
          </w:tcPr>
          <w:p>
            <w:pPr>
              <w:jc w:val="right"/>
              <w:ind w:right="250"/>
              <w:spacing w:after="0"/>
              <w:rPr>
                <w:sz w:val="20"/>
                <w:szCs w:val="20"/>
                <w:color w:val="auto"/>
              </w:rPr>
            </w:pPr>
            <w:r>
              <w:rPr>
                <w:rFonts w:ascii="Arial" w:cs="Arial" w:eastAsia="Arial" w:hAnsi="Arial"/>
                <w:sz w:val="18"/>
                <w:szCs w:val="18"/>
                <w:color w:val="auto"/>
              </w:rPr>
              <w:t>2023</w:t>
            </w: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Federal statutory tax rate</w:t>
            </w:r>
          </w:p>
        </w:tc>
        <w:tc>
          <w:tcPr>
            <w:tcW w:w="3540" w:type="dxa"/>
            <w:vAlign w:val="bottom"/>
          </w:tcPr>
          <w:p>
            <w:pPr>
              <w:jc w:val="right"/>
              <w:ind w:right="210"/>
              <w:spacing w:after="0"/>
              <w:rPr>
                <w:sz w:val="20"/>
                <w:szCs w:val="20"/>
                <w:color w:val="auto"/>
              </w:rPr>
            </w:pPr>
            <w:r>
              <w:rPr>
                <w:rFonts w:ascii="Arial" w:cs="Arial" w:eastAsia="Arial" w:hAnsi="Arial"/>
                <w:sz w:val="18"/>
                <w:szCs w:val="18"/>
                <w:color w:val="auto"/>
              </w:rPr>
              <w:t>21.0%</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21.0%</w:t>
            </w:r>
          </w:p>
        </w:tc>
      </w:tr>
      <w:tr>
        <w:trPr>
          <w:trHeight w:val="220"/>
        </w:trPr>
        <w:tc>
          <w:tcPr>
            <w:tcW w:w="5700" w:type="dxa"/>
            <w:vAlign w:val="bottom"/>
          </w:tcPr>
          <w:p>
            <w:pPr>
              <w:ind w:left="180"/>
              <w:spacing w:after="0"/>
              <w:rPr>
                <w:sz w:val="20"/>
                <w:szCs w:val="20"/>
                <w:color w:val="auto"/>
              </w:rPr>
            </w:pPr>
            <w:r>
              <w:rPr>
                <w:rFonts w:ascii="Arial" w:cs="Arial" w:eastAsia="Arial" w:hAnsi="Arial"/>
                <w:sz w:val="18"/>
                <w:szCs w:val="18"/>
                <w:color w:val="auto"/>
              </w:rPr>
              <w:t>Foreign operations, net</w:t>
            </w:r>
          </w:p>
        </w:tc>
        <w:tc>
          <w:tcPr>
            <w:tcW w:w="3540" w:type="dxa"/>
            <w:vAlign w:val="bottom"/>
          </w:tcPr>
          <w:p>
            <w:pPr>
              <w:jc w:val="right"/>
              <w:ind w:right="370"/>
              <w:spacing w:after="0"/>
              <w:rPr>
                <w:sz w:val="20"/>
                <w:szCs w:val="20"/>
                <w:color w:val="auto"/>
              </w:rPr>
            </w:pPr>
            <w:r>
              <w:rPr>
                <w:rFonts w:ascii="Arial" w:cs="Arial" w:eastAsia="Arial" w:hAnsi="Arial"/>
                <w:sz w:val="18"/>
                <w:szCs w:val="18"/>
                <w:color w:val="auto"/>
              </w:rPr>
              <w:t>0.6</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0.5</w:t>
            </w:r>
          </w:p>
        </w:tc>
      </w:tr>
      <w:tr>
        <w:trPr>
          <w:trHeight w:val="220"/>
        </w:trPr>
        <w:tc>
          <w:tcPr>
            <w:tcW w:w="5700" w:type="dxa"/>
            <w:vAlign w:val="bottom"/>
          </w:tcPr>
          <w:p>
            <w:pPr>
              <w:ind w:left="180"/>
              <w:spacing w:after="0"/>
              <w:rPr>
                <w:sz w:val="20"/>
                <w:szCs w:val="20"/>
                <w:color w:val="auto"/>
              </w:rPr>
            </w:pPr>
            <w:r>
              <w:rPr>
                <w:rFonts w:ascii="Arial" w:cs="Arial" w:eastAsia="Arial" w:hAnsi="Arial"/>
                <w:sz w:val="18"/>
                <w:szCs w:val="18"/>
                <w:color w:val="auto"/>
              </w:rPr>
              <w:t>R&amp;D tax credits</w:t>
            </w:r>
          </w:p>
        </w:tc>
        <w:tc>
          <w:tcPr>
            <w:tcW w:w="354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(1.9)</w:t>
            </w:r>
          </w:p>
        </w:tc>
      </w:tr>
      <w:tr>
        <w:trPr>
          <w:trHeight w:val="220"/>
        </w:trPr>
        <w:tc>
          <w:tcPr>
            <w:tcW w:w="5700" w:type="dxa"/>
            <w:vAlign w:val="bottom"/>
          </w:tcPr>
          <w:p>
            <w:pPr>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 xml:space="preserve">  Čɽƃɽǉ</w:t>
            </w:r>
            <w:r>
              <w:rPr>
                <w:rFonts w:ascii="PMingLiU" w:cs="PMingLiU" w:eastAsia="PMingLiU" w:hAnsi="PMingLiU"/>
                <w:sz w:val="18"/>
                <w:szCs w:val="18"/>
                <w:color w:val="auto"/>
              </w:rPr>
              <w:t/>
            </w:r>
            <w:r>
              <w:rPr>
                <w:rFonts w:ascii="Arial" w:cs="Arial" w:eastAsia="Arial" w:hAnsi="Arial"/>
                <w:sz w:val="18"/>
                <w:szCs w:val="18"/>
                <w:color w:val="auto"/>
              </w:rPr>
              <w:t>ɽƃʯǉɰ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ǹǉǁǉɨƃȢ</w:t>
            </w:r>
            <w:r>
              <w:rPr>
                <w:rFonts w:ascii="PMingLiU" w:cs="PMingLiU" w:eastAsia="PMingLiU" w:hAnsi="PMingLiU"/>
                <w:sz w:val="18"/>
                <w:szCs w:val="18"/>
                <w:color w:val="auto"/>
              </w:rPr>
              <w:t/>
            </w:r>
            <w:r>
              <w:rPr>
                <w:rFonts w:ascii="Arial" w:cs="Arial" w:eastAsia="Arial" w:hAnsi="Arial"/>
                <w:sz w:val="18"/>
                <w:szCs w:val="18"/>
                <w:color w:val="auto"/>
              </w:rPr>
              <w:t>ƹǉȶǉˎɽ</w:t>
            </w:r>
          </w:p>
        </w:tc>
        <w:tc>
          <w:tcPr>
            <w:tcW w:w="3540" w:type="dxa"/>
            <w:vAlign w:val="bottom"/>
          </w:tcPr>
          <w:p>
            <w:pPr>
              <w:jc w:val="right"/>
              <w:ind w:right="370"/>
              <w:spacing w:after="0"/>
              <w:rPr>
                <w:sz w:val="20"/>
                <w:szCs w:val="20"/>
                <w:color w:val="auto"/>
              </w:rPr>
            </w:pPr>
            <w:r>
              <w:rPr>
                <w:rFonts w:ascii="Arial" w:cs="Arial" w:eastAsia="Arial" w:hAnsi="Arial"/>
                <w:sz w:val="18"/>
                <w:szCs w:val="18"/>
                <w:color w:val="auto"/>
              </w:rPr>
              <w:t>3.6</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3.5</w:t>
            </w:r>
          </w:p>
        </w:tc>
      </w:tr>
      <w:tr>
        <w:trPr>
          <w:trHeight w:val="220"/>
        </w:trPr>
        <w:tc>
          <w:tcPr>
            <w:tcW w:w="57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54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(1.5)</w:t>
            </w:r>
          </w:p>
        </w:tc>
      </w:tr>
      <w:tr>
        <w:trPr>
          <w:trHeight w:val="220"/>
        </w:trPr>
        <w:tc>
          <w:tcPr>
            <w:tcW w:w="5700" w:type="dxa"/>
            <w:vAlign w:val="bottom"/>
          </w:tcPr>
          <w:p>
            <w:pPr>
              <w:ind w:left="180"/>
              <w:spacing w:after="0"/>
              <w:rPr>
                <w:sz w:val="20"/>
                <w:szCs w:val="20"/>
                <w:color w:val="auto"/>
              </w:rPr>
            </w:pPr>
            <w:r>
              <w:rPr>
                <w:rFonts w:ascii="Arial" w:cs="Arial" w:eastAsia="Arial" w:hAnsi="Arial"/>
                <w:sz w:val="18"/>
                <w:szCs w:val="18"/>
                <w:color w:val="auto"/>
              </w:rPr>
              <w:t>Changes in valuation allowances</w:t>
            </w:r>
          </w:p>
        </w:tc>
        <w:tc>
          <w:tcPr>
            <w:tcW w:w="354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(0.4)</w:t>
            </w:r>
          </w:p>
        </w:tc>
      </w:tr>
      <w:tr>
        <w:trPr>
          <w:trHeight w:val="268"/>
        </w:trPr>
        <w:tc>
          <w:tcPr>
            <w:tcW w:w="570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Other, net</w:t>
            </w:r>
          </w:p>
        </w:tc>
        <w:tc>
          <w:tcPr>
            <w:tcW w:w="3540" w:type="dxa"/>
            <w:vAlign w:val="bottom"/>
            <w:tcBorders>
              <w:bottom w:val="single" w:sz="8" w:color="000041"/>
            </w:tcBorders>
          </w:tcPr>
          <w:p>
            <w:pPr>
              <w:jc w:val="right"/>
              <w:ind w:right="390"/>
              <w:spacing w:after="0"/>
              <w:rPr>
                <w:sz w:val="20"/>
                <w:szCs w:val="20"/>
                <w:color w:val="auto"/>
              </w:rPr>
            </w:pPr>
            <w:r>
              <w:rPr>
                <w:rFonts w:ascii="Arial" w:cs="Arial" w:eastAsia="Arial" w:hAnsi="Arial"/>
                <w:sz w:val="18"/>
                <w:szCs w:val="18"/>
                <w:color w:val="auto"/>
              </w:rPr>
              <w:t>0.4</w:t>
            </w:r>
          </w:p>
        </w:tc>
        <w:tc>
          <w:tcPr>
            <w:tcW w:w="1100" w:type="dxa"/>
            <w:vAlign w:val="bottom"/>
            <w:tcBorders>
              <w:bottom w:val="single" w:sz="8" w:color="000041"/>
            </w:tcBorders>
          </w:tcPr>
          <w:p>
            <w:pPr>
              <w:jc w:val="right"/>
              <w:ind w:right="270"/>
              <w:spacing w:after="0"/>
              <w:rPr>
                <w:sz w:val="20"/>
                <w:szCs w:val="20"/>
                <w:color w:val="auto"/>
              </w:rPr>
            </w:pPr>
            <w:r>
              <w:rPr>
                <w:rFonts w:ascii="Arial" w:cs="Arial" w:eastAsia="Arial" w:hAnsi="Arial"/>
                <w:sz w:val="18"/>
                <w:szCs w:val="18"/>
                <w:color w:val="auto"/>
              </w:rPr>
              <w:t>0.3</w:t>
            </w:r>
          </w:p>
        </w:tc>
      </w:tr>
      <w:tr>
        <w:trPr>
          <w:trHeight w:val="286"/>
        </w:trPr>
        <w:tc>
          <w:tcPr>
            <w:tcW w:w="57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Effective tax rate</w:t>
            </w:r>
          </w:p>
        </w:tc>
        <w:tc>
          <w:tcPr>
            <w:tcW w:w="3540" w:type="dxa"/>
            <w:vAlign w:val="bottom"/>
            <w:tcBorders>
              <w:bottom w:val="single" w:sz="8" w:color="000041"/>
            </w:tcBorders>
          </w:tcPr>
          <w:p>
            <w:pPr>
              <w:jc w:val="right"/>
              <w:ind w:right="210"/>
              <w:spacing w:after="0"/>
              <w:rPr>
                <w:sz w:val="20"/>
                <w:szCs w:val="20"/>
                <w:color w:val="auto"/>
              </w:rPr>
            </w:pPr>
            <w:r>
              <w:rPr>
                <w:rFonts w:ascii="Arial" w:cs="Arial" w:eastAsia="Arial" w:hAnsi="Arial"/>
                <w:sz w:val="18"/>
                <w:szCs w:val="18"/>
                <w:color w:val="auto"/>
              </w:rPr>
              <w:t>21.2%</w:t>
            </w:r>
          </w:p>
        </w:tc>
        <w:tc>
          <w:tcPr>
            <w:tcW w:w="110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21.5%</w:t>
            </w:r>
          </w:p>
        </w:tc>
      </w:tr>
    </w:tbl>
    <w:p>
      <w:pPr>
        <w:spacing w:after="0" w:line="151" w:lineRule="exact"/>
        <w:rPr>
          <w:sz w:val="20"/>
          <w:szCs w:val="20"/>
          <w:color w:val="auto"/>
        </w:rPr>
      </w:pPr>
    </w:p>
    <w:p>
      <w:pPr>
        <w:jc w:val="both"/>
        <w:ind w:right="20"/>
        <w:spacing w:after="0" w:line="234" w:lineRule="exact"/>
        <w:rPr>
          <w:sz w:val="20"/>
          <w:szCs w:val="20"/>
          <w:color w:val="auto"/>
        </w:rPr>
      </w:pPr>
      <w:r>
        <w:rPr>
          <w:rFonts w:ascii="Arial" w:cs="Arial" w:eastAsia="Arial" w:hAnsi="Arial"/>
          <w:sz w:val="18"/>
          <w:szCs w:val="18"/>
          <w:color w:val="auto"/>
        </w:rPr>
        <w:t xml:space="preserve">The amount of cash income taxes paid (net of refunds received), disaggregated by individual jurisdiction in which income taxes paid (net of refunds received) was greater than or equal to 5% of total income taxes paid (net of refunds </w:t>
      </w:r>
      <w:r>
        <w:rPr>
          <w:rFonts w:ascii="Arial" w:cs="Arial" w:eastAsia="Arial" w:hAnsi="Arial"/>
          <w:sz w:val="18"/>
          <w:szCs w:val="18"/>
          <w:color w:val="auto"/>
        </w:rPr>
        <w:t>ɨǉƺǉȈʤǉǁ</w:t>
      </w:r>
      <w:r>
        <w:rPr>
          <w:rFonts w:ascii="Arial" w:cs="Arial" w:eastAsia="Arial" w:hAnsi="Arial"/>
          <w:sz w:val="18"/>
          <w:szCs w:val="18"/>
          <w:color w:val="auto"/>
        </w:rPr>
        <w:t>Ӱӗ</w:t>
      </w:r>
      <w:r>
        <w:rPr>
          <w:rFonts w:ascii="PMingLiU" w:cs="PMingLiU" w:eastAsia="PMingLiU" w:hAnsi="PMingLiU"/>
          <w:sz w:val="18"/>
          <w:szCs w:val="18"/>
          <w:color w:val="auto"/>
        </w:rPr>
        <w:t/>
      </w:r>
      <w:r>
        <w:rPr>
          <w:rFonts w:ascii="Arial" w:cs="Arial" w:eastAsia="Arial" w:hAnsi="Arial"/>
          <w:sz w:val="18"/>
          <w:szCs w:val="18"/>
          <w:color w:val="auto"/>
        </w:rPr>
        <w:t>ǁʍɨȈȶǼ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ǹɁȢȢɁʥɰ</w:t>
      </w:r>
      <w:r>
        <w:rPr>
          <w:rFonts w:ascii="Arial" w:cs="Arial" w:eastAsia="Arial" w:hAnsi="Arial"/>
          <w:sz w:val="18"/>
          <w:szCs w:val="18"/>
          <w:color w:val="auto"/>
        </w:rPr>
        <w:t>Ӗ</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0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426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2025</w:t>
            </w:r>
          </w:p>
        </w:tc>
      </w:tr>
      <w:tr>
        <w:trPr>
          <w:trHeight w:val="237"/>
        </w:trPr>
        <w:tc>
          <w:tcPr>
            <w:tcW w:w="6060" w:type="dxa"/>
            <w:vAlign w:val="bottom"/>
          </w:tcPr>
          <w:p>
            <w:pPr>
              <w:spacing w:after="0"/>
              <w:rPr>
                <w:sz w:val="20"/>
                <w:szCs w:val="20"/>
                <w:color w:val="auto"/>
              </w:rPr>
            </w:pPr>
            <w:r>
              <w:rPr>
                <w:rFonts w:ascii="Arial" w:cs="Arial" w:eastAsia="Arial" w:hAnsi="Arial"/>
                <w:sz w:val="18"/>
                <w:szCs w:val="18"/>
                <w:color w:val="auto"/>
              </w:rPr>
              <w:t>Federal</w:t>
            </w:r>
            <w:r>
              <w:rPr>
                <w:rFonts w:ascii="Arial" w:cs="Arial" w:eastAsia="Arial" w:hAnsi="Arial"/>
                <w:sz w:val="10"/>
                <w:szCs w:val="10"/>
                <w:color w:val="auto"/>
              </w:rPr>
              <w:t>(1)</w:t>
            </w:r>
          </w:p>
        </w:tc>
        <w:tc>
          <w:tcPr>
            <w:tcW w:w="4260" w:type="dxa"/>
            <w:vAlign w:val="bottom"/>
          </w:tcPr>
          <w:p>
            <w:pPr>
              <w:jc w:val="right"/>
              <w:ind w:right="90"/>
              <w:spacing w:after="0"/>
              <w:rPr>
                <w:sz w:val="20"/>
                <w:szCs w:val="20"/>
                <w:color w:val="auto"/>
              </w:rPr>
            </w:pPr>
            <w:r>
              <w:rPr>
                <w:rFonts w:ascii="Arial" w:cs="Arial" w:eastAsia="Arial" w:hAnsi="Arial"/>
                <w:sz w:val="18"/>
                <w:szCs w:val="18"/>
                <w:color w:val="auto"/>
              </w:rPr>
              <w:t>$238.1</w:t>
            </w: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State</w:t>
            </w:r>
          </w:p>
        </w:tc>
        <w:tc>
          <w:tcPr>
            <w:tcW w:w="4260" w:type="dxa"/>
            <w:vAlign w:val="bottom"/>
          </w:tcPr>
          <w:p>
            <w:pPr>
              <w:jc w:val="right"/>
              <w:ind w:right="90"/>
              <w:spacing w:after="0"/>
              <w:rPr>
                <w:sz w:val="20"/>
                <w:szCs w:val="20"/>
                <w:color w:val="auto"/>
              </w:rPr>
            </w:pPr>
            <w:r>
              <w:rPr>
                <w:rFonts w:ascii="Arial" w:cs="Arial" w:eastAsia="Arial" w:hAnsi="Arial"/>
                <w:sz w:val="18"/>
                <w:szCs w:val="18"/>
                <w:color w:val="auto"/>
              </w:rPr>
              <w:t>92.4</w:t>
            </w: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Foreign:</w:t>
            </w:r>
          </w:p>
        </w:tc>
        <w:tc>
          <w:tcPr>
            <w:tcW w:w="4260" w:type="dxa"/>
            <w:vAlign w:val="bottom"/>
          </w:tcPr>
          <w:p>
            <w:pPr>
              <w:spacing w:after="0"/>
              <w:rPr>
                <w:sz w:val="19"/>
                <w:szCs w:val="19"/>
                <w:color w:val="auto"/>
              </w:rPr>
            </w:pPr>
          </w:p>
        </w:tc>
      </w:tr>
      <w:tr>
        <w:trPr>
          <w:trHeight w:val="220"/>
        </w:trPr>
        <w:tc>
          <w:tcPr>
            <w:tcW w:w="6060" w:type="dxa"/>
            <w:vAlign w:val="bottom"/>
          </w:tcPr>
          <w:p>
            <w:pPr>
              <w:ind w:left="180"/>
              <w:spacing w:after="0"/>
              <w:rPr>
                <w:sz w:val="20"/>
                <w:szCs w:val="20"/>
                <w:color w:val="auto"/>
              </w:rPr>
            </w:pPr>
            <w:r>
              <w:rPr>
                <w:rFonts w:ascii="Arial" w:cs="Arial" w:eastAsia="Arial" w:hAnsi="Arial"/>
                <w:sz w:val="18"/>
                <w:szCs w:val="18"/>
                <w:color w:val="auto"/>
              </w:rPr>
              <w:t>Canada</w:t>
            </w:r>
          </w:p>
        </w:tc>
        <w:tc>
          <w:tcPr>
            <w:tcW w:w="4260" w:type="dxa"/>
            <w:vAlign w:val="bottom"/>
          </w:tcPr>
          <w:p>
            <w:pPr>
              <w:jc w:val="right"/>
              <w:ind w:right="90"/>
              <w:spacing w:after="0"/>
              <w:rPr>
                <w:sz w:val="20"/>
                <w:szCs w:val="20"/>
                <w:color w:val="auto"/>
              </w:rPr>
            </w:pPr>
            <w:r>
              <w:rPr>
                <w:rFonts w:ascii="Arial" w:cs="Arial" w:eastAsia="Arial" w:hAnsi="Arial"/>
                <w:sz w:val="18"/>
                <w:szCs w:val="18"/>
                <w:color w:val="auto"/>
              </w:rPr>
              <w:t>39.3</w:t>
            </w:r>
          </w:p>
        </w:tc>
      </w:tr>
      <w:tr>
        <w:trPr>
          <w:trHeight w:val="268"/>
        </w:trPr>
        <w:tc>
          <w:tcPr>
            <w:tcW w:w="60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44.4</w:t>
            </w:r>
          </w:p>
        </w:tc>
      </w:tr>
      <w:tr>
        <w:trPr>
          <w:trHeight w:val="286"/>
        </w:trPr>
        <w:tc>
          <w:tcPr>
            <w:tcW w:w="60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Total cash income taxes paid</w:t>
            </w:r>
          </w:p>
        </w:tc>
        <w:tc>
          <w:tcPr>
            <w:tcW w:w="426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љіљӝї</w:t>
            </w:r>
          </w:p>
        </w:tc>
      </w:tr>
    </w:tbl>
    <w:p>
      <w:pPr>
        <w:spacing w:after="0" w:line="46" w:lineRule="exact"/>
        <w:rPr>
          <w:sz w:val="20"/>
          <w:szCs w:val="20"/>
          <w:color w:val="auto"/>
        </w:rPr>
      </w:pPr>
    </w:p>
    <w:p>
      <w:pPr>
        <w:ind w:left="120" w:hanging="120"/>
        <w:spacing w:after="0"/>
        <w:tabs>
          <w:tab w:leader="none" w:pos="120" w:val="left"/>
        </w:tabs>
        <w:numPr>
          <w:ilvl w:val="0"/>
          <w:numId w:val="19"/>
        </w:numPr>
        <w:rPr>
          <w:rFonts w:ascii="Arial" w:cs="Arial" w:eastAsia="Arial" w:hAnsi="Arial"/>
          <w:sz w:val="8"/>
          <w:szCs w:val="8"/>
          <w:color w:val="auto"/>
        </w:rPr>
      </w:pPr>
      <w:r>
        <w:rPr>
          <w:rFonts w:ascii="Arial" w:cs="Arial" w:eastAsia="Arial" w:hAnsi="Arial"/>
          <w:sz w:val="14"/>
          <w:szCs w:val="14"/>
          <w:color w:val="auto"/>
        </w:rPr>
        <w:t>Includes $45.7 of cash paid for transferable tax credits purchased during the year ended December 31, 2025.</w:t>
      </w:r>
    </w:p>
    <w:p>
      <w:pPr>
        <w:spacing w:after="0" w:line="12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color w:val="auto"/>
        </w:rPr>
        <w:t>Total cash income taxes paid (net of refunds received) during the years ended December 31, 2024 and 2023 was $483.8 and $455.9, respectively.</w:t>
      </w:r>
    </w:p>
    <w:p>
      <w:pPr>
        <w:spacing w:after="0" w:line="1" w:lineRule="exact"/>
        <w:rPr>
          <w:sz w:val="20"/>
          <w:szCs w:val="20"/>
          <w:color w:val="auto"/>
        </w:rPr>
      </w:pPr>
    </w:p>
    <w:p>
      <w:pPr>
        <w:ind w:right="20"/>
        <w:spacing w:after="0" w:line="319" w:lineRule="auto"/>
        <w:rPr>
          <w:sz w:val="20"/>
          <w:szCs w:val="20"/>
          <w:color w:val="auto"/>
        </w:rPr>
      </w:pPr>
      <w:r>
        <w:rPr>
          <w:rFonts w:ascii="Arial" w:cs="Arial" w:eastAsia="Arial" w:hAnsi="Arial"/>
          <w:sz w:val="18"/>
          <w:szCs w:val="18"/>
          <w:color w:val="auto"/>
        </w:rPr>
        <w:t>The deferred income tax balance sheet accounts arise from temporary differences between the amounts of assets and liabilities recognized for financial reporting and tax purposes.</w:t>
      </w:r>
    </w:p>
    <w:p>
      <w:pPr>
        <w:sectPr>
          <w:pgSz w:w="12240" w:h="15840" w:orient="portrait"/>
          <w:cols w:equalWidth="0" w:num="1">
            <w:col w:w="10340"/>
          </w:cols>
          <w:pgMar w:left="960" w:top="935" w:right="94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40"/>
          </w:cols>
          <w:pgMar w:left="960" w:top="935" w:right="940" w:bottom="9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62"/>
        </w:trPr>
        <w:tc>
          <w:tcPr>
            <w:tcW w:w="7760" w:type="dxa"/>
            <w:vAlign w:val="bottom"/>
          </w:tcPr>
          <w:p>
            <w:pPr>
              <w:spacing w:after="0"/>
              <w:rPr>
                <w:sz w:val="20"/>
                <w:szCs w:val="20"/>
                <w:color w:val="auto"/>
              </w:rPr>
            </w:pPr>
            <w:r>
              <w:rPr>
                <w:rFonts w:ascii="Arial" w:cs="Arial" w:eastAsia="Arial" w:hAnsi="Arial"/>
                <w:sz w:val="18"/>
                <w:szCs w:val="18"/>
                <w:color w:val="auto"/>
              </w:rPr>
              <w:t>Components of deferred tax assets and liabilities at December 31 were as follows:</w:t>
            </w: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77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720" w:type="dxa"/>
            <w:vAlign w:val="bottom"/>
            <w:tcBorders>
              <w:bottom w:val="single" w:sz="8" w:color="000041"/>
            </w:tcBorders>
          </w:tcPr>
          <w:p>
            <w:pPr>
              <w:spacing w:after="0"/>
              <w:rPr>
                <w:sz w:val="24"/>
                <w:szCs w:val="24"/>
                <w:color w:val="auto"/>
              </w:rPr>
            </w:pPr>
          </w:p>
        </w:tc>
        <w:tc>
          <w:tcPr>
            <w:tcW w:w="80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000041"/>
            </w:tcBorders>
          </w:tcPr>
          <w:p>
            <w:pPr>
              <w:spacing w:after="0"/>
              <w:rPr>
                <w:sz w:val="24"/>
                <w:szCs w:val="24"/>
                <w:color w:val="auto"/>
              </w:rPr>
            </w:pPr>
          </w:p>
        </w:tc>
        <w:tc>
          <w:tcPr>
            <w:tcW w:w="76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192"/>
        </w:trPr>
        <w:tc>
          <w:tcPr>
            <w:tcW w:w="7760" w:type="dxa"/>
            <w:vAlign w:val="bottom"/>
          </w:tcPr>
          <w:p>
            <w:pPr>
              <w:spacing w:after="0" w:line="192" w:lineRule="exact"/>
              <w:rPr>
                <w:sz w:val="20"/>
                <w:szCs w:val="20"/>
                <w:color w:val="auto"/>
              </w:rPr>
            </w:pPr>
            <w:r>
              <w:rPr>
                <w:rFonts w:ascii="Arial" w:cs="Arial" w:eastAsia="Arial" w:hAnsi="Arial"/>
                <w:sz w:val="18"/>
                <w:szCs w:val="18"/>
                <w:color w:val="auto"/>
              </w:rPr>
              <w:t>Deferred tax assets:</w:t>
            </w:r>
          </w:p>
        </w:tc>
        <w:tc>
          <w:tcPr>
            <w:tcW w:w="720" w:type="dxa"/>
            <w:vAlign w:val="bottom"/>
          </w:tcPr>
          <w:p>
            <w:pPr>
              <w:jc w:val="right"/>
              <w:ind w:right="10"/>
              <w:spacing w:after="0" w:line="192" w:lineRule="exact"/>
              <w:rPr>
                <w:sz w:val="20"/>
                <w:szCs w:val="20"/>
                <w:color w:val="auto"/>
              </w:rPr>
            </w:pPr>
            <w:r>
              <w:rPr>
                <w:rFonts w:ascii="Arial" w:cs="Arial" w:eastAsia="Arial" w:hAnsi="Arial"/>
                <w:sz w:val="18"/>
                <w:szCs w:val="18"/>
                <w:color w:val="auto"/>
              </w:rPr>
              <w:t>ԝ</w:t>
            </w: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color w:val="auto"/>
              </w:rPr>
              <w:t>250.4</w:t>
            </w:r>
          </w:p>
        </w:tc>
        <w:tc>
          <w:tcPr>
            <w:tcW w:w="280" w:type="dxa"/>
            <w:vAlign w:val="bottom"/>
          </w:tcPr>
          <w:p>
            <w:pPr>
              <w:ind w:left="140"/>
              <w:spacing w:after="0" w:line="192" w:lineRule="exact"/>
              <w:rPr>
                <w:sz w:val="20"/>
                <w:szCs w:val="20"/>
                <w:color w:val="auto"/>
              </w:rPr>
            </w:pPr>
            <w:r>
              <w:rPr>
                <w:rFonts w:ascii="Arial" w:cs="Arial" w:eastAsia="Arial" w:hAnsi="Arial"/>
                <w:sz w:val="18"/>
                <w:szCs w:val="18"/>
                <w:color w:val="auto"/>
                <w:w w:val="91"/>
              </w:rPr>
              <w:t>ԝ</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00"/>
        </w:trPr>
        <w:tc>
          <w:tcPr>
            <w:tcW w:w="7760" w:type="dxa"/>
            <w:vAlign w:val="bottom"/>
          </w:tcPr>
          <w:p>
            <w:pPr>
              <w:ind w:left="180"/>
              <w:spacing w:after="0" w:line="200" w:lineRule="exact"/>
              <w:rPr>
                <w:sz w:val="20"/>
                <w:szCs w:val="20"/>
                <w:color w:val="auto"/>
              </w:rPr>
            </w:pPr>
            <w:r>
              <w:rPr>
                <w:rFonts w:ascii="Arial" w:cs="Arial" w:eastAsia="Arial" w:hAnsi="Arial"/>
                <w:sz w:val="18"/>
                <w:szCs w:val="18"/>
                <w:color w:val="auto"/>
              </w:rPr>
              <w:t>Reserves and accrued expenses</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17"/>
                <w:szCs w:val="17"/>
                <w:color w:val="auto"/>
              </w:rPr>
            </w:pP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60" w:type="dxa"/>
            <w:vAlign w:val="bottom"/>
          </w:tcPr>
          <w:p>
            <w:pPr>
              <w:ind w:left="180"/>
              <w:spacing w:after="0" w:line="200" w:lineRule="exact"/>
              <w:rPr>
                <w:sz w:val="20"/>
                <w:szCs w:val="20"/>
                <w:color w:val="auto"/>
              </w:rPr>
            </w:pPr>
            <w:r>
              <w:rPr>
                <w:rFonts w:ascii="Arial" w:cs="Arial" w:eastAsia="Arial" w:hAnsi="Arial"/>
                <w:sz w:val="18"/>
                <w:szCs w:val="18"/>
                <w:color w:val="auto"/>
              </w:rPr>
              <w:t>Net operating loss carryforwards</w:t>
            </w:r>
          </w:p>
        </w:tc>
        <w:tc>
          <w:tcPr>
            <w:tcW w:w="720" w:type="dxa"/>
            <w:vAlign w:val="bottom"/>
          </w:tcPr>
          <w:p>
            <w:pPr>
              <w:spacing w:after="0"/>
              <w:rPr>
                <w:sz w:val="17"/>
                <w:szCs w:val="17"/>
                <w:color w:val="auto"/>
              </w:rPr>
            </w:pPr>
          </w:p>
        </w:tc>
        <w:tc>
          <w:tcPr>
            <w:tcW w:w="800" w:type="dxa"/>
            <w:vAlign w:val="bottom"/>
          </w:tcPr>
          <w:p>
            <w:pPr>
              <w:jc w:val="right"/>
              <w:ind w:right="110"/>
              <w:spacing w:after="0" w:line="200" w:lineRule="exact"/>
              <w:rPr>
                <w:sz w:val="20"/>
                <w:szCs w:val="20"/>
                <w:color w:val="auto"/>
              </w:rPr>
            </w:pPr>
            <w:r>
              <w:rPr>
                <w:rFonts w:ascii="Arial" w:cs="Arial" w:eastAsia="Arial" w:hAnsi="Arial"/>
                <w:sz w:val="18"/>
                <w:szCs w:val="18"/>
                <w:color w:val="auto"/>
              </w:rPr>
              <w:t>104.5</w:t>
            </w:r>
          </w:p>
        </w:tc>
        <w:tc>
          <w:tcPr>
            <w:tcW w:w="280" w:type="dxa"/>
            <w:vAlign w:val="bottom"/>
          </w:tcPr>
          <w:p>
            <w:pPr>
              <w:spacing w:after="0"/>
              <w:rPr>
                <w:sz w:val="17"/>
                <w:szCs w:val="17"/>
                <w:color w:val="auto"/>
              </w:rPr>
            </w:pPr>
          </w:p>
        </w:tc>
        <w:tc>
          <w:tcPr>
            <w:tcW w:w="760" w:type="dxa"/>
            <w:vAlign w:val="bottom"/>
          </w:tcPr>
          <w:p>
            <w:pPr>
              <w:jc w:val="right"/>
              <w:ind w:right="70"/>
              <w:spacing w:after="0" w:line="200" w:lineRule="exact"/>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0"/>
        </w:trPr>
        <w:tc>
          <w:tcPr>
            <w:tcW w:w="7760" w:type="dxa"/>
            <w:vAlign w:val="bottom"/>
          </w:tcPr>
          <w:p>
            <w:pPr>
              <w:ind w:left="180"/>
              <w:spacing w:after="0" w:line="200" w:lineRule="exact"/>
              <w:rPr>
                <w:sz w:val="20"/>
                <w:szCs w:val="20"/>
                <w:color w:val="auto"/>
              </w:rPr>
            </w:pPr>
            <w:r>
              <w:rPr>
                <w:rFonts w:ascii="Arial" w:cs="Arial" w:eastAsia="Arial" w:hAnsi="Arial"/>
                <w:sz w:val="18"/>
                <w:szCs w:val="18"/>
                <w:color w:val="auto"/>
              </w:rPr>
              <w:t>R&amp;D credits</w:t>
            </w:r>
          </w:p>
        </w:tc>
        <w:tc>
          <w:tcPr>
            <w:tcW w:w="720" w:type="dxa"/>
            <w:vAlign w:val="bottom"/>
          </w:tcPr>
          <w:p>
            <w:pPr>
              <w:spacing w:after="0"/>
              <w:rPr>
                <w:sz w:val="17"/>
                <w:szCs w:val="17"/>
                <w:color w:val="auto"/>
              </w:rPr>
            </w:pPr>
          </w:p>
        </w:tc>
        <w:tc>
          <w:tcPr>
            <w:tcW w:w="800" w:type="dxa"/>
            <w:vAlign w:val="bottom"/>
          </w:tcPr>
          <w:p>
            <w:pPr>
              <w:jc w:val="right"/>
              <w:ind w:right="110"/>
              <w:spacing w:after="0" w:line="200" w:lineRule="exact"/>
              <w:rPr>
                <w:sz w:val="20"/>
                <w:szCs w:val="20"/>
                <w:color w:val="auto"/>
              </w:rPr>
            </w:pPr>
            <w:r>
              <w:rPr>
                <w:rFonts w:ascii="Arial" w:cs="Arial" w:eastAsia="Arial" w:hAnsi="Arial"/>
                <w:sz w:val="18"/>
                <w:szCs w:val="18"/>
                <w:color w:val="auto"/>
              </w:rPr>
              <w:t>17.1</w:t>
            </w:r>
          </w:p>
        </w:tc>
        <w:tc>
          <w:tcPr>
            <w:tcW w:w="280" w:type="dxa"/>
            <w:vAlign w:val="bottom"/>
          </w:tcPr>
          <w:p>
            <w:pPr>
              <w:spacing w:after="0"/>
              <w:rPr>
                <w:sz w:val="17"/>
                <w:szCs w:val="17"/>
                <w:color w:val="auto"/>
              </w:rPr>
            </w:pPr>
          </w:p>
        </w:tc>
        <w:tc>
          <w:tcPr>
            <w:tcW w:w="760" w:type="dxa"/>
            <w:vAlign w:val="bottom"/>
          </w:tcPr>
          <w:p>
            <w:pPr>
              <w:jc w:val="right"/>
              <w:ind w:right="70"/>
              <w:spacing w:after="0" w:line="200"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0"/>
        </w:trPr>
        <w:tc>
          <w:tcPr>
            <w:tcW w:w="7760" w:type="dxa"/>
            <w:vAlign w:val="bottom"/>
          </w:tcPr>
          <w:p>
            <w:pPr>
              <w:ind w:left="180"/>
              <w:spacing w:after="0" w:line="200" w:lineRule="exact"/>
              <w:rPr>
                <w:sz w:val="20"/>
                <w:szCs w:val="20"/>
                <w:color w:val="auto"/>
              </w:rPr>
            </w:pPr>
            <w:r>
              <w:rPr>
                <w:rFonts w:ascii="Arial" w:cs="Arial" w:eastAsia="Arial" w:hAnsi="Arial"/>
                <w:sz w:val="18"/>
                <w:szCs w:val="18"/>
                <w:color w:val="auto"/>
              </w:rPr>
              <w:t>Capitalized R&amp;D expenditures</w:t>
            </w:r>
          </w:p>
        </w:tc>
        <w:tc>
          <w:tcPr>
            <w:tcW w:w="720" w:type="dxa"/>
            <w:vAlign w:val="bottom"/>
          </w:tcPr>
          <w:p>
            <w:pPr>
              <w:spacing w:after="0"/>
              <w:rPr>
                <w:sz w:val="17"/>
                <w:szCs w:val="17"/>
                <w:color w:val="auto"/>
              </w:rPr>
            </w:pPr>
          </w:p>
        </w:tc>
        <w:tc>
          <w:tcPr>
            <w:tcW w:w="800" w:type="dxa"/>
            <w:vAlign w:val="bottom"/>
          </w:tcPr>
          <w:p>
            <w:pPr>
              <w:jc w:val="right"/>
              <w:ind w:right="110"/>
              <w:spacing w:after="0" w:line="200" w:lineRule="exact"/>
              <w:rPr>
                <w:sz w:val="20"/>
                <w:szCs w:val="20"/>
                <w:color w:val="auto"/>
              </w:rPr>
            </w:pPr>
            <w:r>
              <w:rPr>
                <w:rFonts w:ascii="Arial" w:cs="Arial" w:eastAsia="Arial" w:hAnsi="Arial"/>
                <w:sz w:val="18"/>
                <w:szCs w:val="18"/>
                <w:color w:val="auto"/>
              </w:rPr>
              <w:t>165.5</w:t>
            </w:r>
          </w:p>
        </w:tc>
        <w:tc>
          <w:tcPr>
            <w:tcW w:w="280" w:type="dxa"/>
            <w:vAlign w:val="bottom"/>
          </w:tcPr>
          <w:p>
            <w:pPr>
              <w:spacing w:after="0"/>
              <w:rPr>
                <w:sz w:val="17"/>
                <w:szCs w:val="17"/>
                <w:color w:val="auto"/>
              </w:rPr>
            </w:pPr>
          </w:p>
        </w:tc>
        <w:tc>
          <w:tcPr>
            <w:tcW w:w="760" w:type="dxa"/>
            <w:vAlign w:val="bottom"/>
          </w:tcPr>
          <w:p>
            <w:pPr>
              <w:jc w:val="right"/>
              <w:ind w:right="70"/>
              <w:spacing w:after="0" w:line="200" w:lineRule="exact"/>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00"/>
        </w:trPr>
        <w:tc>
          <w:tcPr>
            <w:tcW w:w="7760" w:type="dxa"/>
            <w:vAlign w:val="bottom"/>
          </w:tcPr>
          <w:p>
            <w:pPr>
              <w:ind w:left="180"/>
              <w:spacing w:after="0" w:line="200" w:lineRule="exact"/>
              <w:rPr>
                <w:sz w:val="20"/>
                <w:szCs w:val="20"/>
                <w:color w:val="auto"/>
              </w:rPr>
            </w:pPr>
            <w:r>
              <w:rPr>
                <w:rFonts w:ascii="Arial" w:cs="Arial" w:eastAsia="Arial" w:hAnsi="Arial"/>
                <w:sz w:val="18"/>
                <w:szCs w:val="18"/>
                <w:color w:val="auto"/>
              </w:rPr>
              <w:t>Interest expense limitation carryforwards</w:t>
            </w:r>
          </w:p>
        </w:tc>
        <w:tc>
          <w:tcPr>
            <w:tcW w:w="720" w:type="dxa"/>
            <w:vAlign w:val="bottom"/>
          </w:tcPr>
          <w:p>
            <w:pPr>
              <w:spacing w:after="0"/>
              <w:rPr>
                <w:sz w:val="17"/>
                <w:szCs w:val="17"/>
                <w:color w:val="auto"/>
              </w:rPr>
            </w:pPr>
          </w:p>
        </w:tc>
        <w:tc>
          <w:tcPr>
            <w:tcW w:w="800" w:type="dxa"/>
            <w:vAlign w:val="bottom"/>
          </w:tcPr>
          <w:p>
            <w:pPr>
              <w:jc w:val="right"/>
              <w:ind w:right="110"/>
              <w:spacing w:after="0" w:line="200" w:lineRule="exact"/>
              <w:rPr>
                <w:sz w:val="20"/>
                <w:szCs w:val="20"/>
                <w:color w:val="auto"/>
              </w:rPr>
            </w:pPr>
            <w:r>
              <w:rPr>
                <w:rFonts w:ascii="Arial" w:cs="Arial" w:eastAsia="Arial" w:hAnsi="Arial"/>
                <w:sz w:val="18"/>
                <w:szCs w:val="18"/>
                <w:color w:val="auto"/>
              </w:rPr>
              <w:t>49.3</w:t>
            </w:r>
          </w:p>
        </w:tc>
        <w:tc>
          <w:tcPr>
            <w:tcW w:w="280" w:type="dxa"/>
            <w:vAlign w:val="bottom"/>
          </w:tcPr>
          <w:p>
            <w:pPr>
              <w:spacing w:after="0"/>
              <w:rPr>
                <w:sz w:val="17"/>
                <w:szCs w:val="17"/>
                <w:color w:val="auto"/>
              </w:rPr>
            </w:pPr>
          </w:p>
        </w:tc>
        <w:tc>
          <w:tcPr>
            <w:tcW w:w="760" w:type="dxa"/>
            <w:vAlign w:val="bottom"/>
          </w:tcPr>
          <w:p>
            <w:pPr>
              <w:jc w:val="right"/>
              <w:ind w:right="70"/>
              <w:spacing w:after="0" w:line="200"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0"/>
        </w:trPr>
        <w:tc>
          <w:tcPr>
            <w:tcW w:w="776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7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68"/>
        </w:trPr>
        <w:tc>
          <w:tcPr>
            <w:tcW w:w="77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Valuation allowances</w:t>
            </w:r>
          </w:p>
        </w:tc>
        <w:tc>
          <w:tcPr>
            <w:tcW w:w="720" w:type="dxa"/>
            <w:vAlign w:val="bottom"/>
            <w:tcBorders>
              <w:bottom w:val="single" w:sz="8" w:color="000041"/>
            </w:tcBorders>
          </w:tcPr>
          <w:p>
            <w:pPr>
              <w:spacing w:after="0"/>
              <w:rPr>
                <w:sz w:val="23"/>
                <w:szCs w:val="23"/>
                <w:color w:val="auto"/>
              </w:rPr>
            </w:pPr>
          </w:p>
        </w:tc>
        <w:tc>
          <w:tcPr>
            <w:tcW w:w="80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000041"/>
            </w:tcBorders>
          </w:tcPr>
          <w:p>
            <w:pPr>
              <w:spacing w:after="0"/>
              <w:rPr>
                <w:sz w:val="23"/>
                <w:szCs w:val="23"/>
                <w:color w:val="auto"/>
              </w:rPr>
            </w:pPr>
          </w:p>
        </w:tc>
        <w:tc>
          <w:tcPr>
            <w:tcW w:w="76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0"/>
        </w:trPr>
        <w:tc>
          <w:tcPr>
            <w:tcW w:w="776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Total deferred tax assets</w:t>
            </w:r>
          </w:p>
        </w:tc>
        <w:tc>
          <w:tcPr>
            <w:tcW w:w="1520" w:type="dxa"/>
            <w:vAlign w:val="bottom"/>
            <w:tcBorders>
              <w:bottom w:val="single" w:sz="8" w:color="000041"/>
            </w:tcBorders>
            <w:gridSpan w:val="2"/>
          </w:tcPr>
          <w:p>
            <w:pPr>
              <w:jc w:val="right"/>
              <w:ind w:right="11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ћїўӝљ</w:t>
            </w:r>
          </w:p>
        </w:tc>
        <w:tc>
          <w:tcPr>
            <w:tcW w:w="280" w:type="dxa"/>
            <w:vAlign w:val="bottom"/>
            <w:tcBorders>
              <w:bottom w:val="single" w:sz="8" w:color="000041"/>
            </w:tcBorders>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192"/>
        </w:trPr>
        <w:tc>
          <w:tcPr>
            <w:tcW w:w="7760" w:type="dxa"/>
            <w:vAlign w:val="bottom"/>
          </w:tcPr>
          <w:p>
            <w:pPr>
              <w:spacing w:after="0" w:line="192" w:lineRule="exact"/>
              <w:rPr>
                <w:sz w:val="20"/>
                <w:szCs w:val="20"/>
                <w:color w:val="auto"/>
              </w:rPr>
            </w:pPr>
            <w:r>
              <w:rPr>
                <w:rFonts w:ascii="Arial" w:cs="Arial" w:eastAsia="Arial" w:hAnsi="Arial"/>
                <w:sz w:val="18"/>
                <w:szCs w:val="18"/>
                <w:color w:val="auto"/>
              </w:rPr>
              <w:t>Deferred tax liabilities:</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color w:val="auto"/>
              </w:rPr>
              <w:t>10.4</w:t>
            </w:r>
          </w:p>
        </w:tc>
        <w:tc>
          <w:tcPr>
            <w:tcW w:w="280" w:type="dxa"/>
            <w:vAlign w:val="bottom"/>
            <w:vMerge w:val="restart"/>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0"/>
        </w:trPr>
        <w:tc>
          <w:tcPr>
            <w:tcW w:w="7760" w:type="dxa"/>
            <w:vAlign w:val="bottom"/>
          </w:tcPr>
          <w:p>
            <w:pPr>
              <w:ind w:left="180"/>
              <w:spacing w:after="0" w:line="200" w:lineRule="exact"/>
              <w:rPr>
                <w:sz w:val="20"/>
                <w:szCs w:val="20"/>
                <w:color w:val="auto"/>
              </w:rPr>
            </w:pPr>
            <w:r>
              <w:rPr>
                <w:rFonts w:ascii="Arial" w:cs="Arial" w:eastAsia="Arial" w:hAnsi="Arial"/>
                <w:sz w:val="18"/>
                <w:szCs w:val="18"/>
                <w:color w:val="auto"/>
              </w:rPr>
              <w:t>Reserves and accrued expenses</w:t>
            </w:r>
          </w:p>
        </w:tc>
        <w:tc>
          <w:tcPr>
            <w:tcW w:w="7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60" w:type="dxa"/>
            <w:vAlign w:val="bottom"/>
          </w:tcPr>
          <w:p>
            <w:pPr>
              <w:ind w:left="180"/>
              <w:spacing w:after="0" w:line="200" w:lineRule="exact"/>
              <w:rPr>
                <w:sz w:val="20"/>
                <w:szCs w:val="20"/>
                <w:color w:val="auto"/>
              </w:rPr>
            </w:pPr>
            <w:r>
              <w:rPr>
                <w:rFonts w:ascii="Arial" w:cs="Arial" w:eastAsia="Arial" w:hAnsi="Arial"/>
                <w:sz w:val="18"/>
                <w:szCs w:val="18"/>
                <w:color w:val="auto"/>
              </w:rPr>
              <w:t>Amortizable intangible assets</w:t>
            </w:r>
          </w:p>
        </w:tc>
        <w:tc>
          <w:tcPr>
            <w:tcW w:w="720" w:type="dxa"/>
            <w:vAlign w:val="bottom"/>
          </w:tcPr>
          <w:p>
            <w:pPr>
              <w:spacing w:after="0"/>
              <w:rPr>
                <w:sz w:val="17"/>
                <w:szCs w:val="17"/>
                <w:color w:val="auto"/>
              </w:rPr>
            </w:pPr>
          </w:p>
        </w:tc>
        <w:tc>
          <w:tcPr>
            <w:tcW w:w="800" w:type="dxa"/>
            <w:vAlign w:val="bottom"/>
          </w:tcPr>
          <w:p>
            <w:pPr>
              <w:jc w:val="right"/>
              <w:ind w:right="110"/>
              <w:spacing w:after="0" w:line="200" w:lineRule="exact"/>
              <w:rPr>
                <w:sz w:val="20"/>
                <w:szCs w:val="20"/>
                <w:color w:val="auto"/>
              </w:rPr>
            </w:pPr>
            <w:r>
              <w:rPr>
                <w:rFonts w:ascii="Arial" w:cs="Arial" w:eastAsia="Arial" w:hAnsi="Arial"/>
                <w:sz w:val="18"/>
                <w:szCs w:val="18"/>
                <w:color w:val="auto"/>
                <w:w w:val="96"/>
              </w:rPr>
              <w:t>2,109.3</w:t>
            </w:r>
          </w:p>
        </w:tc>
        <w:tc>
          <w:tcPr>
            <w:tcW w:w="280" w:type="dxa"/>
            <w:vAlign w:val="bottom"/>
          </w:tcPr>
          <w:p>
            <w:pPr>
              <w:spacing w:after="0"/>
              <w:rPr>
                <w:sz w:val="17"/>
                <w:szCs w:val="17"/>
                <w:color w:val="auto"/>
              </w:rPr>
            </w:pPr>
          </w:p>
        </w:tc>
        <w:tc>
          <w:tcPr>
            <w:tcW w:w="760" w:type="dxa"/>
            <w:vAlign w:val="bottom"/>
          </w:tcPr>
          <w:p>
            <w:pPr>
              <w:jc w:val="right"/>
              <w:ind w:right="70"/>
              <w:spacing w:after="0" w:line="200" w:lineRule="exact"/>
              <w:rPr>
                <w:sz w:val="20"/>
                <w:szCs w:val="20"/>
                <w:color w:val="auto"/>
              </w:rPr>
            </w:pPr>
            <w:r>
              <w:rPr>
                <w:rFonts w:ascii="Arial" w:cs="Arial" w:eastAsia="Arial" w:hAnsi="Arial"/>
                <w:sz w:val="18"/>
                <w:szCs w:val="18"/>
                <w:color w:val="auto"/>
                <w:w w:val="96"/>
              </w:rPr>
              <w:t>1,985.2</w:t>
            </w:r>
          </w:p>
        </w:tc>
        <w:tc>
          <w:tcPr>
            <w:tcW w:w="0" w:type="dxa"/>
            <w:vAlign w:val="bottom"/>
          </w:tcPr>
          <w:p>
            <w:pPr>
              <w:spacing w:after="0"/>
              <w:rPr>
                <w:sz w:val="1"/>
                <w:szCs w:val="1"/>
                <w:color w:val="auto"/>
              </w:rPr>
            </w:pPr>
          </w:p>
        </w:tc>
      </w:tr>
      <w:tr>
        <w:trPr>
          <w:trHeight w:val="200"/>
        </w:trPr>
        <w:tc>
          <w:tcPr>
            <w:tcW w:w="7760" w:type="dxa"/>
            <w:vAlign w:val="bottom"/>
          </w:tcPr>
          <w:p>
            <w:pPr>
              <w:ind w:left="180"/>
              <w:spacing w:after="0" w:line="200" w:lineRule="exact"/>
              <w:rPr>
                <w:sz w:val="20"/>
                <w:szCs w:val="20"/>
                <w:color w:val="auto"/>
              </w:rPr>
            </w:pPr>
            <w:r>
              <w:rPr>
                <w:rFonts w:ascii="Arial" w:cs="Arial" w:eastAsia="Arial" w:hAnsi="Arial"/>
                <w:sz w:val="18"/>
                <w:szCs w:val="18"/>
                <w:color w:val="auto"/>
              </w:rPr>
              <w:t>Plant and equipment</w:t>
            </w:r>
          </w:p>
        </w:tc>
        <w:tc>
          <w:tcPr>
            <w:tcW w:w="720" w:type="dxa"/>
            <w:vAlign w:val="bottom"/>
          </w:tcPr>
          <w:p>
            <w:pPr>
              <w:spacing w:after="0"/>
              <w:rPr>
                <w:sz w:val="17"/>
                <w:szCs w:val="17"/>
                <w:color w:val="auto"/>
              </w:rPr>
            </w:pPr>
          </w:p>
        </w:tc>
        <w:tc>
          <w:tcPr>
            <w:tcW w:w="800" w:type="dxa"/>
            <w:vAlign w:val="bottom"/>
          </w:tcPr>
          <w:p>
            <w:pPr>
              <w:jc w:val="right"/>
              <w:ind w:right="110"/>
              <w:spacing w:after="0" w:line="200" w:lineRule="exact"/>
              <w:rPr>
                <w:sz w:val="20"/>
                <w:szCs w:val="20"/>
                <w:color w:val="auto"/>
              </w:rPr>
            </w:pPr>
            <w:r>
              <w:rPr>
                <w:rFonts w:ascii="Arial" w:cs="Arial" w:eastAsia="Arial" w:hAnsi="Arial"/>
                <w:sz w:val="18"/>
                <w:szCs w:val="18"/>
                <w:color w:val="auto"/>
              </w:rPr>
              <w:t>14.7</w:t>
            </w:r>
          </w:p>
        </w:tc>
        <w:tc>
          <w:tcPr>
            <w:tcW w:w="280" w:type="dxa"/>
            <w:vAlign w:val="bottom"/>
          </w:tcPr>
          <w:p>
            <w:pPr>
              <w:spacing w:after="0"/>
              <w:rPr>
                <w:sz w:val="17"/>
                <w:szCs w:val="17"/>
                <w:color w:val="auto"/>
              </w:rPr>
            </w:pPr>
          </w:p>
        </w:tc>
        <w:tc>
          <w:tcPr>
            <w:tcW w:w="760" w:type="dxa"/>
            <w:vAlign w:val="bottom"/>
          </w:tcPr>
          <w:p>
            <w:pPr>
              <w:jc w:val="right"/>
              <w:ind w:right="70"/>
              <w:spacing w:after="0" w:line="200"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0"/>
        </w:trPr>
        <w:tc>
          <w:tcPr>
            <w:tcW w:w="7760" w:type="dxa"/>
            <w:vAlign w:val="bottom"/>
          </w:tcPr>
          <w:p>
            <w:pPr>
              <w:ind w:left="180"/>
              <w:spacing w:after="0" w:line="200" w:lineRule="exact"/>
              <w:rPr>
                <w:sz w:val="20"/>
                <w:szCs w:val="20"/>
                <w:color w:val="auto"/>
              </w:rPr>
            </w:pPr>
            <w:r>
              <w:rPr>
                <w:rFonts w:ascii="Arial" w:cs="Arial" w:eastAsia="Arial" w:hAnsi="Arial"/>
                <w:sz w:val="18"/>
                <w:szCs w:val="18"/>
                <w:color w:val="auto"/>
              </w:rPr>
              <w:t>Accrued tax on unremitted foreign earnings</w:t>
            </w:r>
          </w:p>
        </w:tc>
        <w:tc>
          <w:tcPr>
            <w:tcW w:w="720" w:type="dxa"/>
            <w:vAlign w:val="bottom"/>
          </w:tcPr>
          <w:p>
            <w:pPr>
              <w:spacing w:after="0"/>
              <w:rPr>
                <w:sz w:val="17"/>
                <w:szCs w:val="17"/>
                <w:color w:val="auto"/>
              </w:rPr>
            </w:pPr>
          </w:p>
        </w:tc>
        <w:tc>
          <w:tcPr>
            <w:tcW w:w="800" w:type="dxa"/>
            <w:vAlign w:val="bottom"/>
          </w:tcPr>
          <w:p>
            <w:pPr>
              <w:jc w:val="right"/>
              <w:ind w:right="110"/>
              <w:spacing w:after="0" w:line="200" w:lineRule="exact"/>
              <w:rPr>
                <w:sz w:val="20"/>
                <w:szCs w:val="20"/>
                <w:color w:val="auto"/>
              </w:rPr>
            </w:pPr>
            <w:r>
              <w:rPr>
                <w:rFonts w:ascii="Arial" w:cs="Arial" w:eastAsia="Arial" w:hAnsi="Arial"/>
                <w:sz w:val="18"/>
                <w:szCs w:val="18"/>
                <w:color w:val="auto"/>
              </w:rPr>
              <w:t>12.6</w:t>
            </w:r>
          </w:p>
        </w:tc>
        <w:tc>
          <w:tcPr>
            <w:tcW w:w="280" w:type="dxa"/>
            <w:vAlign w:val="bottom"/>
          </w:tcPr>
          <w:p>
            <w:pPr>
              <w:spacing w:after="0"/>
              <w:rPr>
                <w:sz w:val="17"/>
                <w:szCs w:val="17"/>
                <w:color w:val="auto"/>
              </w:rPr>
            </w:pPr>
          </w:p>
        </w:tc>
        <w:tc>
          <w:tcPr>
            <w:tcW w:w="760" w:type="dxa"/>
            <w:vAlign w:val="bottom"/>
          </w:tcPr>
          <w:p>
            <w:pPr>
              <w:jc w:val="right"/>
              <w:ind w:right="70"/>
              <w:spacing w:after="0" w:line="200"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0"/>
        </w:trPr>
        <w:tc>
          <w:tcPr>
            <w:tcW w:w="776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7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68"/>
        </w:trPr>
        <w:tc>
          <w:tcPr>
            <w:tcW w:w="77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Outside basis difference in Indicor</w:t>
            </w:r>
          </w:p>
        </w:tc>
        <w:tc>
          <w:tcPr>
            <w:tcW w:w="720" w:type="dxa"/>
            <w:vAlign w:val="bottom"/>
            <w:tcBorders>
              <w:bottom w:val="single" w:sz="8" w:color="000041"/>
            </w:tcBorders>
          </w:tcPr>
          <w:p>
            <w:pPr>
              <w:spacing w:after="0"/>
              <w:rPr>
                <w:sz w:val="23"/>
                <w:szCs w:val="23"/>
                <w:color w:val="auto"/>
              </w:rPr>
            </w:pPr>
          </w:p>
        </w:tc>
        <w:tc>
          <w:tcPr>
            <w:tcW w:w="80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241.5</w:t>
            </w:r>
          </w:p>
        </w:tc>
        <w:tc>
          <w:tcPr>
            <w:tcW w:w="280" w:type="dxa"/>
            <w:vAlign w:val="bottom"/>
            <w:tcBorders>
              <w:bottom w:val="single" w:sz="8" w:color="000041"/>
            </w:tcBorders>
          </w:tcPr>
          <w:p>
            <w:pPr>
              <w:spacing w:after="0"/>
              <w:rPr>
                <w:sz w:val="23"/>
                <w:szCs w:val="23"/>
                <w:color w:val="auto"/>
              </w:rPr>
            </w:pPr>
          </w:p>
        </w:tc>
        <w:tc>
          <w:tcPr>
            <w:tcW w:w="76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40"/>
        </w:trPr>
        <w:tc>
          <w:tcPr>
            <w:tcW w:w="776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Total deferred tax liabilities</w:t>
            </w:r>
          </w:p>
        </w:tc>
        <w:tc>
          <w:tcPr>
            <w:tcW w:w="1520" w:type="dxa"/>
            <w:vAlign w:val="bottom"/>
            <w:tcBorders>
              <w:bottom w:val="single" w:sz="8" w:color="000041"/>
            </w:tcBorders>
            <w:gridSpan w:val="2"/>
          </w:tcPr>
          <w:p>
            <w:pPr>
              <w:jc w:val="right"/>
              <w:ind w:right="110"/>
              <w:spacing w:after="0"/>
              <w:rPr>
                <w:sz w:val="20"/>
                <w:szCs w:val="20"/>
                <w:color w:val="auto"/>
              </w:rPr>
            </w:pPr>
            <w:r>
              <w:rPr>
                <w:rFonts w:ascii="Arial" w:cs="Arial" w:eastAsia="Arial" w:hAnsi="Arial"/>
                <w:sz w:val="18"/>
                <w:szCs w:val="18"/>
                <w:color w:val="auto"/>
              </w:rPr>
              <w:t>$2,439.2</w:t>
            </w:r>
          </w:p>
        </w:tc>
        <w:tc>
          <w:tcPr>
            <w:tcW w:w="1040" w:type="dxa"/>
            <w:vAlign w:val="bottom"/>
            <w:tcBorders>
              <w:bottom w:val="single" w:sz="8" w:color="000041"/>
            </w:tcBorders>
            <w:gridSpan w:val="2"/>
          </w:tcPr>
          <w:p>
            <w:pPr>
              <w:jc w:val="right"/>
              <w:ind w:right="70"/>
              <w:spacing w:after="0"/>
              <w:rPr>
                <w:sz w:val="20"/>
                <w:szCs w:val="20"/>
                <w:color w:val="auto"/>
              </w:rPr>
            </w:pPr>
            <w:r>
              <w:rPr>
                <w:rFonts w:ascii="Arial" w:cs="Arial" w:eastAsia="Arial" w:hAnsi="Arial"/>
                <w:sz w:val="18"/>
                <w:szCs w:val="18"/>
                <w:color w:val="auto"/>
              </w:rPr>
              <w:t>$2,289.6</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jc w:val="both"/>
        <w:spacing w:after="0" w:line="227"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:Ɂȴɥƃȶʰ</w:t>
      </w:r>
      <w:r>
        <w:rPr>
          <w:rFonts w:ascii="PMingLiU" w:cs="PMingLiU" w:eastAsia="PMingLiU" w:hAnsi="PMingLiU"/>
          <w:sz w:val="18"/>
          <w:szCs w:val="18"/>
          <w:color w:val="auto"/>
        </w:rPr>
        <w:t/>
      </w:r>
      <w:r>
        <w:rPr>
          <w:rFonts w:ascii="Arial" w:cs="Arial" w:eastAsia="Arial" w:hAnsi="Arial"/>
          <w:sz w:val="18"/>
          <w:szCs w:val="18"/>
          <w:color w:val="auto"/>
        </w:rPr>
        <w:t xml:space="preserve"> ȃƃɰ</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њќӝѝ</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ɽƃʯ</w:t>
      </w:r>
      <w:r>
        <w:rPr>
          <w:rFonts w:ascii="Arial" w:cs="Arial" w:eastAsia="Arial" w:hAnsi="Arial"/>
          <w:sz w:val="18"/>
          <w:szCs w:val="18"/>
          <w:color w:val="auto"/>
        </w:rPr>
        <w:t>Ӹ</w:t>
      </w:r>
      <w:r>
        <w:rPr>
          <w:rFonts w:ascii="Arial" w:cs="Arial" w:eastAsia="Arial" w:hAnsi="Arial"/>
          <w:sz w:val="18"/>
          <w:szCs w:val="18"/>
          <w:color w:val="auto"/>
        </w:rPr>
        <w:t>ǉǹǹǉƺɽǉǁ</w:t>
      </w:r>
      <w:r>
        <w:rPr>
          <w:rFonts w:ascii="PMingLiU" w:cs="PMingLiU" w:eastAsia="PMingLiU" w:hAnsi="PMingLiU"/>
          <w:sz w:val="18"/>
          <w:szCs w:val="18"/>
          <w:color w:val="auto"/>
        </w:rPr>
        <w:t/>
      </w:r>
      <w:r>
        <w:rPr>
          <w:rFonts w:ascii="Arial" w:cs="Arial" w:eastAsia="Arial" w:hAnsi="Arial"/>
          <w:sz w:val="18"/>
          <w:szCs w:val="18"/>
          <w:color w:val="auto"/>
        </w:rPr>
        <w:t xml:space="preserve"> ĩ</w:t>
      </w:r>
      <w:r>
        <w:rPr>
          <w:rFonts w:ascii="Arial" w:cs="Arial" w:eastAsia="Arial" w:hAnsi="Arial"/>
          <w:sz w:val="18"/>
          <w:szCs w:val="18"/>
          <w:color w:val="auto"/>
        </w:rPr>
        <w:t>ӝ</w:t>
      </w:r>
      <w:r>
        <w:rPr>
          <w:rFonts w:ascii="Arial" w:cs="Arial" w:eastAsia="Arial" w:hAnsi="Arial"/>
          <w:sz w:val="18"/>
          <w:szCs w:val="18"/>
          <w:color w:val="auto"/>
        </w:rPr>
        <w:t>Č</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 xml:space="preserve"> ǹǉǁǉɨƃȢ</w:t>
      </w:r>
      <w:r>
        <w:rPr>
          <w:rFonts w:ascii="PMingLiU" w:cs="PMingLiU" w:eastAsia="PMingLiU" w:hAnsi="PMingLiU"/>
          <w:sz w:val="18"/>
          <w:szCs w:val="18"/>
          <w:color w:val="auto"/>
        </w:rPr>
        <w:t/>
      </w:r>
      <w:r>
        <w:rPr>
          <w:rFonts w:ascii="Arial" w:cs="Arial" w:eastAsia="Arial" w:hAnsi="Arial"/>
          <w:sz w:val="18"/>
          <w:szCs w:val="18"/>
          <w:color w:val="auto"/>
        </w:rPr>
        <w:t xml:space="preserve"> ȶǉɽ</w:t>
      </w:r>
      <w:r>
        <w:rPr>
          <w:rFonts w:ascii="PMingLiU" w:cs="PMingLiU" w:eastAsia="PMingLiU" w:hAnsi="PMingLiU"/>
          <w:sz w:val="18"/>
          <w:szCs w:val="18"/>
          <w:color w:val="auto"/>
        </w:rPr>
        <w:t/>
      </w:r>
      <w:r>
        <w:rPr>
          <w:rFonts w:ascii="Arial" w:cs="Arial" w:eastAsia="Arial" w:hAnsi="Arial"/>
          <w:sz w:val="18"/>
          <w:szCs w:val="18"/>
          <w:color w:val="auto"/>
        </w:rPr>
        <w:t xml:space="preserve"> ɁɥǉɨƃɽȈȶǼ</w:t>
      </w:r>
      <w:r>
        <w:rPr>
          <w:rFonts w:ascii="PMingLiU" w:cs="PMingLiU" w:eastAsia="PMingLiU" w:hAnsi="PMingLiU"/>
          <w:sz w:val="18"/>
          <w:szCs w:val="18"/>
          <w:color w:val="auto"/>
        </w:rPr>
        <w:t/>
      </w:r>
      <w:r>
        <w:rPr>
          <w:rFonts w:ascii="Arial" w:cs="Arial" w:eastAsia="Arial" w:hAnsi="Arial"/>
          <w:sz w:val="18"/>
          <w:szCs w:val="18"/>
          <w:color w:val="auto"/>
        </w:rPr>
        <w:t xml:space="preserve"> ȢɁɰɰ</w:t>
      </w:r>
      <w:r>
        <w:rPr>
          <w:rFonts w:ascii="PMingLiU" w:cs="PMingLiU" w:eastAsia="PMingLiU" w:hAnsi="PMingLiU"/>
          <w:sz w:val="18"/>
          <w:szCs w:val="18"/>
          <w:color w:val="auto"/>
        </w:rPr>
        <w:t/>
      </w:r>
      <w:r>
        <w:rPr>
          <w:rFonts w:ascii="Arial" w:cs="Arial" w:eastAsia="Arial" w:hAnsi="Arial"/>
          <w:sz w:val="18"/>
          <w:szCs w:val="18"/>
          <w:color w:val="auto"/>
        </w:rPr>
        <w:t xml:space="preserve"> ƺƃɨɨʰǹɁɨʥƃɨǁɰ</w:t>
      </w:r>
      <w:r>
        <w:rPr>
          <w:rFonts w:ascii="PMingLiU" w:cs="PMingLiU" w:eastAsia="PMingLiU" w:hAnsi="PMingLiU"/>
          <w:sz w:val="18"/>
          <w:szCs w:val="18"/>
          <w:color w:val="auto"/>
        </w:rPr>
        <w:t/>
      </w:r>
      <w:r>
        <w:rPr>
          <w:rFonts w:ascii="Arial" w:cs="Arial" w:eastAsia="Arial" w:hAnsi="Arial"/>
          <w:sz w:val="18"/>
          <w:szCs w:val="18"/>
          <w:color w:val="auto"/>
        </w:rPr>
        <w:t xml:space="preserve"> ƃȶǁ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$49.8 of tax-effected state net operating loss carryforwards without regard for federal benefit of state. The majority of the net operating loss carryforwards are subject to limitation under the Internal Revenue Code of 1986, as amended </w:t>
      </w:r>
      <w:r>
        <w:rPr>
          <w:rFonts w:ascii="Arial" w:cs="Arial" w:eastAsia="Arial" w:hAnsi="Arial"/>
          <w:sz w:val="18"/>
          <w:szCs w:val="18"/>
          <w:color w:val="auto"/>
        </w:rPr>
        <w:t>ӯ</w:t>
      </w:r>
      <w:r>
        <w:rPr>
          <w:rFonts w:ascii="Arial" w:cs="Arial" w:eastAsia="Arial" w:hAnsi="Arial"/>
          <w:sz w:val="18"/>
          <w:szCs w:val="18"/>
          <w:color w:val="auto"/>
        </w:rPr>
        <w:t>Ԅ</w:t>
      </w:r>
      <w:r>
        <w:rPr>
          <w:rFonts w:ascii="PMingLiU" w:cs="PMingLiU" w:eastAsia="PMingLiU" w:hAnsi="PMingLiU"/>
          <w:sz w:val="18"/>
          <w:szCs w:val="18"/>
          <w:color w:val="auto"/>
        </w:rPr>
        <w:t></w:t>
      </w:r>
      <w:r>
        <w:rPr>
          <w:rFonts w:ascii="Arial" w:cs="Arial" w:eastAsia="Arial" w:hAnsi="Arial"/>
          <w:sz w:val="18"/>
          <w:szCs w:val="18"/>
          <w:color w:val="auto"/>
        </w:rPr>
        <w:t>Ą:ԅ</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ČǉƺɽȈɁȶ</w:t>
      </w:r>
      <w:r>
        <w:rPr>
          <w:rFonts w:ascii="PMingLiU" w:cs="PMingLiU" w:eastAsia="PMingLiU" w:hAnsi="PMingLiU"/>
          <w:sz w:val="18"/>
          <w:szCs w:val="18"/>
          <w:color w:val="auto"/>
        </w:rPr>
        <w:t/>
      </w:r>
      <w:r>
        <w:rPr>
          <w:rFonts w:ascii="Arial" w:cs="Arial" w:eastAsia="Arial" w:hAnsi="Arial"/>
          <w:sz w:val="18"/>
          <w:szCs w:val="18"/>
          <w:color w:val="auto"/>
        </w:rPr>
        <w:t>јѝїӝ</w:t>
      </w: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ȃƃɰ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ќӝј</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ɽƃʯ</w:t>
      </w:r>
      <w:r>
        <w:rPr>
          <w:rFonts w:ascii="Arial" w:cs="Arial" w:eastAsia="Arial" w:hAnsi="Arial"/>
          <w:sz w:val="18"/>
          <w:szCs w:val="18"/>
          <w:color w:val="auto"/>
        </w:rPr>
        <w:t>Ӹ</w:t>
      </w:r>
      <w:r>
        <w:rPr>
          <w:rFonts w:ascii="Arial" w:cs="Arial" w:eastAsia="Arial" w:hAnsi="Arial"/>
          <w:sz w:val="18"/>
          <w:szCs w:val="18"/>
          <w:color w:val="auto"/>
        </w:rPr>
        <w:t>ǉǹǹǉƺɽǉǁ</w:t>
      </w:r>
      <w:r>
        <w:rPr>
          <w:rFonts w:ascii="PMingLiU" w:cs="PMingLiU" w:eastAsia="PMingLiU" w:hAnsi="PMingLiU"/>
          <w:sz w:val="18"/>
          <w:szCs w:val="18"/>
          <w:color w:val="auto"/>
        </w:rPr>
        <w:t/>
      </w:r>
      <w:r>
        <w:rPr>
          <w:rFonts w:ascii="Arial" w:cs="Arial" w:eastAsia="Arial" w:hAnsi="Arial"/>
          <w:sz w:val="18"/>
          <w:szCs w:val="18"/>
          <w:color w:val="auto"/>
        </w:rPr>
        <w:t>ǹɁɨǉȈǼȶ</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ȢɁɰɰ</w:t>
      </w:r>
      <w:r>
        <w:rPr>
          <w:rFonts w:ascii="PMingLiU" w:cs="PMingLiU" w:eastAsia="PMingLiU" w:hAnsi="PMingLiU"/>
          <w:sz w:val="18"/>
          <w:szCs w:val="18"/>
          <w:color w:val="auto"/>
        </w:rPr>
        <w:t/>
      </w:r>
      <w:r>
        <w:rPr>
          <w:rFonts w:ascii="Arial" w:cs="Arial" w:eastAsia="Arial" w:hAnsi="Arial"/>
          <w:sz w:val="18"/>
          <w:szCs w:val="18"/>
          <w:color w:val="auto"/>
        </w:rPr>
        <w:t>ƺƃɨɨʰǹɁɨ</w:t>
      </w:r>
      <w:r>
        <w:rPr>
          <w:rFonts w:ascii="Arial" w:cs="Arial" w:eastAsia="Arial" w:hAnsi="Arial"/>
          <w:sz w:val="18"/>
          <w:szCs w:val="18"/>
          <w:color w:val="auto"/>
        </w:rPr>
        <w:t>-</w:t>
      </w:r>
      <w:r>
        <w:rPr>
          <w:rFonts w:ascii="Arial" w:cs="Arial" w:eastAsia="Arial" w:hAnsi="Arial"/>
          <w:sz w:val="18"/>
          <w:szCs w:val="18"/>
          <w:color w:val="auto"/>
        </w:rPr>
        <w:t>ʥƃɨǁɰ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ƺǉɨɽƃȈȶ</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ʥȃȈƺȃ</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ɰʍƹȚǉƺɽ</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ȢȈȴȈɽƃɽȈɁȶ</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ǁǁȈɽȈɁȶƃȢȢʰ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ȃƃɰ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љўӝј</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w:t>
      </w:r>
      <w:r>
        <w:rPr>
          <w:rFonts w:ascii="Arial" w:cs="Arial" w:eastAsia="Arial" w:hAnsi="Arial"/>
          <w:sz w:val="18"/>
          <w:szCs w:val="18"/>
          <w:color w:val="auto"/>
        </w:rPr>
        <w:t>Ą:</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Section 163(j) interest expense limitation carryforwards which have an indefinite carryforward period.</w:t>
      </w:r>
    </w:p>
    <w:p>
      <w:pPr>
        <w:spacing w:after="0" w:line="69"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color w:val="auto"/>
        </w:rPr>
        <w:t>On July 4, 2025, the OBBBA was enacted, which introduced tax reform provisions, including the repeal of the require-ment to capitalize and amortize domestic R&amp;D expenditures as previously required under IRC Section 174. The legis-lation includes multiple effective dates and the Company has recognized the financial effects of the OBBBA provisions to the extent they are applicable through the year ended December 31, 2025.</w:t>
      </w:r>
    </w:p>
    <w:p>
      <w:pPr>
        <w:spacing w:after="0" w:line="38" w:lineRule="exact"/>
        <w:rPr>
          <w:sz w:val="20"/>
          <w:szCs w:val="20"/>
          <w:color w:val="auto"/>
        </w:rPr>
      </w:pPr>
    </w:p>
    <w:p>
      <w:pPr>
        <w:jc w:val="both"/>
        <w:spacing w:after="0" w:line="256"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ȃƃɰ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іћњӝњ</w:t>
      </w:r>
      <w:r>
        <w:rPr>
          <w:rFonts w:ascii="PMingLiU" w:cs="PMingLiU" w:eastAsia="PMingLiU" w:hAnsi="PMingLiU"/>
          <w:sz w:val="18"/>
          <w:szCs w:val="18"/>
          <w:color w:val="auto"/>
        </w:rPr>
        <w:t/>
      </w:r>
      <w:r>
        <w:rPr>
          <w:rFonts w:ascii="Arial" w:cs="Arial" w:eastAsia="Arial" w:hAnsi="Arial"/>
          <w:sz w:val="18"/>
          <w:szCs w:val="18"/>
          <w:color w:val="auto"/>
        </w:rPr>
        <w:t>ǁǉǹǉɨɨǉǁ</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ƃɰɰǉɽ</w:t>
      </w:r>
      <w:r>
        <w:rPr>
          <w:rFonts w:ascii="PMingLiU" w:cs="PMingLiU" w:eastAsia="PMingLiU" w:hAnsi="PMingLiU"/>
          <w:sz w:val="18"/>
          <w:szCs w:val="18"/>
          <w:color w:val="auto"/>
        </w:rPr>
        <w:t/>
      </w:r>
      <w:r>
        <w:rPr>
          <w:rFonts w:ascii="Arial" w:cs="Arial" w:eastAsia="Arial" w:hAnsi="Arial"/>
          <w:sz w:val="18"/>
          <w:szCs w:val="18"/>
          <w:color w:val="auto"/>
        </w:rPr>
        <w:t>ɨǉȢƃɽǉǁ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ĄծA</w:t>
      </w:r>
      <w:r>
        <w:rPr>
          <w:rFonts w:ascii="PMingLiU" w:cs="PMingLiU" w:eastAsia="PMingLiU" w:hAnsi="PMingLiU"/>
          <w:sz w:val="18"/>
          <w:szCs w:val="18"/>
          <w:color w:val="auto"/>
        </w:rPr>
        <w:t/>
      </w:r>
      <w:r>
        <w:rPr>
          <w:rFonts w:ascii="Arial" w:cs="Arial" w:eastAsia="Arial" w:hAnsi="Arial"/>
          <w:sz w:val="18"/>
          <w:szCs w:val="18"/>
          <w:color w:val="auto"/>
        </w:rPr>
        <w:t xml:space="preserve"> ǉʯɥǉȶǁȈɽʍɨǉɰ</w:t>
      </w:r>
      <w:r>
        <w:rPr>
          <w:rFonts w:ascii="PMingLiU" w:cs="PMingLiU" w:eastAsia="PMingLiU" w:hAnsi="PMingLiU"/>
          <w:sz w:val="18"/>
          <w:szCs w:val="18"/>
          <w:color w:val="auto"/>
        </w:rPr>
        <w:t/>
      </w:r>
      <w:r>
        <w:rPr>
          <w:rFonts w:ascii="Arial" w:cs="Arial" w:eastAsia="Arial" w:hAnsi="Arial"/>
          <w:sz w:val="18"/>
          <w:szCs w:val="18"/>
          <w:color w:val="auto"/>
        </w:rPr>
        <w:t>ƺƃɥȈɽƃȢȈ˃ǉǁ</w:t>
      </w:r>
      <w:r>
        <w:rPr>
          <w:rFonts w:ascii="PMingLiU" w:cs="PMingLiU" w:eastAsia="PMingLiU" w:hAnsi="PMingLiU"/>
          <w:sz w:val="18"/>
          <w:szCs w:val="18"/>
          <w:color w:val="auto"/>
        </w:rPr>
        <w:t/>
      </w:r>
      <w:r>
        <w:rPr>
          <w:rFonts w:ascii="Arial" w:cs="Arial" w:eastAsia="Arial" w:hAnsi="Arial"/>
          <w:sz w:val="18"/>
          <w:szCs w:val="18"/>
          <w:color w:val="auto"/>
        </w:rPr>
        <w:t>ʍȶǁǉɨ</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the IRC. The Company amortizes foreign R&amp;D costs for tax purposes over 15 years for R&amp;D performed outside of the U.S.</w:t>
      </w:r>
    </w:p>
    <w:p>
      <w:pPr>
        <w:spacing w:after="0" w:line="258" w:lineRule="exact"/>
        <w:rPr>
          <w:sz w:val="20"/>
          <w:szCs w:val="20"/>
          <w:color w:val="auto"/>
        </w:rPr>
      </w:pPr>
    </w:p>
    <w:p>
      <w:pPr>
        <w:jc w:val="both"/>
        <w:spacing w:after="0" w:line="241" w:lineRule="exact"/>
        <w:rPr>
          <w:sz w:val="20"/>
          <w:szCs w:val="20"/>
          <w:color w:val="auto"/>
        </w:rPr>
      </w:pP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ȃƃɰ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ǁǉǹǉɨɨǉǁ</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ȢȈƃƹȈȢȈɽʰ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їљіӝњ</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ɁʍɽɰȈǁǉ</w:t>
      </w:r>
      <w:r>
        <w:rPr>
          <w:rFonts w:ascii="PMingLiU" w:cs="PMingLiU" w:eastAsia="PMingLiU" w:hAnsi="PMingLiU"/>
          <w:sz w:val="18"/>
          <w:szCs w:val="18"/>
          <w:color w:val="auto"/>
        </w:rPr>
        <w:t/>
      </w:r>
      <w:r>
        <w:rPr>
          <w:rFonts w:ascii="Arial" w:cs="Arial" w:eastAsia="Arial" w:hAnsi="Arial"/>
          <w:sz w:val="18"/>
          <w:szCs w:val="18"/>
          <w:color w:val="auto"/>
        </w:rPr>
        <w:t>ƹƃɰȈɰ</w:t>
      </w:r>
      <w:r>
        <w:rPr>
          <w:rFonts w:ascii="PMingLiU" w:cs="PMingLiU" w:eastAsia="PMingLiU" w:hAnsi="PMingLiU"/>
          <w:sz w:val="18"/>
          <w:szCs w:val="18"/>
          <w:color w:val="auto"/>
        </w:rPr>
        <w:t/>
      </w:r>
      <w:r>
        <w:rPr>
          <w:rFonts w:ascii="Arial" w:cs="Arial" w:eastAsia="Arial" w:hAnsi="Arial"/>
          <w:sz w:val="18"/>
          <w:szCs w:val="18"/>
          <w:color w:val="auto"/>
        </w:rPr>
        <w:t>ǁȈǹǹǉɨǉȶƺǉ</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 xml:space="preserve"> ƃɰɰɁƺȈƃɽǉǁ</w:t>
      </w:r>
      <w:r>
        <w:rPr>
          <w:rFonts w:ascii="PMingLiU" w:cs="PMingLiU" w:eastAsia="PMingLiU" w:hAnsi="PMingLiU"/>
          <w:sz w:val="18"/>
          <w:szCs w:val="18"/>
          <w:color w:val="auto"/>
        </w:rPr>
        <w:t/>
      </w:r>
      <w:r>
        <w:rPr>
          <w:rFonts w:ascii="Arial" w:cs="Arial" w:eastAsia="Arial" w:hAnsi="Arial"/>
          <w:sz w:val="18"/>
          <w:szCs w:val="18"/>
          <w:color w:val="auto"/>
        </w:rPr>
        <w:t>ʥȈɽȃ</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the retained minority equity interest in Indicor. See Note 9 for additional information on this minority equity interest.</w:t>
      </w:r>
    </w:p>
    <w:p>
      <w:pPr>
        <w:spacing w:after="0" w:line="68" w:lineRule="exact"/>
        <w:rPr>
          <w:sz w:val="20"/>
          <w:szCs w:val="20"/>
          <w:color w:val="auto"/>
        </w:rPr>
      </w:pPr>
    </w:p>
    <w:p>
      <w:pPr>
        <w:jc w:val="both"/>
        <w:spacing w:after="0" w:line="22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ǁǉɽǉɨȴȈȶǉǁ</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PMingLiU" w:cs="PMingLiU" w:eastAsia="PMingLiU" w:hAnsi="PMingLiU"/>
          <w:sz w:val="18"/>
          <w:szCs w:val="18"/>
          <w:color w:val="auto"/>
        </w:rPr>
        <w:t/>
      </w:r>
      <w:r>
        <w:rPr>
          <w:rFonts w:ascii="Arial" w:cs="Arial" w:eastAsia="Arial" w:hAnsi="Arial"/>
          <w:sz w:val="18"/>
          <w:szCs w:val="18"/>
          <w:color w:val="auto"/>
        </w:rPr>
        <w:t>ɽɁɽƃȢ</w:t>
      </w:r>
      <w:r>
        <w:rPr>
          <w:rFonts w:ascii="PMingLiU" w:cs="PMingLiU" w:eastAsia="PMingLiU" w:hAnsi="PMingLiU"/>
          <w:sz w:val="18"/>
          <w:szCs w:val="18"/>
          <w:color w:val="auto"/>
        </w:rPr>
        <w:t/>
      </w:r>
      <w:r>
        <w:rPr>
          <w:rFonts w:ascii="Arial" w:cs="Arial" w:eastAsia="Arial" w:hAnsi="Arial"/>
          <w:sz w:val="18"/>
          <w:szCs w:val="18"/>
          <w:color w:val="auto"/>
        </w:rPr>
        <w:t>ʤƃȢʍƃɽȈɁȶ</w:t>
      </w:r>
      <w:r>
        <w:rPr>
          <w:rFonts w:ascii="PMingLiU" w:cs="PMingLiU" w:eastAsia="PMingLiU" w:hAnsi="PMingLiU"/>
          <w:sz w:val="18"/>
          <w:szCs w:val="18"/>
          <w:color w:val="auto"/>
        </w:rPr>
        <w:t/>
      </w:r>
      <w:r>
        <w:rPr>
          <w:rFonts w:ascii="Arial" w:cs="Arial" w:eastAsia="Arial" w:hAnsi="Arial"/>
          <w:sz w:val="18"/>
          <w:szCs w:val="18"/>
          <w:color w:val="auto"/>
        </w:rPr>
        <w:t>ƃȢȢɁʥƃȶƺǉɰ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іѕӝў</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ȶǉƺǉɰɰƃɨʰ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ɨǉǁʍƺǉ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U.S. federal and state deferred tax assets by $7.2 and foreign deferred tax assets by $3.7, where it was more likely than </w:t>
      </w:r>
      <w:r>
        <w:rPr>
          <w:rFonts w:ascii="Arial" w:cs="Arial" w:eastAsia="Arial" w:hAnsi="Arial"/>
          <w:sz w:val="18"/>
          <w:szCs w:val="18"/>
          <w:color w:val="auto"/>
        </w:rPr>
        <w:t>ȶɁɽ</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PMingLiU" w:cs="PMingLiU" w:eastAsia="PMingLiU" w:hAnsi="PMingLiU"/>
          <w:sz w:val="18"/>
          <w:szCs w:val="18"/>
          <w:color w:val="auto"/>
        </w:rPr>
        <w:t/>
      </w:r>
      <w:r>
        <w:rPr>
          <w:rFonts w:ascii="Arial" w:cs="Arial" w:eastAsia="Arial" w:hAnsi="Arial"/>
          <w:sz w:val="18"/>
          <w:szCs w:val="18"/>
          <w:color w:val="auto"/>
        </w:rPr>
        <w:t>ƃȢȢ</w:t>
      </w:r>
      <w:r>
        <w:rPr>
          <w:rFonts w:ascii="PMingLiU" w:cs="PMingLiU" w:eastAsia="PMingLiU" w:hAnsi="PMingLiU"/>
          <w:sz w:val="18"/>
          <w:szCs w:val="18"/>
          <w:color w:val="auto"/>
        </w:rPr>
        <w:t/>
      </w:r>
      <w:r>
        <w:rPr>
          <w:rFonts w:ascii="Arial" w:cs="Arial" w:eastAsia="Arial" w:hAnsi="Arial"/>
          <w:sz w:val="18"/>
          <w:szCs w:val="18"/>
          <w:color w:val="auto"/>
        </w:rPr>
        <w:t>ɰʍƺȃ</w:t>
      </w:r>
      <w:r>
        <w:rPr>
          <w:rFonts w:ascii="PMingLiU" w:cs="PMingLiU" w:eastAsia="PMingLiU" w:hAnsi="PMingLiU"/>
          <w:sz w:val="18"/>
          <w:szCs w:val="18"/>
          <w:color w:val="auto"/>
        </w:rPr>
        <w:t/>
      </w:r>
      <w:r>
        <w:rPr>
          <w:rFonts w:ascii="Arial" w:cs="Arial" w:eastAsia="Arial" w:hAnsi="Arial"/>
          <w:sz w:val="18"/>
          <w:szCs w:val="18"/>
          <w:color w:val="auto"/>
        </w:rPr>
        <w:t>ǁǉǹǉɨɨǉǁ</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ƃɰɰǉɽɰ</w:t>
      </w:r>
      <w:r>
        <w:rPr>
          <w:rFonts w:ascii="PMingLiU" w:cs="PMingLiU" w:eastAsia="PMingLiU" w:hAnsi="PMingLiU"/>
          <w:sz w:val="18"/>
          <w:szCs w:val="18"/>
          <w:color w:val="auto"/>
        </w:rPr>
        <w:t/>
      </w:r>
      <w:r>
        <w:rPr>
          <w:rFonts w:ascii="Arial" w:cs="Arial" w:eastAsia="Arial" w:hAnsi="Arial"/>
          <w:sz w:val="18"/>
          <w:szCs w:val="18"/>
          <w:color w:val="auto"/>
        </w:rPr>
        <w:t>ʥȈȢȢ</w:t>
      </w:r>
      <w:r>
        <w:rPr>
          <w:rFonts w:ascii="PMingLiU" w:cs="PMingLiU" w:eastAsia="PMingLiU" w:hAnsi="PMingLiU"/>
          <w:sz w:val="18"/>
          <w:szCs w:val="18"/>
          <w:color w:val="auto"/>
        </w:rPr>
        <w:t/>
      </w:r>
      <w:r>
        <w:rPr>
          <w:rFonts w:ascii="Arial" w:cs="Arial" w:eastAsia="Arial" w:hAnsi="Arial"/>
          <w:sz w:val="18"/>
          <w:szCs w:val="18"/>
          <w:color w:val="auto"/>
        </w:rPr>
        <w:t>ȶɁɽ</w:t>
      </w:r>
      <w:r>
        <w:rPr>
          <w:rFonts w:ascii="PMingLiU" w:cs="PMingLiU" w:eastAsia="PMingLiU" w:hAnsi="PMingLiU"/>
          <w:sz w:val="18"/>
          <w:szCs w:val="18"/>
          <w:color w:val="auto"/>
        </w:rPr>
        <w:t/>
      </w:r>
      <w:r>
        <w:rPr>
          <w:rFonts w:ascii="Arial" w:cs="Arial" w:eastAsia="Arial" w:hAnsi="Arial"/>
          <w:sz w:val="18"/>
          <w:szCs w:val="18"/>
          <w:color w:val="auto"/>
        </w:rPr>
        <w:t>ƹǉ</w:t>
      </w:r>
      <w:r>
        <w:rPr>
          <w:rFonts w:ascii="PMingLiU" w:cs="PMingLiU" w:eastAsia="PMingLiU" w:hAnsi="PMingLiU"/>
          <w:sz w:val="18"/>
          <w:szCs w:val="18"/>
          <w:color w:val="auto"/>
        </w:rPr>
        <w:t/>
      </w:r>
      <w:r>
        <w:rPr>
          <w:rFonts w:ascii="Arial" w:cs="Arial" w:eastAsia="Arial" w:hAnsi="Arial"/>
          <w:sz w:val="18"/>
          <w:szCs w:val="18"/>
          <w:color w:val="auto"/>
        </w:rPr>
        <w:t>ɨǉƃȢȈ˃ǉǁ</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 xml:space="preserve"> ƹǉȢȈǉʤǉɰ</w:t>
      </w:r>
      <w:r>
        <w:rPr>
          <w:rFonts w:ascii="PMingLiU" w:cs="PMingLiU" w:eastAsia="PMingLiU" w:hAnsi="PMingLiU"/>
          <w:sz w:val="18"/>
          <w:szCs w:val="18"/>
          <w:color w:val="auto"/>
        </w:rPr>
        <w:t/>
      </w:r>
      <w:r>
        <w:rPr>
          <w:rFonts w:ascii="Arial" w:cs="Arial" w:eastAsia="Arial" w:hAnsi="Arial"/>
          <w:sz w:val="18"/>
          <w:szCs w:val="18"/>
          <w:color w:val="auto"/>
        </w:rPr>
        <w:t>Ȉɽ</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ȴɁɨǉ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likely than not that the remaining net deferred tax assets will be realized based on the Company’s estimate of future taxable income and any applicable tax planning strategies within various tax jurisdictions.</w:t>
      </w:r>
    </w:p>
    <w:p>
      <w:pPr>
        <w:spacing w:after="0" w:line="69"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color w:val="auto"/>
        </w:rPr>
        <w:t>The Company recognizes in the Consolidated Financial Statements only those tax positions determined to be “more likely than not” of being sustained upon examination based on the technical merits of the positions.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beginning and ending amounts of unrecognized tax benefits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9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1540" w:type="dxa"/>
            <w:vAlign w:val="bottom"/>
            <w:tcBorders>
              <w:bottom w:val="single" w:sz="8" w:color="000041"/>
            </w:tcBorders>
          </w:tcPr>
          <w:p>
            <w:pPr>
              <w:jc w:val="right"/>
              <w:ind w:right="250"/>
              <w:spacing w:after="0"/>
              <w:rPr>
                <w:sz w:val="20"/>
                <w:szCs w:val="20"/>
                <w:color w:val="auto"/>
              </w:rPr>
            </w:pPr>
            <w:r>
              <w:rPr>
                <w:rFonts w:ascii="Arial" w:cs="Arial" w:eastAsia="Arial" w:hAnsi="Arial"/>
                <w:sz w:val="18"/>
                <w:szCs w:val="18"/>
                <w:color w:val="auto"/>
              </w:rPr>
              <w:t>2025</w:t>
            </w:r>
          </w:p>
        </w:tc>
        <w:tc>
          <w:tcPr>
            <w:tcW w:w="10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2024</w:t>
            </w:r>
          </w:p>
        </w:tc>
        <w:tc>
          <w:tcPr>
            <w:tcW w:w="7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2023</w:t>
            </w: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Beginning balances</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їќӝў</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$35.6</w:t>
            </w: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0"/>
        </w:trPr>
        <w:tc>
          <w:tcPr>
            <w:tcW w:w="6960" w:type="dxa"/>
            <w:vAlign w:val="bottom"/>
          </w:tcPr>
          <w:p>
            <w:pPr>
              <w:ind w:left="180"/>
              <w:spacing w:after="0"/>
              <w:rPr>
                <w:sz w:val="20"/>
                <w:szCs w:val="20"/>
                <w:color w:val="auto"/>
              </w:rPr>
            </w:pPr>
            <w:r>
              <w:rPr>
                <w:rFonts w:ascii="Arial" w:cs="Arial" w:eastAsia="Arial" w:hAnsi="Arial"/>
                <w:sz w:val="18"/>
                <w:szCs w:val="18"/>
                <w:color w:val="auto"/>
              </w:rPr>
              <w:t>Additions for tax positions of prior periods</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0"/>
        </w:trPr>
        <w:tc>
          <w:tcPr>
            <w:tcW w:w="6960" w:type="dxa"/>
            <w:vAlign w:val="bottom"/>
          </w:tcPr>
          <w:p>
            <w:pPr>
              <w:ind w:left="180"/>
              <w:spacing w:after="0"/>
              <w:rPr>
                <w:sz w:val="20"/>
                <w:szCs w:val="20"/>
                <w:color w:val="auto"/>
              </w:rPr>
            </w:pPr>
            <w:r>
              <w:rPr>
                <w:rFonts w:ascii="Arial" w:cs="Arial" w:eastAsia="Arial" w:hAnsi="Arial"/>
                <w:sz w:val="18"/>
                <w:szCs w:val="18"/>
                <w:color w:val="auto"/>
              </w:rPr>
              <w:t>Additions for tax positions of the current period</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0.7</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0.9</w:t>
            </w: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0"/>
        </w:trPr>
        <w:tc>
          <w:tcPr>
            <w:tcW w:w="69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periods</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6960" w:type="dxa"/>
            <w:vAlign w:val="bottom"/>
          </w:tcPr>
          <w:p>
            <w:pPr>
              <w:ind w:left="180"/>
              <w:spacing w:after="0"/>
              <w:rPr>
                <w:sz w:val="20"/>
                <w:szCs w:val="20"/>
                <w:color w:val="auto"/>
              </w:rPr>
            </w:pPr>
            <w:r>
              <w:rPr>
                <w:rFonts w:ascii="Arial" w:cs="Arial" w:eastAsia="Arial" w:hAnsi="Arial"/>
                <w:sz w:val="18"/>
                <w:szCs w:val="18"/>
                <w:color w:val="auto"/>
              </w:rPr>
              <w:t>Reductions attributable to lapses of applicable statutes of limitations</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8"/>
        </w:trPr>
        <w:tc>
          <w:tcPr>
            <w:tcW w:w="69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Reductions attributable to settlements with taxing authorities</w:t>
            </w:r>
          </w:p>
        </w:tc>
        <w:tc>
          <w:tcPr>
            <w:tcW w:w="1540" w:type="dxa"/>
            <w:vAlign w:val="bottom"/>
            <w:tcBorders>
              <w:bottom w:val="single" w:sz="8" w:color="000041"/>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(1.2)</w:t>
            </w:r>
          </w:p>
        </w:tc>
        <w:tc>
          <w:tcPr>
            <w:tcW w:w="7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r>
      <w:tr>
        <w:trPr>
          <w:trHeight w:val="286"/>
        </w:trPr>
        <w:tc>
          <w:tcPr>
            <w:tcW w:w="69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Ending balances</w:t>
            </w:r>
          </w:p>
        </w:tc>
        <w:tc>
          <w:tcPr>
            <w:tcW w:w="1540" w:type="dxa"/>
            <w:vAlign w:val="bottom"/>
            <w:tcBorders>
              <w:bottom w:val="single" w:sz="8" w:color="000041"/>
            </w:tcBorders>
          </w:tcPr>
          <w:p>
            <w:pPr>
              <w:jc w:val="right"/>
              <w:ind w:right="250"/>
              <w:spacing w:after="0"/>
              <w:rPr>
                <w:sz w:val="20"/>
                <w:szCs w:val="20"/>
                <w:color w:val="auto"/>
              </w:rPr>
            </w:pPr>
            <w:r>
              <w:rPr>
                <w:rFonts w:ascii="Arial" w:cs="Arial" w:eastAsia="Arial" w:hAnsi="Arial"/>
                <w:sz w:val="18"/>
                <w:szCs w:val="18"/>
                <w:color w:val="auto"/>
              </w:rPr>
              <w:t>$24.4</w:t>
            </w:r>
          </w:p>
        </w:tc>
        <w:tc>
          <w:tcPr>
            <w:tcW w:w="10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їќӝў</w:t>
            </w:r>
          </w:p>
        </w:tc>
        <w:tc>
          <w:tcPr>
            <w:tcW w:w="7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јњӝћ</w:t>
            </w:r>
          </w:p>
        </w:tc>
      </w:tr>
    </w:tbl>
    <w:p>
      <w:pPr>
        <w:spacing w:after="0" w:line="221" w:lineRule="exact"/>
        <w:rPr>
          <w:sz w:val="20"/>
          <w:szCs w:val="20"/>
          <w:color w:val="auto"/>
        </w:rPr>
      </w:pPr>
    </w:p>
    <w:p>
      <w:pPr>
        <w:jc w:val="both"/>
        <w:ind w:right="20"/>
        <w:spacing w:after="0" w:line="228"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ɽɁɽƃȢ</w:t>
      </w:r>
      <w:r>
        <w:rPr>
          <w:rFonts w:ascii="PMingLiU" w:cs="PMingLiU" w:eastAsia="PMingLiU" w:hAnsi="PMingLiU"/>
          <w:sz w:val="18"/>
          <w:szCs w:val="18"/>
          <w:color w:val="auto"/>
        </w:rPr>
        <w:t/>
      </w:r>
      <w:r>
        <w:rPr>
          <w:rFonts w:ascii="Arial" w:cs="Arial" w:eastAsia="Arial" w:hAnsi="Arial"/>
          <w:sz w:val="18"/>
          <w:szCs w:val="18"/>
          <w:color w:val="auto"/>
        </w:rPr>
        <w:t>ƃȴɁʍȶɽ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ʍȶɨǉƺɁǼȶȈ˃ǉǁ</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ƹǉȶǉǹȈɽɰ</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Ȉǹ</w:t>
      </w:r>
      <w:r>
        <w:rPr>
          <w:rFonts w:ascii="PMingLiU" w:cs="PMingLiU" w:eastAsia="PMingLiU" w:hAnsi="PMingLiU"/>
          <w:sz w:val="18"/>
          <w:szCs w:val="18"/>
          <w:color w:val="auto"/>
        </w:rPr>
        <w:t/>
      </w:r>
      <w:r>
        <w:rPr>
          <w:rFonts w:ascii="Arial" w:cs="Arial" w:eastAsia="Arial" w:hAnsi="Arial"/>
          <w:sz w:val="18"/>
          <w:szCs w:val="18"/>
          <w:color w:val="auto"/>
        </w:rPr>
        <w:t xml:space="preserve"> ɨǉƺɁǼȶȈ˃ǉǁ</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ʥɁʍȢǁ</w:t>
      </w:r>
      <w:r>
        <w:rPr>
          <w:rFonts w:ascii="PMingLiU" w:cs="PMingLiU" w:eastAsia="PMingLiU" w:hAnsi="PMingLiU"/>
          <w:sz w:val="18"/>
          <w:szCs w:val="18"/>
          <w:color w:val="auto"/>
        </w:rPr>
        <w:t/>
      </w:r>
      <w:r>
        <w:rPr>
          <w:rFonts w:ascii="Arial" w:cs="Arial" w:eastAsia="Arial" w:hAnsi="Arial"/>
          <w:sz w:val="18"/>
          <w:szCs w:val="18"/>
          <w:color w:val="auto"/>
        </w:rPr>
        <w:t>Ȉȴɥƃƺɽ</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ǉǹǹǉƺ</w:t>
      </w:r>
      <w:r>
        <w:rPr>
          <w:rFonts w:ascii="Arial" w:cs="Arial" w:eastAsia="Arial" w:hAnsi="Arial"/>
          <w:sz w:val="18"/>
          <w:szCs w:val="18"/>
          <w:color w:val="auto"/>
        </w:rPr>
        <w:t xml:space="preserve">-tive tax rate is $24.4. Interest and penalties related to unrecognized tax benefits were $0.7 in 2025 and are classified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ƺɁȴɥɁȶǉȶɽ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ȈȶƺɁȴǉ</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ǉʯɥǉȶɰǉ</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ƺƺɨʍǉǁ</w:t>
      </w:r>
      <w:r>
        <w:rPr>
          <w:rFonts w:ascii="PMingLiU" w:cs="PMingLiU" w:eastAsia="PMingLiU" w:hAnsi="PMingLiU"/>
          <w:sz w:val="18"/>
          <w:szCs w:val="18"/>
          <w:color w:val="auto"/>
        </w:rPr>
        <w:t/>
      </w:r>
      <w:r>
        <w:rPr>
          <w:rFonts w:ascii="Arial" w:cs="Arial" w:eastAsia="Arial" w:hAnsi="Arial"/>
          <w:sz w:val="18"/>
          <w:szCs w:val="18"/>
          <w:color w:val="auto"/>
        </w:rPr>
        <w:t>Ȉȶɽǉɨǉɰɽ</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ɥǉȶƃȢɽȈǉɰ</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ѝӝњ</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ќӝѝ</w:t>
      </w:r>
      <w:r>
        <w:rPr>
          <w:rFonts w:ascii="PMingLiU" w:cs="PMingLiU" w:eastAsia="PMingLiU" w:hAnsi="PMingLiU"/>
          <w:sz w:val="18"/>
          <w:szCs w:val="18"/>
          <w:color w:val="auto"/>
        </w:rPr>
        <w:t/>
      </w:r>
      <w:r>
        <w:rPr>
          <w:rFonts w:ascii="Arial" w:cs="Arial" w:eastAsia="Arial" w:hAnsi="Arial"/>
          <w:sz w:val="18"/>
          <w:szCs w:val="18"/>
          <w:color w:val="auto"/>
        </w:rPr>
        <w:t>ƃɽ</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їѕїљӝ</w:t>
      </w:r>
      <w:r>
        <w:rPr>
          <w:rFonts w:ascii="PMingLiU" w:cs="PMingLiU" w:eastAsia="PMingLiU" w:hAnsi="PMingLiU"/>
          <w:sz w:val="18"/>
          <w:szCs w:val="18"/>
          <w:color w:val="auto"/>
        </w:rPr>
        <w:t/>
      </w:r>
      <w:r>
        <w:rPr>
          <w:rFonts w:ascii="Arial" w:cs="Arial" w:eastAsia="Arial" w:hAnsi="Arial"/>
          <w:sz w:val="18"/>
          <w:szCs w:val="18"/>
          <w:color w:val="auto"/>
        </w:rPr>
        <w:t>AʍɨȈȶǼ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ȶǉʯɽ</w:t>
      </w:r>
      <w:r>
        <w:rPr>
          <w:rFonts w:ascii="PMingLiU" w:cs="PMingLiU" w:eastAsia="PMingLiU" w:hAnsi="PMingLiU"/>
          <w:sz w:val="18"/>
          <w:szCs w:val="18"/>
          <w:color w:val="auto"/>
        </w:rPr>
        <w:t/>
      </w:r>
      <w:r>
        <w:rPr>
          <w:rFonts w:ascii="Arial" w:cs="Arial" w:eastAsia="Arial" w:hAnsi="Arial"/>
          <w:sz w:val="18"/>
          <w:szCs w:val="18"/>
          <w:color w:val="auto"/>
        </w:rPr>
        <w:t>ɽʥǉȢʤǉ</w:t>
      </w:r>
      <w:r>
        <w:rPr>
          <w:rFonts w:ascii="PMingLiU" w:cs="PMingLiU" w:eastAsia="PMingLiU" w:hAnsi="PMingLiU"/>
          <w:sz w:val="18"/>
          <w:szCs w:val="18"/>
          <w:color w:val="auto"/>
        </w:rPr>
        <w:t/>
      </w:r>
      <w:r>
        <w:rPr>
          <w:rFonts w:ascii="Arial" w:cs="Arial" w:eastAsia="Arial" w:hAnsi="Arial"/>
          <w:sz w:val="18"/>
          <w:szCs w:val="18"/>
          <w:color w:val="auto"/>
        </w:rPr>
        <w:t>ȴɁȶɽȃɰ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Ȉɽ</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ɨǉƃɰɁȶƃƹȢʰ</w:t>
      </w:r>
      <w:r>
        <w:rPr>
          <w:rFonts w:ascii="PMingLiU" w:cs="PMingLiU" w:eastAsia="PMingLiU" w:hAnsi="PMingLiU"/>
          <w:sz w:val="18"/>
          <w:szCs w:val="18"/>
          <w:color w:val="auto"/>
        </w:rPr>
        <w:t/>
      </w:r>
      <w:r>
        <w:rPr>
          <w:rFonts w:ascii="Arial" w:cs="Arial" w:eastAsia="Arial" w:hAnsi="Arial"/>
          <w:sz w:val="18"/>
          <w:szCs w:val="18"/>
          <w:color w:val="auto"/>
        </w:rPr>
        <w:t xml:space="preserve"> ɥɁɰɰȈƹȢǉ</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ʍȶɨǉƺɁǼȶȈ˃ǉǁ</w:t>
      </w:r>
      <w:r>
        <w:rPr>
          <w:rFonts w:ascii="PMingLiU" w:cs="PMingLiU" w:eastAsia="PMingLiU" w:hAnsi="PMingLiU"/>
          <w:sz w:val="18"/>
          <w:szCs w:val="18"/>
          <w:color w:val="auto"/>
        </w:rPr>
        <w:t/>
      </w:r>
      <w:r>
        <w:rPr>
          <w:rFonts w:ascii="Arial" w:cs="Arial" w:eastAsia="Arial" w:hAnsi="Arial"/>
          <w:sz w:val="18"/>
          <w:szCs w:val="18"/>
          <w:color w:val="auto"/>
        </w:rPr>
        <w:t>ɽƃʯ</w:t>
      </w:r>
      <w:r>
        <w:rPr>
          <w:rFonts w:ascii="PMingLiU" w:cs="PMingLiU" w:eastAsia="PMingLiU" w:hAnsi="PMingLiU"/>
          <w:sz w:val="18"/>
          <w:szCs w:val="18"/>
          <w:color w:val="auto"/>
        </w:rPr>
        <w:t/>
      </w:r>
      <w:r>
        <w:rPr>
          <w:rFonts w:ascii="Arial" w:cs="Arial" w:eastAsia="Arial" w:hAnsi="Arial"/>
          <w:sz w:val="18"/>
          <w:szCs w:val="18"/>
          <w:color w:val="auto"/>
        </w:rPr>
        <w:t>ƹǉȶǉǹȈɽɰ</w:t>
      </w:r>
      <w:r>
        <w:rPr>
          <w:rFonts w:ascii="PMingLiU" w:cs="PMingLiU" w:eastAsia="PMingLiU" w:hAnsi="PMingLiU"/>
          <w:sz w:val="18"/>
          <w:szCs w:val="18"/>
          <w:color w:val="auto"/>
        </w:rPr>
        <w:t/>
      </w:r>
      <w:r>
        <w:rPr>
          <w:rFonts w:ascii="Arial" w:cs="Arial" w:eastAsia="Arial" w:hAnsi="Arial"/>
          <w:sz w:val="18"/>
          <w:szCs w:val="18"/>
          <w:color w:val="auto"/>
        </w:rPr>
        <w:t>ȴƃʰ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decrease by a net amount of $6.0, mainly due to anticipated statute of limitations lapses in various jurisdictions.</w:t>
      </w:r>
    </w:p>
    <w:p>
      <w:pPr>
        <w:sectPr>
          <w:pgSz w:w="12240" w:h="15840" w:orient="portrait"/>
          <w:cols w:equalWidth="0" w:num="1">
            <w:col w:w="10380"/>
          </w:cols>
          <w:pgMar w:left="960" w:top="935" w:right="900" w:bottom="90" w:gutter="0" w:footer="0" w:header="0"/>
        </w:sectPr>
      </w:pPr>
    </w:p>
    <w:p>
      <w:pPr>
        <w:spacing w:after="0" w:line="222"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53</w:t>
      </w:r>
    </w:p>
    <w:p>
      <w:pPr>
        <w:sectPr>
          <w:pgSz w:w="12240" w:h="15840" w:orient="portrait"/>
          <w:cols w:equalWidth="0" w:num="1">
            <w:col w:w="10380"/>
          </w:cols>
          <w:pgMar w:left="960" w:top="935" w:right="900" w:bottom="90" w:gutter="0" w:footer="0" w:header="0"/>
          <w:type w:val="continuous"/>
        </w:sectPr>
      </w:pPr>
    </w:p>
    <w:bookmarkStart w:id="55" w:name="page56"/>
    <w:bookmarkEnd w:id="55"/>
    <w:p>
      <w:pPr>
        <w:jc w:val="both"/>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The Company and its subsidiaries are subject to examinations for U.S. federal income tax as well as income tax in var-ious state, city, and foreign jurisdictions. The Company’s federal income tax returns for 2022 through the current period remain open to examination and the relevant state, city, and foreign statutes vary. The Company does not expect the assessment of any significant additional tax in excess of amounts reserved.</w:t>
      </w:r>
    </w:p>
    <w:p>
      <w:pPr>
        <w:spacing w:after="0" w:line="38"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The Company intends to distribute substantially all historical unremitted foreign earnings up to the amount of excess foreign cash, as well as substantially all future foreign earnings that can be repatriated without incremental U.S. fed-eral tax cost. Any remaining outside basis differences relating to the Company’s investment in foreign subsidiaries are not expected to be material and are expected to be reinvested indefinitely.</w:t>
      </w:r>
    </w:p>
    <w:p>
      <w:pPr>
        <w:spacing w:after="0" w:line="159"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ӭѝӮ</w:t>
      </w:r>
      <w:r>
        <w:rPr>
          <w:rFonts w:ascii="PMingLiU" w:cs="PMingLiU" w:eastAsia="PMingLiU" w:hAnsi="PMingLiU"/>
          <w:sz w:val="20"/>
          <w:szCs w:val="20"/>
          <w:color w:val="000041"/>
        </w:rPr>
        <w:t/>
      </w:r>
      <w:r>
        <w:rPr>
          <w:rFonts w:ascii="Arial" w:cs="Arial" w:eastAsia="Arial" w:hAnsi="Arial"/>
          <w:sz w:val="20"/>
          <w:szCs w:val="20"/>
          <w:color w:val="000041"/>
        </w:rPr>
        <w:t>¸ÝÇ{</w:t>
      </w:r>
      <w:r>
        <w:rPr>
          <w:rFonts w:ascii="Arial" w:cs="Arial" w:eastAsia="Arial" w:hAnsi="Arial"/>
          <w:sz w:val="20"/>
          <w:szCs w:val="20"/>
          <w:color w:val="000041"/>
        </w:rPr>
        <w:t>ӳ</w:t>
      </w:r>
      <w:r>
        <w:rPr>
          <w:rFonts w:ascii="Arial" w:cs="Arial" w:eastAsia="Arial" w:hAnsi="Arial"/>
          <w:sz w:val="20"/>
          <w:szCs w:val="20"/>
          <w:color w:val="000041"/>
        </w:rPr>
        <w:t>ěKĄÃ</w:t>
      </w:r>
      <w:r>
        <w:rPr>
          <w:rFonts w:ascii="PMingLiU" w:cs="PMingLiU" w:eastAsia="PMingLiU" w:hAnsi="PMingLiU"/>
          <w:sz w:val="20"/>
          <w:szCs w:val="20"/>
          <w:color w:val="000041"/>
        </w:rPr>
        <w:t/>
      </w:r>
      <w:r>
        <w:rPr>
          <w:rFonts w:ascii="Arial" w:cs="Arial" w:eastAsia="Arial" w:hAnsi="Arial"/>
          <w:sz w:val="20"/>
          <w:szCs w:val="20"/>
          <w:color w:val="000041"/>
        </w:rPr>
        <w:t>AK9ě</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July 21, 2022, the Company entered into a five-year unsecured credit facility (the “Credit Agreement”) among Roper, the financial institutions from time to time party thereto, JPMorgan Chase Bank, N.A., as administrative agent, Bank of America, N.A. and Wells Fargo Bank, N.A., as syndication agents, and Mizuho Bank, Ltd., MUFG Bank, Ltd., PNC Bank, National Association, TD Bank, N.A., Truist Bank, and U.S. Bank, National Association, as documentation agents, which replaced the previous $3,000.0 unsecured credit facility, dated as of September 2, 2020, as amended. The Credit Agreement comprises a five-year $3,500.0 revolving credit facility, which includes availability of up to $150.0 for letters of credit. The Company may also, subject to compliance with specified conditions, request additional term loans or revolving credit commitments in an aggregate amount not to exceed $500.0.</w:t>
      </w:r>
    </w:p>
    <w:p>
      <w:pPr>
        <w:spacing w:after="0" w:line="48" w:lineRule="exact"/>
        <w:rPr>
          <w:sz w:val="20"/>
          <w:szCs w:val="20"/>
          <w:color w:val="auto"/>
        </w:rPr>
      </w:pPr>
    </w:p>
    <w:p>
      <w:pPr>
        <w:jc w:val="both"/>
        <w:ind w:right="40"/>
        <w:spacing w:after="0" w:line="265" w:lineRule="auto"/>
        <w:rPr>
          <w:sz w:val="20"/>
          <w:szCs w:val="20"/>
          <w:color w:val="auto"/>
        </w:rPr>
      </w:pPr>
      <w:r>
        <w:rPr>
          <w:rFonts w:ascii="Arial" w:cs="Arial" w:eastAsia="Arial" w:hAnsi="Arial"/>
          <w:sz w:val="18"/>
          <w:szCs w:val="18"/>
          <w:color w:val="auto"/>
        </w:rPr>
        <w:t>Loans under the Credit Agreement can be borrowed as term Secured Overnight Financing Rate (“SOFR”) loans or Alternate Base Rate (“ABR”) Loans, at the Company’s option. Each term SOFR loan will bear interest at a rate per annum equal to the applicable Adjusted Term SOFR rate plus a spread ranging from 0.795% to 1.300%, as determined by the Company’s senior unsecured long-term debt rating at such time. Based on the Company’s current rating, the spread for SOFR loans would be 0.910%. Each ABR Loan will bear interest at a rate per annum equal to the Alternate Base Rate plus a spread ranging from 0.000% to 0.300%, as determined by the Company’s senior unsecured long-term debt rating at such time. Based on the Company’s current rating, the spread for ABR Loans would be 0.000%.</w:t>
      </w:r>
    </w:p>
    <w:p>
      <w:pPr>
        <w:spacing w:after="0" w:line="50" w:lineRule="exact"/>
        <w:rPr>
          <w:sz w:val="20"/>
          <w:szCs w:val="20"/>
          <w:color w:val="auto"/>
        </w:rPr>
      </w:pPr>
    </w:p>
    <w:p>
      <w:pPr>
        <w:jc w:val="both"/>
        <w:ind w:right="40"/>
        <w:spacing w:after="0" w:line="280" w:lineRule="auto"/>
        <w:rPr>
          <w:sz w:val="20"/>
          <w:szCs w:val="20"/>
          <w:color w:val="auto"/>
        </w:rPr>
      </w:pPr>
      <w:r>
        <w:rPr>
          <w:rFonts w:ascii="Arial" w:cs="Arial" w:eastAsia="Arial" w:hAnsi="Arial"/>
          <w:sz w:val="18"/>
          <w:szCs w:val="18"/>
          <w:color w:val="auto"/>
        </w:rPr>
        <w:t>Amounts outstanding under the Credit Agreement may be accelerated upon the occurrence of customary events of default. The Credit Agreement requires the Company to maintain a Total Debt to Total Capital Ratio of 0.65 to 1.00, or less. Borrowings under the Credit Agreement are prepayable at Roper’s option at any time in whole or in part without premium or penalty.</w:t>
      </w:r>
    </w:p>
    <w:p>
      <w:pPr>
        <w:spacing w:after="0" w:line="265" w:lineRule="exact"/>
        <w:rPr>
          <w:sz w:val="20"/>
          <w:szCs w:val="20"/>
          <w:color w:val="auto"/>
        </w:rPr>
      </w:pPr>
    </w:p>
    <w:p>
      <w:pPr>
        <w:jc w:val="both"/>
        <w:spacing w:after="0" w:line="250"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ɽȃǉɨǉ</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ѝњѕӝѕ</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іїњӝѕ</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ƹɁɨɨɁʥȈȶǼɰ</w:t>
      </w:r>
      <w:r>
        <w:rPr>
          <w:rFonts w:ascii="PMingLiU" w:cs="PMingLiU" w:eastAsia="PMingLiU" w:hAnsi="PMingLiU"/>
          <w:sz w:val="18"/>
          <w:szCs w:val="18"/>
          <w:color w:val="auto"/>
        </w:rPr>
        <w:t/>
      </w:r>
      <w:r>
        <w:rPr>
          <w:rFonts w:ascii="Arial" w:cs="Arial" w:eastAsia="Arial" w:hAnsi="Arial"/>
          <w:sz w:val="18"/>
          <w:szCs w:val="18"/>
          <w:color w:val="auto"/>
        </w:rPr>
        <w:t>ɁʍɽɰɽƃȶǁȈȶǼ</w:t>
      </w:r>
      <w:r>
        <w:rPr>
          <w:rFonts w:ascii="PMingLiU" w:cs="PMingLiU" w:eastAsia="PMingLiU" w:hAnsi="PMingLiU"/>
          <w:sz w:val="18"/>
          <w:szCs w:val="18"/>
          <w:color w:val="auto"/>
        </w:rPr>
        <w:t/>
      </w:r>
      <w:r>
        <w:rPr>
          <w:rFonts w:ascii="Arial" w:cs="Arial" w:eastAsia="Arial" w:hAnsi="Arial"/>
          <w:sz w:val="18"/>
          <w:szCs w:val="18"/>
          <w:color w:val="auto"/>
        </w:rPr>
        <w:t>ʍȶǁǉɨ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:ɨǉǁȈɽ</w:t>
      </w:r>
      <w:r>
        <w:rPr>
          <w:rFonts w:ascii="PMingLiU" w:cs="PMingLiU" w:eastAsia="PMingLiU" w:hAnsi="PMingLiU"/>
          <w:sz w:val="18"/>
          <w:szCs w:val="18"/>
          <w:color w:val="auto"/>
        </w:rPr>
        <w:t/>
      </w:r>
      <w:r>
        <w:rPr>
          <w:rFonts w:ascii="Arial" w:cs="Arial" w:eastAsia="Arial" w:hAnsi="Arial"/>
          <w:sz w:val="18"/>
          <w:szCs w:val="18"/>
          <w:color w:val="auto"/>
        </w:rPr>
        <w:t>Ǽɨǉǉȴǉȶɽ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ɨǉɰɥǉƺɽȈʤǉȢʰ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 xml:space="preserve"> ěȃǉ</w:t>
      </w:r>
      <w:r>
        <w:rPr>
          <w:rFonts w:ascii="PMingLiU" w:cs="PMingLiU" w:eastAsia="PMingLiU" w:hAnsi="PMingLiU"/>
          <w:sz w:val="18"/>
          <w:szCs w:val="18"/>
          <w:color w:val="auto"/>
        </w:rPr>
        <w:t/>
      </w:r>
      <w:r>
        <w:rPr>
          <w:rFonts w:ascii="Arial" w:cs="Arial" w:eastAsia="Arial" w:hAnsi="Arial"/>
          <w:sz w:val="18"/>
          <w:szCs w:val="18"/>
          <w:color w:val="auto"/>
        </w:rPr>
        <w:t xml:space="preserve"> :Ɂȴɥƃȶʰ</w:t>
      </w:r>
      <w:r>
        <w:rPr>
          <w:rFonts w:ascii="PMingLiU" w:cs="PMingLiU" w:eastAsia="PMingLiU" w:hAnsi="PMingLiU"/>
          <w:sz w:val="18"/>
          <w:szCs w:val="18"/>
          <w:color w:val="auto"/>
        </w:rPr>
        <w:t/>
      </w:r>
      <w:r>
        <w:rPr>
          <w:rFonts w:ascii="Arial" w:cs="Arial" w:eastAsia="Arial" w:hAnsi="Arial"/>
          <w:sz w:val="18"/>
          <w:szCs w:val="18"/>
          <w:color w:val="auto"/>
        </w:rPr>
        <w:t xml:space="preserve"> ʥƃɰ</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ƺɁȴɥȢȈƃȶƺǉ</w:t>
      </w:r>
      <w:r>
        <w:rPr>
          <w:rFonts w:ascii="PMingLiU" w:cs="PMingLiU" w:eastAsia="PMingLiU" w:hAnsi="PMingLiU"/>
          <w:sz w:val="18"/>
          <w:szCs w:val="18"/>
          <w:color w:val="auto"/>
        </w:rPr>
        <w:t/>
      </w:r>
      <w:r>
        <w:rPr>
          <w:rFonts w:ascii="Arial" w:cs="Arial" w:eastAsia="Arial" w:hAnsi="Arial"/>
          <w:sz w:val="18"/>
          <w:szCs w:val="18"/>
          <w:color w:val="auto"/>
        </w:rPr>
        <w:t xml:space="preserve"> ʥȈɽȃ</w:t>
      </w:r>
      <w:r>
        <w:rPr>
          <w:rFonts w:ascii="PMingLiU" w:cs="PMingLiU" w:eastAsia="PMingLiU" w:hAnsi="PMingLiU"/>
          <w:sz w:val="18"/>
          <w:szCs w:val="18"/>
          <w:color w:val="auto"/>
        </w:rPr>
        <w:t/>
      </w:r>
      <w:r>
        <w:rPr>
          <w:rFonts w:ascii="Arial" w:cs="Arial" w:eastAsia="Arial" w:hAnsi="Arial"/>
          <w:sz w:val="18"/>
          <w:szCs w:val="18"/>
          <w:color w:val="auto"/>
        </w:rPr>
        <w:t xml:space="preserve"> Ȉɽɰ</w:t>
      </w:r>
      <w:r>
        <w:rPr>
          <w:rFonts w:ascii="PMingLiU" w:cs="PMingLiU" w:eastAsia="PMingLiU" w:hAnsi="PMingLiU"/>
          <w:sz w:val="18"/>
          <w:szCs w:val="18"/>
          <w:color w:val="auto"/>
        </w:rPr>
        <w:t/>
      </w:r>
      <w:r>
        <w:rPr>
          <w:rFonts w:ascii="Arial" w:cs="Arial" w:eastAsia="Arial" w:hAnsi="Arial"/>
          <w:sz w:val="18"/>
          <w:szCs w:val="18"/>
          <w:color w:val="auto"/>
        </w:rPr>
        <w:t xml:space="preserve"> ǁǉƹɽ</w:t>
      </w:r>
      <w:r>
        <w:rPr>
          <w:rFonts w:ascii="PMingLiU" w:cs="PMingLiU" w:eastAsia="PMingLiU" w:hAnsi="PMingLiU"/>
          <w:sz w:val="18"/>
          <w:szCs w:val="18"/>
          <w:color w:val="auto"/>
        </w:rPr>
        <w:t/>
      </w:r>
      <w:r>
        <w:rPr>
          <w:rFonts w:ascii="Arial" w:cs="Arial" w:eastAsia="Arial" w:hAnsi="Arial"/>
          <w:sz w:val="18"/>
          <w:szCs w:val="18"/>
          <w:color w:val="auto"/>
        </w:rPr>
        <w:t xml:space="preserve"> ƺɁʤǉȶƃȶɽɰ</w:t>
      </w:r>
      <w:r>
        <w:rPr>
          <w:rFonts w:ascii="PMingLiU" w:cs="PMingLiU" w:eastAsia="PMingLiU" w:hAnsi="PMingLiU"/>
          <w:sz w:val="18"/>
          <w:szCs w:val="18"/>
          <w:color w:val="auto"/>
        </w:rPr>
        <w:t/>
      </w:r>
      <w:r>
        <w:rPr>
          <w:rFonts w:ascii="Arial" w:cs="Arial" w:eastAsia="Arial" w:hAnsi="Arial"/>
          <w:sz w:val="18"/>
          <w:szCs w:val="18"/>
          <w:color w:val="auto"/>
        </w:rPr>
        <w:t xml:space="preserve"> ɽȃɨɁʍǼȃɁʍɽ</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ʰǉƃɨɰ</w:t>
      </w:r>
      <w:r>
        <w:rPr>
          <w:rFonts w:ascii="PMingLiU" w:cs="PMingLiU" w:eastAsia="PMingLiU" w:hAnsi="PMingLiU"/>
          <w:sz w:val="18"/>
          <w:szCs w:val="18"/>
          <w:color w:val="auto"/>
        </w:rPr>
        <w:t/>
      </w:r>
      <w:r>
        <w:rPr>
          <w:rFonts w:ascii="Arial" w:cs="Arial" w:eastAsia="Arial" w:hAnsi="Arial"/>
          <w:sz w:val="18"/>
          <w:szCs w:val="18"/>
          <w:color w:val="auto"/>
        </w:rPr>
        <w:t xml:space="preserve"> 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2025 and 2024.</w:t>
      </w:r>
    </w:p>
    <w:p>
      <w:pPr>
        <w:spacing w:after="0" w:line="270"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On August 12, 2025, the Company completed a public offering of $500.0 aggregate principal amount of 4.25% senior unsecured notes due September 15, 2028 (“2028 Notes”), $500.0 aggregate principal amount of 4.45% senior unsecured notes due September 15, 2030 (“2030 Notes”), and $1,000.0 aggregate principal amount 5.10% senior unsecured notes due September 15, 2035 (“2035 Notes” and, collectively with the 2028 Notes and 2030 Notes, the “Notes”). The net proceeds were used to repay a portion of the borrowings outstanding under our unsecured credit facility associated with our 2025 acquisitions, as well as to repay a portion of the senior notes due September 15, 2025.</w:t>
      </w:r>
    </w:p>
    <w:p>
      <w:pPr>
        <w:spacing w:after="0" w:line="48" w:lineRule="exact"/>
        <w:rPr>
          <w:sz w:val="20"/>
          <w:szCs w:val="20"/>
          <w:color w:val="auto"/>
        </w:rPr>
      </w:pPr>
    </w:p>
    <w:p>
      <w:pPr>
        <w:jc w:val="both"/>
        <w:ind w:right="40"/>
        <w:spacing w:after="0" w:line="318" w:lineRule="auto"/>
        <w:rPr>
          <w:sz w:val="20"/>
          <w:szCs w:val="20"/>
          <w:color w:val="auto"/>
        </w:rPr>
      </w:pPr>
      <w:r>
        <w:rPr>
          <w:rFonts w:ascii="Arial" w:cs="Arial" w:eastAsia="Arial" w:hAnsi="Arial"/>
          <w:sz w:val="18"/>
          <w:szCs w:val="18"/>
          <w:color w:val="auto"/>
        </w:rPr>
        <w:t>Each series of Notes bears interest at a fixed rate. Interest on the Notes will be payable semi-annually in arrears on March 15 and September 15 of each year, beginning March 15, 2026.</w:t>
      </w:r>
    </w:p>
    <w:p>
      <w:pPr>
        <w:spacing w:after="0" w:line="1"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On August 21, 2024, the Company completed a public offering of $500.0 aggregate principal amount of 4.50% senior unsecured notes due October 15, 2029 (“2029 Notes”), $500.0 aggregate principal amount of 4.75% senior unsecured notes due February 15, 2032 (“2032 Notes”), and $1,000.0 aggregate principal amount 4.90% senior unsecured notes due October 15, 2034 (“2034 Notes”). The net proceeds were used to repay a portion of the borrowings outstanding under our unsecured credit facility, including borrowings incurred on August 20, 2024 to fund the purchase price of the Transact acquisition, as well as to repay a portion of the senior notes due September 15, 2024.</w:t>
      </w:r>
    </w:p>
    <w:p>
      <w:pPr>
        <w:spacing w:after="0" w:line="48"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2029 Notes and 2034 Notes bear interest at a fixed rate, payable semi-annually in arrears on April 15 and October 15 of each year, beginning April 15, 2025. The 2032 Notes bear interest at a fixed rate, payable semi-annually in arrears on February 15 and August 15 of each year, beginning February 15, 2025.</w:t>
      </w:r>
    </w:p>
    <w:p>
      <w:pPr>
        <w:spacing w:after="0" w:line="27"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On June 22, 2020, the Company completed a public offering of $600.0 aggregate principal amount of 2.00% senior unsecured notes due June 30, 2030 (“Existing 2030 Notes”). The Existing 2030 Notes bear interest at a fixed rate, pay-able semi-annually in arrears on June 30 and December 30 of each year, beginning December 30, 2020.</w:t>
      </w:r>
    </w:p>
    <w:p>
      <w:pPr>
        <w:spacing w:after="0" w:line="27" w:lineRule="exact"/>
        <w:rPr>
          <w:sz w:val="20"/>
          <w:szCs w:val="20"/>
          <w:color w:val="auto"/>
        </w:rPr>
      </w:pPr>
    </w:p>
    <w:p>
      <w:pPr>
        <w:jc w:val="both"/>
        <w:ind w:right="40"/>
        <w:spacing w:after="0" w:line="273" w:lineRule="auto"/>
        <w:rPr>
          <w:sz w:val="20"/>
          <w:szCs w:val="20"/>
          <w:color w:val="auto"/>
        </w:rPr>
      </w:pPr>
      <w:r>
        <w:rPr>
          <w:rFonts w:ascii="Arial" w:cs="Arial" w:eastAsia="Arial" w:hAnsi="Arial"/>
          <w:sz w:val="18"/>
          <w:szCs w:val="18"/>
          <w:color w:val="auto"/>
        </w:rPr>
        <w:t>On September 1, 2020, the Company completed a public offering of $300.0 aggregate principal amount of 0.45% fixed-rate senior unsecured notes due August 15, 2022, $700.0 aggregate principal amount of 1.00% senior unsecured notes due September 15, 2025, $700.0 aggregate principal amount of 1.40% senior unsecured notes due September 15, 2027 (“2027 Notes”), and $1,000.0 aggregate principal amount of 1.75% senior unsecured notes due February 15, 2031 (“2031 Notes”).</w:t>
      </w:r>
    </w:p>
    <w:p>
      <w:pPr>
        <w:sectPr>
          <w:pgSz w:w="12240" w:h="15840" w:orient="portrait"/>
          <w:cols w:equalWidth="0" w:num="1">
            <w:col w:w="10360"/>
          </w:cols>
          <w:pgMar w:left="960" w:top="935" w:right="920" w:bottom="90" w:gutter="0" w:footer="0" w:header="0"/>
        </w:sectPr>
      </w:pPr>
    </w:p>
    <w:p>
      <w:pPr>
        <w:spacing w:after="0" w:line="200" w:lineRule="exact"/>
        <w:rPr>
          <w:sz w:val="20"/>
          <w:szCs w:val="20"/>
          <w:color w:val="auto"/>
        </w:rPr>
      </w:pPr>
    </w:p>
    <w:p>
      <w:pPr>
        <w:spacing w:after="0" w:line="274"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54</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60"/>
          </w:cols>
          <w:pgMar w:left="960" w:top="935" w:right="920" w:bottom="90" w:gutter="0" w:footer="0" w:header="0"/>
          <w:type w:val="continuous"/>
        </w:sectPr>
      </w:pPr>
    </w:p>
    <w:bookmarkStart w:id="56" w:name="page57"/>
    <w:bookmarkEnd w:id="56"/>
    <w:p>
      <w:pPr>
        <w:jc w:val="both"/>
        <w:ind w:right="6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The 2031 Notes bear interest at a fixed rate, payable semi-annually in arrears on February 15 and August 15 of each year, beginning February 15, 2021. The 2027 Notes bear interest at a fixed rate, payable semi-annually in arrears on March 15 and September 15 of each year, beginning March 15, 2021.</w:t>
      </w:r>
    </w:p>
    <w:p>
      <w:pPr>
        <w:spacing w:after="0" w:line="27" w:lineRule="exact"/>
        <w:rPr>
          <w:sz w:val="20"/>
          <w:szCs w:val="20"/>
          <w:color w:val="auto"/>
        </w:rPr>
      </w:pPr>
    </w:p>
    <w:p>
      <w:pPr>
        <w:jc w:val="both"/>
        <w:ind w:right="20"/>
        <w:spacing w:after="0" w:line="230" w:lineRule="exact"/>
        <w:rPr>
          <w:sz w:val="20"/>
          <w:szCs w:val="20"/>
          <w:color w:val="auto"/>
        </w:rPr>
      </w:pPr>
      <w:r>
        <w:rPr>
          <w:rFonts w:ascii="Arial" w:cs="Arial" w:eastAsia="Arial" w:hAnsi="Arial"/>
          <w:sz w:val="18"/>
          <w:szCs w:val="18"/>
          <w:color w:val="auto"/>
        </w:rPr>
        <w:t>Ýȶ</w:t>
      </w:r>
      <w:r>
        <w:rPr>
          <w:rFonts w:ascii="PMingLiU" w:cs="PMingLiU" w:eastAsia="PMingLiU" w:hAnsi="PMingLiU"/>
          <w:sz w:val="18"/>
          <w:szCs w:val="18"/>
          <w:color w:val="auto"/>
        </w:rPr>
        <w:t/>
      </w:r>
      <w:r>
        <w:rPr>
          <w:rFonts w:ascii="Arial" w:cs="Arial" w:eastAsia="Arial" w:hAnsi="Arial"/>
          <w:sz w:val="18"/>
          <w:szCs w:val="18"/>
          <w:color w:val="auto"/>
        </w:rPr>
        <w:t>ʍǼʍɰɽԝ</w:t>
      </w:r>
      <w:r>
        <w:rPr>
          <w:rFonts w:ascii="Arial" w:cs="Arial" w:eastAsia="Arial" w:hAnsi="Arial"/>
          <w:sz w:val="18"/>
          <w:szCs w:val="18"/>
          <w:color w:val="auto"/>
        </w:rPr>
        <w:t>їћӗ</w:t>
      </w:r>
      <w:r>
        <w:rPr>
          <w:rFonts w:ascii="PMingLiU" w:cs="PMingLiU" w:eastAsia="PMingLiU" w:hAnsi="PMingLiU"/>
          <w:sz w:val="18"/>
          <w:szCs w:val="18"/>
          <w:color w:val="auto"/>
        </w:rPr>
        <w:t/>
      </w:r>
      <w:r>
        <w:rPr>
          <w:rFonts w:ascii="Arial" w:cs="Arial" w:eastAsia="Arial" w:hAnsi="Arial"/>
          <w:sz w:val="18"/>
          <w:szCs w:val="18"/>
          <w:color w:val="auto"/>
        </w:rPr>
        <w:t>їѕіўӗ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ƺɁȴɥȢǉɽǉǁ</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ɥʍƹȢȈƺ</w:t>
      </w:r>
      <w:r>
        <w:rPr>
          <w:rFonts w:ascii="PMingLiU" w:cs="PMingLiU" w:eastAsia="PMingLiU" w:hAnsi="PMingLiU"/>
          <w:sz w:val="18"/>
          <w:szCs w:val="18"/>
          <w:color w:val="auto"/>
        </w:rPr>
        <w:t/>
      </w:r>
      <w:r>
        <w:rPr>
          <w:rFonts w:ascii="Arial" w:cs="Arial" w:eastAsia="Arial" w:hAnsi="Arial"/>
          <w:sz w:val="18"/>
          <w:szCs w:val="18"/>
          <w:color w:val="auto"/>
        </w:rPr>
        <w:t>ɁǹǹǉɨȈȶǼ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њѕѕӝѕ</w:t>
      </w:r>
      <w:r>
        <w:rPr>
          <w:rFonts w:ascii="PMingLiU" w:cs="PMingLiU" w:eastAsia="PMingLiU" w:hAnsi="PMingLiU"/>
          <w:sz w:val="18"/>
          <w:szCs w:val="18"/>
          <w:color w:val="auto"/>
        </w:rPr>
        <w:t/>
      </w:r>
      <w:r>
        <w:rPr>
          <w:rFonts w:ascii="Arial" w:cs="Arial" w:eastAsia="Arial" w:hAnsi="Arial"/>
          <w:sz w:val="18"/>
          <w:szCs w:val="18"/>
          <w:color w:val="auto"/>
        </w:rPr>
        <w:t>ƃǼǼɨǉǼƃɽǉ</w:t>
      </w:r>
      <w:r>
        <w:rPr>
          <w:rFonts w:ascii="PMingLiU" w:cs="PMingLiU" w:eastAsia="PMingLiU" w:hAnsi="PMingLiU"/>
          <w:sz w:val="18"/>
          <w:szCs w:val="18"/>
          <w:color w:val="auto"/>
        </w:rPr>
        <w:t/>
      </w:r>
      <w:r>
        <w:rPr>
          <w:rFonts w:ascii="Arial" w:cs="Arial" w:eastAsia="Arial" w:hAnsi="Arial"/>
          <w:sz w:val="18"/>
          <w:szCs w:val="18"/>
          <w:color w:val="auto"/>
        </w:rPr>
        <w:t>ɥɨȈȶƺȈɥƃȢ</w:t>
      </w:r>
      <w:r>
        <w:rPr>
          <w:rFonts w:ascii="PMingLiU" w:cs="PMingLiU" w:eastAsia="PMingLiU" w:hAnsi="PMingLiU"/>
          <w:sz w:val="18"/>
          <w:szCs w:val="18"/>
          <w:color w:val="auto"/>
        </w:rPr>
        <w:t/>
      </w:r>
      <w:r>
        <w:rPr>
          <w:rFonts w:ascii="Arial" w:cs="Arial" w:eastAsia="Arial" w:hAnsi="Arial"/>
          <w:sz w:val="18"/>
          <w:szCs w:val="18"/>
          <w:color w:val="auto"/>
        </w:rPr>
        <w:t>ƃȴɁʍȶɽ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їӝјњ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ǹȈʯǉǁ</w:t>
      </w:r>
      <w:r>
        <w:rPr>
          <w:rFonts w:ascii="Arial" w:cs="Arial" w:eastAsia="Arial" w:hAnsi="Arial"/>
          <w:sz w:val="18"/>
          <w:szCs w:val="18"/>
          <w:color w:val="auto"/>
        </w:rPr>
        <w:t>Ӹ</w:t>
      </w:r>
      <w:r>
        <w:rPr>
          <w:rFonts w:ascii="Arial" w:cs="Arial" w:eastAsia="Arial" w:hAnsi="Arial"/>
          <w:sz w:val="18"/>
          <w:szCs w:val="18"/>
          <w:color w:val="auto"/>
        </w:rPr>
        <w:t xml:space="preserve"> ɨƃɽǉ</w:t>
      </w:r>
      <w:r>
        <w:rPr>
          <w:rFonts w:ascii="PMingLiU" w:cs="PMingLiU" w:eastAsia="PMingLiU" w:hAnsi="PMingLiU"/>
          <w:sz w:val="18"/>
          <w:szCs w:val="18"/>
          <w:color w:val="auto"/>
        </w:rPr>
        <w:t/>
      </w:r>
      <w:r>
        <w:rPr>
          <w:rFonts w:ascii="Arial" w:cs="Arial" w:eastAsia="Arial" w:hAnsi="Arial"/>
          <w:sz w:val="18"/>
          <w:szCs w:val="18"/>
          <w:color w:val="auto"/>
        </w:rPr>
        <w:t>ɰǉȶȈɁɨ</w:t>
      </w:r>
      <w:r>
        <w:rPr>
          <w:rFonts w:ascii="PMingLiU" w:cs="PMingLiU" w:eastAsia="PMingLiU" w:hAnsi="PMingLiU"/>
          <w:sz w:val="18"/>
          <w:szCs w:val="18"/>
          <w:color w:val="auto"/>
        </w:rPr>
        <w:t/>
      </w:r>
      <w:r>
        <w:rPr>
          <w:rFonts w:ascii="Arial" w:cs="Arial" w:eastAsia="Arial" w:hAnsi="Arial"/>
          <w:sz w:val="18"/>
          <w:szCs w:val="18"/>
          <w:color w:val="auto"/>
        </w:rPr>
        <w:t>ʍȶɰǉƺʍɨǉǁ</w:t>
      </w:r>
      <w:r>
        <w:rPr>
          <w:rFonts w:ascii="PMingLiU" w:cs="PMingLiU" w:eastAsia="PMingLiU" w:hAnsi="PMingLiU"/>
          <w:sz w:val="18"/>
          <w:szCs w:val="18"/>
          <w:color w:val="auto"/>
        </w:rPr>
        <w:t/>
      </w:r>
      <w:r>
        <w:rPr>
          <w:rFonts w:ascii="Arial" w:cs="Arial" w:eastAsia="Arial" w:hAnsi="Arial"/>
          <w:sz w:val="18"/>
          <w:szCs w:val="18"/>
          <w:color w:val="auto"/>
        </w:rPr>
        <w:t>ȶɁɽǉɰ</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Čǉɥɽǉȴƹǉɨԝ</w:t>
      </w:r>
      <w:r>
        <w:rPr>
          <w:rFonts w:ascii="Arial" w:cs="Arial" w:eastAsia="Arial" w:hAnsi="Arial"/>
          <w:sz w:val="18"/>
          <w:szCs w:val="18"/>
          <w:color w:val="auto"/>
        </w:rPr>
        <w:t>іњӗ</w:t>
      </w:r>
      <w:r>
        <w:rPr>
          <w:rFonts w:ascii="PMingLiU" w:cs="PMingLiU" w:eastAsia="PMingLiU" w:hAnsi="PMingLiU"/>
          <w:sz w:val="18"/>
          <w:szCs w:val="18"/>
          <w:color w:val="auto"/>
        </w:rPr>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ќѕѕӝѕ</w:t>
      </w:r>
      <w:r>
        <w:rPr>
          <w:rFonts w:ascii="PMingLiU" w:cs="PMingLiU" w:eastAsia="PMingLiU" w:hAnsi="PMingLiU"/>
          <w:sz w:val="18"/>
          <w:szCs w:val="18"/>
          <w:color w:val="auto"/>
        </w:rPr>
        <w:t/>
      </w:r>
      <w:r>
        <w:rPr>
          <w:rFonts w:ascii="Arial" w:cs="Arial" w:eastAsia="Arial" w:hAnsi="Arial"/>
          <w:sz w:val="18"/>
          <w:szCs w:val="18"/>
          <w:color w:val="auto"/>
        </w:rPr>
        <w:t>ƃǼǼɨǉǼƃɽǉ</w:t>
      </w:r>
      <w:r>
        <w:rPr>
          <w:rFonts w:ascii="PMingLiU" w:cs="PMingLiU" w:eastAsia="PMingLiU" w:hAnsi="PMingLiU"/>
          <w:sz w:val="18"/>
          <w:szCs w:val="18"/>
          <w:color w:val="auto"/>
        </w:rPr>
        <w:t/>
      </w:r>
      <w:r>
        <w:rPr>
          <w:rFonts w:ascii="Arial" w:cs="Arial" w:eastAsia="Arial" w:hAnsi="Arial"/>
          <w:sz w:val="18"/>
          <w:szCs w:val="18"/>
          <w:color w:val="auto"/>
        </w:rPr>
        <w:t>ɥɨȈȶƺȈɥƃȢ</w:t>
      </w:r>
      <w:r>
        <w:rPr>
          <w:rFonts w:ascii="PMingLiU" w:cs="PMingLiU" w:eastAsia="PMingLiU" w:hAnsi="PMingLiU"/>
          <w:sz w:val="18"/>
          <w:szCs w:val="18"/>
          <w:color w:val="auto"/>
        </w:rPr>
        <w:t/>
      </w:r>
      <w:r>
        <w:rPr>
          <w:rFonts w:ascii="Arial" w:cs="Arial" w:eastAsia="Arial" w:hAnsi="Arial"/>
          <w:sz w:val="18"/>
          <w:szCs w:val="18"/>
          <w:color w:val="auto"/>
        </w:rPr>
        <w:t>ƃȴɁʍȶɽ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їӝўњ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ɰǉȶȈɁɨ</w:t>
      </w:r>
      <w:r>
        <w:rPr>
          <w:rFonts w:ascii="PMingLiU" w:cs="PMingLiU" w:eastAsia="PMingLiU" w:hAnsi="PMingLiU"/>
          <w:sz w:val="18"/>
          <w:szCs w:val="18"/>
          <w:color w:val="auto"/>
        </w:rPr>
        <w:t/>
      </w:r>
      <w:r>
        <w:rPr>
          <w:rFonts w:ascii="Arial" w:cs="Arial" w:eastAsia="Arial" w:hAnsi="Arial"/>
          <w:sz w:val="18"/>
          <w:szCs w:val="18"/>
          <w:color w:val="auto"/>
        </w:rPr>
        <w:t>ʍȶɰǉ</w:t>
      </w:r>
      <w:r>
        <w:rPr>
          <w:rFonts w:ascii="Arial" w:cs="Arial" w:eastAsia="Arial" w:hAnsi="Arial"/>
          <w:sz w:val="18"/>
          <w:szCs w:val="18"/>
          <w:color w:val="auto"/>
        </w:rPr>
        <w:t>-</w:t>
      </w:r>
      <w:r>
        <w:rPr>
          <w:rFonts w:ascii="Arial" w:cs="Arial" w:eastAsia="Arial" w:hAnsi="Arial"/>
          <w:sz w:val="18"/>
          <w:szCs w:val="18"/>
          <w:color w:val="auto"/>
        </w:rPr>
        <w:t>ƺʍɨǉǁ</w:t>
      </w:r>
      <w:r>
        <w:rPr>
          <w:rFonts w:ascii="PMingLiU" w:cs="PMingLiU" w:eastAsia="PMingLiU" w:hAnsi="PMingLiU"/>
          <w:sz w:val="18"/>
          <w:szCs w:val="18"/>
          <w:color w:val="auto"/>
        </w:rPr>
        <w:t/>
      </w:r>
      <w:r>
        <w:rPr>
          <w:rFonts w:ascii="Arial" w:cs="Arial" w:eastAsia="Arial" w:hAnsi="Arial"/>
          <w:sz w:val="18"/>
          <w:szCs w:val="18"/>
          <w:color w:val="auto"/>
        </w:rPr>
        <w:t xml:space="preserve"> ȶɁɽǉɰ</w:t>
      </w:r>
      <w:r>
        <w:rPr>
          <w:rFonts w:ascii="PMingLiU" w:cs="PMingLiU" w:eastAsia="PMingLiU" w:hAnsi="PMingLiU"/>
          <w:sz w:val="18"/>
          <w:szCs w:val="18"/>
          <w:color w:val="auto"/>
        </w:rPr>
        <w:t/>
      </w:r>
      <w:r>
        <w:rPr>
          <w:rFonts w:ascii="Arial" w:cs="Arial" w:eastAsia="Arial" w:hAnsi="Arial"/>
          <w:sz w:val="18"/>
          <w:szCs w:val="18"/>
          <w:color w:val="auto"/>
        </w:rPr>
        <w:t xml:space="preserve"> ǁʍǉ</w:t>
      </w:r>
      <w:r>
        <w:rPr>
          <w:rFonts w:ascii="PMingLiU" w:cs="PMingLiU" w:eastAsia="PMingLiU" w:hAnsi="PMingLiU"/>
          <w:sz w:val="18"/>
          <w:szCs w:val="18"/>
          <w:color w:val="auto"/>
        </w:rPr>
        <w:t/>
      </w:r>
      <w:r>
        <w:rPr>
          <w:rFonts w:ascii="Arial" w:cs="Arial" w:eastAsia="Arial" w:hAnsi="Arial"/>
          <w:sz w:val="18"/>
          <w:szCs w:val="18"/>
          <w:color w:val="auto"/>
        </w:rPr>
        <w:t xml:space="preserve"> Čǉɥɽǉȴƹǉɨԝ </w:t>
      </w:r>
      <w:r>
        <w:rPr>
          <w:rFonts w:ascii="Arial" w:cs="Arial" w:eastAsia="Arial" w:hAnsi="Arial"/>
          <w:sz w:val="18"/>
          <w:szCs w:val="18"/>
          <w:color w:val="auto"/>
        </w:rPr>
        <w:t>іњӗ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їѕїў</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ӯ</w:t>
      </w:r>
      <w:r>
        <w:rPr>
          <w:rFonts w:ascii="Arial" w:cs="Arial" w:eastAsia="Arial" w:hAnsi="Arial"/>
          <w:sz w:val="18"/>
          <w:szCs w:val="18"/>
          <w:color w:val="auto"/>
        </w:rPr>
        <w:t>ԄKʯȈɰɽȈȶǼ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їѕїў</w:t>
      </w:r>
      <w:r>
        <w:rPr>
          <w:rFonts w:ascii="PMingLiU" w:cs="PMingLiU" w:eastAsia="PMingLiU" w:hAnsi="PMingLiU"/>
          <w:sz w:val="18"/>
          <w:szCs w:val="18"/>
          <w:color w:val="auto"/>
        </w:rPr>
        <w:t/>
      </w:r>
      <w:r>
        <w:rPr>
          <w:rFonts w:ascii="Arial" w:cs="Arial" w:eastAsia="Arial" w:hAnsi="Arial"/>
          <w:sz w:val="18"/>
          <w:szCs w:val="18"/>
          <w:color w:val="auto"/>
        </w:rPr>
        <w:t xml:space="preserve"> ÇɁɽǉɰԅ</w:t>
      </w:r>
      <w:r>
        <w:rPr>
          <w:rFonts w:ascii="Arial" w:cs="Arial" w:eastAsia="Arial" w:hAnsi="Arial"/>
          <w:sz w:val="18"/>
          <w:szCs w:val="18"/>
          <w:color w:val="auto"/>
        </w:rPr>
        <w:t>Ӱӝ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 xml:space="preserve"> KʯȈɰɽȈȶǼ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їѕїў</w:t>
      </w:r>
      <w:r>
        <w:rPr>
          <w:rFonts w:ascii="PMingLiU" w:cs="PMingLiU" w:eastAsia="PMingLiU" w:hAnsi="PMingLiU"/>
          <w:sz w:val="18"/>
          <w:szCs w:val="18"/>
          <w:color w:val="auto"/>
        </w:rPr>
        <w:t/>
      </w:r>
      <w:r>
        <w:rPr>
          <w:rFonts w:ascii="Arial" w:cs="Arial" w:eastAsia="Arial" w:hAnsi="Arial"/>
          <w:sz w:val="18"/>
          <w:szCs w:val="18"/>
          <w:color w:val="auto"/>
        </w:rPr>
        <w:t xml:space="preserve"> ÇɁɽǉɰ</w:t>
      </w:r>
      <w:r>
        <w:rPr>
          <w:rFonts w:ascii="PMingLiU" w:cs="PMingLiU" w:eastAsia="PMingLiU" w:hAnsi="PMingLiU"/>
          <w:sz w:val="18"/>
          <w:szCs w:val="18"/>
          <w:color w:val="auto"/>
        </w:rPr>
        <w:t/>
      </w:r>
      <w:r>
        <w:rPr>
          <w:rFonts w:ascii="Arial" w:cs="Arial" w:eastAsia="Arial" w:hAnsi="Arial"/>
          <w:sz w:val="18"/>
          <w:szCs w:val="18"/>
          <w:color w:val="auto"/>
        </w:rPr>
        <w:t xml:space="preserve"> ƹǉƃɨ</w:t>
      </w:r>
      <w:r>
        <w:rPr>
          <w:rFonts w:ascii="PMingLiU" w:cs="PMingLiU" w:eastAsia="PMingLiU" w:hAnsi="PMingLiU"/>
          <w:sz w:val="18"/>
          <w:szCs w:val="18"/>
          <w:color w:val="auto"/>
        </w:rPr>
        <w:t/>
      </w:r>
      <w:r>
        <w:rPr>
          <w:rFonts w:ascii="Arial" w:cs="Arial" w:eastAsia="Arial" w:hAnsi="Arial"/>
          <w:sz w:val="18"/>
          <w:szCs w:val="18"/>
          <w:color w:val="auto"/>
        </w:rPr>
        <w:t xml:space="preserve"> Ȉȶɽǉɨǉɰɽ</w:t>
      </w:r>
      <w:r>
        <w:rPr>
          <w:rFonts w:ascii="PMingLiU" w:cs="PMingLiU" w:eastAsia="PMingLiU" w:hAnsi="PMingLiU"/>
          <w:sz w:val="18"/>
          <w:szCs w:val="18"/>
          <w:color w:val="auto"/>
        </w:rPr>
        <w:t/>
      </w:r>
      <w:r>
        <w:rPr>
          <w:rFonts w:ascii="Arial" w:cs="Arial" w:eastAsia="Arial" w:hAnsi="Arial"/>
          <w:sz w:val="18"/>
          <w:szCs w:val="18"/>
          <w:color w:val="auto"/>
        </w:rPr>
        <w:t xml:space="preserve"> ƃɽ</w:t>
      </w:r>
      <w:r>
        <w:rPr>
          <w:rFonts w:ascii="PMingLiU" w:cs="PMingLiU" w:eastAsia="PMingLiU" w:hAnsi="PMingLiU"/>
          <w:sz w:val="18"/>
          <w:szCs w:val="18"/>
          <w:color w:val="auto"/>
        </w:rPr>
        <w:t/>
      </w:r>
      <w:r>
        <w:rPr>
          <w:rFonts w:ascii="Arial" w:cs="Arial" w:eastAsia="Arial" w:hAnsi="Arial"/>
          <w:sz w:val="18"/>
          <w:szCs w:val="18"/>
          <w:color w:val="auto"/>
        </w:rPr>
        <w:t xml:space="preserve"> ƃ</w:t>
      </w:r>
      <w:r>
        <w:rPr>
          <w:rFonts w:ascii="PMingLiU" w:cs="PMingLiU" w:eastAsia="PMingLiU" w:hAnsi="PMingLiU"/>
          <w:sz w:val="18"/>
          <w:szCs w:val="18"/>
          <w:color w:val="auto"/>
        </w:rPr>
        <w:t/>
      </w:r>
      <w:r>
        <w:rPr>
          <w:rFonts w:ascii="Arial" w:cs="Arial" w:eastAsia="Arial" w:hAnsi="Arial"/>
          <w:sz w:val="18"/>
          <w:szCs w:val="18"/>
          <w:color w:val="auto"/>
        </w:rPr>
        <w:t xml:space="preserve"> ǹȈʯǉǁ</w:t>
      </w:r>
      <w:r>
        <w:rPr>
          <w:rFonts w:ascii="PMingLiU" w:cs="PMingLiU" w:eastAsia="PMingLiU" w:hAnsi="PMingLiU"/>
          <w:sz w:val="18"/>
          <w:szCs w:val="18"/>
          <w:color w:val="auto"/>
        </w:rPr>
        <w:t/>
      </w:r>
      <w:r>
        <w:rPr>
          <w:rFonts w:ascii="Arial" w:cs="Arial" w:eastAsia="Arial" w:hAnsi="Arial"/>
          <w:sz w:val="18"/>
          <w:szCs w:val="18"/>
          <w:color w:val="auto"/>
        </w:rPr>
        <w:t xml:space="preserve"> ɨƃɽǉ</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ɥƃʰƃƹȢǉ</w:t>
      </w:r>
      <w:r>
        <w:rPr>
          <w:rFonts w:ascii="PMingLiU" w:cs="PMingLiU" w:eastAsia="PMingLiU" w:hAnsi="PMingLiU"/>
          <w:sz w:val="18"/>
          <w:szCs w:val="18"/>
          <w:color w:val="auto"/>
        </w:rPr>
        <w:t/>
      </w:r>
      <w:r>
        <w:rPr>
          <w:rFonts w:ascii="Arial" w:cs="Arial" w:eastAsia="Arial" w:hAnsi="Arial"/>
          <w:sz w:val="18"/>
          <w:szCs w:val="18"/>
          <w:color w:val="auto"/>
        </w:rPr>
        <w:t>ɰǉȴȈ</w:t>
      </w:r>
      <w:r>
        <w:rPr>
          <w:rFonts w:ascii="Arial" w:cs="Arial" w:eastAsia="Arial" w:hAnsi="Arial"/>
          <w:sz w:val="18"/>
          <w:szCs w:val="18"/>
          <w:color w:val="auto"/>
        </w:rPr>
        <w:t>Ӹ</w:t>
      </w:r>
      <w:r>
        <w:rPr>
          <w:rFonts w:ascii="Arial" w:cs="Arial" w:eastAsia="Arial" w:hAnsi="Arial"/>
          <w:sz w:val="18"/>
          <w:szCs w:val="18"/>
          <w:color w:val="auto"/>
        </w:rPr>
        <w:t>ƃȶȶʍƃȢȢʰ</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ƃɨɨǉƃɨɰ</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Ãƃɨƺȃ</w:t>
      </w:r>
      <w:r>
        <w:rPr>
          <w:rFonts w:ascii="PMingLiU" w:cs="PMingLiU" w:eastAsia="PMingLiU" w:hAnsi="PMingLiU"/>
          <w:sz w:val="18"/>
          <w:szCs w:val="18"/>
          <w:color w:val="auto"/>
        </w:rPr>
        <w:t/>
      </w:r>
      <w:r>
        <w:rPr>
          <w:rFonts w:ascii="Arial" w:cs="Arial" w:eastAsia="Arial" w:hAnsi="Arial"/>
          <w:sz w:val="18"/>
          <w:szCs w:val="18"/>
          <w:color w:val="auto"/>
        </w:rPr>
        <w:t>іњ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Čǉɥɽǉȴƹǉɨ</w:t>
      </w:r>
      <w:r>
        <w:rPr>
          <w:rFonts w:ascii="PMingLiU" w:cs="PMingLiU" w:eastAsia="PMingLiU" w:hAnsi="PMingLiU"/>
          <w:sz w:val="18"/>
          <w:szCs w:val="18"/>
          <w:color w:val="auto"/>
        </w:rPr>
        <w:t/>
      </w:r>
      <w:r>
        <w:rPr>
          <w:rFonts w:ascii="Arial" w:cs="Arial" w:eastAsia="Arial" w:hAnsi="Arial"/>
          <w:sz w:val="18"/>
          <w:szCs w:val="18"/>
          <w:color w:val="auto"/>
        </w:rPr>
        <w:t>іњ</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ǉƃƺȃ</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ƹǉǼȈȶȶȈȶǼ</w:t>
      </w:r>
      <w:r>
        <w:rPr>
          <w:rFonts w:ascii="PMingLiU" w:cs="PMingLiU" w:eastAsia="PMingLiU" w:hAnsi="PMingLiU"/>
          <w:sz w:val="18"/>
          <w:szCs w:val="18"/>
          <w:color w:val="auto"/>
        </w:rPr>
        <w:t/>
      </w:r>
      <w:r>
        <w:rPr>
          <w:rFonts w:ascii="Arial" w:cs="Arial" w:eastAsia="Arial" w:hAnsi="Arial"/>
          <w:sz w:val="18"/>
          <w:szCs w:val="18"/>
          <w:color w:val="auto"/>
        </w:rPr>
        <w:t>Ãƃɨƺȃԝ</w:t>
      </w:r>
      <w:r>
        <w:rPr>
          <w:rFonts w:ascii="Arial" w:cs="Arial" w:eastAsia="Arial" w:hAnsi="Arial"/>
          <w:sz w:val="18"/>
          <w:szCs w:val="18"/>
          <w:color w:val="auto"/>
        </w:rPr>
        <w:t>іњӗ</w:t>
      </w:r>
      <w:r>
        <w:rPr>
          <w:rFonts w:ascii="PMingLiU" w:cs="PMingLiU" w:eastAsia="PMingLiU" w:hAnsi="PMingLiU"/>
          <w:sz w:val="18"/>
          <w:szCs w:val="18"/>
          <w:color w:val="auto"/>
        </w:rPr>
        <w:t/>
      </w:r>
      <w:r>
        <w:rPr>
          <w:rFonts w:ascii="Arial" w:cs="Arial" w:eastAsia="Arial" w:hAnsi="Arial"/>
          <w:sz w:val="18"/>
          <w:szCs w:val="18"/>
          <w:color w:val="auto"/>
        </w:rPr>
        <w:t>їѕїѕӝ</w:t>
      </w:r>
    </w:p>
    <w:p>
      <w:pPr>
        <w:spacing w:after="0" w:line="70" w:lineRule="exact"/>
        <w:rPr>
          <w:sz w:val="20"/>
          <w:szCs w:val="20"/>
          <w:color w:val="auto"/>
        </w:rPr>
      </w:pPr>
    </w:p>
    <w:p>
      <w:pPr>
        <w:jc w:val="both"/>
        <w:ind w:right="20"/>
        <w:spacing w:after="0" w:line="230" w:lineRule="exact"/>
        <w:rPr>
          <w:sz w:val="20"/>
          <w:szCs w:val="20"/>
          <w:color w:val="auto"/>
        </w:rPr>
      </w:pPr>
      <w:r>
        <w:rPr>
          <w:rFonts w:ascii="Arial" w:cs="Arial" w:eastAsia="Arial" w:hAnsi="Arial"/>
          <w:sz w:val="18"/>
          <w:szCs w:val="18"/>
          <w:color w:val="auto"/>
        </w:rPr>
        <w:t>Ýȶ</w:t>
      </w:r>
      <w:r>
        <w:rPr>
          <w:rFonts w:ascii="PMingLiU" w:cs="PMingLiU" w:eastAsia="PMingLiU" w:hAnsi="PMingLiU"/>
          <w:sz w:val="18"/>
          <w:szCs w:val="18"/>
          <w:color w:val="auto"/>
        </w:rPr>
        <w:t/>
      </w:r>
      <w:r>
        <w:rPr>
          <w:rFonts w:ascii="Arial" w:cs="Arial" w:eastAsia="Arial" w:hAnsi="Arial"/>
          <w:sz w:val="18"/>
          <w:szCs w:val="18"/>
          <w:color w:val="auto"/>
        </w:rPr>
        <w:t>ʍǼʍɰɽԝ</w:t>
      </w:r>
      <w:r>
        <w:rPr>
          <w:rFonts w:ascii="Arial" w:cs="Arial" w:eastAsia="Arial" w:hAnsi="Arial"/>
          <w:sz w:val="18"/>
          <w:szCs w:val="18"/>
          <w:color w:val="auto"/>
        </w:rPr>
        <w:t>їѝӗ</w:t>
      </w:r>
      <w:r>
        <w:rPr>
          <w:rFonts w:ascii="PMingLiU" w:cs="PMingLiU" w:eastAsia="PMingLiU" w:hAnsi="PMingLiU"/>
          <w:sz w:val="18"/>
          <w:szCs w:val="18"/>
          <w:color w:val="auto"/>
        </w:rPr>
        <w:t/>
      </w:r>
      <w:r>
        <w:rPr>
          <w:rFonts w:ascii="Arial" w:cs="Arial" w:eastAsia="Arial" w:hAnsi="Arial"/>
          <w:sz w:val="18"/>
          <w:szCs w:val="18"/>
          <w:color w:val="auto"/>
        </w:rPr>
        <w:t>їѕіѝӗ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ƺɁȴɥȢǉɽǉǁ</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ɥʍƹȢȈƺ</w:t>
      </w:r>
      <w:r>
        <w:rPr>
          <w:rFonts w:ascii="PMingLiU" w:cs="PMingLiU" w:eastAsia="PMingLiU" w:hAnsi="PMingLiU"/>
          <w:sz w:val="18"/>
          <w:szCs w:val="18"/>
          <w:color w:val="auto"/>
        </w:rPr>
        <w:t/>
      </w:r>
      <w:r>
        <w:rPr>
          <w:rFonts w:ascii="Arial" w:cs="Arial" w:eastAsia="Arial" w:hAnsi="Arial"/>
          <w:sz w:val="18"/>
          <w:szCs w:val="18"/>
          <w:color w:val="auto"/>
        </w:rPr>
        <w:t>ɁǹǹǉɨȈȶǼ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ќѕѕӝѕ</w:t>
      </w:r>
      <w:r>
        <w:rPr>
          <w:rFonts w:ascii="PMingLiU" w:cs="PMingLiU" w:eastAsia="PMingLiU" w:hAnsi="PMingLiU"/>
          <w:sz w:val="18"/>
          <w:szCs w:val="18"/>
          <w:color w:val="auto"/>
        </w:rPr>
        <w:t/>
      </w:r>
      <w:r>
        <w:rPr>
          <w:rFonts w:ascii="Arial" w:cs="Arial" w:eastAsia="Arial" w:hAnsi="Arial"/>
          <w:sz w:val="18"/>
          <w:szCs w:val="18"/>
          <w:color w:val="auto"/>
        </w:rPr>
        <w:t>ƃǼǼɨǉǼƃɽǉ</w:t>
      </w:r>
      <w:r>
        <w:rPr>
          <w:rFonts w:ascii="PMingLiU" w:cs="PMingLiU" w:eastAsia="PMingLiU" w:hAnsi="PMingLiU"/>
          <w:sz w:val="18"/>
          <w:szCs w:val="18"/>
          <w:color w:val="auto"/>
        </w:rPr>
        <w:t/>
      </w:r>
      <w:r>
        <w:rPr>
          <w:rFonts w:ascii="Arial" w:cs="Arial" w:eastAsia="Arial" w:hAnsi="Arial"/>
          <w:sz w:val="18"/>
          <w:szCs w:val="18"/>
          <w:color w:val="auto"/>
        </w:rPr>
        <w:t>ɥɨȈȶƺȈɥƃȢ</w:t>
      </w:r>
      <w:r>
        <w:rPr>
          <w:rFonts w:ascii="PMingLiU" w:cs="PMingLiU" w:eastAsia="PMingLiU" w:hAnsi="PMingLiU"/>
          <w:sz w:val="18"/>
          <w:szCs w:val="18"/>
          <w:color w:val="auto"/>
        </w:rPr>
        <w:t/>
      </w:r>
      <w:r>
        <w:rPr>
          <w:rFonts w:ascii="Arial" w:cs="Arial" w:eastAsia="Arial" w:hAnsi="Arial"/>
          <w:sz w:val="18"/>
          <w:szCs w:val="18"/>
          <w:color w:val="auto"/>
        </w:rPr>
        <w:t>ƃȴɁʍȶɽ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јӝћњ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ǹȈʯǉǁ</w:t>
      </w:r>
      <w:r>
        <w:rPr>
          <w:rFonts w:ascii="Arial" w:cs="Arial" w:eastAsia="Arial" w:hAnsi="Arial"/>
          <w:sz w:val="18"/>
          <w:szCs w:val="18"/>
          <w:color w:val="auto"/>
        </w:rPr>
        <w:t>Ӹ</w:t>
      </w:r>
      <w:r>
        <w:rPr>
          <w:rFonts w:ascii="Arial" w:cs="Arial" w:eastAsia="Arial" w:hAnsi="Arial"/>
          <w:sz w:val="18"/>
          <w:szCs w:val="18"/>
          <w:color w:val="auto"/>
        </w:rPr>
        <w:t xml:space="preserve"> ɨƃɽǉ</w:t>
      </w:r>
      <w:r>
        <w:rPr>
          <w:rFonts w:ascii="PMingLiU" w:cs="PMingLiU" w:eastAsia="PMingLiU" w:hAnsi="PMingLiU"/>
          <w:sz w:val="18"/>
          <w:szCs w:val="18"/>
          <w:color w:val="auto"/>
        </w:rPr>
        <w:t/>
      </w:r>
      <w:r>
        <w:rPr>
          <w:rFonts w:ascii="Arial" w:cs="Arial" w:eastAsia="Arial" w:hAnsi="Arial"/>
          <w:sz w:val="18"/>
          <w:szCs w:val="18"/>
          <w:color w:val="auto"/>
        </w:rPr>
        <w:t>ɰǉȶȈɁɨ</w:t>
      </w:r>
      <w:r>
        <w:rPr>
          <w:rFonts w:ascii="PMingLiU" w:cs="PMingLiU" w:eastAsia="PMingLiU" w:hAnsi="PMingLiU"/>
          <w:sz w:val="18"/>
          <w:szCs w:val="18"/>
          <w:color w:val="auto"/>
        </w:rPr>
        <w:t/>
      </w:r>
      <w:r>
        <w:rPr>
          <w:rFonts w:ascii="Arial" w:cs="Arial" w:eastAsia="Arial" w:hAnsi="Arial"/>
          <w:sz w:val="18"/>
          <w:szCs w:val="18"/>
          <w:color w:val="auto"/>
        </w:rPr>
        <w:t>ʍȶɰǉƺʍɨǉǁ</w:t>
      </w:r>
      <w:r>
        <w:rPr>
          <w:rFonts w:ascii="PMingLiU" w:cs="PMingLiU" w:eastAsia="PMingLiU" w:hAnsi="PMingLiU"/>
          <w:sz w:val="18"/>
          <w:szCs w:val="18"/>
          <w:color w:val="auto"/>
        </w:rPr>
        <w:t/>
      </w:r>
      <w:r>
        <w:rPr>
          <w:rFonts w:ascii="Arial" w:cs="Arial" w:eastAsia="Arial" w:hAnsi="Arial"/>
          <w:sz w:val="18"/>
          <w:szCs w:val="18"/>
          <w:color w:val="auto"/>
        </w:rPr>
        <w:t>ȶɁɽǉɰ</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Čǉɥɽǉȴƹǉɨԝ</w:t>
      </w:r>
      <w:r>
        <w:rPr>
          <w:rFonts w:ascii="Arial" w:cs="Arial" w:eastAsia="Arial" w:hAnsi="Arial"/>
          <w:sz w:val="18"/>
          <w:szCs w:val="18"/>
          <w:color w:val="auto"/>
        </w:rPr>
        <w:t>іњӗ</w:t>
      </w:r>
      <w:r>
        <w:rPr>
          <w:rFonts w:ascii="PMingLiU" w:cs="PMingLiU" w:eastAsia="PMingLiU" w:hAnsi="PMingLiU"/>
          <w:sz w:val="18"/>
          <w:szCs w:val="18"/>
          <w:color w:val="auto"/>
        </w:rPr>
        <w:t/>
      </w:r>
      <w:r>
        <w:rPr>
          <w:rFonts w:ascii="Arial" w:cs="Arial" w:eastAsia="Arial" w:hAnsi="Arial"/>
          <w:sz w:val="18"/>
          <w:szCs w:val="18"/>
          <w:color w:val="auto"/>
        </w:rPr>
        <w:t>їѕїј</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ѝѕѕӝѕ</w:t>
      </w:r>
      <w:r>
        <w:rPr>
          <w:rFonts w:ascii="PMingLiU" w:cs="PMingLiU" w:eastAsia="PMingLiU" w:hAnsi="PMingLiU"/>
          <w:sz w:val="18"/>
          <w:szCs w:val="18"/>
          <w:color w:val="auto"/>
        </w:rPr>
        <w:t/>
      </w:r>
      <w:r>
        <w:rPr>
          <w:rFonts w:ascii="Arial" w:cs="Arial" w:eastAsia="Arial" w:hAnsi="Arial"/>
          <w:sz w:val="18"/>
          <w:szCs w:val="18"/>
          <w:color w:val="auto"/>
        </w:rPr>
        <w:t>ƃǼǼɨǉǼƃɽǉ</w:t>
      </w:r>
      <w:r>
        <w:rPr>
          <w:rFonts w:ascii="PMingLiU" w:cs="PMingLiU" w:eastAsia="PMingLiU" w:hAnsi="PMingLiU"/>
          <w:sz w:val="18"/>
          <w:szCs w:val="18"/>
          <w:color w:val="auto"/>
        </w:rPr>
        <w:t/>
      </w:r>
      <w:r>
        <w:rPr>
          <w:rFonts w:ascii="Arial" w:cs="Arial" w:eastAsia="Arial" w:hAnsi="Arial"/>
          <w:sz w:val="18"/>
          <w:szCs w:val="18"/>
          <w:color w:val="auto"/>
        </w:rPr>
        <w:t>ɥɨȈȶƺȈɥƃȢ</w:t>
      </w:r>
      <w:r>
        <w:rPr>
          <w:rFonts w:ascii="PMingLiU" w:cs="PMingLiU" w:eastAsia="PMingLiU" w:hAnsi="PMingLiU"/>
          <w:sz w:val="18"/>
          <w:szCs w:val="18"/>
          <w:color w:val="auto"/>
        </w:rPr>
        <w:t/>
      </w:r>
      <w:r>
        <w:rPr>
          <w:rFonts w:ascii="Arial" w:cs="Arial" w:eastAsia="Arial" w:hAnsi="Arial"/>
          <w:sz w:val="18"/>
          <w:szCs w:val="18"/>
          <w:color w:val="auto"/>
        </w:rPr>
        <w:t>ƃȴɁʍȶɽ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љӝїѕ</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ɰǉȶȈɁɨ</w:t>
      </w:r>
      <w:r>
        <w:rPr>
          <w:rFonts w:ascii="PMingLiU" w:cs="PMingLiU" w:eastAsia="PMingLiU" w:hAnsi="PMingLiU"/>
          <w:sz w:val="18"/>
          <w:szCs w:val="18"/>
          <w:color w:val="auto"/>
        </w:rPr>
        <w:t/>
      </w:r>
      <w:r>
        <w:rPr>
          <w:rFonts w:ascii="Arial" w:cs="Arial" w:eastAsia="Arial" w:hAnsi="Arial"/>
          <w:sz w:val="18"/>
          <w:szCs w:val="18"/>
          <w:color w:val="auto"/>
        </w:rPr>
        <w:t>ʍȶɰǉ</w:t>
      </w:r>
      <w:r>
        <w:rPr>
          <w:rFonts w:ascii="Arial" w:cs="Arial" w:eastAsia="Arial" w:hAnsi="Arial"/>
          <w:sz w:val="18"/>
          <w:szCs w:val="18"/>
          <w:color w:val="auto"/>
        </w:rPr>
        <w:t>-</w:t>
      </w:r>
      <w:r>
        <w:rPr>
          <w:rFonts w:ascii="Arial" w:cs="Arial" w:eastAsia="Arial" w:hAnsi="Arial"/>
          <w:sz w:val="18"/>
          <w:szCs w:val="18"/>
          <w:color w:val="auto"/>
        </w:rPr>
        <w:t>ƺʍɨǉǁ</w:t>
      </w:r>
      <w:r>
        <w:rPr>
          <w:rFonts w:ascii="PMingLiU" w:cs="PMingLiU" w:eastAsia="PMingLiU" w:hAnsi="PMingLiU"/>
          <w:sz w:val="18"/>
          <w:szCs w:val="18"/>
          <w:color w:val="auto"/>
        </w:rPr>
        <w:t/>
      </w:r>
      <w:r>
        <w:rPr>
          <w:rFonts w:ascii="Arial" w:cs="Arial" w:eastAsia="Arial" w:hAnsi="Arial"/>
          <w:sz w:val="18"/>
          <w:szCs w:val="18"/>
          <w:color w:val="auto"/>
        </w:rPr>
        <w:t xml:space="preserve"> ȶɁɽǉɰ</w:t>
      </w:r>
      <w:r>
        <w:rPr>
          <w:rFonts w:ascii="PMingLiU" w:cs="PMingLiU" w:eastAsia="PMingLiU" w:hAnsi="PMingLiU"/>
          <w:sz w:val="18"/>
          <w:szCs w:val="18"/>
          <w:color w:val="auto"/>
        </w:rPr>
        <w:t/>
      </w:r>
      <w:r>
        <w:rPr>
          <w:rFonts w:ascii="Arial" w:cs="Arial" w:eastAsia="Arial" w:hAnsi="Arial"/>
          <w:sz w:val="18"/>
          <w:szCs w:val="18"/>
          <w:color w:val="auto"/>
        </w:rPr>
        <w:t xml:space="preserve"> ǁʍǉ</w:t>
      </w:r>
      <w:r>
        <w:rPr>
          <w:rFonts w:ascii="PMingLiU" w:cs="PMingLiU" w:eastAsia="PMingLiU" w:hAnsi="PMingLiU"/>
          <w:sz w:val="18"/>
          <w:szCs w:val="18"/>
          <w:color w:val="auto"/>
        </w:rPr>
        <w:t/>
      </w:r>
      <w:r>
        <w:rPr>
          <w:rFonts w:ascii="Arial" w:cs="Arial" w:eastAsia="Arial" w:hAnsi="Arial"/>
          <w:sz w:val="18"/>
          <w:szCs w:val="18"/>
          <w:color w:val="auto"/>
        </w:rPr>
        <w:t xml:space="preserve"> Čǉɥɽǉȴƹǉɨԝ </w:t>
      </w:r>
      <w:r>
        <w:rPr>
          <w:rFonts w:ascii="Arial" w:cs="Arial" w:eastAsia="Arial" w:hAnsi="Arial"/>
          <w:sz w:val="18"/>
          <w:szCs w:val="18"/>
          <w:color w:val="auto"/>
        </w:rPr>
        <w:t>іњӗ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їѕїѝ</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ӯ</w:t>
      </w:r>
      <w:r>
        <w:rPr>
          <w:rFonts w:ascii="Arial" w:cs="Arial" w:eastAsia="Arial" w:hAnsi="Arial"/>
          <w:sz w:val="18"/>
          <w:szCs w:val="18"/>
          <w:color w:val="auto"/>
        </w:rPr>
        <w:t>ԄKʯȈɰɽȈȶǼ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їѕїѝ</w:t>
      </w:r>
      <w:r>
        <w:rPr>
          <w:rFonts w:ascii="PMingLiU" w:cs="PMingLiU" w:eastAsia="PMingLiU" w:hAnsi="PMingLiU"/>
          <w:sz w:val="18"/>
          <w:szCs w:val="18"/>
          <w:color w:val="auto"/>
        </w:rPr>
        <w:t/>
      </w:r>
      <w:r>
        <w:rPr>
          <w:rFonts w:ascii="Arial" w:cs="Arial" w:eastAsia="Arial" w:hAnsi="Arial"/>
          <w:sz w:val="18"/>
          <w:szCs w:val="18"/>
          <w:color w:val="auto"/>
        </w:rPr>
        <w:t xml:space="preserve"> ÇɁɽǉɰԅ</w:t>
      </w:r>
      <w:r>
        <w:rPr>
          <w:rFonts w:ascii="Arial" w:cs="Arial" w:eastAsia="Arial" w:hAnsi="Arial"/>
          <w:sz w:val="18"/>
          <w:szCs w:val="18"/>
          <w:color w:val="auto"/>
        </w:rPr>
        <w:t>Ӱӝ</w:t>
      </w:r>
      <w:r>
        <w:rPr>
          <w:rFonts w:ascii="PMingLiU" w:cs="PMingLiU" w:eastAsia="PMingLiU" w:hAnsi="PMingLiU"/>
          <w:sz w:val="18"/>
          <w:szCs w:val="18"/>
          <w:color w:val="auto"/>
        </w:rPr>
        <w:t/>
      </w:r>
      <w:r>
        <w:rPr>
          <w:rFonts w:ascii="Arial" w:cs="Arial" w:eastAsia="Arial" w:hAnsi="Arial"/>
          <w:sz w:val="18"/>
          <w:szCs w:val="18"/>
          <w:color w:val="auto"/>
        </w:rPr>
        <w:t xml:space="preserve"> ěȃǉ</w:t>
      </w:r>
      <w:r>
        <w:rPr>
          <w:rFonts w:ascii="PMingLiU" w:cs="PMingLiU" w:eastAsia="PMingLiU" w:hAnsi="PMingLiU"/>
          <w:sz w:val="18"/>
          <w:szCs w:val="18"/>
          <w:color w:val="auto"/>
        </w:rPr>
        <w:t/>
      </w:r>
      <w:r>
        <w:rPr>
          <w:rFonts w:ascii="Arial" w:cs="Arial" w:eastAsia="Arial" w:hAnsi="Arial"/>
          <w:sz w:val="18"/>
          <w:szCs w:val="18"/>
          <w:color w:val="auto"/>
        </w:rPr>
        <w:t xml:space="preserve"> KʯȈɰɽȈȶǼ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їѕїѝ</w:t>
      </w:r>
      <w:r>
        <w:rPr>
          <w:rFonts w:ascii="PMingLiU" w:cs="PMingLiU" w:eastAsia="PMingLiU" w:hAnsi="PMingLiU"/>
          <w:sz w:val="18"/>
          <w:szCs w:val="18"/>
          <w:color w:val="auto"/>
        </w:rPr>
        <w:t/>
      </w:r>
      <w:r>
        <w:rPr>
          <w:rFonts w:ascii="Arial" w:cs="Arial" w:eastAsia="Arial" w:hAnsi="Arial"/>
          <w:sz w:val="18"/>
          <w:szCs w:val="18"/>
          <w:color w:val="auto"/>
        </w:rPr>
        <w:t xml:space="preserve"> ÇɁɽǉɰ</w:t>
      </w:r>
      <w:r>
        <w:rPr>
          <w:rFonts w:ascii="PMingLiU" w:cs="PMingLiU" w:eastAsia="PMingLiU" w:hAnsi="PMingLiU"/>
          <w:sz w:val="18"/>
          <w:szCs w:val="18"/>
          <w:color w:val="auto"/>
        </w:rPr>
        <w:t/>
      </w:r>
      <w:r>
        <w:rPr>
          <w:rFonts w:ascii="Arial" w:cs="Arial" w:eastAsia="Arial" w:hAnsi="Arial"/>
          <w:sz w:val="18"/>
          <w:szCs w:val="18"/>
          <w:color w:val="auto"/>
        </w:rPr>
        <w:t xml:space="preserve"> ƹǉƃɨ</w:t>
      </w:r>
      <w:r>
        <w:rPr>
          <w:rFonts w:ascii="PMingLiU" w:cs="PMingLiU" w:eastAsia="PMingLiU" w:hAnsi="PMingLiU"/>
          <w:sz w:val="18"/>
          <w:szCs w:val="18"/>
          <w:color w:val="auto"/>
        </w:rPr>
        <w:t/>
      </w:r>
      <w:r>
        <w:rPr>
          <w:rFonts w:ascii="Arial" w:cs="Arial" w:eastAsia="Arial" w:hAnsi="Arial"/>
          <w:sz w:val="18"/>
          <w:szCs w:val="18"/>
          <w:color w:val="auto"/>
        </w:rPr>
        <w:t xml:space="preserve"> Ȉȶɽǉɨǉɰɽ</w:t>
      </w:r>
      <w:r>
        <w:rPr>
          <w:rFonts w:ascii="PMingLiU" w:cs="PMingLiU" w:eastAsia="PMingLiU" w:hAnsi="PMingLiU"/>
          <w:sz w:val="18"/>
          <w:szCs w:val="18"/>
          <w:color w:val="auto"/>
        </w:rPr>
        <w:t/>
      </w:r>
      <w:r>
        <w:rPr>
          <w:rFonts w:ascii="Arial" w:cs="Arial" w:eastAsia="Arial" w:hAnsi="Arial"/>
          <w:sz w:val="18"/>
          <w:szCs w:val="18"/>
          <w:color w:val="auto"/>
        </w:rPr>
        <w:t xml:space="preserve"> ƃɽ</w:t>
      </w:r>
      <w:r>
        <w:rPr>
          <w:rFonts w:ascii="PMingLiU" w:cs="PMingLiU" w:eastAsia="PMingLiU" w:hAnsi="PMingLiU"/>
          <w:sz w:val="18"/>
          <w:szCs w:val="18"/>
          <w:color w:val="auto"/>
        </w:rPr>
        <w:t/>
      </w:r>
      <w:r>
        <w:rPr>
          <w:rFonts w:ascii="Arial" w:cs="Arial" w:eastAsia="Arial" w:hAnsi="Arial"/>
          <w:sz w:val="18"/>
          <w:szCs w:val="18"/>
          <w:color w:val="auto"/>
        </w:rPr>
        <w:t xml:space="preserve"> ƃ</w:t>
      </w:r>
      <w:r>
        <w:rPr>
          <w:rFonts w:ascii="PMingLiU" w:cs="PMingLiU" w:eastAsia="PMingLiU" w:hAnsi="PMingLiU"/>
          <w:sz w:val="18"/>
          <w:szCs w:val="18"/>
          <w:color w:val="auto"/>
        </w:rPr>
        <w:t/>
      </w:r>
      <w:r>
        <w:rPr>
          <w:rFonts w:ascii="Arial" w:cs="Arial" w:eastAsia="Arial" w:hAnsi="Arial"/>
          <w:sz w:val="18"/>
          <w:szCs w:val="18"/>
          <w:color w:val="auto"/>
        </w:rPr>
        <w:t xml:space="preserve"> ǹȈʯǉǁ</w:t>
      </w:r>
      <w:r>
        <w:rPr>
          <w:rFonts w:ascii="PMingLiU" w:cs="PMingLiU" w:eastAsia="PMingLiU" w:hAnsi="PMingLiU"/>
          <w:sz w:val="18"/>
          <w:szCs w:val="18"/>
          <w:color w:val="auto"/>
        </w:rPr>
        <w:t/>
      </w:r>
      <w:r>
        <w:rPr>
          <w:rFonts w:ascii="Arial" w:cs="Arial" w:eastAsia="Arial" w:hAnsi="Arial"/>
          <w:sz w:val="18"/>
          <w:szCs w:val="18"/>
          <w:color w:val="auto"/>
        </w:rPr>
        <w:t xml:space="preserve"> ɨƃɽǉ</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ɥƃʰƃƹȢǉ</w:t>
      </w:r>
      <w:r>
        <w:rPr>
          <w:rFonts w:ascii="PMingLiU" w:cs="PMingLiU" w:eastAsia="PMingLiU" w:hAnsi="PMingLiU"/>
          <w:sz w:val="18"/>
          <w:szCs w:val="18"/>
          <w:color w:val="auto"/>
        </w:rPr>
        <w:t/>
      </w:r>
      <w:r>
        <w:rPr>
          <w:rFonts w:ascii="Arial" w:cs="Arial" w:eastAsia="Arial" w:hAnsi="Arial"/>
          <w:sz w:val="18"/>
          <w:szCs w:val="18"/>
          <w:color w:val="auto"/>
        </w:rPr>
        <w:t>ɰǉȴȈ</w:t>
      </w:r>
      <w:r>
        <w:rPr>
          <w:rFonts w:ascii="Arial" w:cs="Arial" w:eastAsia="Arial" w:hAnsi="Arial"/>
          <w:sz w:val="18"/>
          <w:szCs w:val="18"/>
          <w:color w:val="auto"/>
        </w:rPr>
        <w:t>Ӹ</w:t>
      </w:r>
      <w:r>
        <w:rPr>
          <w:rFonts w:ascii="Arial" w:cs="Arial" w:eastAsia="Arial" w:hAnsi="Arial"/>
          <w:sz w:val="18"/>
          <w:szCs w:val="18"/>
          <w:color w:val="auto"/>
        </w:rPr>
        <w:t>ƃȶȶʍƃȢȢʰ</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ƃɨɨǉƃɨɰ</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Ãƃɨƺȃ</w:t>
      </w:r>
      <w:r>
        <w:rPr>
          <w:rFonts w:ascii="PMingLiU" w:cs="PMingLiU" w:eastAsia="PMingLiU" w:hAnsi="PMingLiU"/>
          <w:sz w:val="18"/>
          <w:szCs w:val="18"/>
          <w:color w:val="auto"/>
        </w:rPr>
        <w:t/>
      </w:r>
      <w:r>
        <w:rPr>
          <w:rFonts w:ascii="Arial" w:cs="Arial" w:eastAsia="Arial" w:hAnsi="Arial"/>
          <w:sz w:val="18"/>
          <w:szCs w:val="18"/>
          <w:color w:val="auto"/>
        </w:rPr>
        <w:t>іњ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Čǉɥɽǉȴƹǉɨ</w:t>
      </w:r>
      <w:r>
        <w:rPr>
          <w:rFonts w:ascii="PMingLiU" w:cs="PMingLiU" w:eastAsia="PMingLiU" w:hAnsi="PMingLiU"/>
          <w:sz w:val="18"/>
          <w:szCs w:val="18"/>
          <w:color w:val="auto"/>
        </w:rPr>
        <w:t/>
      </w:r>
      <w:r>
        <w:rPr>
          <w:rFonts w:ascii="Arial" w:cs="Arial" w:eastAsia="Arial" w:hAnsi="Arial"/>
          <w:sz w:val="18"/>
          <w:szCs w:val="18"/>
          <w:color w:val="auto"/>
        </w:rPr>
        <w:t>іњ</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ǉƃƺȃ</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ƹǉǼȈȶȶȈȶǼ</w:t>
      </w:r>
      <w:r>
        <w:rPr>
          <w:rFonts w:ascii="PMingLiU" w:cs="PMingLiU" w:eastAsia="PMingLiU" w:hAnsi="PMingLiU"/>
          <w:sz w:val="18"/>
          <w:szCs w:val="18"/>
          <w:color w:val="auto"/>
        </w:rPr>
        <w:t/>
      </w:r>
      <w:r>
        <w:rPr>
          <w:rFonts w:ascii="Arial" w:cs="Arial" w:eastAsia="Arial" w:hAnsi="Arial"/>
          <w:sz w:val="18"/>
          <w:szCs w:val="18"/>
          <w:color w:val="auto"/>
        </w:rPr>
        <w:t>Ãƃɨƺȃԝ</w:t>
      </w:r>
      <w:r>
        <w:rPr>
          <w:rFonts w:ascii="Arial" w:cs="Arial" w:eastAsia="Arial" w:hAnsi="Arial"/>
          <w:sz w:val="18"/>
          <w:szCs w:val="18"/>
          <w:color w:val="auto"/>
        </w:rPr>
        <w:t>іњӗ</w:t>
      </w:r>
      <w:r>
        <w:rPr>
          <w:rFonts w:ascii="PMingLiU" w:cs="PMingLiU" w:eastAsia="PMingLiU" w:hAnsi="PMingLiU"/>
          <w:sz w:val="18"/>
          <w:szCs w:val="18"/>
          <w:color w:val="auto"/>
        </w:rPr>
        <w:t/>
      </w:r>
      <w:r>
        <w:rPr>
          <w:rFonts w:ascii="Arial" w:cs="Arial" w:eastAsia="Arial" w:hAnsi="Arial"/>
          <w:sz w:val="18"/>
          <w:szCs w:val="18"/>
          <w:color w:val="auto"/>
        </w:rPr>
        <w:t>їѕіўӝ</w:t>
      </w:r>
    </w:p>
    <w:p>
      <w:pPr>
        <w:spacing w:after="0" w:line="70" w:lineRule="exact"/>
        <w:rPr>
          <w:sz w:val="20"/>
          <w:szCs w:val="20"/>
          <w:color w:val="auto"/>
        </w:rPr>
      </w:pPr>
    </w:p>
    <w:p>
      <w:pPr>
        <w:jc w:val="both"/>
        <w:ind w:right="20"/>
        <w:spacing w:after="0" w:line="234" w:lineRule="exact"/>
        <w:rPr>
          <w:sz w:val="20"/>
          <w:szCs w:val="20"/>
          <w:color w:val="auto"/>
        </w:rPr>
      </w:pPr>
      <w:r>
        <w:rPr>
          <w:rFonts w:ascii="Arial" w:cs="Arial" w:eastAsia="Arial" w:hAnsi="Arial"/>
          <w:sz w:val="18"/>
          <w:szCs w:val="18"/>
          <w:color w:val="auto"/>
        </w:rPr>
        <w:t>Ýȶ</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іўӗ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їѕіћӗ</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:Ɂȴɥƃȶʰ</w:t>
      </w:r>
      <w:r>
        <w:rPr>
          <w:rFonts w:ascii="PMingLiU" w:cs="PMingLiU" w:eastAsia="PMingLiU" w:hAnsi="PMingLiU"/>
          <w:sz w:val="18"/>
          <w:szCs w:val="18"/>
          <w:color w:val="auto"/>
        </w:rPr>
        <w:t/>
      </w:r>
      <w:r>
        <w:rPr>
          <w:rFonts w:ascii="Arial" w:cs="Arial" w:eastAsia="Arial" w:hAnsi="Arial"/>
          <w:sz w:val="18"/>
          <w:szCs w:val="18"/>
          <w:color w:val="auto"/>
        </w:rPr>
        <w:t xml:space="preserve"> ƺɁȴɥȢǉɽǉǁ</w:t>
      </w:r>
      <w:r>
        <w:rPr>
          <w:rFonts w:ascii="PMingLiU" w:cs="PMingLiU" w:eastAsia="PMingLiU" w:hAnsi="PMingLiU"/>
          <w:sz w:val="18"/>
          <w:szCs w:val="18"/>
          <w:color w:val="auto"/>
        </w:rPr>
        <w:t/>
      </w:r>
      <w:r>
        <w:rPr>
          <w:rFonts w:ascii="Arial" w:cs="Arial" w:eastAsia="Arial" w:hAnsi="Arial"/>
          <w:sz w:val="18"/>
          <w:szCs w:val="18"/>
          <w:color w:val="auto"/>
        </w:rPr>
        <w:t xml:space="preserve"> ƃ</w:t>
      </w:r>
      <w:r>
        <w:rPr>
          <w:rFonts w:ascii="PMingLiU" w:cs="PMingLiU" w:eastAsia="PMingLiU" w:hAnsi="PMingLiU"/>
          <w:sz w:val="18"/>
          <w:szCs w:val="18"/>
          <w:color w:val="auto"/>
        </w:rPr>
        <w:t/>
      </w:r>
      <w:r>
        <w:rPr>
          <w:rFonts w:ascii="Arial" w:cs="Arial" w:eastAsia="Arial" w:hAnsi="Arial"/>
          <w:sz w:val="18"/>
          <w:szCs w:val="18"/>
          <w:color w:val="auto"/>
        </w:rPr>
        <w:t xml:space="preserve"> ɥʍƹȢȈƺ</w:t>
      </w:r>
      <w:r>
        <w:rPr>
          <w:rFonts w:ascii="PMingLiU" w:cs="PMingLiU" w:eastAsia="PMingLiU" w:hAnsi="PMingLiU"/>
          <w:sz w:val="18"/>
          <w:szCs w:val="18"/>
          <w:color w:val="auto"/>
        </w:rPr>
        <w:t/>
      </w:r>
      <w:r>
        <w:rPr>
          <w:rFonts w:ascii="Arial" w:cs="Arial" w:eastAsia="Arial" w:hAnsi="Arial"/>
          <w:sz w:val="18"/>
          <w:szCs w:val="18"/>
          <w:color w:val="auto"/>
        </w:rPr>
        <w:t xml:space="preserve"> ɁǹǹǉɨȈȶǼ</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ќѕѕӝѕ</w:t>
      </w:r>
      <w:r>
        <w:rPr>
          <w:rFonts w:ascii="PMingLiU" w:cs="PMingLiU" w:eastAsia="PMingLiU" w:hAnsi="PMingLiU"/>
          <w:sz w:val="18"/>
          <w:szCs w:val="18"/>
          <w:color w:val="auto"/>
        </w:rPr>
        <w:t/>
      </w:r>
      <w:r>
        <w:rPr>
          <w:rFonts w:ascii="Arial" w:cs="Arial" w:eastAsia="Arial" w:hAnsi="Arial"/>
          <w:sz w:val="18"/>
          <w:szCs w:val="18"/>
          <w:color w:val="auto"/>
        </w:rPr>
        <w:t xml:space="preserve"> ƃǼǼɨǉǼƃɽǉ</w:t>
      </w:r>
      <w:r>
        <w:rPr>
          <w:rFonts w:ascii="PMingLiU" w:cs="PMingLiU" w:eastAsia="PMingLiU" w:hAnsi="PMingLiU"/>
          <w:sz w:val="18"/>
          <w:szCs w:val="18"/>
          <w:color w:val="auto"/>
        </w:rPr>
        <w:t/>
      </w:r>
      <w:r>
        <w:rPr>
          <w:rFonts w:ascii="Arial" w:cs="Arial" w:eastAsia="Arial" w:hAnsi="Arial"/>
          <w:sz w:val="18"/>
          <w:szCs w:val="18"/>
          <w:color w:val="auto"/>
        </w:rPr>
        <w:t xml:space="preserve"> ɥɨȈȶƺȈɥƃȢ</w:t>
      </w:r>
      <w:r>
        <w:rPr>
          <w:rFonts w:ascii="PMingLiU" w:cs="PMingLiU" w:eastAsia="PMingLiU" w:hAnsi="PMingLiU"/>
          <w:sz w:val="18"/>
          <w:szCs w:val="18"/>
          <w:color w:val="auto"/>
        </w:rPr>
        <w:t/>
      </w:r>
      <w:r>
        <w:rPr>
          <w:rFonts w:ascii="Arial" w:cs="Arial" w:eastAsia="Arial" w:hAnsi="Arial"/>
          <w:sz w:val="18"/>
          <w:szCs w:val="18"/>
          <w:color w:val="auto"/>
        </w:rPr>
        <w:t xml:space="preserve"> ƃȴɁʍȶɽ</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јӝѝѕ</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 xml:space="preserve"> ɰǉȶȈɁɨ</w:t>
      </w:r>
      <w:r>
        <w:rPr>
          <w:rFonts w:ascii="PMingLiU" w:cs="PMingLiU" w:eastAsia="PMingLiU" w:hAnsi="PMingLiU"/>
          <w:sz w:val="18"/>
          <w:szCs w:val="18"/>
          <w:color w:val="auto"/>
        </w:rPr>
        <w:t/>
      </w:r>
      <w:r>
        <w:rPr>
          <w:rFonts w:ascii="Arial" w:cs="Arial" w:eastAsia="Arial" w:hAnsi="Arial"/>
          <w:sz w:val="18"/>
          <w:szCs w:val="18"/>
          <w:color w:val="auto"/>
        </w:rPr>
        <w:t xml:space="preserve"> ʍȶɰǉƺʍɨǉǁ</w:t>
      </w:r>
      <w:r>
        <w:rPr>
          <w:rFonts w:ascii="PMingLiU" w:cs="PMingLiU" w:eastAsia="PMingLiU" w:hAnsi="PMingLiU"/>
          <w:sz w:val="18"/>
          <w:szCs w:val="18"/>
          <w:color w:val="auto"/>
        </w:rPr>
        <w:t/>
      </w:r>
      <w:r>
        <w:rPr>
          <w:rFonts w:ascii="Arial" w:cs="Arial" w:eastAsia="Arial" w:hAnsi="Arial"/>
          <w:sz w:val="18"/>
          <w:szCs w:val="18"/>
          <w:color w:val="auto"/>
        </w:rPr>
        <w:t xml:space="preserve"> ȶɁɽǉɰ</w:t>
      </w:r>
      <w:r>
        <w:rPr>
          <w:rFonts w:ascii="PMingLiU" w:cs="PMingLiU" w:eastAsia="PMingLiU" w:hAnsi="PMingLiU"/>
          <w:sz w:val="18"/>
          <w:szCs w:val="18"/>
          <w:color w:val="auto"/>
        </w:rPr>
        <w:t/>
      </w:r>
      <w:r>
        <w:rPr>
          <w:rFonts w:ascii="Arial" w:cs="Arial" w:eastAsia="Arial" w:hAnsi="Arial"/>
          <w:sz w:val="18"/>
          <w:szCs w:val="18"/>
          <w:color w:val="auto"/>
        </w:rPr>
        <w:t xml:space="preserve"> ǁʍǉ</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іњӗ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їѕїћӝ</w:t>
      </w:r>
      <w:r>
        <w:rPr>
          <w:rFonts w:ascii="Arial" w:cs="Arial" w:eastAsia="Arial" w:hAnsi="Arial"/>
          <w:sz w:val="18"/>
          <w:szCs w:val="18"/>
          <w:color w:val="auto"/>
        </w:rPr>
        <w:t>ԝ ěȃǉ</w:t>
      </w:r>
      <w:r>
        <w:rPr>
          <w:rFonts w:ascii="PMingLiU" w:cs="PMingLiU" w:eastAsia="PMingLiU" w:hAnsi="PMingLiU"/>
          <w:sz w:val="18"/>
          <w:szCs w:val="18"/>
          <w:color w:val="auto"/>
        </w:rPr>
        <w:t/>
      </w:r>
      <w:r>
        <w:rPr>
          <w:rFonts w:ascii="Arial" w:cs="Arial" w:eastAsia="Arial" w:hAnsi="Arial"/>
          <w:sz w:val="18"/>
          <w:szCs w:val="18"/>
          <w:color w:val="auto"/>
        </w:rPr>
        <w:t xml:space="preserve"> ȶɁɽǉɰ</w:t>
      </w:r>
      <w:r>
        <w:rPr>
          <w:rFonts w:ascii="PMingLiU" w:cs="PMingLiU" w:eastAsia="PMingLiU" w:hAnsi="PMingLiU"/>
          <w:sz w:val="18"/>
          <w:szCs w:val="18"/>
          <w:color w:val="auto"/>
        </w:rPr>
        <w:t/>
      </w:r>
      <w:r>
        <w:rPr>
          <w:rFonts w:ascii="Arial" w:cs="Arial" w:eastAsia="Arial" w:hAnsi="Arial"/>
          <w:sz w:val="18"/>
          <w:szCs w:val="18"/>
          <w:color w:val="auto"/>
        </w:rPr>
        <w:t xml:space="preserve"> ƹǉƃɨ</w:t>
      </w:r>
      <w:r>
        <w:rPr>
          <w:rFonts w:ascii="PMingLiU" w:cs="PMingLiU" w:eastAsia="PMingLiU" w:hAnsi="PMingLiU"/>
          <w:sz w:val="18"/>
          <w:szCs w:val="18"/>
          <w:color w:val="auto"/>
        </w:rPr>
        <w:t/>
      </w:r>
      <w:r>
        <w:rPr>
          <w:rFonts w:ascii="Arial" w:cs="Arial" w:eastAsia="Arial" w:hAnsi="Arial"/>
          <w:sz w:val="18"/>
          <w:szCs w:val="18"/>
          <w:color w:val="auto"/>
        </w:rPr>
        <w:t xml:space="preserve"> Ȉȶɽǉɨǉɰɽ</w:t>
      </w:r>
      <w:r>
        <w:rPr>
          <w:rFonts w:ascii="PMingLiU" w:cs="PMingLiU" w:eastAsia="PMingLiU" w:hAnsi="PMingLiU"/>
          <w:sz w:val="18"/>
          <w:szCs w:val="18"/>
          <w:color w:val="auto"/>
        </w:rPr>
        <w:t/>
      </w:r>
      <w:r>
        <w:rPr>
          <w:rFonts w:ascii="Arial" w:cs="Arial" w:eastAsia="Arial" w:hAnsi="Arial"/>
          <w:sz w:val="18"/>
          <w:szCs w:val="18"/>
          <w:color w:val="auto"/>
        </w:rPr>
        <w:t xml:space="preserve"> ƃɽ</w:t>
      </w:r>
      <w:r>
        <w:rPr>
          <w:rFonts w:ascii="PMingLiU" w:cs="PMingLiU" w:eastAsia="PMingLiU" w:hAnsi="PMingLiU"/>
          <w:sz w:val="18"/>
          <w:szCs w:val="18"/>
          <w:color w:val="auto"/>
        </w:rPr>
        <w:t/>
      </w:r>
      <w:r>
        <w:rPr>
          <w:rFonts w:ascii="Arial" w:cs="Arial" w:eastAsia="Arial" w:hAnsi="Arial"/>
          <w:sz w:val="18"/>
          <w:szCs w:val="18"/>
          <w:color w:val="auto"/>
        </w:rPr>
        <w:t xml:space="preserve"> ƃ</w:t>
      </w:r>
      <w:r>
        <w:rPr>
          <w:rFonts w:ascii="PMingLiU" w:cs="PMingLiU" w:eastAsia="PMingLiU" w:hAnsi="PMingLiU"/>
          <w:sz w:val="18"/>
          <w:szCs w:val="18"/>
          <w:color w:val="auto"/>
        </w:rPr>
        <w:t/>
      </w:r>
      <w:r>
        <w:rPr>
          <w:rFonts w:ascii="Arial" w:cs="Arial" w:eastAsia="Arial" w:hAnsi="Arial"/>
          <w:sz w:val="18"/>
          <w:szCs w:val="18"/>
          <w:color w:val="auto"/>
        </w:rPr>
        <w:t xml:space="preserve"> ǹȈʯǉǁ</w:t>
      </w:r>
      <w:r>
        <w:rPr>
          <w:rFonts w:ascii="PMingLiU" w:cs="PMingLiU" w:eastAsia="PMingLiU" w:hAnsi="PMingLiU"/>
          <w:sz w:val="18"/>
          <w:szCs w:val="18"/>
          <w:color w:val="auto"/>
        </w:rPr>
        <w:t/>
      </w:r>
      <w:r>
        <w:rPr>
          <w:rFonts w:ascii="Arial" w:cs="Arial" w:eastAsia="Arial" w:hAnsi="Arial"/>
          <w:sz w:val="18"/>
          <w:szCs w:val="18"/>
          <w:color w:val="auto"/>
        </w:rPr>
        <w:t xml:space="preserve"> ɨƃɽǉ</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ɥƃʰƃƹȢǉ</w:t>
      </w:r>
      <w:r>
        <w:rPr>
          <w:rFonts w:ascii="PMingLiU" w:cs="PMingLiU" w:eastAsia="PMingLiU" w:hAnsi="PMingLiU"/>
          <w:sz w:val="18"/>
          <w:szCs w:val="18"/>
          <w:color w:val="auto"/>
        </w:rPr>
        <w:t/>
      </w:r>
      <w:r>
        <w:rPr>
          <w:rFonts w:ascii="Arial" w:cs="Arial" w:eastAsia="Arial" w:hAnsi="Arial"/>
          <w:sz w:val="18"/>
          <w:szCs w:val="18"/>
          <w:color w:val="auto"/>
        </w:rPr>
        <w:t xml:space="preserve"> ɰǉȴȈ</w:t>
      </w:r>
      <w:r>
        <w:rPr>
          <w:rFonts w:ascii="Arial" w:cs="Arial" w:eastAsia="Arial" w:hAnsi="Arial"/>
          <w:sz w:val="18"/>
          <w:szCs w:val="18"/>
          <w:color w:val="auto"/>
        </w:rPr>
        <w:t>Ӹ</w:t>
      </w:r>
      <w:r>
        <w:rPr>
          <w:rFonts w:ascii="Arial" w:cs="Arial" w:eastAsia="Arial" w:hAnsi="Arial"/>
          <w:sz w:val="18"/>
          <w:szCs w:val="18"/>
          <w:color w:val="auto"/>
        </w:rPr>
        <w:t>ƃȶȶʍƃȢȢʰ</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ƃɨɨǉƃɨɰ</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°ʍȶǉ</w:t>
      </w:r>
      <w:r>
        <w:rPr>
          <w:rFonts w:ascii="PMingLiU" w:cs="PMingLiU" w:eastAsia="PMingLiU" w:hAnsi="PMingLiU"/>
          <w:sz w:val="18"/>
          <w:szCs w:val="18"/>
          <w:color w:val="auto"/>
        </w:rPr>
        <w:t/>
      </w:r>
      <w:r>
        <w:rPr>
          <w:rFonts w:ascii="Arial" w:cs="Arial" w:eastAsia="Arial" w:hAnsi="Arial"/>
          <w:sz w:val="18"/>
          <w:szCs w:val="18"/>
          <w:color w:val="auto"/>
        </w:rPr>
        <w:t>іњ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Aǉƺǉȴƹǉɨ</w:t>
      </w:r>
      <w:r>
        <w:rPr>
          <w:rFonts w:ascii="PMingLiU" w:cs="PMingLiU" w:eastAsia="PMingLiU" w:hAnsi="PMingLiU"/>
          <w:sz w:val="18"/>
          <w:szCs w:val="18"/>
          <w:color w:val="auto"/>
        </w:rPr>
        <w:t/>
      </w:r>
      <w:r>
        <w:rPr>
          <w:rFonts w:ascii="Arial" w:cs="Arial" w:eastAsia="Arial" w:hAnsi="Arial"/>
          <w:sz w:val="18"/>
          <w:szCs w:val="18"/>
          <w:color w:val="auto"/>
        </w:rPr>
        <w:t>іњ</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ǉƃƺȃ</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ƹǉǼȈȶȶȈȶǼ</w:t>
      </w:r>
      <w:r>
        <w:rPr>
          <w:rFonts w:ascii="PMingLiU" w:cs="PMingLiU" w:eastAsia="PMingLiU" w:hAnsi="PMingLiU"/>
          <w:sz w:val="18"/>
          <w:szCs w:val="18"/>
          <w:color w:val="auto"/>
        </w:rPr>
        <w:t/>
      </w:r>
      <w:r>
        <w:rPr>
          <w:rFonts w:ascii="Arial" w:cs="Arial" w:eastAsia="Arial" w:hAnsi="Arial"/>
          <w:sz w:val="18"/>
          <w:szCs w:val="18"/>
          <w:color w:val="auto"/>
        </w:rPr>
        <w:t>°ʍȶǉԝ</w:t>
      </w:r>
      <w:r>
        <w:rPr>
          <w:rFonts w:ascii="Arial" w:cs="Arial" w:eastAsia="Arial" w:hAnsi="Arial"/>
          <w:sz w:val="18"/>
          <w:szCs w:val="18"/>
          <w:color w:val="auto"/>
        </w:rPr>
        <w:t>іњӗ</w:t>
      </w:r>
      <w:r>
        <w:rPr>
          <w:rFonts w:ascii="PMingLiU" w:cs="PMingLiU" w:eastAsia="PMingLiU" w:hAnsi="PMingLiU"/>
          <w:sz w:val="18"/>
          <w:szCs w:val="18"/>
          <w:color w:val="auto"/>
        </w:rPr>
        <w:t/>
      </w:r>
      <w:r>
        <w:rPr>
          <w:rFonts w:ascii="Arial" w:cs="Arial" w:eastAsia="Arial" w:hAnsi="Arial"/>
          <w:sz w:val="18"/>
          <w:szCs w:val="18"/>
          <w:color w:val="auto"/>
        </w:rPr>
        <w:t>їѕіќӝ</w:t>
      </w:r>
    </w:p>
    <w:p>
      <w:pPr>
        <w:spacing w:after="0" w:line="69" w:lineRule="exact"/>
        <w:rPr>
          <w:sz w:val="20"/>
          <w:szCs w:val="20"/>
          <w:color w:val="auto"/>
        </w:rPr>
      </w:pPr>
    </w:p>
    <w:p>
      <w:pPr>
        <w:jc w:val="both"/>
        <w:ind w:right="20"/>
        <w:spacing w:after="0" w:line="241" w:lineRule="exact"/>
        <w:rPr>
          <w:sz w:val="20"/>
          <w:szCs w:val="20"/>
          <w:color w:val="auto"/>
        </w:rPr>
      </w:pPr>
      <w:r>
        <w:rPr>
          <w:rFonts w:ascii="Arial" w:cs="Arial" w:eastAsia="Arial" w:hAnsi="Arial"/>
          <w:sz w:val="18"/>
          <w:szCs w:val="18"/>
          <w:color w:val="auto"/>
        </w:rPr>
        <w:t>Ýȶ</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ќӗ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їѕіњӗ</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:Ɂȴɥƃȶʰ</w:t>
      </w:r>
      <w:r>
        <w:rPr>
          <w:rFonts w:ascii="PMingLiU" w:cs="PMingLiU" w:eastAsia="PMingLiU" w:hAnsi="PMingLiU"/>
          <w:sz w:val="18"/>
          <w:szCs w:val="18"/>
          <w:color w:val="auto"/>
        </w:rPr>
        <w:t/>
      </w:r>
      <w:r>
        <w:rPr>
          <w:rFonts w:ascii="Arial" w:cs="Arial" w:eastAsia="Arial" w:hAnsi="Arial"/>
          <w:sz w:val="18"/>
          <w:szCs w:val="18"/>
          <w:color w:val="auto"/>
        </w:rPr>
        <w:t xml:space="preserve"> ƺɁȴɥȢǉɽǉǁ</w:t>
      </w:r>
      <w:r>
        <w:rPr>
          <w:rFonts w:ascii="PMingLiU" w:cs="PMingLiU" w:eastAsia="PMingLiU" w:hAnsi="PMingLiU"/>
          <w:sz w:val="18"/>
          <w:szCs w:val="18"/>
          <w:color w:val="auto"/>
        </w:rPr>
        <w:t/>
      </w:r>
      <w:r>
        <w:rPr>
          <w:rFonts w:ascii="Arial" w:cs="Arial" w:eastAsia="Arial" w:hAnsi="Arial"/>
          <w:sz w:val="18"/>
          <w:szCs w:val="18"/>
          <w:color w:val="auto"/>
        </w:rPr>
        <w:t xml:space="preserve"> ƃ</w:t>
      </w:r>
      <w:r>
        <w:rPr>
          <w:rFonts w:ascii="PMingLiU" w:cs="PMingLiU" w:eastAsia="PMingLiU" w:hAnsi="PMingLiU"/>
          <w:sz w:val="18"/>
          <w:szCs w:val="18"/>
          <w:color w:val="auto"/>
        </w:rPr>
        <w:t/>
      </w:r>
      <w:r>
        <w:rPr>
          <w:rFonts w:ascii="Arial" w:cs="Arial" w:eastAsia="Arial" w:hAnsi="Arial"/>
          <w:sz w:val="18"/>
          <w:szCs w:val="18"/>
          <w:color w:val="auto"/>
        </w:rPr>
        <w:t xml:space="preserve"> ɥʍƹȢȈƺ</w:t>
      </w:r>
      <w:r>
        <w:rPr>
          <w:rFonts w:ascii="PMingLiU" w:cs="PMingLiU" w:eastAsia="PMingLiU" w:hAnsi="PMingLiU"/>
          <w:sz w:val="18"/>
          <w:szCs w:val="18"/>
          <w:color w:val="auto"/>
        </w:rPr>
        <w:t/>
      </w:r>
      <w:r>
        <w:rPr>
          <w:rFonts w:ascii="Arial" w:cs="Arial" w:eastAsia="Arial" w:hAnsi="Arial"/>
          <w:sz w:val="18"/>
          <w:szCs w:val="18"/>
          <w:color w:val="auto"/>
        </w:rPr>
        <w:t xml:space="preserve"> ɁǹǹǉɨȈȶǼ</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јѕѕӝѕ</w:t>
      </w:r>
      <w:r>
        <w:rPr>
          <w:rFonts w:ascii="PMingLiU" w:cs="PMingLiU" w:eastAsia="PMingLiU" w:hAnsi="PMingLiU"/>
          <w:sz w:val="18"/>
          <w:szCs w:val="18"/>
          <w:color w:val="auto"/>
        </w:rPr>
        <w:t/>
      </w:r>
      <w:r>
        <w:rPr>
          <w:rFonts w:ascii="Arial" w:cs="Arial" w:eastAsia="Arial" w:hAnsi="Arial"/>
          <w:sz w:val="18"/>
          <w:szCs w:val="18"/>
          <w:color w:val="auto"/>
        </w:rPr>
        <w:t xml:space="preserve"> ƃǼǼɨǉǼƃɽǉ</w:t>
      </w:r>
      <w:r>
        <w:rPr>
          <w:rFonts w:ascii="PMingLiU" w:cs="PMingLiU" w:eastAsia="PMingLiU" w:hAnsi="PMingLiU"/>
          <w:sz w:val="18"/>
          <w:szCs w:val="18"/>
          <w:color w:val="auto"/>
        </w:rPr>
        <w:t/>
      </w:r>
      <w:r>
        <w:rPr>
          <w:rFonts w:ascii="Arial" w:cs="Arial" w:eastAsia="Arial" w:hAnsi="Arial"/>
          <w:sz w:val="18"/>
          <w:szCs w:val="18"/>
          <w:color w:val="auto"/>
        </w:rPr>
        <w:t xml:space="preserve"> ɥɨȈȶƺȈɥƃȢ</w:t>
      </w:r>
      <w:r>
        <w:rPr>
          <w:rFonts w:ascii="PMingLiU" w:cs="PMingLiU" w:eastAsia="PMingLiU" w:hAnsi="PMingLiU"/>
          <w:sz w:val="18"/>
          <w:szCs w:val="18"/>
          <w:color w:val="auto"/>
        </w:rPr>
        <w:t/>
      </w:r>
      <w:r>
        <w:rPr>
          <w:rFonts w:ascii="Arial" w:cs="Arial" w:eastAsia="Arial" w:hAnsi="Arial"/>
          <w:sz w:val="18"/>
          <w:szCs w:val="18"/>
          <w:color w:val="auto"/>
        </w:rPr>
        <w:t xml:space="preserve"> ƃȴɁʍȶɽ</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јӝѝњ</w:t>
      </w:r>
      <w:r>
        <w:rPr>
          <w:rFonts w:ascii="Arial" w:cs="Arial" w:eastAsia="Arial" w:hAnsi="Arial"/>
          <w:sz w:val="18"/>
          <w:szCs w:val="18"/>
          <w:color w:val="auto"/>
        </w:rPr>
        <w:t>Ր</w:t>
      </w:r>
      <w:r>
        <w:rPr>
          <w:rFonts w:ascii="PMingLiU" w:cs="PMingLiU" w:eastAsia="PMingLiU" w:hAnsi="PMingLiU"/>
          <w:sz w:val="18"/>
          <w:szCs w:val="18"/>
          <w:color w:val="auto"/>
        </w:rPr>
        <w:t/>
      </w:r>
      <w:r>
        <w:rPr>
          <w:rFonts w:ascii="Arial" w:cs="Arial" w:eastAsia="Arial" w:hAnsi="Arial"/>
          <w:sz w:val="18"/>
          <w:szCs w:val="18"/>
          <w:color w:val="auto"/>
        </w:rPr>
        <w:t xml:space="preserve"> ɰǉȶȈɁɨ</w:t>
      </w:r>
      <w:r>
        <w:rPr>
          <w:rFonts w:ascii="PMingLiU" w:cs="PMingLiU" w:eastAsia="PMingLiU" w:hAnsi="PMingLiU"/>
          <w:sz w:val="18"/>
          <w:szCs w:val="18"/>
          <w:color w:val="auto"/>
        </w:rPr>
        <w:t/>
      </w:r>
      <w:r>
        <w:rPr>
          <w:rFonts w:ascii="Arial" w:cs="Arial" w:eastAsia="Arial" w:hAnsi="Arial"/>
          <w:sz w:val="18"/>
          <w:szCs w:val="18"/>
          <w:color w:val="auto"/>
        </w:rPr>
        <w:t>ʍȶɰǉƺʍɨǉǁ</w:t>
      </w:r>
      <w:r>
        <w:rPr>
          <w:rFonts w:ascii="PMingLiU" w:cs="PMingLiU" w:eastAsia="PMingLiU" w:hAnsi="PMingLiU"/>
          <w:sz w:val="18"/>
          <w:szCs w:val="18"/>
          <w:color w:val="auto"/>
        </w:rPr>
        <w:t/>
      </w:r>
      <w:r>
        <w:rPr>
          <w:rFonts w:ascii="Arial" w:cs="Arial" w:eastAsia="Arial" w:hAnsi="Arial"/>
          <w:sz w:val="18"/>
          <w:szCs w:val="18"/>
          <w:color w:val="auto"/>
        </w:rPr>
        <w:t>ȶɁɽǉɰ</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іњӗ</w:t>
      </w:r>
      <w:r>
        <w:rPr>
          <w:rFonts w:ascii="PMingLiU" w:cs="PMingLiU" w:eastAsia="PMingLiU" w:hAnsi="PMingLiU"/>
          <w:sz w:val="18"/>
          <w:szCs w:val="18"/>
          <w:color w:val="auto"/>
        </w:rPr>
        <w:t/>
      </w:r>
      <w:r>
        <w:rPr>
          <w:rFonts w:ascii="Arial" w:cs="Arial" w:eastAsia="Arial" w:hAnsi="Arial"/>
          <w:sz w:val="18"/>
          <w:szCs w:val="18"/>
          <w:color w:val="auto"/>
        </w:rPr>
        <w:t>їѕїњӝ</w:t>
      </w:r>
    </w:p>
    <w:p>
      <w:pPr>
        <w:spacing w:after="0" w:line="68"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color w:val="auto"/>
        </w:rPr>
        <w:t>Roper may redeem some or all of each outstanding series of senior notes at any time or from time to time, at 100% of their principal amount, plus a make-whole premium based on a spread to U.S. Treasury securities. Roper is also enti-tled to redeem some or all of each outstanding series of senior notes at 100% of their principal amount plus accrued and unpaid interest, on or after applicable dates in advance of maturity.</w:t>
      </w:r>
    </w:p>
    <w:p>
      <w:pPr>
        <w:spacing w:after="0" w:line="38" w:lineRule="exact"/>
        <w:rPr>
          <w:sz w:val="20"/>
          <w:szCs w:val="20"/>
          <w:color w:val="auto"/>
        </w:rPr>
      </w:pPr>
    </w:p>
    <w:p>
      <w:pPr>
        <w:jc w:val="both"/>
        <w:ind w:right="60"/>
        <w:spacing w:after="0" w:line="318" w:lineRule="auto"/>
        <w:rPr>
          <w:sz w:val="20"/>
          <w:szCs w:val="20"/>
          <w:color w:val="auto"/>
        </w:rPr>
      </w:pPr>
      <w:r>
        <w:rPr>
          <w:rFonts w:ascii="Arial" w:cs="Arial" w:eastAsia="Arial" w:hAnsi="Arial"/>
          <w:sz w:val="18"/>
          <w:szCs w:val="18"/>
          <w:color w:val="auto"/>
        </w:rPr>
        <w:t>On September 15, 2025, $700.0 of 1.00% senior notes due 2025 were repaid at maturity using borrowings under our unsecured credit facility as well as a portion of the net proceeds from the issuance of the Notes.</w:t>
      </w:r>
    </w:p>
    <w:p>
      <w:pPr>
        <w:spacing w:after="0" w:line="1" w:lineRule="exact"/>
        <w:rPr>
          <w:sz w:val="20"/>
          <w:szCs w:val="20"/>
          <w:color w:val="auto"/>
        </w:rPr>
      </w:pPr>
    </w:p>
    <w:p>
      <w:pPr>
        <w:jc w:val="both"/>
        <w:ind w:right="60"/>
        <w:spacing w:after="0" w:line="318" w:lineRule="auto"/>
        <w:rPr>
          <w:sz w:val="20"/>
          <w:szCs w:val="20"/>
          <w:color w:val="auto"/>
        </w:rPr>
      </w:pPr>
      <w:r>
        <w:rPr>
          <w:rFonts w:ascii="Arial" w:cs="Arial" w:eastAsia="Arial" w:hAnsi="Arial"/>
          <w:sz w:val="18"/>
          <w:szCs w:val="18"/>
          <w:color w:val="auto"/>
        </w:rPr>
        <w:t>On December 15, 2025, $300.0 of 3.85% senior notes due 2025 were repaid at maturity using borrowings under our unsecured credit facility.</w:t>
      </w:r>
    </w:p>
    <w:p>
      <w:pPr>
        <w:spacing w:after="0" w:line="1" w:lineRule="exact"/>
        <w:rPr>
          <w:sz w:val="20"/>
          <w:szCs w:val="20"/>
          <w:color w:val="auto"/>
        </w:rPr>
      </w:pPr>
    </w:p>
    <w:p>
      <w:pPr>
        <w:jc w:val="both"/>
        <w:ind w:right="60"/>
        <w:spacing w:after="0" w:line="318" w:lineRule="auto"/>
        <w:rPr>
          <w:sz w:val="20"/>
          <w:szCs w:val="20"/>
          <w:color w:val="auto"/>
        </w:rPr>
      </w:pPr>
      <w:r>
        <w:rPr>
          <w:rFonts w:ascii="Arial" w:cs="Arial" w:eastAsia="Arial" w:hAnsi="Arial"/>
          <w:sz w:val="18"/>
          <w:szCs w:val="18"/>
          <w:color w:val="auto"/>
        </w:rPr>
        <w:t>On September 15, 2024, $500.0 of 2.35% senior notes due 2024 were repaid at maturity using borrowings under our unse-cured credit facility as well as a portion of the net proceeds from the August 2024 issuance of senior unsecured notes.</w:t>
      </w:r>
    </w:p>
    <w:p>
      <w:pPr>
        <w:spacing w:after="0" w:line="1" w:lineRule="exact"/>
        <w:rPr>
          <w:sz w:val="20"/>
          <w:szCs w:val="20"/>
          <w:color w:val="auto"/>
        </w:rPr>
      </w:pPr>
    </w:p>
    <w:p>
      <w:pPr>
        <w:jc w:val="both"/>
        <w:ind w:right="60"/>
        <w:spacing w:after="0" w:line="318" w:lineRule="auto"/>
        <w:rPr>
          <w:sz w:val="20"/>
          <w:szCs w:val="20"/>
          <w:color w:val="auto"/>
        </w:rPr>
      </w:pPr>
      <w:r>
        <w:rPr>
          <w:rFonts w:ascii="Arial" w:cs="Arial" w:eastAsia="Arial" w:hAnsi="Arial"/>
          <w:sz w:val="18"/>
          <w:szCs w:val="18"/>
          <w:color w:val="auto"/>
        </w:rPr>
        <w:t>On September 15, 2023, $700.0 of 3.65% senior notes due 2023 were repaid at maturity using borrowings under our unsecured credit facility.</w:t>
      </w:r>
    </w:p>
    <w:p>
      <w:pPr>
        <w:spacing w:after="0" w:line="1"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 xml:space="preserve">The Company’s senior notes are unsecured senior obligations of the Company and rank equally in right of payment </w:t>
      </w:r>
      <w:r>
        <w:rPr>
          <w:rFonts w:ascii="Arial" w:cs="Arial" w:eastAsia="Arial" w:hAnsi="Arial"/>
          <w:sz w:val="18"/>
          <w:szCs w:val="18"/>
          <w:color w:val="auto"/>
        </w:rPr>
        <w:t>ʥȈɽȃ</w:t>
      </w:r>
      <w:r>
        <w:rPr>
          <w:rFonts w:ascii="PMingLiU" w:cs="PMingLiU" w:eastAsia="PMingLiU" w:hAnsi="PMingLiU"/>
          <w:sz w:val="18"/>
          <w:szCs w:val="18"/>
          <w:color w:val="auto"/>
        </w:rPr>
        <w:t/>
      </w:r>
      <w:r>
        <w:rPr>
          <w:rFonts w:ascii="Arial" w:cs="Arial" w:eastAsia="Arial" w:hAnsi="Arial"/>
          <w:sz w:val="18"/>
          <w:szCs w:val="18"/>
          <w:color w:val="auto"/>
        </w:rPr>
        <w:t>ƃȢȢ</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ĄɁɥǉɨԇɰ</w:t>
      </w:r>
      <w:r>
        <w:rPr>
          <w:rFonts w:ascii="PMingLiU" w:cs="PMingLiU" w:eastAsia="PMingLiU" w:hAnsi="PMingLiU"/>
          <w:sz w:val="18"/>
          <w:szCs w:val="18"/>
          <w:color w:val="auto"/>
        </w:rPr>
        <w:t/>
      </w:r>
      <w:r>
        <w:rPr>
          <w:rFonts w:ascii="Arial" w:cs="Arial" w:eastAsia="Arial" w:hAnsi="Arial"/>
          <w:sz w:val="18"/>
          <w:szCs w:val="18"/>
          <w:color w:val="auto"/>
        </w:rPr>
        <w:t xml:space="preserve"> ǉʯȈɰɽȈȶǼ</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ǹʍɽʍɨǉ</w:t>
      </w:r>
      <w:r>
        <w:rPr>
          <w:rFonts w:ascii="PMingLiU" w:cs="PMingLiU" w:eastAsia="PMingLiU" w:hAnsi="PMingLiU"/>
          <w:sz w:val="18"/>
          <w:szCs w:val="18"/>
          <w:color w:val="auto"/>
        </w:rPr>
        <w:t/>
      </w:r>
      <w:r>
        <w:rPr>
          <w:rFonts w:ascii="Arial" w:cs="Arial" w:eastAsia="Arial" w:hAnsi="Arial"/>
          <w:sz w:val="18"/>
          <w:szCs w:val="18"/>
          <w:color w:val="auto"/>
        </w:rPr>
        <w:t>ʍȶɰǉƺʍɨǉǁ</w:t>
      </w:r>
      <w:r>
        <w:rPr>
          <w:rFonts w:ascii="PMingLiU" w:cs="PMingLiU" w:eastAsia="PMingLiU" w:hAnsi="PMingLiU"/>
          <w:sz w:val="18"/>
          <w:szCs w:val="18"/>
          <w:color w:val="auto"/>
        </w:rPr>
        <w:t/>
      </w:r>
      <w:r>
        <w:rPr>
          <w:rFonts w:ascii="Arial" w:cs="Arial" w:eastAsia="Arial" w:hAnsi="Arial"/>
          <w:sz w:val="18"/>
          <w:szCs w:val="18"/>
          <w:color w:val="auto"/>
        </w:rPr>
        <w:t>ɰǉȶȈɁɨ</w:t>
      </w:r>
      <w:r>
        <w:rPr>
          <w:rFonts w:ascii="PMingLiU" w:cs="PMingLiU" w:eastAsia="PMingLiU" w:hAnsi="PMingLiU"/>
          <w:sz w:val="18"/>
          <w:szCs w:val="18"/>
          <w:color w:val="auto"/>
        </w:rPr>
        <w:t/>
      </w:r>
      <w:r>
        <w:rPr>
          <w:rFonts w:ascii="Arial" w:cs="Arial" w:eastAsia="Arial" w:hAnsi="Arial"/>
          <w:sz w:val="18"/>
          <w:szCs w:val="18"/>
          <w:color w:val="auto"/>
        </w:rPr>
        <w:t>Ȉȶǁǉƹɽǉǁȶǉɰɰ</w:t>
      </w:r>
      <w:r>
        <w:rPr>
          <w:rFonts w:ascii="Arial" w:cs="Arial" w:eastAsia="Arial" w:hAnsi="Arial"/>
          <w:sz w:val="18"/>
          <w:szCs w:val="18"/>
          <w:color w:val="auto"/>
        </w:rPr>
        <w:t>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ȶɁɽǉɰ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ǉǹǹǉƺɽȈʤǉȢʰ</w:t>
      </w:r>
      <w:r>
        <w:rPr>
          <w:rFonts w:ascii="PMingLiU" w:cs="PMingLiU" w:eastAsia="PMingLiU" w:hAnsi="PMingLiU"/>
          <w:sz w:val="18"/>
          <w:szCs w:val="18"/>
          <w:color w:val="auto"/>
        </w:rPr>
        <w:t/>
      </w:r>
      <w:r>
        <w:rPr>
          <w:rFonts w:ascii="Arial" w:cs="Arial" w:eastAsia="Arial" w:hAnsi="Arial"/>
          <w:sz w:val="18"/>
          <w:szCs w:val="18"/>
          <w:color w:val="auto"/>
        </w:rPr>
        <w:t>ɰʍƹɁɨǁȈȶƃɽǉǁ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ɨȈǼȃɽ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of payment to any of its existing and future secured indebtedness to the extent of the value of the collateral securing </w:t>
      </w:r>
      <w:r>
        <w:rPr>
          <w:rFonts w:ascii="Arial" w:cs="Arial" w:eastAsia="Arial" w:hAnsi="Arial"/>
          <w:sz w:val="18"/>
          <w:szCs w:val="18"/>
          <w:color w:val="auto"/>
        </w:rPr>
        <w:t>ɰʍƺȃ</w:t>
      </w:r>
      <w:r>
        <w:rPr>
          <w:rFonts w:ascii="PMingLiU" w:cs="PMingLiU" w:eastAsia="PMingLiU" w:hAnsi="PMingLiU"/>
          <w:sz w:val="18"/>
          <w:szCs w:val="18"/>
          <w:color w:val="auto"/>
        </w:rPr>
        <w:t/>
      </w:r>
      <w:r>
        <w:rPr>
          <w:rFonts w:ascii="Arial" w:cs="Arial" w:eastAsia="Arial" w:hAnsi="Arial"/>
          <w:sz w:val="18"/>
          <w:szCs w:val="18"/>
          <w:color w:val="auto"/>
        </w:rPr>
        <w:t xml:space="preserve">Ȉȶǁǉƹɽǉǁȶǉɰɰ </w:t>
      </w:r>
      <w:r>
        <w:rPr>
          <w:rFonts w:ascii="Arial" w:cs="Arial" w:eastAsia="Arial" w:hAnsi="Arial"/>
          <w:sz w:val="18"/>
          <w:szCs w:val="18"/>
          <w:color w:val="auto"/>
        </w:rPr>
        <w:t>ӝ</w:t>
      </w:r>
      <w:r>
        <w:rPr>
          <w:rFonts w:ascii="Arial" w:cs="Arial" w:eastAsia="Arial" w:hAnsi="Arial"/>
          <w:sz w:val="18"/>
          <w:szCs w:val="18"/>
          <w:color w:val="auto"/>
        </w:rPr>
        <w:t>ԝěȃǉ</w:t>
      </w:r>
      <w:r>
        <w:rPr>
          <w:rFonts w:ascii="PMingLiU" w:cs="PMingLiU" w:eastAsia="PMingLiU" w:hAnsi="PMingLiU"/>
          <w:sz w:val="18"/>
          <w:szCs w:val="18"/>
          <w:color w:val="auto"/>
        </w:rPr>
        <w:t/>
      </w:r>
      <w:r>
        <w:rPr>
          <w:rFonts w:ascii="Arial" w:cs="Arial" w:eastAsia="Arial" w:hAnsi="Arial"/>
          <w:sz w:val="18"/>
          <w:szCs w:val="18"/>
          <w:color w:val="auto"/>
        </w:rPr>
        <w:t>ȶɁɽǉɰ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ȶɁɽ</w:t>
      </w:r>
      <w:r>
        <w:rPr>
          <w:rFonts w:ascii="PMingLiU" w:cs="PMingLiU" w:eastAsia="PMingLiU" w:hAnsi="PMingLiU"/>
          <w:sz w:val="18"/>
          <w:szCs w:val="18"/>
          <w:color w:val="auto"/>
        </w:rPr>
        <w:t/>
      </w:r>
      <w:r>
        <w:rPr>
          <w:rFonts w:ascii="Arial" w:cs="Arial" w:eastAsia="Arial" w:hAnsi="Arial"/>
          <w:sz w:val="18"/>
          <w:szCs w:val="18"/>
          <w:color w:val="auto"/>
        </w:rPr>
        <w:t>Ǽʍƃɨƃȶɽǉǉǁ</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ƃȶʰ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ĄɁɥǉɨԇɰ</w:t>
      </w:r>
      <w:r>
        <w:rPr>
          <w:rFonts w:ascii="PMingLiU" w:cs="PMingLiU" w:eastAsia="PMingLiU" w:hAnsi="PMingLiU"/>
          <w:sz w:val="18"/>
          <w:szCs w:val="18"/>
          <w:color w:val="auto"/>
        </w:rPr>
        <w:t/>
      </w:r>
      <w:r>
        <w:rPr>
          <w:rFonts w:ascii="Arial" w:cs="Arial" w:eastAsia="Arial" w:hAnsi="Arial"/>
          <w:sz w:val="18"/>
          <w:szCs w:val="18"/>
          <w:color w:val="auto"/>
        </w:rPr>
        <w:t>ɰʍƹɰȈǁȈƃɨȈǉɰ</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ǉǹǹǉƺɽȈʤǉȢʰ</w:t>
      </w:r>
      <w:r>
        <w:rPr>
          <w:rFonts w:ascii="PMingLiU" w:cs="PMingLiU" w:eastAsia="PMingLiU" w:hAnsi="PMingLiU"/>
          <w:sz w:val="18"/>
          <w:szCs w:val="18"/>
          <w:color w:val="auto"/>
        </w:rPr>
        <w:t/>
      </w:r>
      <w:r>
        <w:rPr>
          <w:rFonts w:ascii="Arial" w:cs="Arial" w:eastAsia="Arial" w:hAnsi="Arial"/>
          <w:sz w:val="18"/>
          <w:szCs w:val="18"/>
          <w:color w:val="auto"/>
        </w:rPr>
        <w:t>ɰʍƹɁɨǁȈȶƃɽǉǁ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ƃȢȢ</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existing and future indebtedness and other liabilities of Roper’s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Total debt at December 31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5880" w:type="dxa"/>
            <w:vAlign w:val="bottom"/>
            <w:tcBorders>
              <w:bottom w:val="single" w:sz="8" w:color="000041"/>
            </w:tcBorders>
          </w:tcPr>
          <w:p>
            <w:pPr>
              <w:spacing w:after="0"/>
              <w:rPr>
                <w:sz w:val="23"/>
                <w:szCs w:val="23"/>
                <w:color w:val="auto"/>
              </w:rPr>
            </w:pPr>
          </w:p>
        </w:tc>
        <w:tc>
          <w:tcPr>
            <w:tcW w:w="286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2025</w:t>
            </w:r>
          </w:p>
        </w:tc>
        <w:tc>
          <w:tcPr>
            <w:tcW w:w="9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2024</w:t>
            </w:r>
          </w:p>
        </w:tc>
      </w:tr>
      <w:tr>
        <w:trPr>
          <w:trHeight w:val="237"/>
        </w:trPr>
        <w:tc>
          <w:tcPr>
            <w:tcW w:w="6520" w:type="dxa"/>
            <w:vAlign w:val="bottom"/>
            <w:gridSpan w:val="2"/>
          </w:tcPr>
          <w:p>
            <w:pPr>
              <w:spacing w:after="0"/>
              <w:rPr>
                <w:sz w:val="20"/>
                <w:szCs w:val="20"/>
                <w:color w:val="auto"/>
              </w:rPr>
            </w:pPr>
            <w:r>
              <w:rPr>
                <w:rFonts w:ascii="Arial" w:cs="Arial" w:eastAsia="Arial" w:hAnsi="Arial"/>
                <w:sz w:val="18"/>
                <w:szCs w:val="18"/>
                <w:color w:val="auto"/>
              </w:rPr>
              <w:t>Unsecured revolving credit facility</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  850.0</w:t>
            </w:r>
          </w:p>
        </w:tc>
        <w:tc>
          <w:tcPr>
            <w:tcW w:w="940" w:type="dxa"/>
            <w:vAlign w:val="bottom"/>
          </w:tcPr>
          <w:p>
            <w:pPr>
              <w:jc w:val="right"/>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PMingLiU" w:cs="PMingLiU" w:eastAsia="PMingLiU" w:hAnsi="PMingLiU"/>
                <w:sz w:val="18"/>
                <w:szCs w:val="18"/>
                <w:color w:val="auto"/>
              </w:rPr>
              <w:t/>
            </w:r>
            <w:r>
              <w:rPr>
                <w:rFonts w:ascii="Arial" w:cs="Arial" w:eastAsia="Arial" w:hAnsi="Arial"/>
                <w:sz w:val="18"/>
                <w:szCs w:val="18"/>
                <w:color w:val="auto"/>
              </w:rPr>
              <w:t>іїњӝѕ</w:t>
            </w:r>
          </w:p>
        </w:tc>
      </w:tr>
      <w:tr>
        <w:trPr>
          <w:trHeight w:val="220"/>
        </w:trPr>
        <w:tc>
          <w:tcPr>
            <w:tcW w:w="6520" w:type="dxa"/>
            <w:vAlign w:val="bottom"/>
            <w:gridSpan w:val="2"/>
          </w:tcPr>
          <w:p>
            <w:pPr>
              <w:spacing w:after="0"/>
              <w:rPr>
                <w:sz w:val="20"/>
                <w:szCs w:val="20"/>
                <w:color w:val="auto"/>
              </w:rPr>
            </w:pPr>
            <w:r>
              <w:rPr>
                <w:rFonts w:ascii="Arial" w:cs="Arial" w:eastAsia="Arial" w:hAnsi="Arial"/>
                <w:sz w:val="18"/>
                <w:szCs w:val="18"/>
                <w:color w:val="auto"/>
              </w:rPr>
              <w:t>$300  3.850% senior notes due 2025</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0"/>
        </w:trPr>
        <w:tc>
          <w:tcPr>
            <w:tcW w:w="640" w:type="dxa"/>
            <w:vAlign w:val="bottom"/>
          </w:tcPr>
          <w:p>
            <w:pPr>
              <w:spacing w:after="0"/>
              <w:rPr>
                <w:sz w:val="20"/>
                <w:szCs w:val="20"/>
                <w:color w:val="auto"/>
              </w:rPr>
            </w:pPr>
            <w:r>
              <w:rPr>
                <w:rFonts w:ascii="Arial" w:cs="Arial" w:eastAsia="Arial" w:hAnsi="Arial"/>
                <w:sz w:val="18"/>
                <w:szCs w:val="18"/>
                <w:color w:val="auto"/>
              </w:rPr>
              <w:t>$700</w:t>
            </w:r>
          </w:p>
        </w:tc>
        <w:tc>
          <w:tcPr>
            <w:tcW w:w="5880" w:type="dxa"/>
            <w:vAlign w:val="bottom"/>
          </w:tcPr>
          <w:p>
            <w:pPr>
              <w:ind w:left="20"/>
              <w:spacing w:after="0"/>
              <w:rPr>
                <w:sz w:val="20"/>
                <w:szCs w:val="20"/>
                <w:color w:val="auto"/>
              </w:rPr>
            </w:pPr>
            <w:r>
              <w:rPr>
                <w:rFonts w:ascii="Arial" w:cs="Arial" w:eastAsia="Arial" w:hAnsi="Arial"/>
                <w:sz w:val="18"/>
                <w:szCs w:val="18"/>
                <w:color w:val="auto"/>
              </w:rPr>
              <w:t>1.000% senior notes due 2025</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20"/>
        </w:trPr>
        <w:tc>
          <w:tcPr>
            <w:tcW w:w="640" w:type="dxa"/>
            <w:vAlign w:val="bottom"/>
          </w:tcPr>
          <w:p>
            <w:pPr>
              <w:spacing w:after="0"/>
              <w:rPr>
                <w:sz w:val="20"/>
                <w:szCs w:val="20"/>
                <w:color w:val="auto"/>
              </w:rPr>
            </w:pPr>
            <w:r>
              <w:rPr>
                <w:rFonts w:ascii="Arial" w:cs="Arial" w:eastAsia="Arial" w:hAnsi="Arial"/>
                <w:sz w:val="18"/>
                <w:szCs w:val="18"/>
                <w:color w:val="auto"/>
              </w:rPr>
              <w:t>$700</w:t>
            </w:r>
          </w:p>
        </w:tc>
        <w:tc>
          <w:tcPr>
            <w:tcW w:w="5880" w:type="dxa"/>
            <w:vAlign w:val="bottom"/>
          </w:tcPr>
          <w:p>
            <w:pPr>
              <w:ind w:left="20"/>
              <w:spacing w:after="0"/>
              <w:rPr>
                <w:sz w:val="20"/>
                <w:szCs w:val="20"/>
                <w:color w:val="auto"/>
              </w:rPr>
            </w:pPr>
            <w:r>
              <w:rPr>
                <w:rFonts w:ascii="Arial" w:cs="Arial" w:eastAsia="Arial" w:hAnsi="Arial"/>
                <w:sz w:val="18"/>
                <w:szCs w:val="18"/>
                <w:color w:val="auto"/>
              </w:rPr>
              <w:t>3.800% senior notes due 2026</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700.0</w:t>
            </w: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20"/>
        </w:trPr>
        <w:tc>
          <w:tcPr>
            <w:tcW w:w="640" w:type="dxa"/>
            <w:vAlign w:val="bottom"/>
          </w:tcPr>
          <w:p>
            <w:pPr>
              <w:spacing w:after="0"/>
              <w:rPr>
                <w:sz w:val="20"/>
                <w:szCs w:val="20"/>
                <w:color w:val="auto"/>
              </w:rPr>
            </w:pPr>
            <w:r>
              <w:rPr>
                <w:rFonts w:ascii="Arial" w:cs="Arial" w:eastAsia="Arial" w:hAnsi="Arial"/>
                <w:sz w:val="18"/>
                <w:szCs w:val="18"/>
                <w:color w:val="auto"/>
              </w:rPr>
              <w:t>$700</w:t>
            </w:r>
          </w:p>
        </w:tc>
        <w:tc>
          <w:tcPr>
            <w:tcW w:w="5880" w:type="dxa"/>
            <w:vAlign w:val="bottom"/>
          </w:tcPr>
          <w:p>
            <w:pPr>
              <w:ind w:left="20"/>
              <w:spacing w:after="0"/>
              <w:rPr>
                <w:sz w:val="20"/>
                <w:szCs w:val="20"/>
                <w:color w:val="auto"/>
              </w:rPr>
            </w:pPr>
            <w:r>
              <w:rPr>
                <w:rFonts w:ascii="Arial" w:cs="Arial" w:eastAsia="Arial" w:hAnsi="Arial"/>
                <w:sz w:val="18"/>
                <w:szCs w:val="18"/>
                <w:color w:val="auto"/>
              </w:rPr>
              <w:t>1.400% senior notes due 2027</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700.0</w:t>
            </w: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20"/>
        </w:trPr>
        <w:tc>
          <w:tcPr>
            <w:tcW w:w="6520" w:type="dxa"/>
            <w:vAlign w:val="bottom"/>
            <w:gridSpan w:val="2"/>
          </w:tcPr>
          <w:p>
            <w:pPr>
              <w:spacing w:after="0"/>
              <w:rPr>
                <w:sz w:val="20"/>
                <w:szCs w:val="20"/>
                <w:color w:val="auto"/>
              </w:rPr>
            </w:pPr>
            <w:r>
              <w:rPr>
                <w:rFonts w:ascii="Arial" w:cs="Arial" w:eastAsia="Arial" w:hAnsi="Arial"/>
                <w:sz w:val="18"/>
                <w:szCs w:val="18"/>
                <w:color w:val="auto"/>
              </w:rPr>
              <w:t>$800  4.200% senior notes due 2028</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800.0</w:t>
            </w:r>
          </w:p>
        </w:tc>
        <w:tc>
          <w:tcPr>
            <w:tcW w:w="9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20"/>
        </w:trPr>
        <w:tc>
          <w:tcPr>
            <w:tcW w:w="6520" w:type="dxa"/>
            <w:vAlign w:val="bottom"/>
            <w:gridSpan w:val="2"/>
          </w:tcPr>
          <w:p>
            <w:pPr>
              <w:spacing w:after="0"/>
              <w:rPr>
                <w:sz w:val="20"/>
                <w:szCs w:val="20"/>
                <w:color w:val="auto"/>
              </w:rPr>
            </w:pPr>
            <w:r>
              <w:rPr>
                <w:rFonts w:ascii="Arial" w:cs="Arial" w:eastAsia="Arial" w:hAnsi="Arial"/>
                <w:sz w:val="18"/>
                <w:szCs w:val="18"/>
                <w:color w:val="auto"/>
              </w:rPr>
              <w:t>$500  4.250% senior notes due 2028</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500.0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6520" w:type="dxa"/>
            <w:vAlign w:val="bottom"/>
            <w:gridSpan w:val="2"/>
          </w:tcPr>
          <w:p>
            <w:pPr>
              <w:spacing w:after="0"/>
              <w:rPr>
                <w:sz w:val="20"/>
                <w:szCs w:val="20"/>
                <w:color w:val="auto"/>
              </w:rPr>
            </w:pPr>
            <w:r>
              <w:rPr>
                <w:rFonts w:ascii="Arial" w:cs="Arial" w:eastAsia="Arial" w:hAnsi="Arial"/>
                <w:sz w:val="18"/>
                <w:szCs w:val="18"/>
                <w:color w:val="auto"/>
              </w:rPr>
              <w:t>$500  4.500% senior notes due 2029</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500.0</w:t>
            </w: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0"/>
        </w:trPr>
        <w:tc>
          <w:tcPr>
            <w:tcW w:w="640" w:type="dxa"/>
            <w:vAlign w:val="bottom"/>
          </w:tcPr>
          <w:p>
            <w:pPr>
              <w:spacing w:after="0"/>
              <w:rPr>
                <w:sz w:val="20"/>
                <w:szCs w:val="20"/>
                <w:color w:val="auto"/>
              </w:rPr>
            </w:pPr>
            <w:r>
              <w:rPr>
                <w:rFonts w:ascii="Arial" w:cs="Arial" w:eastAsia="Arial" w:hAnsi="Arial"/>
                <w:sz w:val="18"/>
                <w:szCs w:val="18"/>
                <w:color w:val="auto"/>
              </w:rPr>
              <w:t>$700</w:t>
            </w:r>
          </w:p>
        </w:tc>
        <w:tc>
          <w:tcPr>
            <w:tcW w:w="5880" w:type="dxa"/>
            <w:vAlign w:val="bottom"/>
          </w:tcPr>
          <w:p>
            <w:pPr>
              <w:ind w:left="20"/>
              <w:spacing w:after="0"/>
              <w:rPr>
                <w:sz w:val="20"/>
                <w:szCs w:val="20"/>
                <w:color w:val="auto"/>
              </w:rPr>
            </w:pPr>
            <w:r>
              <w:rPr>
                <w:rFonts w:ascii="Arial" w:cs="Arial" w:eastAsia="Arial" w:hAnsi="Arial"/>
                <w:sz w:val="18"/>
                <w:szCs w:val="18"/>
                <w:color w:val="auto"/>
              </w:rPr>
              <w:t>2.950% senior notes due 2029</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700.0</w:t>
            </w: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20"/>
        </w:trPr>
        <w:tc>
          <w:tcPr>
            <w:tcW w:w="6520" w:type="dxa"/>
            <w:vAlign w:val="bottom"/>
            <w:gridSpan w:val="2"/>
          </w:tcPr>
          <w:p>
            <w:pPr>
              <w:spacing w:after="0"/>
              <w:rPr>
                <w:sz w:val="20"/>
                <w:szCs w:val="20"/>
                <w:color w:val="auto"/>
              </w:rPr>
            </w:pPr>
            <w:r>
              <w:rPr>
                <w:rFonts w:ascii="Arial" w:cs="Arial" w:eastAsia="Arial" w:hAnsi="Arial"/>
                <w:sz w:val="18"/>
                <w:szCs w:val="18"/>
                <w:color w:val="auto"/>
              </w:rPr>
              <w:t>$600  2.000% senior notes due 2030</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600.0</w:t>
            </w:r>
          </w:p>
        </w:tc>
        <w:tc>
          <w:tcPr>
            <w:tcW w:w="94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0"/>
        </w:trPr>
        <w:tc>
          <w:tcPr>
            <w:tcW w:w="6520" w:type="dxa"/>
            <w:vAlign w:val="bottom"/>
            <w:gridSpan w:val="2"/>
          </w:tcPr>
          <w:p>
            <w:pPr>
              <w:spacing w:after="0"/>
              <w:rPr>
                <w:sz w:val="20"/>
                <w:szCs w:val="20"/>
                <w:color w:val="auto"/>
              </w:rPr>
            </w:pPr>
            <w:r>
              <w:rPr>
                <w:rFonts w:ascii="Arial" w:cs="Arial" w:eastAsia="Arial" w:hAnsi="Arial"/>
                <w:sz w:val="18"/>
                <w:szCs w:val="18"/>
                <w:color w:val="auto"/>
              </w:rPr>
              <w:t>$500  4.450% senior notes due 2030</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500.0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640" w:type="dxa"/>
            <w:vAlign w:val="bottom"/>
          </w:tcPr>
          <w:p>
            <w:pPr>
              <w:spacing w:after="0"/>
              <w:rPr>
                <w:sz w:val="20"/>
                <w:szCs w:val="20"/>
                <w:color w:val="auto"/>
              </w:rPr>
            </w:pPr>
            <w:r>
              <w:rPr>
                <w:rFonts w:ascii="Arial" w:cs="Arial" w:eastAsia="Arial" w:hAnsi="Arial"/>
                <w:sz w:val="18"/>
                <w:szCs w:val="18"/>
                <w:color w:val="auto"/>
              </w:rPr>
              <w:t>$1,000</w:t>
            </w:r>
          </w:p>
        </w:tc>
        <w:tc>
          <w:tcPr>
            <w:tcW w:w="5880" w:type="dxa"/>
            <w:vAlign w:val="bottom"/>
          </w:tcPr>
          <w:p>
            <w:pPr>
              <w:ind w:left="20"/>
              <w:spacing w:after="0"/>
              <w:rPr>
                <w:sz w:val="20"/>
                <w:szCs w:val="20"/>
                <w:color w:val="auto"/>
              </w:rPr>
            </w:pPr>
            <w:r>
              <w:rPr>
                <w:rFonts w:ascii="Arial" w:cs="Arial" w:eastAsia="Arial" w:hAnsi="Arial"/>
                <w:sz w:val="18"/>
                <w:szCs w:val="18"/>
                <w:color w:val="auto"/>
              </w:rPr>
              <w:t>1.750% senior notes due 2031</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1,000.0</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0"/>
        </w:trPr>
        <w:tc>
          <w:tcPr>
            <w:tcW w:w="640" w:type="dxa"/>
            <w:vAlign w:val="bottom"/>
          </w:tcPr>
          <w:p>
            <w:pPr>
              <w:spacing w:after="0"/>
              <w:rPr>
                <w:sz w:val="20"/>
                <w:szCs w:val="20"/>
                <w:color w:val="auto"/>
              </w:rPr>
            </w:pPr>
            <w:r>
              <w:rPr>
                <w:rFonts w:ascii="Arial" w:cs="Arial" w:eastAsia="Arial" w:hAnsi="Arial"/>
                <w:sz w:val="18"/>
                <w:szCs w:val="18"/>
                <w:color w:val="auto"/>
              </w:rPr>
              <w:t>$500</w:t>
            </w:r>
          </w:p>
        </w:tc>
        <w:tc>
          <w:tcPr>
            <w:tcW w:w="5880" w:type="dxa"/>
            <w:vAlign w:val="bottom"/>
          </w:tcPr>
          <w:p>
            <w:pPr>
              <w:ind w:left="20"/>
              <w:spacing w:after="0"/>
              <w:rPr>
                <w:sz w:val="20"/>
                <w:szCs w:val="20"/>
                <w:color w:val="auto"/>
              </w:rPr>
            </w:pPr>
            <w:r>
              <w:rPr>
                <w:rFonts w:ascii="Arial" w:cs="Arial" w:eastAsia="Arial" w:hAnsi="Arial"/>
                <w:sz w:val="18"/>
                <w:szCs w:val="18"/>
                <w:color w:val="auto"/>
              </w:rPr>
              <w:t>4.750% senior notes due 2032</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500.0</w:t>
            </w: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0"/>
        </w:trPr>
        <w:tc>
          <w:tcPr>
            <w:tcW w:w="640" w:type="dxa"/>
            <w:vAlign w:val="bottom"/>
          </w:tcPr>
          <w:p>
            <w:pPr>
              <w:spacing w:after="0"/>
              <w:rPr>
                <w:sz w:val="20"/>
                <w:szCs w:val="20"/>
                <w:color w:val="auto"/>
              </w:rPr>
            </w:pPr>
            <w:r>
              <w:rPr>
                <w:rFonts w:ascii="Arial" w:cs="Arial" w:eastAsia="Arial" w:hAnsi="Arial"/>
                <w:sz w:val="18"/>
                <w:szCs w:val="18"/>
                <w:color w:val="auto"/>
              </w:rPr>
              <w:t>$1,000</w:t>
            </w:r>
          </w:p>
        </w:tc>
        <w:tc>
          <w:tcPr>
            <w:tcW w:w="5880" w:type="dxa"/>
            <w:vAlign w:val="bottom"/>
          </w:tcPr>
          <w:p>
            <w:pPr>
              <w:ind w:left="20"/>
              <w:spacing w:after="0"/>
              <w:rPr>
                <w:sz w:val="20"/>
                <w:szCs w:val="20"/>
                <w:color w:val="auto"/>
              </w:rPr>
            </w:pPr>
            <w:r>
              <w:rPr>
                <w:rFonts w:ascii="Arial" w:cs="Arial" w:eastAsia="Arial" w:hAnsi="Arial"/>
                <w:sz w:val="18"/>
                <w:szCs w:val="18"/>
                <w:color w:val="auto"/>
              </w:rPr>
              <w:t>4.900% senior notes due 2034</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1,000.0</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0"/>
        </w:trPr>
        <w:tc>
          <w:tcPr>
            <w:tcW w:w="6520" w:type="dxa"/>
            <w:vAlign w:val="bottom"/>
            <w:gridSpan w:val="2"/>
          </w:tcPr>
          <w:p>
            <w:pPr>
              <w:spacing w:after="0"/>
              <w:rPr>
                <w:sz w:val="20"/>
                <w:szCs w:val="20"/>
                <w:color w:val="auto"/>
              </w:rPr>
            </w:pPr>
            <w:r>
              <w:rPr>
                <w:rFonts w:ascii="Arial" w:cs="Arial" w:eastAsia="Arial" w:hAnsi="Arial"/>
                <w:sz w:val="18"/>
                <w:szCs w:val="18"/>
                <w:color w:val="auto"/>
              </w:rPr>
              <w:t>$1,000 5.100% senior notes due 2035</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1,000.0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6520" w:type="dxa"/>
            <w:vAlign w:val="bottom"/>
            <w:gridSpan w:val="2"/>
          </w:tcPr>
          <w:p>
            <w:pPr>
              <w:spacing w:after="0"/>
              <w:rPr>
                <w:sz w:val="20"/>
                <w:szCs w:val="20"/>
                <w:color w:val="auto"/>
              </w:rPr>
            </w:pPr>
            <w:r>
              <w:rPr>
                <w:rFonts w:ascii="Arial" w:cs="Arial" w:eastAsia="Arial" w:hAnsi="Arial"/>
                <w:sz w:val="18"/>
                <w:szCs w:val="18"/>
                <w:color w:val="auto"/>
              </w:rPr>
              <w:t>Other debt</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68"/>
        </w:trPr>
        <w:tc>
          <w:tcPr>
            <w:tcW w:w="6520" w:type="dxa"/>
            <w:vAlign w:val="bottom"/>
            <w:tcBorders>
              <w:bottom w:val="single" w:sz="8" w:color="000041"/>
            </w:tcBorders>
            <w:gridSpan w:val="2"/>
          </w:tcPr>
          <w:p>
            <w:pPr>
              <w:spacing w:after="0" w:line="219" w:lineRule="exact"/>
              <w:rPr>
                <w:sz w:val="20"/>
                <w:szCs w:val="20"/>
                <w:color w:val="auto"/>
              </w:rPr>
            </w:pPr>
            <w:r>
              <w:rPr>
                <w:rFonts w:ascii="Arial" w:cs="Arial" w:eastAsia="Arial" w:hAnsi="Arial"/>
                <w:sz w:val="18"/>
                <w:szCs w:val="18"/>
                <w:color w:val="auto"/>
              </w:rPr>
              <w:t>¸ǉɰɰ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Aǉǹǉɨɨǉǁ</w:t>
            </w:r>
            <w:r>
              <w:rPr>
                <w:rFonts w:ascii="PMingLiU" w:cs="PMingLiU" w:eastAsia="PMingLiU" w:hAnsi="PMingLiU"/>
                <w:sz w:val="18"/>
                <w:szCs w:val="18"/>
                <w:color w:val="auto"/>
              </w:rPr>
              <w:t/>
            </w:r>
            <w:r>
              <w:rPr>
                <w:rFonts w:ascii="Arial" w:cs="Arial" w:eastAsia="Arial" w:hAnsi="Arial"/>
                <w:sz w:val="18"/>
                <w:szCs w:val="18"/>
                <w:color w:val="auto"/>
              </w:rPr>
              <w:t>ˎȶƃȶƺȈȶǼ</w:t>
            </w:r>
            <w:r>
              <w:rPr>
                <w:rFonts w:ascii="PMingLiU" w:cs="PMingLiU" w:eastAsia="PMingLiU" w:hAnsi="PMingLiU"/>
                <w:sz w:val="18"/>
                <w:szCs w:val="18"/>
                <w:color w:val="auto"/>
              </w:rPr>
              <w:t/>
            </w:r>
            <w:r>
              <w:rPr>
                <w:rFonts w:ascii="Arial" w:cs="Arial" w:eastAsia="Arial" w:hAnsi="Arial"/>
                <w:sz w:val="18"/>
                <w:szCs w:val="18"/>
                <w:color w:val="auto"/>
              </w:rPr>
              <w:t>ƺɁɰɽɰ</w:t>
            </w:r>
          </w:p>
        </w:tc>
        <w:tc>
          <w:tcPr>
            <w:tcW w:w="286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(54.9)</w:t>
            </w:r>
          </w:p>
        </w:tc>
        <w:tc>
          <w:tcPr>
            <w:tcW w:w="9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(46.2)</w:t>
            </w:r>
          </w:p>
        </w:tc>
      </w:tr>
      <w:tr>
        <w:trPr>
          <w:trHeight w:val="237"/>
        </w:trPr>
        <w:tc>
          <w:tcPr>
            <w:tcW w:w="6520" w:type="dxa"/>
            <w:vAlign w:val="bottom"/>
            <w:gridSpan w:val="2"/>
          </w:tcPr>
          <w:p>
            <w:pPr>
              <w:spacing w:after="0" w:line="219" w:lineRule="exact"/>
              <w:rPr>
                <w:sz w:val="20"/>
                <w:szCs w:val="20"/>
                <w:color w:val="auto"/>
              </w:rPr>
            </w:pPr>
            <w:r>
              <w:rPr>
                <w:rFonts w:ascii="Arial" w:cs="Arial" w:eastAsia="Arial" w:hAnsi="Arial"/>
                <w:sz w:val="18"/>
                <w:szCs w:val="18"/>
                <w:color w:val="auto"/>
              </w:rPr>
              <w:t>ěɁɽƃȢ</w:t>
            </w:r>
            <w:r>
              <w:rPr>
                <w:rFonts w:ascii="PMingLiU" w:cs="PMingLiU" w:eastAsia="PMingLiU" w:hAnsi="PMingLiU"/>
                <w:sz w:val="18"/>
                <w:szCs w:val="18"/>
                <w:color w:val="auto"/>
              </w:rPr>
              <w:t/>
            </w:r>
            <w:r>
              <w:rPr>
                <w:rFonts w:ascii="Arial" w:cs="Arial" w:eastAsia="Arial" w:hAnsi="Arial"/>
                <w:sz w:val="18"/>
                <w:szCs w:val="18"/>
                <w:color w:val="auto"/>
              </w:rPr>
              <w:t>ǁǉƹɽ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ǁǉǹǉɨɨǉǁ</w:t>
            </w:r>
            <w:r>
              <w:rPr>
                <w:rFonts w:ascii="PMingLiU" w:cs="PMingLiU" w:eastAsia="PMingLiU" w:hAnsi="PMingLiU"/>
                <w:sz w:val="18"/>
                <w:szCs w:val="18"/>
                <w:color w:val="auto"/>
              </w:rPr>
              <w:t/>
            </w:r>
            <w:r>
              <w:rPr>
                <w:rFonts w:ascii="Arial" w:cs="Arial" w:eastAsia="Arial" w:hAnsi="Arial"/>
                <w:sz w:val="18"/>
                <w:szCs w:val="18"/>
                <w:color w:val="auto"/>
              </w:rPr>
              <w:t>ˎȶƃȶƺȈȶǼ</w:t>
            </w:r>
            <w:r>
              <w:rPr>
                <w:rFonts w:ascii="PMingLiU" w:cs="PMingLiU" w:eastAsia="PMingLiU" w:hAnsi="PMingLiU"/>
                <w:sz w:val="18"/>
                <w:szCs w:val="18"/>
                <w:color w:val="auto"/>
              </w:rPr>
              <w:t/>
            </w:r>
            <w:r>
              <w:rPr>
                <w:rFonts w:ascii="Arial" w:cs="Arial" w:eastAsia="Arial" w:hAnsi="Arial"/>
                <w:sz w:val="18"/>
                <w:szCs w:val="18"/>
                <w:color w:val="auto"/>
              </w:rPr>
              <w:t>ƺɁɰɽɰ</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9,301.0</w:t>
            </w:r>
          </w:p>
        </w:tc>
        <w:tc>
          <w:tcPr>
            <w:tcW w:w="940" w:type="dxa"/>
            <w:vAlign w:val="bottom"/>
          </w:tcPr>
          <w:p>
            <w:pPr>
              <w:jc w:val="right"/>
              <w:spacing w:after="0"/>
              <w:rPr>
                <w:sz w:val="20"/>
                <w:szCs w:val="20"/>
                <w:color w:val="auto"/>
              </w:rPr>
            </w:pPr>
            <w:r>
              <w:rPr>
                <w:rFonts w:ascii="Arial" w:cs="Arial" w:eastAsia="Arial" w:hAnsi="Arial"/>
                <w:sz w:val="18"/>
                <w:szCs w:val="18"/>
                <w:color w:val="auto"/>
              </w:rPr>
              <w:t>7,623.0</w:t>
            </w:r>
          </w:p>
        </w:tc>
      </w:tr>
      <w:tr>
        <w:trPr>
          <w:trHeight w:val="268"/>
        </w:trPr>
        <w:tc>
          <w:tcPr>
            <w:tcW w:w="6520" w:type="dxa"/>
            <w:vAlign w:val="bottom"/>
            <w:tcBorders>
              <w:bottom w:val="single" w:sz="8" w:color="000041"/>
            </w:tcBorders>
            <w:gridSpan w:val="2"/>
          </w:tcPr>
          <w:p>
            <w:pPr>
              <w:spacing w:after="0" w:line="219" w:lineRule="exact"/>
              <w:rPr>
                <w:sz w:val="20"/>
                <w:szCs w:val="20"/>
                <w:color w:val="auto"/>
              </w:rPr>
            </w:pPr>
            <w:r>
              <w:rPr>
                <w:rFonts w:ascii="Arial" w:cs="Arial" w:eastAsia="Arial" w:hAnsi="Arial"/>
                <w:sz w:val="18"/>
                <w:szCs w:val="18"/>
                <w:color w:val="auto"/>
              </w:rPr>
              <w:t>¸ǉɰɰ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ɥɁɨɽȈɁȶ</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ǁǉǹǉɨɨǉǁ</w:t>
            </w:r>
            <w:r>
              <w:rPr>
                <w:rFonts w:ascii="PMingLiU" w:cs="PMingLiU" w:eastAsia="PMingLiU" w:hAnsi="PMingLiU"/>
                <w:sz w:val="18"/>
                <w:szCs w:val="18"/>
                <w:color w:val="auto"/>
              </w:rPr>
              <w:t/>
            </w:r>
            <w:r>
              <w:rPr>
                <w:rFonts w:ascii="Arial" w:cs="Arial" w:eastAsia="Arial" w:hAnsi="Arial"/>
                <w:sz w:val="18"/>
                <w:szCs w:val="18"/>
                <w:color w:val="auto"/>
              </w:rPr>
              <w:t>ˎȶƃȶƺȈȶǼ</w:t>
            </w:r>
            <w:r>
              <w:rPr>
                <w:rFonts w:ascii="PMingLiU" w:cs="PMingLiU" w:eastAsia="PMingLiU" w:hAnsi="PMingLiU"/>
                <w:sz w:val="18"/>
                <w:szCs w:val="18"/>
                <w:color w:val="auto"/>
              </w:rPr>
              <w:t/>
            </w:r>
            <w:r>
              <w:rPr>
                <w:rFonts w:ascii="Arial" w:cs="Arial" w:eastAsia="Arial" w:hAnsi="Arial"/>
                <w:sz w:val="18"/>
                <w:szCs w:val="18"/>
                <w:color w:val="auto"/>
              </w:rPr>
              <w:t>ƺɁɰɽɰ</w:t>
            </w:r>
          </w:p>
        </w:tc>
        <w:tc>
          <w:tcPr>
            <w:tcW w:w="286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(705.2)</w:t>
            </w:r>
          </w:p>
        </w:tc>
        <w:tc>
          <w:tcPr>
            <w:tcW w:w="9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(1,043.1)</w:t>
            </w:r>
          </w:p>
        </w:tc>
      </w:tr>
      <w:tr>
        <w:trPr>
          <w:trHeight w:val="286"/>
        </w:trPr>
        <w:tc>
          <w:tcPr>
            <w:tcW w:w="6520" w:type="dxa"/>
            <w:vAlign w:val="bottom"/>
            <w:tcBorders>
              <w:bottom w:val="single" w:sz="8" w:color="000041"/>
            </w:tcBorders>
            <w:gridSpan w:val="2"/>
          </w:tcPr>
          <w:p>
            <w:pPr>
              <w:spacing w:after="0" w:line="219" w:lineRule="exact"/>
              <w:rPr>
                <w:sz w:val="20"/>
                <w:szCs w:val="20"/>
                <w:color w:val="auto"/>
              </w:rPr>
            </w:pPr>
            <w:r>
              <w:rPr>
                <w:rFonts w:ascii="Arial" w:cs="Arial" w:eastAsia="Arial" w:hAnsi="Arial"/>
                <w:sz w:val="18"/>
                <w:szCs w:val="18"/>
                <w:color w:val="auto"/>
              </w:rPr>
              <w:t>¸ɁȶǼ</w:t>
            </w:r>
            <w:r>
              <w:rPr>
                <w:rFonts w:ascii="Arial" w:cs="Arial" w:eastAsia="Arial" w:hAnsi="Arial"/>
                <w:sz w:val="18"/>
                <w:szCs w:val="18"/>
                <w:color w:val="auto"/>
              </w:rPr>
              <w:t>Ӹ</w:t>
            </w:r>
            <w:r>
              <w:rPr>
                <w:rFonts w:ascii="Arial" w:cs="Arial" w:eastAsia="Arial" w:hAnsi="Arial"/>
                <w:sz w:val="18"/>
                <w:szCs w:val="18"/>
                <w:color w:val="auto"/>
              </w:rPr>
              <w:t>ɽǉɨȴ</w:t>
            </w:r>
            <w:r>
              <w:rPr>
                <w:rFonts w:ascii="PMingLiU" w:cs="PMingLiU" w:eastAsia="PMingLiU" w:hAnsi="PMingLiU"/>
                <w:sz w:val="18"/>
                <w:szCs w:val="18"/>
                <w:color w:val="auto"/>
              </w:rPr>
              <w:t/>
            </w:r>
            <w:r>
              <w:rPr>
                <w:rFonts w:ascii="Arial" w:cs="Arial" w:eastAsia="Arial" w:hAnsi="Arial"/>
                <w:sz w:val="18"/>
                <w:szCs w:val="18"/>
                <w:color w:val="auto"/>
              </w:rPr>
              <w:t>ǁǉƹɽ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ǁǉǹǉɨɨǉǁ</w:t>
            </w:r>
            <w:r>
              <w:rPr>
                <w:rFonts w:ascii="PMingLiU" w:cs="PMingLiU" w:eastAsia="PMingLiU" w:hAnsi="PMingLiU"/>
                <w:sz w:val="18"/>
                <w:szCs w:val="18"/>
                <w:color w:val="auto"/>
              </w:rPr>
              <w:t/>
            </w:r>
            <w:r>
              <w:rPr>
                <w:rFonts w:ascii="Arial" w:cs="Arial" w:eastAsia="Arial" w:hAnsi="Arial"/>
                <w:sz w:val="18"/>
                <w:szCs w:val="18"/>
                <w:color w:val="auto"/>
              </w:rPr>
              <w:t>ˎȶƃȶƺȈȶǼ</w:t>
            </w:r>
            <w:r>
              <w:rPr>
                <w:rFonts w:ascii="PMingLiU" w:cs="PMingLiU" w:eastAsia="PMingLiU" w:hAnsi="PMingLiU"/>
                <w:sz w:val="18"/>
                <w:szCs w:val="18"/>
                <w:color w:val="auto"/>
              </w:rPr>
              <w:t/>
            </w:r>
            <w:r>
              <w:rPr>
                <w:rFonts w:ascii="Arial" w:cs="Arial" w:eastAsia="Arial" w:hAnsi="Arial"/>
                <w:sz w:val="18"/>
                <w:szCs w:val="18"/>
                <w:color w:val="auto"/>
              </w:rPr>
              <w:t>ƺɁɰɽɰ</w:t>
            </w:r>
          </w:p>
        </w:tc>
        <w:tc>
          <w:tcPr>
            <w:tcW w:w="286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$8,595.8</w:t>
            </w:r>
          </w:p>
        </w:tc>
        <w:tc>
          <w:tcPr>
            <w:tcW w:w="9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$6,579.9</w:t>
            </w:r>
          </w:p>
        </w:tc>
      </w:tr>
    </w:tbl>
    <w:p>
      <w:pPr>
        <w:spacing w:after="0" w:line="200" w:lineRule="exact"/>
        <w:rPr>
          <w:sz w:val="20"/>
          <w:szCs w:val="20"/>
          <w:color w:val="auto"/>
        </w:rPr>
      </w:pPr>
    </w:p>
    <w:p>
      <w:pPr>
        <w:sectPr>
          <w:pgSz w:w="12240" w:h="15840" w:orient="portrait"/>
          <w:cols w:equalWidth="0" w:num="1">
            <w:col w:w="10380"/>
          </w:cols>
          <w:pgMar w:left="960" w:top="935" w:right="900" w:bottom="90" w:gutter="0" w:footer="0" w:header="0"/>
        </w:sectPr>
      </w:pPr>
    </w:p>
    <w:p>
      <w:pPr>
        <w:spacing w:after="0" w:line="11"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55</w:t>
      </w:r>
    </w:p>
    <w:p>
      <w:pPr>
        <w:sectPr>
          <w:pgSz w:w="12240" w:h="15840" w:orient="portrait"/>
          <w:cols w:equalWidth="0" w:num="1">
            <w:col w:w="10380"/>
          </w:cols>
          <w:pgMar w:left="960" w:top="935" w:right="900" w:bottom="90" w:gutter="0" w:footer="0" w:header="0"/>
          <w:type w:val="continuous"/>
        </w:sectPr>
      </w:pPr>
    </w:p>
    <w:bookmarkStart w:id="57" w:name="page58"/>
    <w:bookmarkEnd w:id="57"/>
    <w:p>
      <w:pPr>
        <w:jc w:val="both"/>
        <w:spacing w:after="0" w:line="255"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The interest rate on borrowings under the unsecured credit facility is calculated based upon various recognized indi-</w:t>
      </w:r>
      <w:r>
        <w:rPr>
          <w:rFonts w:ascii="Arial" w:cs="Arial" w:eastAsia="Arial" w:hAnsi="Arial"/>
          <w:sz w:val="18"/>
          <w:szCs w:val="18"/>
          <w:color w:val="auto"/>
        </w:rPr>
        <w:t>ƺǉɰ</w:t>
      </w:r>
      <w:r>
        <w:rPr>
          <w:rFonts w:ascii="PMingLiU" w:cs="PMingLiU" w:eastAsia="PMingLiU" w:hAnsi="PMingLiU"/>
          <w:sz w:val="18"/>
          <w:szCs w:val="18"/>
          <w:color w:val="auto"/>
        </w:rPr>
        <w:t/>
      </w:r>
      <w:r>
        <w:rPr>
          <w:rFonts w:ascii="Arial" w:cs="Arial" w:eastAsia="Arial" w:hAnsi="Arial"/>
          <w:sz w:val="18"/>
          <w:szCs w:val="18"/>
          <w:color w:val="auto"/>
        </w:rPr>
        <w:t>ɥȢʍɰ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ȴƃɨǼȈȶ</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ǁǉǹȈȶǉǁ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:ɨǉǁȈɽ</w:t>
      </w:r>
      <w:r>
        <w:rPr>
          <w:rFonts w:ascii="PMingLiU" w:cs="PMingLiU" w:eastAsia="PMingLiU" w:hAnsi="PMingLiU"/>
          <w:sz w:val="18"/>
          <w:szCs w:val="18"/>
          <w:color w:val="auto"/>
        </w:rPr>
        <w:t/>
      </w:r>
      <w:r>
        <w:rPr>
          <w:rFonts w:ascii="Arial" w:cs="Arial" w:eastAsia="Arial" w:hAnsi="Arial"/>
          <w:sz w:val="18"/>
          <w:szCs w:val="18"/>
          <w:color w:val="auto"/>
        </w:rPr>
        <w:t>Ǽɨǉǉȴǉȶɽ</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ĄɁɥǉɨ</w:t>
      </w:r>
      <w:r>
        <w:rPr>
          <w:rFonts w:ascii="PMingLiU" w:cs="PMingLiU" w:eastAsia="PMingLiU" w:hAnsi="PMingLiU"/>
          <w:sz w:val="18"/>
          <w:szCs w:val="18"/>
          <w:color w:val="auto"/>
        </w:rPr>
        <w:t/>
      </w:r>
      <w:r>
        <w:rPr>
          <w:rFonts w:ascii="Arial" w:cs="Arial" w:eastAsia="Arial" w:hAnsi="Arial"/>
          <w:sz w:val="18"/>
          <w:szCs w:val="18"/>
          <w:color w:val="auto"/>
        </w:rPr>
        <w:t>ȃƃǁ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ѝӝі</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ɁʍɽɰɽƃȶǁȈȶǼ</w:t>
      </w:r>
      <w:r>
        <w:rPr>
          <w:rFonts w:ascii="PMingLiU" w:cs="PMingLiU" w:eastAsia="PMingLiU" w:hAnsi="PMingLiU"/>
          <w:sz w:val="18"/>
          <w:szCs w:val="18"/>
          <w:color w:val="auto"/>
        </w:rPr>
        <w:t/>
      </w:r>
      <w:r>
        <w:rPr>
          <w:rFonts w:ascii="Arial" w:cs="Arial" w:eastAsia="Arial" w:hAnsi="Arial"/>
          <w:sz w:val="18"/>
          <w:szCs w:val="18"/>
          <w:color w:val="auto"/>
        </w:rPr>
        <w:t>Ȣǉɽɽǉɨɰ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credit.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total debt during each of the next five years ending December 31 and thereafter are as follows:</w:t>
      </w:r>
    </w:p>
    <w:p>
      <w:pPr>
        <w:spacing w:after="0" w:line="203" w:lineRule="exact"/>
        <w:rPr>
          <w:sz w:val="20"/>
          <w:szCs w:val="20"/>
          <w:color w:val="auto"/>
        </w:rPr>
      </w:pPr>
    </w:p>
    <w:tbl>
      <w:tblPr>
        <w:tblLayout w:type="fixed"/>
        <w:tblInd w:w="2860" w:type="dxa"/>
        <w:tblCellMar>
          <w:top w:w="0" w:type="dxa"/>
          <w:left w:w="0" w:type="dxa"/>
          <w:bottom w:w="0" w:type="dxa"/>
          <w:right w:w="0" w:type="dxa"/>
        </w:tblCellMar>
      </w:tblPr>
      <w:tr>
        <w:trPr>
          <w:trHeight w:val="220"/>
        </w:trPr>
        <w:tc>
          <w:tcPr>
            <w:tcW w:w="2340" w:type="dxa"/>
            <w:vAlign w:val="bottom"/>
          </w:tcPr>
          <w:p>
            <w:pPr>
              <w:spacing w:after="0"/>
              <w:rPr>
                <w:sz w:val="20"/>
                <w:szCs w:val="20"/>
                <w:color w:val="auto"/>
              </w:rPr>
            </w:pPr>
            <w:r>
              <w:rPr>
                <w:rFonts w:ascii="Arial" w:cs="Arial" w:eastAsia="Arial" w:hAnsi="Arial"/>
                <w:sz w:val="18"/>
                <w:szCs w:val="18"/>
                <w:color w:val="auto"/>
              </w:rPr>
              <w:t>2026</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705.8</w:t>
            </w:r>
          </w:p>
        </w:tc>
      </w:tr>
      <w:tr>
        <w:trPr>
          <w:trHeight w:val="220"/>
        </w:trPr>
        <w:tc>
          <w:tcPr>
            <w:tcW w:w="2340" w:type="dxa"/>
            <w:vAlign w:val="bottom"/>
          </w:tcPr>
          <w:p>
            <w:pPr>
              <w:spacing w:after="0"/>
              <w:rPr>
                <w:sz w:val="20"/>
                <w:szCs w:val="20"/>
                <w:color w:val="auto"/>
              </w:rPr>
            </w:pPr>
            <w:r>
              <w:rPr>
                <w:rFonts w:ascii="Arial" w:cs="Arial" w:eastAsia="Arial" w:hAnsi="Arial"/>
                <w:sz w:val="18"/>
                <w:szCs w:val="18"/>
                <w:color w:val="auto"/>
              </w:rPr>
              <w:t>2027</w:t>
            </w:r>
          </w:p>
        </w:tc>
        <w:tc>
          <w:tcPr>
            <w:tcW w:w="1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1,550.1</w:t>
            </w:r>
          </w:p>
        </w:tc>
      </w:tr>
      <w:tr>
        <w:trPr>
          <w:trHeight w:val="220"/>
        </w:trPr>
        <w:tc>
          <w:tcPr>
            <w:tcW w:w="2340" w:type="dxa"/>
            <w:vAlign w:val="bottom"/>
          </w:tcPr>
          <w:p>
            <w:pPr>
              <w:spacing w:after="0"/>
              <w:rPr>
                <w:sz w:val="20"/>
                <w:szCs w:val="20"/>
                <w:color w:val="auto"/>
              </w:rPr>
            </w:pPr>
            <w:r>
              <w:rPr>
                <w:rFonts w:ascii="Arial" w:cs="Arial" w:eastAsia="Arial" w:hAnsi="Arial"/>
                <w:sz w:val="18"/>
                <w:szCs w:val="18"/>
                <w:color w:val="auto"/>
              </w:rPr>
              <w:t>2028</w:t>
            </w:r>
          </w:p>
        </w:tc>
        <w:tc>
          <w:tcPr>
            <w:tcW w:w="1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20"/>
        </w:trPr>
        <w:tc>
          <w:tcPr>
            <w:tcW w:w="2340" w:type="dxa"/>
            <w:vAlign w:val="bottom"/>
          </w:tcPr>
          <w:p>
            <w:pPr>
              <w:spacing w:after="0"/>
              <w:rPr>
                <w:sz w:val="20"/>
                <w:szCs w:val="20"/>
                <w:color w:val="auto"/>
              </w:rPr>
            </w:pPr>
            <w:r>
              <w:rPr>
                <w:rFonts w:ascii="Arial" w:cs="Arial" w:eastAsia="Arial" w:hAnsi="Arial"/>
                <w:sz w:val="18"/>
                <w:szCs w:val="18"/>
                <w:color w:val="auto"/>
              </w:rPr>
              <w:t>2029</w:t>
            </w:r>
          </w:p>
        </w:tc>
        <w:tc>
          <w:tcPr>
            <w:tcW w:w="1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20"/>
        </w:trPr>
        <w:tc>
          <w:tcPr>
            <w:tcW w:w="2340" w:type="dxa"/>
            <w:vAlign w:val="bottom"/>
          </w:tcPr>
          <w:p>
            <w:pPr>
              <w:spacing w:after="0"/>
              <w:rPr>
                <w:sz w:val="20"/>
                <w:szCs w:val="20"/>
                <w:color w:val="auto"/>
              </w:rPr>
            </w:pPr>
            <w:r>
              <w:rPr>
                <w:rFonts w:ascii="Arial" w:cs="Arial" w:eastAsia="Arial" w:hAnsi="Arial"/>
                <w:sz w:val="18"/>
                <w:szCs w:val="18"/>
                <w:color w:val="auto"/>
              </w:rPr>
              <w:t>2030</w:t>
            </w:r>
          </w:p>
        </w:tc>
        <w:tc>
          <w:tcPr>
            <w:tcW w:w="1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68"/>
        </w:trPr>
        <w:tc>
          <w:tcPr>
            <w:tcW w:w="23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000041"/>
            </w:tcBorders>
          </w:tcPr>
          <w:p>
            <w:pPr>
              <w:spacing w:after="0"/>
              <w:rPr>
                <w:sz w:val="23"/>
                <w:szCs w:val="23"/>
                <w:color w:val="auto"/>
              </w:rPr>
            </w:pPr>
          </w:p>
        </w:tc>
        <w:tc>
          <w:tcPr>
            <w:tcW w:w="6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3,500.0</w:t>
            </w:r>
          </w:p>
        </w:tc>
      </w:tr>
      <w:tr>
        <w:trPr>
          <w:trHeight w:val="286"/>
        </w:trPr>
        <w:tc>
          <w:tcPr>
            <w:tcW w:w="23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Total debt</w:t>
            </w:r>
          </w:p>
        </w:tc>
        <w:tc>
          <w:tcPr>
            <w:tcW w:w="15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9,355.9</w:t>
            </w:r>
          </w:p>
        </w:tc>
      </w:tr>
    </w:tbl>
    <w:p>
      <w:pPr>
        <w:spacing w:after="0" w:line="314"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ӭўӮ</w:t>
      </w:r>
      <w:r>
        <w:rPr>
          <w:rFonts w:ascii="PMingLiU" w:cs="PMingLiU" w:eastAsia="PMingLiU" w:hAnsi="PMingLiU"/>
          <w:sz w:val="20"/>
          <w:szCs w:val="20"/>
          <w:color w:val="000041"/>
        </w:rPr>
        <w:t>y  ¸ K</w:t>
      </w:r>
    </w:p>
    <w:p>
      <w:pPr>
        <w:spacing w:after="0" w:line="115"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Financial assets and liabilities are valued using market prices on active markets (Level 1), less active markets (Level 2), and little or no market activity (Level 3). Level 1 instrument valuations are obtained from real-time quotes for transac-tions in active exchange markets involving identical assets. Level 2 instrument valuations are obtained from readily available pricing sources for comparable instruments, identical instruments in less active markets, or models using market observable inputs. Level 3 instrument valuations typically reflect management’s estimate of assumptions that market participants would use in pricing the asset or liability.</w:t>
      </w:r>
    </w:p>
    <w:p>
      <w:pPr>
        <w:spacing w:after="0" w:line="42" w:lineRule="exact"/>
        <w:rPr>
          <w:sz w:val="20"/>
          <w:szCs w:val="20"/>
          <w:color w:val="auto"/>
        </w:rPr>
      </w:pPr>
    </w:p>
    <w:p>
      <w:pPr>
        <w:jc w:val="both"/>
        <w:spacing w:after="0" w:line="236" w:lineRule="exact"/>
        <w:rPr>
          <w:sz w:val="20"/>
          <w:szCs w:val="20"/>
          <w:color w:val="auto"/>
        </w:rPr>
      </w:pPr>
      <w:r>
        <w:rPr>
          <w:rFonts w:ascii="Arial" w:cs="Arial" w:eastAsia="Arial" w:hAnsi="Arial"/>
          <w:sz w:val="18"/>
          <w:szCs w:val="18"/>
          <w:color w:val="auto"/>
        </w:rPr>
        <w:t>Debt</w:t>
      </w:r>
      <w:r>
        <w:rPr>
          <w:rFonts w:ascii="Arial" w:cs="Arial" w:eastAsia="Arial" w:hAnsi="Arial"/>
          <w:sz w:val="18"/>
          <w:szCs w:val="18"/>
          <w:color w:val="auto"/>
        </w:rPr>
        <w:t>Ӵ</w:t>
      </w: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ɽɁɽƃȢ</w:t>
      </w:r>
      <w:r>
        <w:rPr>
          <w:rFonts w:ascii="PMingLiU" w:cs="PMingLiU" w:eastAsia="PMingLiU" w:hAnsi="PMingLiU"/>
          <w:sz w:val="18"/>
          <w:szCs w:val="18"/>
          <w:color w:val="auto"/>
        </w:rPr>
        <w:t/>
      </w:r>
      <w:r>
        <w:rPr>
          <w:rFonts w:ascii="Arial" w:cs="Arial" w:eastAsia="Arial" w:hAnsi="Arial"/>
          <w:sz w:val="18"/>
          <w:szCs w:val="18"/>
          <w:color w:val="auto"/>
        </w:rPr>
        <w:t>ǉɰɽȈȴƃɽǉǁ</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ĄɁɥǉɨԇɰ</w:t>
      </w:r>
      <w:r>
        <w:rPr>
          <w:rFonts w:ascii="PMingLiU" w:cs="PMingLiU" w:eastAsia="PMingLiU" w:hAnsi="PMingLiU"/>
          <w:sz w:val="18"/>
          <w:szCs w:val="18"/>
          <w:color w:val="auto"/>
        </w:rPr>
        <w:t/>
      </w:r>
      <w:r>
        <w:rPr>
          <w:rFonts w:ascii="Arial" w:cs="Arial" w:eastAsia="Arial" w:hAnsi="Arial"/>
          <w:sz w:val="18"/>
          <w:szCs w:val="18"/>
          <w:color w:val="auto"/>
        </w:rPr>
        <w:t>ǹȈʯǉǁ</w:t>
      </w:r>
      <w:r>
        <w:rPr>
          <w:rFonts w:ascii="Arial" w:cs="Arial" w:eastAsia="Arial" w:hAnsi="Arial"/>
          <w:sz w:val="18"/>
          <w:szCs w:val="18"/>
          <w:color w:val="auto"/>
        </w:rPr>
        <w:t>Ӹ</w:t>
      </w:r>
      <w:r>
        <w:rPr>
          <w:rFonts w:ascii="Arial" w:cs="Arial" w:eastAsia="Arial" w:hAnsi="Arial"/>
          <w:sz w:val="18"/>
          <w:szCs w:val="18"/>
          <w:color w:val="auto"/>
        </w:rPr>
        <w:t>ɨƃɽǉ</w:t>
      </w:r>
      <w:r>
        <w:rPr>
          <w:rFonts w:ascii="PMingLiU" w:cs="PMingLiU" w:eastAsia="PMingLiU" w:hAnsi="PMingLiU"/>
          <w:sz w:val="18"/>
          <w:szCs w:val="18"/>
          <w:color w:val="auto"/>
        </w:rPr>
        <w:t/>
      </w:r>
      <w:r>
        <w:rPr>
          <w:rFonts w:ascii="Arial" w:cs="Arial" w:eastAsia="Arial" w:hAnsi="Arial"/>
          <w:sz w:val="18"/>
          <w:szCs w:val="18"/>
          <w:color w:val="auto"/>
        </w:rPr>
        <w:t>ɰǉȶȈɁɨ</w:t>
      </w:r>
      <w:r>
        <w:rPr>
          <w:rFonts w:ascii="PMingLiU" w:cs="PMingLiU" w:eastAsia="PMingLiU" w:hAnsi="PMingLiU"/>
          <w:sz w:val="18"/>
          <w:szCs w:val="18"/>
          <w:color w:val="auto"/>
        </w:rPr>
        <w:t/>
      </w:r>
      <w:r>
        <w:rPr>
          <w:rFonts w:ascii="Arial" w:cs="Arial" w:eastAsia="Arial" w:hAnsi="Arial"/>
          <w:sz w:val="18"/>
          <w:szCs w:val="18"/>
          <w:color w:val="auto"/>
        </w:rPr>
        <w:t>ȶɁɽǉɰ</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ѝӗїѝќӝљ</w:t>
      </w:r>
      <w:r>
        <w:rPr>
          <w:rFonts w:ascii="PMingLiU" w:cs="PMingLiU" w:eastAsia="PMingLiU" w:hAnsi="PMingLiU"/>
          <w:sz w:val="18"/>
          <w:szCs w:val="18"/>
          <w:color w:val="auto"/>
        </w:rPr>
        <w:t/>
      </w:r>
      <w:r>
        <w:rPr>
          <w:rFonts w:ascii="Arial" w:cs="Arial" w:eastAsia="Arial" w:hAnsi="Arial"/>
          <w:sz w:val="18"/>
          <w:szCs w:val="18"/>
          <w:color w:val="auto"/>
        </w:rPr>
        <w:t xml:space="preserve"> and $7,005.2, respectively. The fair values of the senior notes are based on the trading prices of each series of notes, which the Company has determined to be Level 2 in the FASB fair value hierarchy.</w:t>
      </w:r>
    </w:p>
    <w:p>
      <w:pPr>
        <w:spacing w:after="0" w:line="6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Indicor Equity Investment—In November 2022, Roper completed the divestiture of a majority 51% equity stake in Indicor to CD&amp;R. In connection with the Indicor Transaction, the Company initially retained a 49% equity interest in Indicor valued at $535.0 as of the transaction close date. This initial valuation was based on the implied equity value associated with the sale price of the 51% equity interest in Indicor to CD&amp;R for approximately $829, inclusive of the Unit Adjustment received by CD&amp;R as discussed below. During 2023, we revised our valuation methodology to utilize the market multiple approach consisting of comparable guideline public companies revenue and earnings multiples to estimate the fair value of this investment, net of the Unit Adjustment discussed below. Our valuation methodology was updated in 2023 given the passage of time since the transaction date and in consideration of observable market data, including Indicor’s divestiture of its CCC business unit to Honeywell International Inc. on June 30, 2023 for approximately $670.</w:t>
      </w:r>
    </w:p>
    <w:p>
      <w:pPr>
        <w:spacing w:after="0" w:line="274" w:lineRule="exact"/>
        <w:rPr>
          <w:sz w:val="20"/>
          <w:szCs w:val="20"/>
          <w:color w:val="auto"/>
        </w:rPr>
      </w:pPr>
    </w:p>
    <w:p>
      <w:pPr>
        <w:jc w:val="both"/>
        <w:ind w:right="40"/>
        <w:spacing w:after="0" w:line="269" w:lineRule="auto"/>
        <w:rPr>
          <w:sz w:val="20"/>
          <w:szCs w:val="20"/>
          <w:color w:val="auto"/>
        </w:rPr>
      </w:pPr>
      <w:r>
        <w:rPr>
          <w:rFonts w:ascii="Arial" w:cs="Arial" w:eastAsia="Arial" w:hAnsi="Arial"/>
          <w:sz w:val="18"/>
          <w:szCs w:val="18"/>
          <w:color w:val="auto"/>
        </w:rPr>
        <w:t>As part of this investment, Roper is required to make quarterly payments (“Unit Adjustment”), to CD&amp;R, either (i) in cash, with total payments of approximately $29 per year on a pretax basis, or (ii) in-kind through the transfer of Roper’s equity interests in Indicor to CD&amp;R, of approximately 1.7% ownership interest on an annual basis. Roper intends to continue making these quarterly payments in-kind. Roper’s valuation of the Unit Adjustment is based on an expected investment horizon of 5 years from the date of the Indicor Transaction. The Company’s obligation to make such quar-terly payments will cease upon the earlier of:</w:t>
      </w:r>
    </w:p>
    <w:p>
      <w:pPr>
        <w:spacing w:after="0" w:line="215" w:lineRule="exact"/>
        <w:rPr>
          <w:sz w:val="20"/>
          <w:szCs w:val="20"/>
          <w:color w:val="auto"/>
        </w:rPr>
      </w:pPr>
    </w:p>
    <w:p>
      <w:pPr>
        <w:ind w:left="540" w:right="40" w:hanging="180"/>
        <w:spacing w:after="0" w:line="241" w:lineRule="exact"/>
        <w:tabs>
          <w:tab w:leader="none" w:pos="540" w:val="left"/>
        </w:tabs>
        <w:numPr>
          <w:ilvl w:val="0"/>
          <w:numId w:val="20"/>
        </w:numPr>
        <w:rPr>
          <w:rFonts w:ascii="Arial" w:cs="Arial" w:eastAsia="Arial" w:hAnsi="Arial"/>
          <w:sz w:val="18"/>
          <w:szCs w:val="18"/>
          <w:color w:val="auto"/>
        </w:rPr>
      </w:pPr>
      <w:r>
        <w:rPr>
          <w:rFonts w:ascii="PMingLiU" w:cs="PMingLiU" w:eastAsia="PMingLiU" w:hAnsi="PMingLiU"/>
          <w:sz w:val="18"/>
          <w:szCs w:val="18"/>
          <w:color w:val="auto"/>
        </w:rPr>
        <w:t></w:t>
      </w:r>
      <w:r>
        <w:rPr>
          <w:rFonts w:ascii="Arial" w:cs="Arial" w:eastAsia="Arial" w:hAnsi="Arial"/>
          <w:sz w:val="18"/>
          <w:szCs w:val="18"/>
          <w:color w:val="auto"/>
        </w:rPr>
        <w:t>ȶǁȈƺɁɨ</w:t>
      </w:r>
      <w:r>
        <w:rPr>
          <w:rFonts w:ascii="PMingLiU" w:cs="PMingLiU" w:eastAsia="PMingLiU" w:hAnsi="PMingLiU"/>
          <w:sz w:val="18"/>
          <w:szCs w:val="18"/>
          <w:color w:val="auto"/>
        </w:rPr>
        <w:t/>
      </w:r>
      <w:r>
        <w:rPr>
          <w:rFonts w:ascii="Arial" w:cs="Arial" w:eastAsia="Arial" w:hAnsi="Arial"/>
          <w:sz w:val="18"/>
          <w:szCs w:val="18"/>
          <w:color w:val="auto"/>
        </w:rPr>
        <w:t>ƃƺȃȈǉʤȈȶǼ</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љїњӝѕ</w:t>
      </w:r>
      <w:r>
        <w:rPr>
          <w:rFonts w:ascii="Arial" w:cs="Arial" w:eastAsia="Arial" w:hAnsi="Arial"/>
          <w:sz w:val="18"/>
          <w:szCs w:val="18"/>
          <w:color w:val="auto"/>
        </w:rPr>
        <w:t>ԝɁǹ</w:t>
      </w:r>
      <w:r>
        <w:rPr>
          <w:rFonts w:ascii="PMingLiU" w:cs="PMingLiU" w:eastAsia="PMingLiU" w:hAnsi="PMingLiU"/>
          <w:sz w:val="18"/>
          <w:szCs w:val="18"/>
          <w:color w:val="auto"/>
        </w:rPr>
        <w:t/>
      </w:r>
      <w:r>
        <w:rPr>
          <w:rFonts w:ascii="Arial" w:cs="Arial" w:eastAsia="Arial" w:hAnsi="Arial"/>
          <w:sz w:val="18"/>
          <w:szCs w:val="18"/>
          <w:color w:val="auto"/>
        </w:rPr>
        <w:t>ǉƃɨȶȈȶǼɰ</w:t>
      </w:r>
      <w:r>
        <w:rPr>
          <w:rFonts w:ascii="PMingLiU" w:cs="PMingLiU" w:eastAsia="PMingLiU" w:hAnsi="PMingLiU"/>
          <w:sz w:val="18"/>
          <w:szCs w:val="18"/>
          <w:color w:val="auto"/>
        </w:rPr>
        <w:t/>
      </w:r>
      <w:r>
        <w:rPr>
          <w:rFonts w:ascii="Arial" w:cs="Arial" w:eastAsia="Arial" w:hAnsi="Arial"/>
          <w:sz w:val="18"/>
          <w:szCs w:val="18"/>
          <w:color w:val="auto"/>
        </w:rPr>
        <w:t>ƹǉǹɁɨǉ</w:t>
      </w:r>
      <w:r>
        <w:rPr>
          <w:rFonts w:ascii="PMingLiU" w:cs="PMingLiU" w:eastAsia="PMingLiU" w:hAnsi="PMingLiU"/>
          <w:sz w:val="18"/>
          <w:szCs w:val="18"/>
          <w:color w:val="auto"/>
        </w:rPr>
        <w:t/>
      </w:r>
      <w:r>
        <w:rPr>
          <w:rFonts w:ascii="Arial" w:cs="Arial" w:eastAsia="Arial" w:hAnsi="Arial"/>
          <w:sz w:val="18"/>
          <w:szCs w:val="18"/>
          <w:color w:val="auto"/>
        </w:rPr>
        <w:t>Ȉȶɽǉɨǉɰɽ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ɽƃʯǉɰ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ǁǉɥɨǉƺȈƃɽȈɁȶ</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ƃȴɁɨɽȈ˃ƃɽȈɁȶ</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ƃȶʰ</w:t>
      </w:r>
      <w:r>
        <w:rPr>
          <w:rFonts w:ascii="PMingLiU" w:cs="PMingLiU" w:eastAsia="PMingLiU" w:hAnsi="PMingLiU"/>
          <w:sz w:val="18"/>
          <w:szCs w:val="18"/>
          <w:color w:val="auto"/>
        </w:rPr>
        <w:t/>
      </w:r>
      <w:r>
        <w:rPr>
          <w:rFonts w:ascii="Arial" w:cs="Arial" w:eastAsia="Arial" w:hAnsi="Arial"/>
          <w:sz w:val="18"/>
          <w:szCs w:val="18"/>
          <w:color w:val="auto"/>
        </w:rPr>
        <w:t>ɽȃɨǉǉ</w:t>
      </w:r>
      <w:r>
        <w:rPr>
          <w:rFonts w:ascii="PMingLiU" w:cs="PMingLiU" w:eastAsia="PMingLiU" w:hAnsi="PMingLiU"/>
          <w:sz w:val="18"/>
          <w:szCs w:val="18"/>
          <w:color w:val="auto"/>
        </w:rPr>
        <w:t/>
      </w:r>
      <w:r>
        <w:rPr>
          <w:rFonts w:ascii="Arial" w:cs="Arial" w:eastAsia="Arial" w:hAnsi="Arial"/>
          <w:sz w:val="18"/>
          <w:szCs w:val="18"/>
          <w:color w:val="auto"/>
        </w:rPr>
        <w:t>ɽʥǉȢʤǉ</w:t>
      </w:r>
      <w:r>
        <w:rPr>
          <w:rFonts w:ascii="Arial" w:cs="Arial" w:eastAsia="Arial" w:hAnsi="Arial"/>
          <w:sz w:val="18"/>
          <w:szCs w:val="18"/>
          <w:color w:val="auto"/>
        </w:rPr>
        <w:t>Ӹ</w:t>
      </w:r>
      <w:r>
        <w:rPr>
          <w:rFonts w:ascii="Arial" w:cs="Arial" w:eastAsia="Arial" w:hAnsi="Arial"/>
          <w:sz w:val="18"/>
          <w:szCs w:val="18"/>
          <w:color w:val="auto"/>
        </w:rPr>
        <w:t xml:space="preserve"> </w:t>
      </w:r>
      <w:r>
        <w:rPr>
          <w:rFonts w:ascii="Arial" w:cs="Arial" w:eastAsia="Arial" w:hAnsi="Arial"/>
          <w:sz w:val="18"/>
          <w:szCs w:val="18"/>
          <w:color w:val="auto"/>
        </w:rPr>
        <w:t>month periods, whether or not consecutive; or</w:t>
      </w:r>
    </w:p>
    <w:p>
      <w:pPr>
        <w:spacing w:after="0" w:line="13" w:lineRule="exact"/>
        <w:rPr>
          <w:rFonts w:ascii="Arial" w:cs="Arial" w:eastAsia="Arial" w:hAnsi="Arial"/>
          <w:sz w:val="18"/>
          <w:szCs w:val="18"/>
          <w:color w:val="auto"/>
        </w:rPr>
      </w:pPr>
    </w:p>
    <w:p>
      <w:pPr>
        <w:ind w:left="540" w:hanging="180"/>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initial public offering of Indicor.</w:t>
      </w:r>
    </w:p>
    <w:p>
      <w:pPr>
        <w:spacing w:after="0" w:line="123"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 the event of a sale of Indicor, CD&amp;R would be entitled to a liquidation preference equal to its initial investment of </w:t>
      </w:r>
      <w:r>
        <w:rPr>
          <w:rFonts w:ascii="Arial" w:cs="Arial" w:eastAsia="Arial" w:hAnsi="Arial"/>
          <w:sz w:val="18"/>
          <w:szCs w:val="18"/>
          <w:color w:val="auto"/>
        </w:rPr>
        <w:t>ƃɥɥɨɁʯȈȴƃɽǉȢʰ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ѝїўӗ</w:t>
      </w:r>
      <w:r>
        <w:rPr>
          <w:rFonts w:ascii="PMingLiU" w:cs="PMingLiU" w:eastAsia="PMingLiU" w:hAnsi="PMingLiU"/>
          <w:sz w:val="18"/>
          <w:szCs w:val="18"/>
          <w:color w:val="auto"/>
        </w:rPr>
        <w:t/>
      </w:r>
      <w:r>
        <w:rPr>
          <w:rFonts w:ascii="Arial" w:cs="Arial" w:eastAsia="Arial" w:hAnsi="Arial"/>
          <w:sz w:val="18"/>
          <w:szCs w:val="18"/>
          <w:color w:val="auto"/>
        </w:rPr>
        <w:t>ɥȢʍɰ</w:t>
      </w:r>
      <w:r>
        <w:rPr>
          <w:rFonts w:ascii="PMingLiU" w:cs="PMingLiU" w:eastAsia="PMingLiU" w:hAnsi="PMingLiU"/>
          <w:sz w:val="18"/>
          <w:szCs w:val="18"/>
          <w:color w:val="auto"/>
        </w:rPr>
        <w:t/>
      </w:r>
      <w:r>
        <w:rPr>
          <w:rFonts w:ascii="Arial" w:cs="Arial" w:eastAsia="Arial" w:hAnsi="Arial"/>
          <w:sz w:val="18"/>
          <w:szCs w:val="18"/>
          <w:color w:val="auto"/>
        </w:rPr>
        <w:t>ƃȶʰ</w:t>
      </w:r>
      <w:r>
        <w:rPr>
          <w:rFonts w:ascii="PMingLiU" w:cs="PMingLiU" w:eastAsia="PMingLiU" w:hAnsi="PMingLiU"/>
          <w:sz w:val="18"/>
          <w:szCs w:val="18"/>
          <w:color w:val="auto"/>
        </w:rPr>
        <w:t/>
      </w:r>
      <w:r>
        <w:rPr>
          <w:rFonts w:ascii="Arial" w:cs="Arial" w:eastAsia="Arial" w:hAnsi="Arial"/>
          <w:sz w:val="18"/>
          <w:szCs w:val="18"/>
          <w:color w:val="auto"/>
        </w:rPr>
        <w:t>ĩȶȈɽ</w:t>
      </w:r>
      <w:r>
        <w:rPr>
          <w:rFonts w:ascii="PMingLiU" w:cs="PMingLiU" w:eastAsia="PMingLiU" w:hAnsi="PMingLiU"/>
          <w:sz w:val="18"/>
          <w:szCs w:val="18"/>
          <w:color w:val="auto"/>
        </w:rPr>
        <w:t/>
      </w:r>
      <w:r>
        <w:rPr>
          <w:rFonts w:ascii="Arial" w:cs="Arial" w:eastAsia="Arial" w:hAnsi="Arial"/>
          <w:sz w:val="18"/>
          <w:szCs w:val="18"/>
          <w:color w:val="auto"/>
        </w:rPr>
        <w:t>ǁȚʍɰɽȴǉȶɽ</w:t>
      </w:r>
      <w:r>
        <w:rPr>
          <w:rFonts w:ascii="PMingLiU" w:cs="PMingLiU" w:eastAsia="PMingLiU" w:hAnsi="PMingLiU"/>
          <w:sz w:val="18"/>
          <w:szCs w:val="18"/>
          <w:color w:val="auto"/>
        </w:rPr>
        <w:t/>
      </w:r>
      <w:r>
        <w:rPr>
          <w:rFonts w:ascii="Arial" w:cs="Arial" w:eastAsia="Arial" w:hAnsi="Arial"/>
          <w:sz w:val="18"/>
          <w:szCs w:val="18"/>
          <w:color w:val="auto"/>
        </w:rPr>
        <w:t>ɥƃȈǁ</w:t>
      </w:r>
      <w:r>
        <w:rPr>
          <w:rFonts w:ascii="PMingLiU" w:cs="PMingLiU" w:eastAsia="PMingLiU" w:hAnsi="PMingLiU"/>
          <w:sz w:val="18"/>
          <w:szCs w:val="18"/>
          <w:color w:val="auto"/>
        </w:rPr>
        <w:t/>
      </w:r>
      <w:r>
        <w:rPr>
          <w:rFonts w:ascii="Arial" w:cs="Arial" w:eastAsia="Arial" w:hAnsi="Arial"/>
          <w:sz w:val="18"/>
          <w:szCs w:val="18"/>
          <w:color w:val="auto"/>
        </w:rPr>
        <w:t>Ȉȶ</w:t>
      </w:r>
      <w:r>
        <w:rPr>
          <w:rFonts w:ascii="Arial" w:cs="Arial" w:eastAsia="Arial" w:hAnsi="Arial"/>
          <w:sz w:val="18"/>
          <w:szCs w:val="18"/>
          <w:color w:val="auto"/>
        </w:rPr>
        <w:t>Ӹ</w:t>
      </w:r>
      <w:r>
        <w:rPr>
          <w:rFonts w:ascii="Arial" w:cs="Arial" w:eastAsia="Arial" w:hAnsi="Arial"/>
          <w:sz w:val="18"/>
          <w:szCs w:val="18"/>
          <w:color w:val="auto"/>
        </w:rPr>
        <w:t>ȟȈȶǁ</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ÃƃȶƃǼǉȴǉȶɽԇɰ</w:t>
      </w:r>
      <w:r>
        <w:rPr>
          <w:rFonts w:ascii="PMingLiU" w:cs="PMingLiU" w:eastAsia="PMingLiU" w:hAnsi="PMingLiU"/>
          <w:sz w:val="18"/>
          <w:szCs w:val="18"/>
          <w:color w:val="auto"/>
        </w:rPr>
        <w:t/>
      </w:r>
      <w:r>
        <w:rPr>
          <w:rFonts w:ascii="Arial" w:cs="Arial" w:eastAsia="Arial" w:hAnsi="Arial"/>
          <w:sz w:val="18"/>
          <w:szCs w:val="18"/>
          <w:color w:val="auto"/>
        </w:rPr>
        <w:t>ʤƃȢʍƃɽȈɁȶ</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ƃɰɰʍȴǉɰ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the expected exit of the Indicor equity investment is an initial public offering which is not subject to the liquidation preference. Roper’s approval is required prior to a sale of Indicor for a value that would trigger the liquidation prefer-</w:t>
      </w:r>
      <w:r>
        <w:rPr>
          <w:rFonts w:ascii="Arial" w:cs="Arial" w:eastAsia="Arial" w:hAnsi="Arial"/>
          <w:sz w:val="18"/>
          <w:szCs w:val="18"/>
          <w:color w:val="auto"/>
        </w:rPr>
        <w:t>ǉȶƺǉ</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ȴƃȶƃǼǉȴǉȶɽ</w:t>
      </w:r>
      <w:r>
        <w:rPr>
          <w:rFonts w:ascii="PMingLiU" w:cs="PMingLiU" w:eastAsia="PMingLiU" w:hAnsi="PMingLiU"/>
          <w:sz w:val="18"/>
          <w:szCs w:val="18"/>
          <w:color w:val="auto"/>
        </w:rPr>
        <w:t/>
      </w:r>
      <w:r>
        <w:rPr>
          <w:rFonts w:ascii="Arial" w:cs="Arial" w:eastAsia="Arial" w:hAnsi="Arial"/>
          <w:sz w:val="18"/>
          <w:szCs w:val="18"/>
          <w:color w:val="auto"/>
        </w:rPr>
        <w:t xml:space="preserve"> ǁɁǉɰ</w:t>
      </w:r>
      <w:r>
        <w:rPr>
          <w:rFonts w:ascii="PMingLiU" w:cs="PMingLiU" w:eastAsia="PMingLiU" w:hAnsi="PMingLiU"/>
          <w:sz w:val="18"/>
          <w:szCs w:val="18"/>
          <w:color w:val="auto"/>
        </w:rPr>
        <w:t/>
      </w:r>
      <w:r>
        <w:rPr>
          <w:rFonts w:ascii="Arial" w:cs="Arial" w:eastAsia="Arial" w:hAnsi="Arial"/>
          <w:sz w:val="18"/>
          <w:szCs w:val="18"/>
          <w:color w:val="auto"/>
        </w:rPr>
        <w:t xml:space="preserve"> ȶɁɽ</w:t>
      </w:r>
      <w:r>
        <w:rPr>
          <w:rFonts w:ascii="PMingLiU" w:cs="PMingLiU" w:eastAsia="PMingLiU" w:hAnsi="PMingLiU"/>
          <w:sz w:val="18"/>
          <w:szCs w:val="18"/>
          <w:color w:val="auto"/>
        </w:rPr>
        <w:t/>
      </w:r>
      <w:r>
        <w:rPr>
          <w:rFonts w:ascii="Arial" w:cs="Arial" w:eastAsia="Arial" w:hAnsi="Arial"/>
          <w:sz w:val="18"/>
          <w:szCs w:val="18"/>
          <w:color w:val="auto"/>
        </w:rPr>
        <w:t xml:space="preserve"> ǉʯɥǉƺɽ</w:t>
      </w:r>
      <w:r>
        <w:rPr>
          <w:rFonts w:ascii="PMingLiU" w:cs="PMingLiU" w:eastAsia="PMingLiU" w:hAnsi="PMingLiU"/>
          <w:sz w:val="18"/>
          <w:szCs w:val="18"/>
          <w:color w:val="auto"/>
        </w:rPr>
        <w:t/>
      </w:r>
      <w:r>
        <w:rPr>
          <w:rFonts w:ascii="Arial" w:cs="Arial" w:eastAsia="Arial" w:hAnsi="Arial"/>
          <w:sz w:val="18"/>
          <w:szCs w:val="18"/>
          <w:color w:val="auto"/>
        </w:rPr>
        <w:t xml:space="preserve"> ƃ</w:t>
      </w:r>
      <w:r>
        <w:rPr>
          <w:rFonts w:ascii="PMingLiU" w:cs="PMingLiU" w:eastAsia="PMingLiU" w:hAnsi="PMingLiU"/>
          <w:sz w:val="18"/>
          <w:szCs w:val="18"/>
          <w:color w:val="auto"/>
        </w:rPr>
        <w:t/>
      </w:r>
      <w:r>
        <w:rPr>
          <w:rFonts w:ascii="Arial" w:cs="Arial" w:eastAsia="Arial" w:hAnsi="Arial"/>
          <w:sz w:val="18"/>
          <w:szCs w:val="18"/>
          <w:color w:val="auto"/>
        </w:rPr>
        <w:t xml:space="preserve"> ȢȈɧʍȈǁƃɽȈɁȶ</w:t>
      </w:r>
      <w:r>
        <w:rPr>
          <w:rFonts w:ascii="PMingLiU" w:cs="PMingLiU" w:eastAsia="PMingLiU" w:hAnsi="PMingLiU"/>
          <w:sz w:val="18"/>
          <w:szCs w:val="18"/>
          <w:color w:val="auto"/>
        </w:rPr>
        <w:t/>
      </w:r>
      <w:r>
        <w:rPr>
          <w:rFonts w:ascii="Arial" w:cs="Arial" w:eastAsia="Arial" w:hAnsi="Arial"/>
          <w:sz w:val="18"/>
          <w:szCs w:val="18"/>
          <w:color w:val="auto"/>
        </w:rPr>
        <w:t xml:space="preserve"> ɥɨǉǹǉɨǉȶƺǉ</w:t>
      </w:r>
      <w:r>
        <w:rPr>
          <w:rFonts w:ascii="PMingLiU" w:cs="PMingLiU" w:eastAsia="PMingLiU" w:hAnsi="PMingLiU"/>
          <w:sz w:val="18"/>
          <w:szCs w:val="18"/>
          <w:color w:val="auto"/>
        </w:rPr>
        <w:t/>
      </w:r>
      <w:r>
        <w:rPr>
          <w:rFonts w:ascii="Arial" w:cs="Arial" w:eastAsia="Arial" w:hAnsi="Arial"/>
          <w:sz w:val="18"/>
          <w:szCs w:val="18"/>
          <w:color w:val="auto"/>
        </w:rPr>
        <w:t xml:space="preserve"> ƃɰɰɁƺȈƃɽǉǁ</w:t>
      </w:r>
      <w:r>
        <w:rPr>
          <w:rFonts w:ascii="PMingLiU" w:cs="PMingLiU" w:eastAsia="PMingLiU" w:hAnsi="PMingLiU"/>
          <w:sz w:val="18"/>
          <w:szCs w:val="18"/>
          <w:color w:val="auto"/>
        </w:rPr>
        <w:t/>
      </w:r>
      <w:r>
        <w:rPr>
          <w:rFonts w:ascii="Arial" w:cs="Arial" w:eastAsia="Arial" w:hAnsi="Arial"/>
          <w:sz w:val="18"/>
          <w:szCs w:val="18"/>
          <w:color w:val="auto"/>
        </w:rPr>
        <w:t xml:space="preserve"> ʥȈɽȃ</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Ȉȶʤǉɰɽ</w:t>
      </w:r>
      <w:r>
        <w:rPr>
          <w:rFonts w:ascii="Arial" w:cs="Arial" w:eastAsia="Arial" w:hAnsi="Arial"/>
          <w:sz w:val="18"/>
          <w:szCs w:val="18"/>
          <w:color w:val="auto"/>
        </w:rPr>
        <w:t>-ment to negatively impact the realization of cash upon any disposition.</w:t>
      </w:r>
    </w:p>
    <w:p>
      <w:pPr>
        <w:spacing w:after="0" w:line="69" w:lineRule="exact"/>
        <w:rPr>
          <w:sz w:val="20"/>
          <w:szCs w:val="20"/>
          <w:color w:val="auto"/>
        </w:rPr>
      </w:pPr>
    </w:p>
    <w:p>
      <w:pPr>
        <w:jc w:val="both"/>
        <w:ind w:right="40"/>
        <w:spacing w:after="0" w:line="269" w:lineRule="auto"/>
        <w:rPr>
          <w:sz w:val="20"/>
          <w:szCs w:val="20"/>
          <w:color w:val="auto"/>
        </w:rPr>
      </w:pPr>
      <w:r>
        <w:rPr>
          <w:rFonts w:ascii="Arial" w:cs="Arial" w:eastAsia="Arial" w:hAnsi="Arial"/>
          <w:sz w:val="18"/>
          <w:szCs w:val="18"/>
          <w:color w:val="auto"/>
        </w:rPr>
        <w:t>The assessment of fair value for this equity investment requires significant judgments to be made by management. Although our assumptions are considered reasonable and are consistent with the plans and estimates, there is signif-icant judgment applied in determining fair value. Changes in estimates or the application of alternative assumptions could produce significantly different results. The fair value of the investment reflects management’s estimate of assumptions that market participants would use in pricing the equity interest, which the Company has determined to be Level 3 in the FASB fair value hierarchy.</w:t>
      </w:r>
    </w:p>
    <w:p>
      <w:pPr>
        <w:sectPr>
          <w:pgSz w:w="12240" w:h="15840" w:orient="portrait"/>
          <w:cols w:equalWidth="0" w:num="1">
            <w:col w:w="10360"/>
          </w:cols>
          <w:pgMar w:left="960" w:top="935" w:right="92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56</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60"/>
          </w:cols>
          <w:pgMar w:left="960" w:top="935" w:right="920" w:bottom="9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The following table provides a reconciliation of the fair value for our equity investment in Indicor measured using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Level 3 inputs:</w:t>
      </w:r>
    </w:p>
    <w:p>
      <w:pPr>
        <w:spacing w:after="0" w:line="16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Year ended December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120" w:type="dxa"/>
            <w:vAlign w:val="bottom"/>
            <w:tcBorders>
              <w:bottom w:val="single" w:sz="8" w:color="000041"/>
            </w:tcBorders>
          </w:tcPr>
          <w:p>
            <w:pPr>
              <w:spacing w:after="0"/>
              <w:rPr>
                <w:sz w:val="23"/>
                <w:szCs w:val="23"/>
                <w:color w:val="auto"/>
              </w:rPr>
            </w:pPr>
          </w:p>
        </w:tc>
        <w:tc>
          <w:tcPr>
            <w:tcW w:w="4180" w:type="dxa"/>
            <w:vAlign w:val="bottom"/>
            <w:tcBorders>
              <w:bottom w:val="single" w:sz="8" w:color="000041"/>
            </w:tcBorders>
          </w:tcPr>
          <w:p>
            <w:pPr>
              <w:jc w:val="right"/>
              <w:ind w:right="250"/>
              <w:spacing w:after="0"/>
              <w:rPr>
                <w:sz w:val="20"/>
                <w:szCs w:val="20"/>
                <w:color w:val="auto"/>
              </w:rPr>
            </w:pPr>
            <w:r>
              <w:rPr>
                <w:rFonts w:ascii="Arial" w:cs="Arial" w:eastAsia="Arial" w:hAnsi="Arial"/>
                <w:sz w:val="18"/>
                <w:szCs w:val="18"/>
                <w:color w:val="auto"/>
              </w:rPr>
              <w:t>2025</w:t>
            </w:r>
          </w:p>
        </w:tc>
        <w:tc>
          <w:tcPr>
            <w:tcW w:w="10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2024</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Beginning balance</w:t>
            </w:r>
          </w:p>
        </w:tc>
        <w:tc>
          <w:tcPr>
            <w:tcW w:w="4180" w:type="dxa"/>
            <w:vAlign w:val="bottom"/>
          </w:tcPr>
          <w:p>
            <w:pPr>
              <w:jc w:val="right"/>
              <w:ind w:right="250"/>
              <w:spacing w:after="0"/>
              <w:rPr>
                <w:sz w:val="20"/>
                <w:szCs w:val="20"/>
                <w:color w:val="auto"/>
              </w:rPr>
            </w:pPr>
            <w:r>
              <w:rPr>
                <w:rFonts w:ascii="Arial" w:cs="Arial" w:eastAsia="Arial" w:hAnsi="Arial"/>
                <w:sz w:val="18"/>
                <w:szCs w:val="18"/>
                <w:color w:val="auto"/>
              </w:rPr>
              <w:t>Ԥԛԛԛ</w:t>
            </w:r>
            <w:r>
              <w:rPr>
                <w:rFonts w:ascii="Arial" w:cs="Arial" w:eastAsia="Arial" w:hAnsi="Arial"/>
                <w:sz w:val="18"/>
                <w:szCs w:val="18"/>
                <w:color w:val="auto"/>
              </w:rPr>
              <w:t>ќќїӝј</w:t>
            </w:r>
          </w:p>
        </w:tc>
        <w:tc>
          <w:tcPr>
            <w:tcW w:w="1020" w:type="dxa"/>
            <w:vAlign w:val="bottom"/>
          </w:tcPr>
          <w:p>
            <w:pPr>
              <w:jc w:val="right"/>
              <w:spacing w:after="0"/>
              <w:rPr>
                <w:sz w:val="20"/>
                <w:szCs w:val="20"/>
                <w:color w:val="auto"/>
              </w:rPr>
            </w:pPr>
            <w:r>
              <w:rPr>
                <w:rFonts w:ascii="Arial" w:cs="Arial" w:eastAsia="Arial" w:hAnsi="Arial"/>
                <w:sz w:val="18"/>
                <w:szCs w:val="18"/>
                <w:color w:val="auto"/>
              </w:rPr>
              <w:t>$675.9</w:t>
            </w:r>
          </w:p>
        </w:tc>
      </w:tr>
      <w:tr>
        <w:trPr>
          <w:trHeight w:val="268"/>
        </w:trPr>
        <w:tc>
          <w:tcPr>
            <w:tcW w:w="51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Change in fair value</w:t>
            </w:r>
          </w:p>
        </w:tc>
        <w:tc>
          <w:tcPr>
            <w:tcW w:w="4180" w:type="dxa"/>
            <w:vAlign w:val="bottom"/>
            <w:tcBorders>
              <w:bottom w:val="single" w:sz="8" w:color="000041"/>
            </w:tcBorders>
          </w:tcPr>
          <w:p>
            <w:pPr>
              <w:jc w:val="right"/>
              <w:ind w:right="250"/>
              <w:spacing w:after="0"/>
              <w:rPr>
                <w:sz w:val="20"/>
                <w:szCs w:val="20"/>
                <w:color w:val="auto"/>
              </w:rPr>
            </w:pPr>
            <w:r>
              <w:rPr>
                <w:rFonts w:ascii="Arial" w:cs="Arial" w:eastAsia="Arial" w:hAnsi="Arial"/>
                <w:sz w:val="18"/>
                <w:szCs w:val="18"/>
                <w:color w:val="auto"/>
              </w:rPr>
              <w:t>24.0</w:t>
            </w:r>
          </w:p>
        </w:tc>
        <w:tc>
          <w:tcPr>
            <w:tcW w:w="10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96.4</w:t>
            </w:r>
          </w:p>
        </w:tc>
      </w:tr>
      <w:tr>
        <w:trPr>
          <w:trHeight w:val="286"/>
        </w:trPr>
        <w:tc>
          <w:tcPr>
            <w:tcW w:w="51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Ending balance</w:t>
            </w:r>
          </w:p>
        </w:tc>
        <w:tc>
          <w:tcPr>
            <w:tcW w:w="4180" w:type="dxa"/>
            <w:vAlign w:val="bottom"/>
            <w:tcBorders>
              <w:bottom w:val="single" w:sz="8" w:color="000041"/>
            </w:tcBorders>
          </w:tcPr>
          <w:p>
            <w:pPr>
              <w:jc w:val="right"/>
              <w:ind w:right="250"/>
              <w:spacing w:after="0"/>
              <w:rPr>
                <w:sz w:val="20"/>
                <w:szCs w:val="20"/>
                <w:color w:val="auto"/>
              </w:rPr>
            </w:pPr>
            <w:r>
              <w:rPr>
                <w:rFonts w:ascii="Arial" w:cs="Arial" w:eastAsia="Arial" w:hAnsi="Arial"/>
                <w:sz w:val="18"/>
                <w:szCs w:val="18"/>
                <w:color w:val="auto"/>
              </w:rPr>
              <w:t>$796.3</w:t>
            </w:r>
          </w:p>
        </w:tc>
        <w:tc>
          <w:tcPr>
            <w:tcW w:w="10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ќќїӝј</w:t>
            </w:r>
          </w:p>
        </w:tc>
      </w:tr>
    </w:tbl>
    <w:p>
      <w:pPr>
        <w:spacing w:after="0" w:line="221" w:lineRule="exact"/>
        <w:rPr>
          <w:sz w:val="20"/>
          <w:szCs w:val="20"/>
          <w:color w:val="auto"/>
        </w:rPr>
      </w:pPr>
    </w:p>
    <w:p>
      <w:pPr>
        <w:jc w:val="both"/>
        <w:spacing w:after="0" w:line="235" w:lineRule="exact"/>
        <w:rPr>
          <w:sz w:val="20"/>
          <w:szCs w:val="20"/>
          <w:color w:val="auto"/>
        </w:rPr>
      </w:pP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ɨǉƺǉȈʤǉǁ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њӝіӗ</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іѕӝѝӗ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јїӝњ</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ǁȈʤȈǁǉȶǁ</w:t>
      </w:r>
      <w:r>
        <w:rPr>
          <w:rFonts w:ascii="PMingLiU" w:cs="PMingLiU" w:eastAsia="PMingLiU" w:hAnsi="PMingLiU"/>
          <w:sz w:val="18"/>
          <w:szCs w:val="18"/>
          <w:color w:val="auto"/>
        </w:rPr>
        <w:t/>
      </w:r>
      <w:r>
        <w:rPr>
          <w:rFonts w:ascii="Arial" w:cs="Arial" w:eastAsia="Arial" w:hAnsi="Arial"/>
          <w:sz w:val="18"/>
          <w:szCs w:val="18"/>
          <w:color w:val="auto"/>
        </w:rPr>
        <w:t>ǁȈɰɽɨȈƹʍɽȈɁȶɰ</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w:t>
      </w:r>
      <w:r>
        <w:rPr>
          <w:rFonts w:ascii="Arial" w:cs="Arial" w:eastAsia="Arial" w:hAnsi="Arial"/>
          <w:sz w:val="18"/>
          <w:szCs w:val="18"/>
          <w:color w:val="auto"/>
        </w:rPr>
        <w:t>ȶǁȈƺɁɨ</w:t>
      </w:r>
      <w:r>
        <w:rPr>
          <w:rFonts w:ascii="PMingLiU" w:cs="PMingLiU" w:eastAsia="PMingLiU" w:hAnsi="PMingLiU"/>
          <w:sz w:val="18"/>
          <w:szCs w:val="18"/>
          <w:color w:val="auto"/>
        </w:rPr>
        <w:t/>
      </w:r>
      <w:r>
        <w:rPr>
          <w:rFonts w:ascii="Arial" w:cs="Arial" w:eastAsia="Arial" w:hAnsi="Arial"/>
          <w:sz w:val="18"/>
          <w:szCs w:val="18"/>
          <w:color w:val="auto"/>
        </w:rPr>
        <w:t>ǁʍɨȈȶǼ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2025, 2024, and 2023, respectively, which are reported within “Equity investments gain, net” in our Consolidated Statements of Earnings. These dividend distributions were intended to offset certain cash taxes payable associated with Roper’s ownership stake and were contemplated in the determination of the fair value for the equity investment in Indicor.</w:t>
      </w:r>
    </w:p>
    <w:p>
      <w:pPr>
        <w:spacing w:after="0" w:line="396"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ӭіѕӮ</w:t>
      </w:r>
      <w:r>
        <w:rPr>
          <w:rFonts w:ascii="PMingLiU" w:cs="PMingLiU" w:eastAsia="PMingLiU" w:hAnsi="PMingLiU"/>
          <w:sz w:val="20"/>
          <w:szCs w:val="20"/>
          <w:color w:val="000041"/>
        </w:rPr>
        <w:t/>
      </w:r>
      <w:r>
        <w:rPr>
          <w:rFonts w:ascii="Arial" w:cs="Arial" w:eastAsia="Arial" w:hAnsi="Arial"/>
          <w:sz w:val="20"/>
          <w:szCs w:val="20"/>
          <w:color w:val="000041"/>
        </w:rPr>
        <w:t>ĄKě</w:t>
      </w:r>
      <w:r>
        <w:rPr>
          <w:rFonts w:ascii="PMingLiU" w:cs="PMingLiU" w:eastAsia="PMingLiU" w:hAnsi="PMingLiU"/>
          <w:sz w:val="20"/>
          <w:szCs w:val="20"/>
          <w:color w:val="000041"/>
        </w:rPr>
        <w:t></w:t>
      </w:r>
      <w:r>
        <w:rPr>
          <w:rFonts w:ascii="Arial" w:cs="Arial" w:eastAsia="Arial" w:hAnsi="Arial"/>
          <w:sz w:val="20"/>
          <w:szCs w:val="20"/>
          <w:color w:val="000041"/>
        </w:rPr>
        <w:t>ĄKÃKÇě</w:t>
      </w:r>
      <w:r>
        <w:rPr>
          <w:rFonts w:ascii="PMingLiU" w:cs="PMingLiU" w:eastAsia="PMingLiU" w:hAnsi="PMingLiU"/>
          <w:sz w:val="20"/>
          <w:szCs w:val="20"/>
          <w:color w:val="000041"/>
        </w:rPr>
        <w:t/>
      </w:r>
      <w:r>
        <w:rPr>
          <w:rFonts w:ascii="Arial" w:cs="Arial" w:eastAsia="Arial" w:hAnsi="Arial"/>
          <w:sz w:val="20"/>
          <w:szCs w:val="20"/>
          <w:color w:val="000041"/>
        </w:rPr>
        <w:t>ÇA</w:t>
      </w:r>
      <w:r>
        <w:rPr>
          <w:rFonts w:ascii="PMingLiU" w:cs="PMingLiU" w:eastAsia="PMingLiU" w:hAnsi="PMingLiU"/>
          <w:sz w:val="20"/>
          <w:szCs w:val="20"/>
          <w:color w:val="000041"/>
        </w:rPr>
        <w:t/>
      </w:r>
      <w:r>
        <w:rPr>
          <w:rFonts w:ascii="Arial" w:cs="Arial" w:eastAsia="Arial" w:hAnsi="Arial"/>
          <w:sz w:val="20"/>
          <w:szCs w:val="20"/>
          <w:color w:val="000041"/>
        </w:rPr>
        <w:t>Ýě</w:t>
      </w:r>
      <w:r>
        <w:rPr>
          <w:rFonts w:ascii="PMingLiU" w:cs="PMingLiU" w:eastAsia="PMingLiU" w:hAnsi="PMingLiU"/>
          <w:sz w:val="20"/>
          <w:szCs w:val="20"/>
          <w:color w:val="000041"/>
        </w:rPr>
        <w:t></w:t>
      </w:r>
      <w:r>
        <w:rPr>
          <w:rFonts w:ascii="Arial" w:cs="Arial" w:eastAsia="Arial" w:hAnsi="Arial"/>
          <w:sz w:val="20"/>
          <w:szCs w:val="20"/>
          <w:color w:val="000041"/>
        </w:rPr>
        <w:t>KĄ</w:t>
      </w:r>
      <w:r>
        <w:rPr>
          <w:rFonts w:ascii="PMingLiU" w:cs="PMingLiU" w:eastAsia="PMingLiU" w:hAnsi="PMingLiU"/>
          <w:sz w:val="20"/>
          <w:szCs w:val="20"/>
          <w:color w:val="000041"/>
        </w:rPr>
        <w:t/>
      </w:r>
      <w:r>
        <w:rPr>
          <w:rFonts w:ascii="Arial" w:cs="Arial" w:eastAsia="Arial" w:hAnsi="Arial"/>
          <w:sz w:val="20"/>
          <w:szCs w:val="20"/>
          <w:color w:val="000041"/>
        </w:rPr>
        <w:t>9KÇKy</w:t>
      </w:r>
      <w:r>
        <w:rPr>
          <w:rFonts w:ascii="PMingLiU" w:cs="PMingLiU" w:eastAsia="PMingLiU" w:hAnsi="PMingLiU"/>
          <w:sz w:val="20"/>
          <w:szCs w:val="20"/>
          <w:color w:val="000041"/>
        </w:rPr>
        <w:t></w:t>
      </w:r>
      <w:r>
        <w:rPr>
          <w:rFonts w:ascii="Arial" w:cs="Arial" w:eastAsia="Arial" w:hAnsi="Arial"/>
          <w:sz w:val="20"/>
          <w:szCs w:val="20"/>
          <w:color w:val="000041"/>
        </w:rPr>
        <w:t>ě</w:t>
      </w:r>
      <w:r>
        <w:rPr>
          <w:rFonts w:ascii="PMingLiU" w:cs="PMingLiU" w:eastAsia="PMingLiU" w:hAnsi="PMingLiU"/>
          <w:sz w:val="20"/>
          <w:szCs w:val="20"/>
          <w:color w:val="000041"/>
        </w:rPr>
        <w:t/>
      </w:r>
      <w:r>
        <w:rPr>
          <w:rFonts w:ascii="Arial" w:cs="Arial" w:eastAsia="Arial" w:hAnsi="Arial"/>
          <w:sz w:val="20"/>
          <w:szCs w:val="20"/>
          <w:color w:val="000041"/>
        </w:rPr>
        <w:t>Ā¸</w:t>
      </w:r>
      <w:r>
        <w:rPr>
          <w:rFonts w:ascii="PMingLiU" w:cs="PMingLiU" w:eastAsia="PMingLiU" w:hAnsi="PMingLiU"/>
          <w:sz w:val="20"/>
          <w:szCs w:val="20"/>
          <w:color w:val="000041"/>
        </w:rPr>
        <w:t/>
      </w:r>
      <w:r>
        <w:rPr>
          <w:rFonts w:ascii="Arial" w:cs="Arial" w:eastAsia="Arial" w:hAnsi="Arial"/>
          <w:sz w:val="20"/>
          <w:szCs w:val="20"/>
          <w:color w:val="000041"/>
        </w:rPr>
        <w:t>ÇČ</w:t>
      </w:r>
    </w:p>
    <w:p>
      <w:pPr>
        <w:spacing w:after="0" w:line="115"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Roper maintains three defined contribution retirement plans under the provisions of Section 401(k) of the IRC cover-ing substantially all U.S. employees. Roper partially matches employee contributions. Costs related to all such plans were $51.9, $44.2, and $39.1 for 2025, 2024, and 2023, respectively.</w:t>
      </w:r>
    </w:p>
    <w:p>
      <w:pPr>
        <w:spacing w:after="0" w:line="150"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ӭііӮ</w:t>
      </w:r>
      <w:r>
        <w:rPr>
          <w:rFonts w:ascii="PMingLiU" w:cs="PMingLiU" w:eastAsia="PMingLiU" w:hAnsi="PMingLiU"/>
          <w:sz w:val="20"/>
          <w:szCs w:val="20"/>
          <w:color w:val="000041"/>
        </w:rPr>
        <w:t/>
      </w:r>
      <w:r>
        <w:rPr>
          <w:rFonts w:ascii="Arial" w:cs="Arial" w:eastAsia="Arial" w:hAnsi="Arial"/>
          <w:sz w:val="20"/>
          <w:szCs w:val="20"/>
          <w:color w:val="000041"/>
        </w:rPr>
        <w:t>ČěÝ:¶</w:t>
      </w:r>
      <w:r>
        <w:rPr>
          <w:rFonts w:ascii="Arial" w:cs="Arial" w:eastAsia="Arial" w:hAnsi="Arial"/>
          <w:sz w:val="20"/>
          <w:szCs w:val="20"/>
          <w:color w:val="000041"/>
        </w:rPr>
        <w:t>ӳ</w:t>
      </w:r>
      <w:r>
        <w:rPr>
          <w:rFonts w:ascii="Arial" w:cs="Arial" w:eastAsia="Arial" w:hAnsi="Arial"/>
          <w:sz w:val="20"/>
          <w:szCs w:val="20"/>
          <w:color w:val="000041"/>
        </w:rPr>
        <w:t>9</w:t>
      </w:r>
      <w:r>
        <w:rPr>
          <w:rFonts w:ascii="PMingLiU" w:cs="PMingLiU" w:eastAsia="PMingLiU" w:hAnsi="PMingLiU"/>
          <w:sz w:val="20"/>
          <w:szCs w:val="20"/>
          <w:color w:val="000041"/>
        </w:rPr>
        <w:t/>
      </w:r>
      <w:r>
        <w:rPr>
          <w:rFonts w:ascii="Arial" w:cs="Arial" w:eastAsia="Arial" w:hAnsi="Arial"/>
          <w:sz w:val="20"/>
          <w:szCs w:val="20"/>
          <w:color w:val="000041"/>
        </w:rPr>
        <w:t>ČKA</w:t>
      </w:r>
      <w:r>
        <w:rPr>
          <w:rFonts w:ascii="PMingLiU" w:cs="PMingLiU" w:eastAsia="PMingLiU" w:hAnsi="PMingLiU"/>
          <w:sz w:val="20"/>
          <w:szCs w:val="20"/>
          <w:color w:val="000041"/>
        </w:rPr>
        <w:t/>
      </w:r>
      <w:r>
        <w:rPr>
          <w:rFonts w:ascii="Arial" w:cs="Arial" w:eastAsia="Arial" w:hAnsi="Arial"/>
          <w:sz w:val="20"/>
          <w:szCs w:val="20"/>
          <w:color w:val="000041"/>
        </w:rPr>
        <w:t>:ÝÃĀKÇČ</w:t>
      </w:r>
      <w:r>
        <w:rPr>
          <w:rFonts w:ascii="PMingLiU" w:cs="PMingLiU" w:eastAsia="PMingLiU" w:hAnsi="PMingLiU"/>
          <w:sz w:val="20"/>
          <w:szCs w:val="20"/>
          <w:color w:val="000041"/>
        </w:rPr>
        <w:t/>
      </w:r>
      <w:r>
        <w:rPr>
          <w:rFonts w:ascii="Arial" w:cs="Arial" w:eastAsia="Arial" w:hAnsi="Arial"/>
          <w:sz w:val="20"/>
          <w:szCs w:val="20"/>
          <w:color w:val="000041"/>
        </w:rPr>
        <w:t>ě</w:t>
      </w:r>
      <w:r>
        <w:rPr>
          <w:rFonts w:ascii="PMingLiU" w:cs="PMingLiU" w:eastAsia="PMingLiU" w:hAnsi="PMingLiU"/>
          <w:sz w:val="20"/>
          <w:szCs w:val="20"/>
          <w:color w:val="000041"/>
        </w:rPr>
        <w:t></w:t>
      </w:r>
      <w:r>
        <w:rPr>
          <w:rFonts w:ascii="Arial" w:cs="Arial" w:eastAsia="Arial" w:hAnsi="Arial"/>
          <w:sz w:val="20"/>
          <w:szCs w:val="20"/>
          <w:color w:val="000041"/>
        </w:rPr>
        <w:t>ÝÇ</w:t>
      </w:r>
    </w:p>
    <w:p>
      <w:pPr>
        <w:spacing w:after="0" w:line="115" w:lineRule="exact"/>
        <w:rPr>
          <w:sz w:val="20"/>
          <w:szCs w:val="20"/>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The Roper Technologies, Inc. 2021 Incentive Plan (“2021 Plan”) is a stock-based compensation plan used to grant incentive stock options, nonqualified stock options, restricted stock and restricted stock units (collectively “restricted stock awards”), stock appreciation rights, or equivalent instruments to Roper’s employees, officers, directors, and con-sultants. The 2021 Plan was approved by shareholders at the Annual Meeting of Shareholders on June 14, 2021. The 2021 Plan replaces the Roper Technologies, Inc. 2016 Incentive Plan, as amended (“2016 Plan”), and no additional </w:t>
      </w:r>
      <w:r>
        <w:rPr>
          <w:rFonts w:ascii="Arial" w:cs="Arial" w:eastAsia="Arial" w:hAnsi="Arial"/>
          <w:sz w:val="18"/>
          <w:szCs w:val="18"/>
          <w:color w:val="auto"/>
        </w:rPr>
        <w:t>Ǽɨƃȶɽɰ</w:t>
      </w:r>
      <w:r>
        <w:rPr>
          <w:rFonts w:ascii="PMingLiU" w:cs="PMingLiU" w:eastAsia="PMingLiU" w:hAnsi="PMingLiU"/>
          <w:sz w:val="18"/>
          <w:szCs w:val="18"/>
          <w:color w:val="auto"/>
        </w:rPr>
        <w:t/>
      </w:r>
      <w:r>
        <w:rPr>
          <w:rFonts w:ascii="Arial" w:cs="Arial" w:eastAsia="Arial" w:hAnsi="Arial"/>
          <w:sz w:val="18"/>
          <w:szCs w:val="18"/>
          <w:color w:val="auto"/>
        </w:rPr>
        <w:t>ʥȈȢȢ</w:t>
      </w:r>
      <w:r>
        <w:rPr>
          <w:rFonts w:ascii="PMingLiU" w:cs="PMingLiU" w:eastAsia="PMingLiU" w:hAnsi="PMingLiU"/>
          <w:sz w:val="18"/>
          <w:szCs w:val="18"/>
          <w:color w:val="auto"/>
        </w:rPr>
        <w:t/>
      </w:r>
      <w:r>
        <w:rPr>
          <w:rFonts w:ascii="Arial" w:cs="Arial" w:eastAsia="Arial" w:hAnsi="Arial"/>
          <w:sz w:val="18"/>
          <w:szCs w:val="18"/>
          <w:color w:val="auto"/>
        </w:rPr>
        <w:t>ƹǉ</w:t>
      </w:r>
      <w:r>
        <w:rPr>
          <w:rFonts w:ascii="PMingLiU" w:cs="PMingLiU" w:eastAsia="PMingLiU" w:hAnsi="PMingLiU"/>
          <w:sz w:val="18"/>
          <w:szCs w:val="18"/>
          <w:color w:val="auto"/>
        </w:rPr>
        <w:t/>
      </w:r>
      <w:r>
        <w:rPr>
          <w:rFonts w:ascii="Arial" w:cs="Arial" w:eastAsia="Arial" w:hAnsi="Arial"/>
          <w:sz w:val="18"/>
          <w:szCs w:val="18"/>
          <w:color w:val="auto"/>
        </w:rPr>
        <w:t>ȴƃǁǉ</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їѕіћ</w:t>
      </w:r>
      <w:r>
        <w:rPr>
          <w:rFonts w:ascii="PMingLiU" w:cs="PMingLiU" w:eastAsia="PMingLiU" w:hAnsi="PMingLiU"/>
          <w:sz w:val="18"/>
          <w:szCs w:val="18"/>
          <w:color w:val="auto"/>
        </w:rPr>
        <w:t/>
      </w:r>
      <w:r>
        <w:rPr>
          <w:rFonts w:ascii="Arial" w:cs="Arial" w:eastAsia="Arial" w:hAnsi="Arial"/>
          <w:sz w:val="18"/>
          <w:szCs w:val="18"/>
          <w:color w:val="auto"/>
        </w:rPr>
        <w:t>ĀȢƃȶ</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љӝїўј</w:t>
      </w:r>
      <w:r>
        <w:rPr>
          <w:rFonts w:ascii="PMingLiU" w:cs="PMingLiU" w:eastAsia="PMingLiU" w:hAnsi="PMingLiU"/>
          <w:sz w:val="18"/>
          <w:szCs w:val="18"/>
          <w:color w:val="auto"/>
        </w:rPr>
        <w:t/>
      </w:r>
      <w:r>
        <w:rPr>
          <w:rFonts w:ascii="Arial" w:cs="Arial" w:eastAsia="Arial" w:hAnsi="Arial"/>
          <w:sz w:val="18"/>
          <w:szCs w:val="18"/>
          <w:color w:val="auto"/>
        </w:rPr>
        <w:t>ɰȃƃɨǉɰ</w:t>
      </w:r>
      <w:r>
        <w:rPr>
          <w:rFonts w:ascii="PMingLiU" w:cs="PMingLiU" w:eastAsia="PMingLiU" w:hAnsi="PMingLiU"/>
          <w:sz w:val="18"/>
          <w:szCs w:val="18"/>
          <w:color w:val="auto"/>
        </w:rPr>
        <w:t/>
      </w:r>
      <w:r>
        <w:rPr>
          <w:rFonts w:ascii="Arial" w:cs="Arial" w:eastAsia="Arial" w:hAnsi="Arial"/>
          <w:sz w:val="18"/>
          <w:szCs w:val="18"/>
          <w:color w:val="auto"/>
        </w:rPr>
        <w:t>ʥǉɨǉ</w:t>
      </w:r>
      <w:r>
        <w:rPr>
          <w:rFonts w:ascii="PMingLiU" w:cs="PMingLiU" w:eastAsia="PMingLiU" w:hAnsi="PMingLiU"/>
          <w:sz w:val="18"/>
          <w:szCs w:val="18"/>
          <w:color w:val="auto"/>
        </w:rPr>
        <w:t/>
      </w:r>
      <w:r>
        <w:rPr>
          <w:rFonts w:ascii="Arial" w:cs="Arial" w:eastAsia="Arial" w:hAnsi="Arial"/>
          <w:sz w:val="18"/>
          <w:szCs w:val="18"/>
          <w:color w:val="auto"/>
        </w:rPr>
        <w:t>ƃʤƃȈȢƃƹȢǉ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Ǽɨƃȶɽ</w:t>
      </w:r>
      <w:r>
        <w:rPr>
          <w:rFonts w:ascii="PMingLiU" w:cs="PMingLiU" w:eastAsia="PMingLiU" w:hAnsi="PMingLiU"/>
          <w:sz w:val="18"/>
          <w:szCs w:val="18"/>
          <w:color w:val="auto"/>
        </w:rPr>
        <w:t/>
      </w:r>
      <w:r>
        <w:rPr>
          <w:rFonts w:ascii="Arial" w:cs="Arial" w:eastAsia="Arial" w:hAnsi="Arial"/>
          <w:sz w:val="18"/>
          <w:szCs w:val="18"/>
          <w:color w:val="auto"/>
        </w:rPr>
        <w:t>ʍȶǁǉɨ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їѕїі</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Plan.</w:t>
      </w:r>
    </w:p>
    <w:p>
      <w:pPr>
        <w:spacing w:after="0" w:line="277"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Under the Roper Technologies, Inc. Employee Stock Purchase Plan, as amended and restated (“ESPP”), employees in the U.S. and Canada are allowed to designate up to 10% of eligible earnings to purchase Roper’s common stock at a 10% discount on the lower of the closing price of the stock on the first and last day of each quarterly offering period. Common stock sold to employees pursuant to the ESPP may be either treasury stock, stock purchased on the open market, or newly issued shares.</w:t>
      </w:r>
    </w:p>
    <w:p>
      <w:pPr>
        <w:spacing w:after="0" w:line="268" w:lineRule="exact"/>
        <w:rPr>
          <w:sz w:val="20"/>
          <w:szCs w:val="20"/>
          <w:color w:val="auto"/>
        </w:rPr>
      </w:pPr>
    </w:p>
    <w:p>
      <w:pPr>
        <w:jc w:val="both"/>
        <w:ind w:right="20"/>
        <w:spacing w:after="0" w:line="234" w:lineRule="exact"/>
        <w:rPr>
          <w:sz w:val="20"/>
          <w:szCs w:val="20"/>
          <w:color w:val="auto"/>
        </w:rPr>
      </w:pPr>
      <w:r>
        <w:rPr>
          <w:rFonts w:ascii="Arial" w:cs="Arial" w:eastAsia="Arial" w:hAnsi="Arial"/>
          <w:sz w:val="18"/>
          <w:szCs w:val="18"/>
          <w:color w:val="auto"/>
        </w:rPr>
        <w:t xml:space="preserve">Stock-based compensation expense is not allocated to our reportable segments, which are described further in </w:t>
      </w:r>
      <w:r>
        <w:rPr>
          <w:rFonts w:ascii="Arial" w:cs="Arial" w:eastAsia="Arial" w:hAnsi="Arial"/>
          <w:sz w:val="18"/>
          <w:szCs w:val="18"/>
          <w:color w:val="auto"/>
        </w:rPr>
        <w:t>ÇɁɽǉ</w:t>
      </w:r>
      <w:r>
        <w:rPr>
          <w:rFonts w:ascii="PMingLiU" w:cs="PMingLiU" w:eastAsia="PMingLiU" w:hAnsi="PMingLiU"/>
          <w:sz w:val="18"/>
          <w:szCs w:val="18"/>
          <w:color w:val="auto"/>
        </w:rPr>
        <w:t/>
      </w:r>
      <w:r>
        <w:rPr>
          <w:rFonts w:ascii="Arial" w:cs="Arial" w:eastAsia="Arial" w:hAnsi="Arial"/>
          <w:sz w:val="18"/>
          <w:szCs w:val="18"/>
          <w:color w:val="auto"/>
        </w:rPr>
        <w:t>іљӝ</w:t>
      </w:r>
      <w:r>
        <w:rPr>
          <w:rFonts w:ascii="PMingLiU" w:cs="PMingLiU" w:eastAsia="PMingLiU" w:hAnsi="PMingLiU"/>
          <w:sz w:val="18"/>
          <w:szCs w:val="18"/>
          <w:color w:val="auto"/>
        </w:rPr>
        <w:t/>
      </w:r>
      <w:r>
        <w:rPr>
          <w:rFonts w:ascii="Arial" w:cs="Arial" w:eastAsia="Arial" w:hAnsi="Arial"/>
          <w:sz w:val="18"/>
          <w:szCs w:val="18"/>
          <w:color w:val="auto"/>
        </w:rPr>
        <w:t>ČɽɁƺȟ</w:t>
      </w:r>
      <w:r>
        <w:rPr>
          <w:rFonts w:ascii="Arial" w:cs="Arial" w:eastAsia="Arial" w:hAnsi="Arial"/>
          <w:sz w:val="18"/>
          <w:szCs w:val="18"/>
          <w:color w:val="auto"/>
        </w:rPr>
        <w:t>Ӹ</w:t>
      </w:r>
      <w:r>
        <w:rPr>
          <w:rFonts w:ascii="Arial" w:cs="Arial" w:eastAsia="Arial" w:hAnsi="Arial"/>
          <w:sz w:val="18"/>
          <w:szCs w:val="18"/>
          <w:color w:val="auto"/>
        </w:rPr>
        <w:t>ƹƃɰǉǁ</w:t>
      </w:r>
      <w:r>
        <w:rPr>
          <w:rFonts w:ascii="PMingLiU" w:cs="PMingLiU" w:eastAsia="PMingLiU" w:hAnsi="PMingLiU"/>
          <w:sz w:val="18"/>
          <w:szCs w:val="18"/>
          <w:color w:val="auto"/>
        </w:rPr>
        <w:t/>
      </w:r>
      <w:r>
        <w:rPr>
          <w:rFonts w:ascii="Arial" w:cs="Arial" w:eastAsia="Arial" w:hAnsi="Arial"/>
          <w:sz w:val="18"/>
          <w:szCs w:val="18"/>
          <w:color w:val="auto"/>
        </w:rPr>
        <w:t>ƺɁȴɥǉȶɰƃɽȈɁȶ</w:t>
      </w:r>
      <w:r>
        <w:rPr>
          <w:rFonts w:ascii="PMingLiU" w:cs="PMingLiU" w:eastAsia="PMingLiU" w:hAnsi="PMingLiU"/>
          <w:sz w:val="18"/>
          <w:szCs w:val="18"/>
          <w:color w:val="auto"/>
        </w:rPr>
        <w:t/>
      </w:r>
      <w:r>
        <w:rPr>
          <w:rFonts w:ascii="Arial" w:cs="Arial" w:eastAsia="Arial" w:hAnsi="Arial"/>
          <w:sz w:val="18"/>
          <w:szCs w:val="18"/>
          <w:color w:val="auto"/>
        </w:rPr>
        <w:t>ǉʯɥǉȶɰǉ</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їѕїјӗ</w:t>
      </w:r>
      <w:r>
        <w:rPr>
          <w:rFonts w:ascii="PMingLiU" w:cs="PMingLiU" w:eastAsia="PMingLiU" w:hAnsi="PMingLiU"/>
          <w:sz w:val="18"/>
          <w:szCs w:val="18"/>
          <w:color w:val="auto"/>
        </w:rPr>
        <w:t/>
      </w:r>
      <w:r>
        <w:rPr>
          <w:rFonts w:ascii="Arial" w:cs="Arial" w:eastAsia="Arial" w:hAnsi="Arial"/>
          <w:sz w:val="18"/>
          <w:szCs w:val="18"/>
          <w:color w:val="auto"/>
        </w:rPr>
        <w:t>ȈȶƺȢʍǁǉǁ</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component of “Selling, general and administrative expenses,”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680" w:type="dxa"/>
            <w:vAlign w:val="bottom"/>
            <w:tcBorders>
              <w:bottom w:val="single" w:sz="8" w:color="000041"/>
            </w:tcBorders>
          </w:tcPr>
          <w:p>
            <w:pPr>
              <w:spacing w:after="0"/>
              <w:rPr>
                <w:sz w:val="23"/>
                <w:szCs w:val="23"/>
                <w:color w:val="auto"/>
              </w:rPr>
            </w:pPr>
          </w:p>
        </w:tc>
        <w:tc>
          <w:tcPr>
            <w:tcW w:w="300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2025</w:t>
            </w:r>
          </w:p>
        </w:tc>
        <w:tc>
          <w:tcPr>
            <w:tcW w:w="82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2024</w:t>
            </w:r>
          </w:p>
        </w:tc>
        <w:tc>
          <w:tcPr>
            <w:tcW w:w="82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2023</w:t>
            </w: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$166.3</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$145.9</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$123.5</w:t>
            </w:r>
          </w:p>
        </w:tc>
      </w:tr>
      <w:tr>
        <w:trPr>
          <w:trHeight w:val="268"/>
        </w:trPr>
        <w:tc>
          <w:tcPr>
            <w:tcW w:w="5680" w:type="dxa"/>
            <w:vAlign w:val="bottom"/>
            <w:tcBorders>
              <w:bottom w:val="single" w:sz="8" w:color="000041"/>
            </w:tcBorders>
          </w:tcPr>
          <w:p>
            <w:pPr>
              <w:spacing w:after="0" w:line="219" w:lineRule="exact"/>
              <w:rPr>
                <w:sz w:val="20"/>
                <w:szCs w:val="20"/>
                <w:color w:val="auto"/>
              </w:rPr>
            </w:pPr>
            <w:r>
              <w:rPr>
                <w:rFonts w:ascii="Arial" w:cs="Arial" w:eastAsia="Arial" w:hAnsi="Arial"/>
                <w:sz w:val="18"/>
                <w:szCs w:val="18"/>
                <w:color w:val="auto"/>
              </w:rPr>
              <w:t>ěƃʯ</w:t>
            </w:r>
            <w:r>
              <w:rPr>
                <w:rFonts w:ascii="PMingLiU" w:cs="PMingLiU" w:eastAsia="PMingLiU" w:hAnsi="PMingLiU"/>
                <w:sz w:val="18"/>
                <w:szCs w:val="18"/>
                <w:color w:val="auto"/>
              </w:rPr>
              <w:t/>
            </w:r>
            <w:r>
              <w:rPr>
                <w:rFonts w:ascii="Arial" w:cs="Arial" w:eastAsia="Arial" w:hAnsi="Arial"/>
                <w:sz w:val="18"/>
                <w:szCs w:val="18"/>
                <w:color w:val="auto"/>
              </w:rPr>
              <w:t>ƹǉȶǉˎɽ</w:t>
            </w:r>
            <w:r>
              <w:rPr>
                <w:rFonts w:ascii="PMingLiU" w:cs="PMingLiU" w:eastAsia="PMingLiU" w:hAnsi="PMingLiU"/>
                <w:sz w:val="18"/>
                <w:szCs w:val="18"/>
                <w:color w:val="auto"/>
              </w:rPr>
              <w:t/>
            </w:r>
            <w:r>
              <w:rPr>
                <w:rFonts w:ascii="Arial" w:cs="Arial" w:eastAsia="Arial" w:hAnsi="Arial"/>
                <w:sz w:val="18"/>
                <w:szCs w:val="18"/>
                <w:color w:val="auto"/>
              </w:rPr>
              <w:t>ɨǉƺɁǼȶȈ˃ǉǁ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ǉƃɨȶȈȶǼɰ</w:t>
            </w:r>
          </w:p>
        </w:tc>
        <w:tc>
          <w:tcPr>
            <w:tcW w:w="3000" w:type="dxa"/>
            <w:vAlign w:val="bottom"/>
            <w:tcBorders>
              <w:bottom w:val="single" w:sz="8" w:color="000041"/>
            </w:tcBorders>
          </w:tcPr>
          <w:p>
            <w:pPr>
              <w:jc w:val="right"/>
              <w:ind w:right="3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їљӝќ</w:t>
            </w:r>
          </w:p>
        </w:tc>
        <w:tc>
          <w:tcPr>
            <w:tcW w:w="82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$ 24.8</w:t>
            </w:r>
          </w:p>
        </w:tc>
        <w:tc>
          <w:tcPr>
            <w:tcW w:w="82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$ 20.4</w:t>
            </w:r>
          </w:p>
        </w:tc>
      </w:tr>
    </w:tbl>
    <w:p>
      <w:pPr>
        <w:spacing w:after="0" w:line="216" w:lineRule="exact"/>
        <w:rPr>
          <w:sz w:val="20"/>
          <w:szCs w:val="20"/>
          <w:color w:val="auto"/>
        </w:rPr>
      </w:pPr>
    </w:p>
    <w:p>
      <w:pPr>
        <w:jc w:val="both"/>
        <w:ind w:right="60"/>
        <w:spacing w:after="0" w:line="278" w:lineRule="auto"/>
        <w:rPr>
          <w:sz w:val="20"/>
          <w:szCs w:val="20"/>
          <w:color w:val="auto"/>
        </w:rPr>
      </w:pPr>
      <w:r>
        <w:rPr>
          <w:rFonts w:ascii="Arial" w:cs="Arial" w:eastAsia="Arial" w:hAnsi="Arial"/>
          <w:sz w:val="18"/>
          <w:szCs w:val="18"/>
          <w:color w:val="auto"/>
        </w:rPr>
        <w:t>Stock Options—Stock options are granted at prices not less than 100% of market value of the underlying stock at the date of grant. Stock options typically vest over a period of three years from the grant date and expire 10 years after the grant date. The Company recorded $40.4, $37.6, and $38.0 of compensation expense relating to outstanding options during 2025, 2024, and 2023, respectively, as a component of corporate general and administrative expenses.</w:t>
      </w:r>
    </w:p>
    <w:p>
      <w:pPr>
        <w:spacing w:after="0" w:line="37"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color w:val="auto"/>
        </w:rPr>
        <w:t>The Company estimates the fair value of its option awards using the Black-Scholes option valuation model. The stock volatility for each grant is measured using the weighted average of historical daily price changes of the Company’s common stock over the most recent period equal to the expected life of the grant. The expected term of options granted is derived from historical data to estimate option exercises and employee forfeitures, and represents the period of time that options granted are expected to be outstanding. The risk-free rate is based on the U.S. Treasury yield curve in effect at the time of grant for the expected life of the award.</w:t>
      </w:r>
    </w:p>
    <w:p>
      <w:pPr>
        <w:sectPr>
          <w:pgSz w:w="12240" w:h="15840" w:orient="portrait"/>
          <w:cols w:equalWidth="0" w:num="1">
            <w:col w:w="10380"/>
          </w:cols>
          <w:pgMar w:left="960" w:top="935" w:right="90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57</w:t>
      </w:r>
    </w:p>
    <w:p>
      <w:pPr>
        <w:sectPr>
          <w:pgSz w:w="12240" w:h="15840" w:orient="portrait"/>
          <w:cols w:equalWidth="0" w:num="1">
            <w:col w:w="10380"/>
          </w:cols>
          <w:pgMar w:left="960" w:top="935" w:right="900" w:bottom="90" w:gutter="0" w:footer="0" w:header="0"/>
          <w:type w:val="continuous"/>
        </w:sectPr>
      </w:pPr>
    </w:p>
    <w:bookmarkStart w:id="59" w:name="page60"/>
    <w:bookmarkEnd w:id="59"/>
    <w:p>
      <w:pPr>
        <w:ind w:right="60"/>
        <w:spacing w:after="0" w:line="31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The weighted-average fair value of options granted in 2025, 2024, and 2023 were calculated using the following weighted average assumptions: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400" w:type="dxa"/>
            <w:vAlign w:val="bottom"/>
            <w:tcBorders>
              <w:bottom w:val="single" w:sz="8" w:color="000041"/>
            </w:tcBorders>
          </w:tcPr>
          <w:p>
            <w:pPr>
              <w:spacing w:after="0"/>
              <w:rPr>
                <w:sz w:val="23"/>
                <w:szCs w:val="23"/>
                <w:color w:val="auto"/>
              </w:rPr>
            </w:pPr>
          </w:p>
        </w:tc>
        <w:tc>
          <w:tcPr>
            <w:tcW w:w="3340" w:type="dxa"/>
            <w:vAlign w:val="bottom"/>
            <w:tcBorders>
              <w:bottom w:val="single" w:sz="8" w:color="000041"/>
            </w:tcBorders>
          </w:tcPr>
          <w:p>
            <w:pPr>
              <w:jc w:val="right"/>
              <w:ind w:right="98"/>
              <w:spacing w:after="0"/>
              <w:rPr>
                <w:sz w:val="20"/>
                <w:szCs w:val="20"/>
                <w:color w:val="auto"/>
              </w:rPr>
            </w:pPr>
            <w:r>
              <w:rPr>
                <w:rFonts w:ascii="Arial" w:cs="Arial" w:eastAsia="Arial" w:hAnsi="Arial"/>
                <w:sz w:val="18"/>
                <w:szCs w:val="18"/>
                <w:color w:val="auto"/>
              </w:rPr>
              <w:t>2025</w:t>
            </w:r>
          </w:p>
        </w:tc>
        <w:tc>
          <w:tcPr>
            <w:tcW w:w="800" w:type="dxa"/>
            <w:vAlign w:val="bottom"/>
            <w:tcBorders>
              <w:bottom w:val="single" w:sz="8" w:color="000041"/>
            </w:tcBorders>
          </w:tcPr>
          <w:p>
            <w:pPr>
              <w:jc w:val="right"/>
              <w:ind w:right="78"/>
              <w:spacing w:after="0"/>
              <w:rPr>
                <w:sz w:val="20"/>
                <w:szCs w:val="20"/>
                <w:color w:val="auto"/>
              </w:rPr>
            </w:pPr>
            <w:r>
              <w:rPr>
                <w:rFonts w:ascii="Arial" w:cs="Arial" w:eastAsia="Arial" w:hAnsi="Arial"/>
                <w:sz w:val="18"/>
                <w:szCs w:val="18"/>
                <w:color w:val="auto"/>
              </w:rPr>
              <w:t>2024</w:t>
            </w:r>
          </w:p>
        </w:tc>
        <w:tc>
          <w:tcPr>
            <w:tcW w:w="800" w:type="dxa"/>
            <w:vAlign w:val="bottom"/>
            <w:tcBorders>
              <w:bottom w:val="single" w:sz="8" w:color="000041"/>
            </w:tcBorders>
          </w:tcPr>
          <w:p>
            <w:pPr>
              <w:jc w:val="right"/>
              <w:ind w:right="58"/>
              <w:spacing w:after="0"/>
              <w:rPr>
                <w:sz w:val="20"/>
                <w:szCs w:val="20"/>
                <w:color w:val="auto"/>
              </w:rPr>
            </w:pPr>
            <w:r>
              <w:rPr>
                <w:rFonts w:ascii="Arial" w:cs="Arial" w:eastAsia="Arial" w:hAnsi="Arial"/>
                <w:sz w:val="18"/>
                <w:szCs w:val="18"/>
                <w:color w:val="auto"/>
              </w:rPr>
              <w:t>2023</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Weighted-average fair value ($)</w:t>
            </w:r>
          </w:p>
        </w:tc>
        <w:tc>
          <w:tcPr>
            <w:tcW w:w="3340" w:type="dxa"/>
            <w:vAlign w:val="bottom"/>
          </w:tcPr>
          <w:p>
            <w:pPr>
              <w:jc w:val="right"/>
              <w:ind w:right="98"/>
              <w:spacing w:after="0"/>
              <w:rPr>
                <w:sz w:val="20"/>
                <w:szCs w:val="20"/>
                <w:color w:val="auto"/>
              </w:rPr>
            </w:pPr>
            <w:r>
              <w:rPr>
                <w:rFonts w:ascii="Arial" w:cs="Arial" w:eastAsia="Arial" w:hAnsi="Arial"/>
                <w:sz w:val="16"/>
                <w:szCs w:val="16"/>
                <w:color w:val="auto"/>
              </w:rPr>
              <w:t>177.50</w:t>
            </w:r>
          </w:p>
        </w:tc>
        <w:tc>
          <w:tcPr>
            <w:tcW w:w="800" w:type="dxa"/>
            <w:vAlign w:val="bottom"/>
          </w:tcPr>
          <w:p>
            <w:pPr>
              <w:jc w:val="right"/>
              <w:ind w:right="98"/>
              <w:spacing w:after="0"/>
              <w:rPr>
                <w:sz w:val="20"/>
                <w:szCs w:val="20"/>
                <w:color w:val="auto"/>
              </w:rPr>
            </w:pPr>
            <w:r>
              <w:rPr>
                <w:rFonts w:ascii="Arial" w:cs="Arial" w:eastAsia="Arial" w:hAnsi="Arial"/>
                <w:sz w:val="16"/>
                <w:szCs w:val="16"/>
                <w:color w:val="auto"/>
              </w:rPr>
              <w:t>173.21</w:t>
            </w: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130.23</w:t>
            </w:r>
          </w:p>
        </w:tc>
      </w:tr>
      <w:tr>
        <w:trPr>
          <w:trHeight w:val="220"/>
        </w:trPr>
        <w:tc>
          <w:tcPr>
            <w:tcW w:w="540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3340" w:type="dxa"/>
            <w:vAlign w:val="bottom"/>
          </w:tcPr>
          <w:p>
            <w:pPr>
              <w:jc w:val="right"/>
              <w:ind w:right="98"/>
              <w:spacing w:after="0"/>
              <w:rPr>
                <w:sz w:val="20"/>
                <w:szCs w:val="20"/>
                <w:color w:val="auto"/>
              </w:rPr>
            </w:pPr>
            <w:r>
              <w:rPr>
                <w:rFonts w:ascii="Arial" w:cs="Arial" w:eastAsia="Arial" w:hAnsi="Arial"/>
                <w:sz w:val="16"/>
                <w:szCs w:val="16"/>
                <w:color w:val="auto"/>
              </w:rPr>
              <w:t>4.07</w:t>
            </w: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4.15</w:t>
            </w: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3.76</w:t>
            </w:r>
          </w:p>
        </w:tc>
      </w:tr>
      <w:tr>
        <w:trPr>
          <w:trHeight w:val="220"/>
        </w:trPr>
        <w:tc>
          <w:tcPr>
            <w:tcW w:w="5400" w:type="dxa"/>
            <w:vAlign w:val="bottom"/>
          </w:tcPr>
          <w:p>
            <w:pPr>
              <w:spacing w:after="0"/>
              <w:rPr>
                <w:sz w:val="20"/>
                <w:szCs w:val="20"/>
                <w:color w:val="auto"/>
              </w:rPr>
            </w:pPr>
            <w:r>
              <w:rPr>
                <w:rFonts w:ascii="Arial" w:cs="Arial" w:eastAsia="Arial" w:hAnsi="Arial"/>
                <w:sz w:val="18"/>
                <w:szCs w:val="18"/>
                <w:color w:val="auto"/>
              </w:rPr>
              <w:t>Expected option life (years)</w:t>
            </w:r>
          </w:p>
        </w:tc>
        <w:tc>
          <w:tcPr>
            <w:tcW w:w="3340" w:type="dxa"/>
            <w:vAlign w:val="bottom"/>
          </w:tcPr>
          <w:p>
            <w:pPr>
              <w:jc w:val="right"/>
              <w:ind w:right="98"/>
              <w:spacing w:after="0"/>
              <w:rPr>
                <w:sz w:val="20"/>
                <w:szCs w:val="20"/>
                <w:color w:val="auto"/>
              </w:rPr>
            </w:pPr>
            <w:r>
              <w:rPr>
                <w:rFonts w:ascii="Arial" w:cs="Arial" w:eastAsia="Arial" w:hAnsi="Arial"/>
                <w:sz w:val="16"/>
                <w:szCs w:val="16"/>
                <w:color w:val="auto"/>
              </w:rPr>
              <w:t>5.75</w:t>
            </w: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5.73</w:t>
            </w: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5.61</w:t>
            </w:r>
          </w:p>
        </w:tc>
      </w:tr>
      <w:tr>
        <w:trPr>
          <w:trHeight w:val="220"/>
        </w:trPr>
        <w:tc>
          <w:tcPr>
            <w:tcW w:w="5400" w:type="dxa"/>
            <w:vAlign w:val="bottom"/>
          </w:tcPr>
          <w:p>
            <w:pPr>
              <w:spacing w:after="0"/>
              <w:rPr>
                <w:sz w:val="20"/>
                <w:szCs w:val="20"/>
                <w:color w:val="auto"/>
              </w:rPr>
            </w:pPr>
            <w:r>
              <w:rPr>
                <w:rFonts w:ascii="Arial" w:cs="Arial" w:eastAsia="Arial" w:hAnsi="Arial"/>
                <w:sz w:val="18"/>
                <w:szCs w:val="18"/>
                <w:color w:val="auto"/>
              </w:rPr>
              <w:t>Expected volatility (%)</w:t>
            </w:r>
          </w:p>
        </w:tc>
        <w:tc>
          <w:tcPr>
            <w:tcW w:w="3340" w:type="dxa"/>
            <w:vAlign w:val="bottom"/>
          </w:tcPr>
          <w:p>
            <w:pPr>
              <w:jc w:val="right"/>
              <w:ind w:right="98"/>
              <w:spacing w:after="0"/>
              <w:rPr>
                <w:sz w:val="20"/>
                <w:szCs w:val="20"/>
                <w:color w:val="auto"/>
              </w:rPr>
            </w:pPr>
            <w:r>
              <w:rPr>
                <w:rFonts w:ascii="Arial" w:cs="Arial" w:eastAsia="Arial" w:hAnsi="Arial"/>
                <w:sz w:val="16"/>
                <w:szCs w:val="16"/>
                <w:color w:val="auto"/>
              </w:rPr>
              <w:t>25.12</w:t>
            </w:r>
          </w:p>
        </w:tc>
        <w:tc>
          <w:tcPr>
            <w:tcW w:w="800" w:type="dxa"/>
            <w:vAlign w:val="bottom"/>
          </w:tcPr>
          <w:p>
            <w:pPr>
              <w:jc w:val="right"/>
              <w:ind w:right="78"/>
              <w:spacing w:after="0"/>
              <w:rPr>
                <w:sz w:val="20"/>
                <w:szCs w:val="20"/>
                <w:color w:val="auto"/>
              </w:rPr>
            </w:pPr>
            <w:r>
              <w:rPr>
                <w:rFonts w:ascii="Arial" w:cs="Arial" w:eastAsia="Arial" w:hAnsi="Arial"/>
                <w:sz w:val="16"/>
                <w:szCs w:val="16"/>
                <w:color w:val="auto"/>
              </w:rPr>
              <w:t>25.54</w:t>
            </w: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26.05</w:t>
            </w:r>
          </w:p>
        </w:tc>
      </w:tr>
      <w:tr>
        <w:trPr>
          <w:trHeight w:val="268"/>
        </w:trPr>
        <w:tc>
          <w:tcPr>
            <w:tcW w:w="54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Expected dividend yield (%)</w:t>
            </w:r>
          </w:p>
        </w:tc>
        <w:tc>
          <w:tcPr>
            <w:tcW w:w="3340" w:type="dxa"/>
            <w:vAlign w:val="bottom"/>
            <w:tcBorders>
              <w:bottom w:val="single" w:sz="8" w:color="000041"/>
            </w:tcBorders>
          </w:tcPr>
          <w:p>
            <w:pPr>
              <w:jc w:val="right"/>
              <w:ind w:right="98"/>
              <w:spacing w:after="0"/>
              <w:rPr>
                <w:sz w:val="20"/>
                <w:szCs w:val="20"/>
                <w:color w:val="auto"/>
              </w:rPr>
            </w:pPr>
            <w:r>
              <w:rPr>
                <w:rFonts w:ascii="Arial" w:cs="Arial" w:eastAsia="Arial" w:hAnsi="Arial"/>
                <w:sz w:val="16"/>
                <w:szCs w:val="16"/>
                <w:color w:val="auto"/>
              </w:rPr>
              <w:t>0.54</w:t>
            </w:r>
          </w:p>
        </w:tc>
        <w:tc>
          <w:tcPr>
            <w:tcW w:w="800" w:type="dxa"/>
            <w:vAlign w:val="bottom"/>
            <w:tcBorders>
              <w:bottom w:val="single" w:sz="8" w:color="000041"/>
            </w:tcBorders>
          </w:tcPr>
          <w:p>
            <w:pPr>
              <w:jc w:val="right"/>
              <w:ind w:right="78"/>
              <w:spacing w:after="0"/>
              <w:rPr>
                <w:sz w:val="20"/>
                <w:szCs w:val="20"/>
                <w:color w:val="auto"/>
              </w:rPr>
            </w:pPr>
            <w:r>
              <w:rPr>
                <w:rFonts w:ascii="Arial" w:cs="Arial" w:eastAsia="Arial" w:hAnsi="Arial"/>
                <w:sz w:val="16"/>
                <w:szCs w:val="16"/>
                <w:color w:val="auto"/>
              </w:rPr>
              <w:t>0.51</w:t>
            </w:r>
          </w:p>
        </w:tc>
        <w:tc>
          <w:tcPr>
            <w:tcW w:w="800" w:type="dxa"/>
            <w:vAlign w:val="bottom"/>
            <w:tcBorders>
              <w:bottom w:val="single" w:sz="8" w:color="000041"/>
            </w:tcBorders>
          </w:tcPr>
          <w:p>
            <w:pPr>
              <w:jc w:val="right"/>
              <w:ind w:right="58"/>
              <w:spacing w:after="0"/>
              <w:rPr>
                <w:sz w:val="20"/>
                <w:szCs w:val="20"/>
                <w:color w:val="auto"/>
              </w:rPr>
            </w:pPr>
            <w:r>
              <w:rPr>
                <w:rFonts w:ascii="Arial" w:cs="Arial" w:eastAsia="Arial" w:hAnsi="Arial"/>
                <w:sz w:val="16"/>
                <w:szCs w:val="16"/>
                <w:color w:val="auto"/>
              </w:rPr>
              <w:t>0.63</w:t>
            </w:r>
          </w:p>
        </w:tc>
      </w:tr>
    </w:tbl>
    <w:p>
      <w:pPr>
        <w:spacing w:after="0" w:line="152" w:lineRule="exact"/>
        <w:rPr>
          <w:sz w:val="20"/>
          <w:szCs w:val="20"/>
          <w:color w:val="auto"/>
        </w:rPr>
      </w:pPr>
    </w:p>
    <w:p>
      <w:pPr>
        <w:jc w:val="both"/>
        <w:ind w:right="60"/>
        <w:spacing w:after="0" w:line="241" w:lineRule="exact"/>
        <w:rPr>
          <w:sz w:val="20"/>
          <w:szCs w:val="20"/>
          <w:color w:val="auto"/>
        </w:rPr>
      </w:pPr>
      <w:r>
        <w:rPr>
          <w:rFonts w:ascii="Arial" w:cs="Arial" w:eastAsia="Arial" w:hAnsi="Arial"/>
          <w:sz w:val="18"/>
          <w:szCs w:val="18"/>
          <w:color w:val="auto"/>
        </w:rPr>
        <w:t xml:space="preserve">The following table summarizes stock option activities, with respect to the Company’s share-based compensation </w:t>
      </w:r>
      <w:r>
        <w:rPr>
          <w:rFonts w:ascii="Arial" w:cs="Arial" w:eastAsia="Arial" w:hAnsi="Arial"/>
          <w:sz w:val="18"/>
          <w:szCs w:val="18"/>
          <w:color w:val="auto"/>
        </w:rPr>
        <w:t>ɥȢƃȶɰ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їѕїљӖ</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Weighted-</w:t>
            </w:r>
          </w:p>
        </w:tc>
        <w:tc>
          <w:tcPr>
            <w:tcW w:w="1260" w:type="dxa"/>
            <w:vAlign w:val="bottom"/>
          </w:tcPr>
          <w:p>
            <w:pPr>
              <w:spacing w:after="0"/>
              <w:rPr>
                <w:sz w:val="19"/>
                <w:szCs w:val="19"/>
                <w:color w:val="auto"/>
              </w:rPr>
            </w:pPr>
          </w:p>
        </w:tc>
      </w:tr>
      <w:tr>
        <w:trPr>
          <w:trHeight w:val="220"/>
        </w:trPr>
        <w:tc>
          <w:tcPr>
            <w:tcW w:w="3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average</w:t>
            </w:r>
          </w:p>
        </w:tc>
        <w:tc>
          <w:tcPr>
            <w:tcW w:w="1260" w:type="dxa"/>
            <w:vAlign w:val="bottom"/>
          </w:tcPr>
          <w:p>
            <w:pPr>
              <w:spacing w:after="0"/>
              <w:rPr>
                <w:sz w:val="19"/>
                <w:szCs w:val="19"/>
                <w:color w:val="auto"/>
              </w:rPr>
            </w:pPr>
          </w:p>
        </w:tc>
      </w:tr>
      <w:tr>
        <w:trPr>
          <w:trHeight w:val="220"/>
        </w:trPr>
        <w:tc>
          <w:tcPr>
            <w:tcW w:w="3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Weighted-</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remaining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Aggregate</w:t>
            </w:r>
          </w:p>
        </w:tc>
      </w:tr>
      <w:tr>
        <w:trPr>
          <w:trHeight w:val="220"/>
        </w:trPr>
        <w:tc>
          <w:tcPr>
            <w:tcW w:w="3960" w:type="dxa"/>
            <w:vAlign w:val="bottom"/>
          </w:tcPr>
          <w:p>
            <w:pPr>
              <w:spacing w:after="0"/>
              <w:rPr>
                <w:sz w:val="19"/>
                <w:szCs w:val="19"/>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Number of</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average</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contractual</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intrinsic</w:t>
            </w:r>
          </w:p>
        </w:tc>
      </w:tr>
      <w:tr>
        <w:trPr>
          <w:trHeight w:val="268"/>
        </w:trPr>
        <w:tc>
          <w:tcPr>
            <w:tcW w:w="3960" w:type="dxa"/>
            <w:vAlign w:val="bottom"/>
            <w:tcBorders>
              <w:bottom w:val="single" w:sz="8" w:color="000041"/>
            </w:tcBorders>
          </w:tcPr>
          <w:p>
            <w:pPr>
              <w:spacing w:after="0"/>
              <w:rPr>
                <w:sz w:val="23"/>
                <w:szCs w:val="23"/>
                <w:color w:val="auto"/>
              </w:rPr>
            </w:pPr>
          </w:p>
        </w:tc>
        <w:tc>
          <w:tcPr>
            <w:tcW w:w="20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options</w:t>
            </w:r>
          </w:p>
        </w:tc>
        <w:tc>
          <w:tcPr>
            <w:tcW w:w="158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exercise price</w:t>
            </w:r>
          </w:p>
        </w:tc>
        <w:tc>
          <w:tcPr>
            <w:tcW w:w="14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term (years)</w:t>
            </w:r>
          </w:p>
        </w:tc>
        <w:tc>
          <w:tcPr>
            <w:tcW w:w="126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value</w:t>
            </w: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Outstanding at December 31, 2023</w:t>
            </w: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2.688</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јљѕӝѝў</w:t>
            </w: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0"/>
        </w:trPr>
        <w:tc>
          <w:tcPr>
            <w:tcW w:w="3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0.286</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$ 553.79</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39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(0.422)</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їўѝӝѕљ</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8"/>
        </w:trPr>
        <w:tc>
          <w:tcPr>
            <w:tcW w:w="39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Canceled</w:t>
            </w:r>
          </w:p>
        </w:tc>
        <w:tc>
          <w:tcPr>
            <w:tcW w:w="206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(0.072)</w:t>
            </w:r>
          </w:p>
        </w:tc>
        <w:tc>
          <w:tcPr>
            <w:tcW w:w="158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$ 468.72</w:t>
            </w:r>
          </w:p>
        </w:tc>
        <w:tc>
          <w:tcPr>
            <w:tcW w:w="1460" w:type="dxa"/>
            <w:vAlign w:val="bottom"/>
            <w:tcBorders>
              <w:bottom w:val="single" w:sz="8" w:color="000041"/>
            </w:tcBorders>
          </w:tcPr>
          <w:p>
            <w:pPr>
              <w:spacing w:after="0"/>
              <w:rPr>
                <w:sz w:val="23"/>
                <w:szCs w:val="23"/>
                <w:color w:val="auto"/>
              </w:rPr>
            </w:pPr>
          </w:p>
        </w:tc>
        <w:tc>
          <w:tcPr>
            <w:tcW w:w="1260" w:type="dxa"/>
            <w:vAlign w:val="bottom"/>
            <w:tcBorders>
              <w:bottom w:val="single" w:sz="8" w:color="000041"/>
            </w:tcBorders>
          </w:tcPr>
          <w:p>
            <w:pPr>
              <w:spacing w:after="0"/>
              <w:rPr>
                <w:sz w:val="23"/>
                <w:szCs w:val="23"/>
                <w:color w:val="auto"/>
              </w:rPr>
            </w:pPr>
          </w:p>
        </w:tc>
      </w:tr>
      <w:tr>
        <w:trPr>
          <w:trHeight w:val="286"/>
        </w:trPr>
        <w:tc>
          <w:tcPr>
            <w:tcW w:w="39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Outstanding at December 31, 2024</w:t>
            </w:r>
          </w:p>
        </w:tc>
        <w:tc>
          <w:tcPr>
            <w:tcW w:w="20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2.480</w:t>
            </w:r>
          </w:p>
        </w:tc>
        <w:tc>
          <w:tcPr>
            <w:tcW w:w="158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ԤԞԞ</w:t>
            </w:r>
            <w:r>
              <w:rPr>
                <w:rFonts w:ascii="Arial" w:cs="Arial" w:eastAsia="Arial" w:hAnsi="Arial"/>
                <w:sz w:val="18"/>
                <w:szCs w:val="18"/>
                <w:color w:val="auto"/>
              </w:rPr>
              <w:t>јћѝӝњќ</w:t>
            </w:r>
          </w:p>
        </w:tc>
        <w:tc>
          <w:tcPr>
            <w:tcW w:w="14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5.37</w:t>
            </w:r>
          </w:p>
        </w:tc>
        <w:tc>
          <w:tcPr>
            <w:tcW w:w="126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$384.4</w:t>
            </w:r>
          </w:p>
        </w:tc>
      </w:tr>
      <w:tr>
        <w:trPr>
          <w:trHeight w:val="241"/>
        </w:trPr>
        <w:tc>
          <w:tcPr>
            <w:tcW w:w="3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0.306</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ԤԞԞ</w:t>
            </w:r>
            <w:r>
              <w:rPr>
                <w:rFonts w:ascii="Arial" w:cs="Arial" w:eastAsia="Arial" w:hAnsi="Arial"/>
                <w:sz w:val="18"/>
                <w:szCs w:val="18"/>
                <w:color w:val="auto"/>
              </w:rPr>
              <w:t>њќѝӝјѕ</w:t>
            </w: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0"/>
        </w:trPr>
        <w:tc>
          <w:tcPr>
            <w:tcW w:w="39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(0.370)</w:t>
            </w:r>
          </w:p>
        </w:tc>
        <w:tc>
          <w:tcPr>
            <w:tcW w:w="1580" w:type="dxa"/>
            <w:vAlign w:val="bottom"/>
          </w:tcPr>
          <w:p>
            <w:pPr>
              <w:jc w:val="right"/>
              <w:ind w:right="11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јііӝѕї</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8"/>
        </w:trPr>
        <w:tc>
          <w:tcPr>
            <w:tcW w:w="39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Canceled</w:t>
            </w:r>
          </w:p>
        </w:tc>
        <w:tc>
          <w:tcPr>
            <w:tcW w:w="206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(0.067)</w:t>
            </w:r>
          </w:p>
        </w:tc>
        <w:tc>
          <w:tcPr>
            <w:tcW w:w="158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њїјӝћѕ</w:t>
            </w:r>
          </w:p>
        </w:tc>
        <w:tc>
          <w:tcPr>
            <w:tcW w:w="1460" w:type="dxa"/>
            <w:vAlign w:val="bottom"/>
            <w:tcBorders>
              <w:bottom w:val="single" w:sz="8" w:color="000041"/>
            </w:tcBorders>
          </w:tcPr>
          <w:p>
            <w:pPr>
              <w:spacing w:after="0"/>
              <w:rPr>
                <w:sz w:val="23"/>
                <w:szCs w:val="23"/>
                <w:color w:val="auto"/>
              </w:rPr>
            </w:pPr>
          </w:p>
        </w:tc>
        <w:tc>
          <w:tcPr>
            <w:tcW w:w="1260" w:type="dxa"/>
            <w:vAlign w:val="bottom"/>
            <w:tcBorders>
              <w:bottom w:val="single" w:sz="8" w:color="000041"/>
            </w:tcBorders>
          </w:tcPr>
          <w:p>
            <w:pPr>
              <w:spacing w:after="0"/>
              <w:rPr>
                <w:sz w:val="23"/>
                <w:szCs w:val="23"/>
                <w:color w:val="auto"/>
              </w:rPr>
            </w:pPr>
          </w:p>
        </w:tc>
      </w:tr>
      <w:tr>
        <w:trPr>
          <w:trHeight w:val="286"/>
        </w:trPr>
        <w:tc>
          <w:tcPr>
            <w:tcW w:w="39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Outstanding at December 31, 2025</w:t>
            </w:r>
          </w:p>
        </w:tc>
        <w:tc>
          <w:tcPr>
            <w:tcW w:w="20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2.349</w:t>
            </w:r>
          </w:p>
        </w:tc>
        <w:tc>
          <w:tcPr>
            <w:tcW w:w="158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$400.46</w:t>
            </w:r>
          </w:p>
        </w:tc>
        <w:tc>
          <w:tcPr>
            <w:tcW w:w="14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5.23</w:t>
            </w:r>
          </w:p>
        </w:tc>
        <w:tc>
          <w:tcPr>
            <w:tcW w:w="126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$ 172.4</w:t>
            </w:r>
          </w:p>
        </w:tc>
      </w:tr>
      <w:tr>
        <w:trPr>
          <w:trHeight w:val="290"/>
        </w:trPr>
        <w:tc>
          <w:tcPr>
            <w:tcW w:w="39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Exercisable at December 31, 2025</w:t>
            </w:r>
          </w:p>
        </w:tc>
        <w:tc>
          <w:tcPr>
            <w:tcW w:w="20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1.646</w:t>
            </w:r>
          </w:p>
        </w:tc>
        <w:tc>
          <w:tcPr>
            <w:tcW w:w="1580" w:type="dxa"/>
            <w:vAlign w:val="bottom"/>
            <w:tcBorders>
              <w:bottom w:val="single" w:sz="8" w:color="000041"/>
            </w:tcBorders>
          </w:tcPr>
          <w:p>
            <w:pPr>
              <w:jc w:val="right"/>
              <w:ind w:right="11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јљљӝіљ</w:t>
            </w:r>
          </w:p>
        </w:tc>
        <w:tc>
          <w:tcPr>
            <w:tcW w:w="14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3.90</w:t>
            </w:r>
          </w:p>
        </w:tc>
        <w:tc>
          <w:tcPr>
            <w:tcW w:w="126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іћўӝњ</w:t>
            </w:r>
          </w:p>
        </w:tc>
      </w:tr>
    </w:tbl>
    <w:p>
      <w:pPr>
        <w:spacing w:after="0" w:line="151" w:lineRule="exact"/>
        <w:rPr>
          <w:sz w:val="20"/>
          <w:szCs w:val="20"/>
          <w:color w:val="auto"/>
        </w:rPr>
      </w:pPr>
    </w:p>
    <w:p>
      <w:pPr>
        <w:jc w:val="both"/>
        <w:spacing w:after="0" w:line="233"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ɽȃǉɨǉ</w:t>
      </w:r>
      <w:r>
        <w:rPr>
          <w:rFonts w:ascii="PMingLiU" w:cs="PMingLiU" w:eastAsia="PMingLiU" w:hAnsi="PMingLiU"/>
          <w:sz w:val="18"/>
          <w:szCs w:val="18"/>
          <w:color w:val="auto"/>
        </w:rPr>
        <w:t/>
      </w:r>
      <w:r>
        <w:rPr>
          <w:rFonts w:ascii="Arial" w:cs="Arial" w:eastAsia="Arial" w:hAnsi="Arial"/>
          <w:sz w:val="18"/>
          <w:szCs w:val="18"/>
          <w:color w:val="auto"/>
        </w:rPr>
        <w:t xml:space="preserve"> ʥƃɰ</w:t>
      </w:r>
      <w:r>
        <w:rPr>
          <w:rFonts w:ascii="PMingLiU" w:cs="PMingLiU" w:eastAsia="PMingLiU" w:hAnsi="PMingLiU"/>
          <w:sz w:val="18"/>
          <w:szCs w:val="18"/>
          <w:color w:val="auto"/>
        </w:rPr>
        <w:t/>
      </w:r>
      <w:r>
        <w:rPr>
          <w:rFonts w:ascii="Arial" w:cs="Arial" w:eastAsia="Arial" w:hAnsi="Arial"/>
          <w:sz w:val="18"/>
          <w:szCs w:val="18"/>
          <w:color w:val="auto"/>
        </w:rPr>
        <w:t xml:space="preserve"> Ԥ</w:t>
      </w:r>
      <w:r>
        <w:rPr>
          <w:rFonts w:ascii="Arial" w:cs="Arial" w:eastAsia="Arial" w:hAnsi="Arial"/>
          <w:sz w:val="18"/>
          <w:szCs w:val="18"/>
          <w:color w:val="auto"/>
        </w:rPr>
        <w:t>њўӝі</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ɽɁɽƃȢ</w:t>
      </w:r>
      <w:r>
        <w:rPr>
          <w:rFonts w:ascii="PMingLiU" w:cs="PMingLiU" w:eastAsia="PMingLiU" w:hAnsi="PMingLiU"/>
          <w:sz w:val="18"/>
          <w:szCs w:val="18"/>
          <w:color w:val="auto"/>
        </w:rPr>
        <w:t/>
      </w:r>
      <w:r>
        <w:rPr>
          <w:rFonts w:ascii="Arial" w:cs="Arial" w:eastAsia="Arial" w:hAnsi="Arial"/>
          <w:sz w:val="18"/>
          <w:szCs w:val="18"/>
          <w:color w:val="auto"/>
        </w:rPr>
        <w:t xml:space="preserve"> ʍȶɨǉƺɁǼȶȈ˃ǉǁ</w:t>
      </w:r>
      <w:r>
        <w:rPr>
          <w:rFonts w:ascii="PMingLiU" w:cs="PMingLiU" w:eastAsia="PMingLiU" w:hAnsi="PMingLiU"/>
          <w:sz w:val="18"/>
          <w:szCs w:val="18"/>
          <w:color w:val="auto"/>
        </w:rPr>
        <w:t/>
      </w:r>
      <w:r>
        <w:rPr>
          <w:rFonts w:ascii="Arial" w:cs="Arial" w:eastAsia="Arial" w:hAnsi="Arial"/>
          <w:sz w:val="18"/>
          <w:szCs w:val="18"/>
          <w:color w:val="auto"/>
        </w:rPr>
        <w:t xml:space="preserve"> ƺɁȴɥǉȶɰƃɽȈɁȶ</w:t>
      </w:r>
      <w:r>
        <w:rPr>
          <w:rFonts w:ascii="PMingLiU" w:cs="PMingLiU" w:eastAsia="PMingLiU" w:hAnsi="PMingLiU"/>
          <w:sz w:val="18"/>
          <w:szCs w:val="18"/>
          <w:color w:val="auto"/>
        </w:rPr>
        <w:t/>
      </w:r>
      <w:r>
        <w:rPr>
          <w:rFonts w:ascii="Arial" w:cs="Arial" w:eastAsia="Arial" w:hAnsi="Arial"/>
          <w:sz w:val="18"/>
          <w:szCs w:val="18"/>
          <w:color w:val="auto"/>
        </w:rPr>
        <w:t xml:space="preserve"> ǉʯɥǉȶɰǉ</w:t>
      </w:r>
      <w:r>
        <w:rPr>
          <w:rFonts w:ascii="PMingLiU" w:cs="PMingLiU" w:eastAsia="PMingLiU" w:hAnsi="PMingLiU"/>
          <w:sz w:val="18"/>
          <w:szCs w:val="18"/>
          <w:color w:val="auto"/>
        </w:rPr>
        <w:t/>
      </w:r>
      <w:r>
        <w:rPr>
          <w:rFonts w:ascii="Arial" w:cs="Arial" w:eastAsia="Arial" w:hAnsi="Arial"/>
          <w:sz w:val="18"/>
          <w:szCs w:val="18"/>
          <w:color w:val="auto"/>
        </w:rPr>
        <w:t xml:space="preserve"> ɨǉȢƃɽǉǁ</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ȶɁȶʤǉɰɽǉǁ</w:t>
      </w:r>
      <w:r>
        <w:rPr>
          <w:rFonts w:ascii="PMingLiU" w:cs="PMingLiU" w:eastAsia="PMingLiU" w:hAnsi="PMingLiU"/>
          <w:sz w:val="18"/>
          <w:szCs w:val="18"/>
          <w:color w:val="auto"/>
        </w:rPr>
        <w:t/>
      </w:r>
      <w:r>
        <w:rPr>
          <w:rFonts w:ascii="Arial" w:cs="Arial" w:eastAsia="Arial" w:hAnsi="Arial"/>
          <w:sz w:val="18"/>
          <w:szCs w:val="18"/>
          <w:color w:val="auto"/>
        </w:rPr>
        <w:t xml:space="preserve"> ɁɥɽȈɁȶɰ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granted under the Company’s stock-based compensation plans. That cost is expected to be recognized over a </w:t>
      </w:r>
      <w:r>
        <w:rPr>
          <w:rFonts w:ascii="Arial" w:cs="Arial" w:eastAsia="Arial" w:hAnsi="Arial"/>
          <w:sz w:val="18"/>
          <w:szCs w:val="18"/>
          <w:color w:val="auto"/>
        </w:rPr>
        <w:t>ʥǉȈǼȃɽǉǁ</w:t>
      </w:r>
      <w:r>
        <w:rPr>
          <w:rFonts w:ascii="PMingLiU" w:cs="PMingLiU" w:eastAsia="PMingLiU" w:hAnsi="PMingLiU"/>
          <w:sz w:val="18"/>
          <w:szCs w:val="18"/>
          <w:color w:val="auto"/>
        </w:rPr>
        <w:t/>
      </w:r>
      <w:r>
        <w:rPr>
          <w:rFonts w:ascii="Arial" w:cs="Arial" w:eastAsia="Arial" w:hAnsi="Arial"/>
          <w:sz w:val="18"/>
          <w:szCs w:val="18"/>
          <w:color w:val="auto"/>
        </w:rPr>
        <w:t>ƃʤǉɨƃǼǉ</w:t>
      </w:r>
      <w:r>
        <w:rPr>
          <w:rFonts w:ascii="PMingLiU" w:cs="PMingLiU" w:eastAsia="PMingLiU" w:hAnsi="PMingLiU"/>
          <w:sz w:val="18"/>
          <w:szCs w:val="18"/>
          <w:color w:val="auto"/>
        </w:rPr>
        <w:t/>
      </w:r>
      <w:r>
        <w:rPr>
          <w:rFonts w:ascii="Arial" w:cs="Arial" w:eastAsia="Arial" w:hAnsi="Arial"/>
          <w:sz w:val="18"/>
          <w:szCs w:val="18"/>
          <w:color w:val="auto"/>
        </w:rPr>
        <w:t>ɥǉɨȈɁǁ</w:t>
      </w:r>
      <w:r>
        <w:rPr>
          <w:rFonts w:ascii="PMingLiU" w:cs="PMingLiU" w:eastAsia="PMingLiU" w:hAnsi="PMingLiU"/>
          <w:sz w:val="18"/>
          <w:szCs w:val="18"/>
          <w:color w:val="auto"/>
        </w:rPr>
        <w:t/>
      </w:r>
      <w:r>
        <w:rPr>
          <w:rFonts w:ascii="Arial" w:cs="Arial" w:eastAsia="Arial" w:hAnsi="Arial"/>
          <w:sz w:val="18"/>
          <w:szCs w:val="18"/>
          <w:color w:val="auto"/>
        </w:rPr>
        <w:t>Ɂǹԝ</w:t>
      </w:r>
      <w:r>
        <w:rPr>
          <w:rFonts w:ascii="Arial" w:cs="Arial" w:eastAsia="Arial" w:hAnsi="Arial"/>
          <w:sz w:val="18"/>
          <w:szCs w:val="18"/>
          <w:color w:val="auto"/>
        </w:rPr>
        <w:t>іӝўќ</w:t>
      </w:r>
      <w:r>
        <w:rPr>
          <w:rFonts w:ascii="PMingLiU" w:cs="PMingLiU" w:eastAsia="PMingLiU" w:hAnsi="PMingLiU"/>
          <w:sz w:val="18"/>
          <w:szCs w:val="18"/>
          <w:color w:val="auto"/>
        </w:rPr>
        <w:t/>
      </w:r>
      <w:r>
        <w:rPr>
          <w:rFonts w:ascii="Arial" w:cs="Arial" w:eastAsia="Arial" w:hAnsi="Arial"/>
          <w:sz w:val="18"/>
          <w:szCs w:val="18"/>
          <w:color w:val="auto"/>
        </w:rPr>
        <w:t xml:space="preserve"> ʰǉƃɨɰ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ɽɁɽƃȢ</w:t>
      </w:r>
      <w:r>
        <w:rPr>
          <w:rFonts w:ascii="PMingLiU" w:cs="PMingLiU" w:eastAsia="PMingLiU" w:hAnsi="PMingLiU"/>
          <w:sz w:val="18"/>
          <w:szCs w:val="18"/>
          <w:color w:val="auto"/>
        </w:rPr>
        <w:t/>
      </w:r>
      <w:r>
        <w:rPr>
          <w:rFonts w:ascii="Arial" w:cs="Arial" w:eastAsia="Arial" w:hAnsi="Arial"/>
          <w:sz w:val="18"/>
          <w:szCs w:val="18"/>
          <w:color w:val="auto"/>
        </w:rPr>
        <w:t>ȈȶɽɨȈȶɰȈƺ</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ɁɥɽȈɁȶɰ</w:t>
      </w:r>
      <w:r>
        <w:rPr>
          <w:rFonts w:ascii="PMingLiU" w:cs="PMingLiU" w:eastAsia="PMingLiU" w:hAnsi="PMingLiU"/>
          <w:sz w:val="18"/>
          <w:szCs w:val="18"/>
          <w:color w:val="auto"/>
        </w:rPr>
        <w:t/>
      </w:r>
      <w:r>
        <w:rPr>
          <w:rFonts w:ascii="Arial" w:cs="Arial" w:eastAsia="Arial" w:hAnsi="Arial"/>
          <w:sz w:val="18"/>
          <w:szCs w:val="18"/>
          <w:color w:val="auto"/>
        </w:rPr>
        <w:t>ǉʯǉɨƺȈɰǉǁ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w:t>
      </w:r>
      <w:r>
        <w:rPr>
          <w:rFonts w:ascii="PMingLiU" w:cs="PMingLiU" w:eastAsia="PMingLiU" w:hAnsi="PMingLiU"/>
          <w:sz w:val="18"/>
          <w:szCs w:val="18"/>
          <w:color w:val="auto"/>
        </w:rPr>
        <w:t/>
      </w:r>
      <w:r>
        <w:rPr>
          <w:rFonts w:ascii="Arial" w:cs="Arial" w:eastAsia="Arial" w:hAnsi="Arial"/>
          <w:sz w:val="18"/>
          <w:szCs w:val="18"/>
          <w:color w:val="auto"/>
        </w:rPr>
        <w:t xml:space="preserve"> ʥƃɰ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ѝћӝњӗ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$108.9, and $133.7, respectively. Cash received from option exercises under all plans in 2025, 2024, and 2023 was $115.0, $125.7, and $146.5, respectively.</w:t>
      </w:r>
    </w:p>
    <w:p>
      <w:pPr>
        <w:spacing w:after="0" w:line="274" w:lineRule="exact"/>
        <w:rPr>
          <w:sz w:val="20"/>
          <w:szCs w:val="20"/>
          <w:color w:val="auto"/>
        </w:rPr>
      </w:pPr>
    </w:p>
    <w:p>
      <w:pPr>
        <w:jc w:val="both"/>
        <w:ind w:right="60"/>
        <w:spacing w:after="0" w:line="270" w:lineRule="auto"/>
        <w:rPr>
          <w:sz w:val="20"/>
          <w:szCs w:val="20"/>
          <w:color w:val="auto"/>
        </w:rPr>
      </w:pPr>
      <w:r>
        <w:rPr>
          <w:rFonts w:ascii="Arial" w:cs="Arial" w:eastAsia="Arial" w:hAnsi="Arial"/>
          <w:sz w:val="18"/>
          <w:szCs w:val="18"/>
          <w:color w:val="auto"/>
        </w:rPr>
        <w:t>Restricted Stock Awards—During 2025 and 2024, the Company granted 0.476 and 0.402 shares, respectively, of restricted stock awards to certain employee and director participants under its compensation plans. These awards were granted at the fair market value of the share on the date of grant. Restricted stock awards granted generally vest over a period of one to five years. The Company recorded $122.7, $105.7, and $83.3 of compensation expense related to outstanding shares of restricted stock awards held by employees and directors during 2025, 2024, and 2023, respectively.</w:t>
      </w:r>
    </w:p>
    <w:p>
      <w:pPr>
        <w:spacing w:after="0" w:line="271"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Restricted stock awards include 0.074 and 0.072 performance-based restricted stock awards granted to certain members of the Roper senior leadership team during 2025 and 2024, respectively, that include the ability to earn up to 200% of the number of restricted stock awards originally granted contingent upon Roper’s performance over a three-year period, which are subject to a market modifier based on the Company’s ranking of total shareholder return relative to the other companies within the Standard &amp; Poor’s 500 Stock Index.</w:t>
      </w:r>
    </w:p>
    <w:p>
      <w:pPr>
        <w:spacing w:after="0" w:line="41"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color w:val="auto"/>
        </w:rPr>
        <w:t>The Company uses a Monte Carlo simulation model to estimate the fair value of its performance-based restricted stock awards which are subject to a market modifier. The expected volatility is measured using daily logarithmic changes in the Company’s historical stock prices over the most recent period equal to the expected term. The expected term is the term remaining from the grant date to the end of the performance period.</w:t>
      </w:r>
    </w:p>
    <w:p>
      <w:pPr>
        <w:spacing w:after="0" w:line="38" w:lineRule="exact"/>
        <w:rPr>
          <w:sz w:val="20"/>
          <w:szCs w:val="20"/>
          <w:color w:val="auto"/>
        </w:rPr>
      </w:pPr>
    </w:p>
    <w:p>
      <w:pPr>
        <w:jc w:val="both"/>
        <w:ind w:right="60"/>
        <w:spacing w:after="0" w:line="319" w:lineRule="auto"/>
        <w:rPr>
          <w:sz w:val="20"/>
          <w:szCs w:val="20"/>
          <w:color w:val="auto"/>
        </w:rPr>
      </w:pPr>
      <w:r>
        <w:rPr>
          <w:rFonts w:ascii="Arial" w:cs="Arial" w:eastAsia="Arial" w:hAnsi="Arial"/>
          <w:sz w:val="18"/>
          <w:szCs w:val="18"/>
          <w:color w:val="auto"/>
        </w:rPr>
        <w:t>The fair values of performance-based restricted stock awards which are subject to a market modifier, granted in 2025 and 2024, were determined using the following weighted average assumptions: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220" w:type="dxa"/>
            <w:vAlign w:val="bottom"/>
            <w:tcBorders>
              <w:bottom w:val="single" w:sz="8" w:color="000041"/>
            </w:tcBorders>
          </w:tcPr>
          <w:p>
            <w:pPr>
              <w:spacing w:after="0"/>
              <w:rPr>
                <w:sz w:val="23"/>
                <w:szCs w:val="23"/>
                <w:color w:val="auto"/>
              </w:rPr>
            </w:pPr>
          </w:p>
        </w:tc>
        <w:tc>
          <w:tcPr>
            <w:tcW w:w="32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2025</w:t>
            </w:r>
          </w:p>
        </w:tc>
        <w:tc>
          <w:tcPr>
            <w:tcW w:w="88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2024</w:t>
            </w:r>
          </w:p>
        </w:tc>
      </w:tr>
      <w:tr>
        <w:trPr>
          <w:trHeight w:val="237"/>
        </w:trPr>
        <w:tc>
          <w:tcPr>
            <w:tcW w:w="6220" w:type="dxa"/>
            <w:vAlign w:val="bottom"/>
          </w:tcPr>
          <w:p>
            <w:pPr>
              <w:spacing w:after="0"/>
              <w:rPr>
                <w:sz w:val="20"/>
                <w:szCs w:val="20"/>
                <w:color w:val="auto"/>
              </w:rPr>
            </w:pPr>
            <w:r>
              <w:rPr>
                <w:rFonts w:ascii="Arial" w:cs="Arial" w:eastAsia="Arial" w:hAnsi="Arial"/>
                <w:sz w:val="18"/>
                <w:szCs w:val="18"/>
                <w:color w:val="auto"/>
              </w:rPr>
              <w:t>Weighted-average grant date fair value ($)</w:t>
            </w:r>
          </w:p>
        </w:tc>
        <w:tc>
          <w:tcPr>
            <w:tcW w:w="3220" w:type="dxa"/>
            <w:vAlign w:val="bottom"/>
          </w:tcPr>
          <w:p>
            <w:pPr>
              <w:jc w:val="right"/>
              <w:ind w:right="30"/>
              <w:spacing w:after="0"/>
              <w:rPr>
                <w:sz w:val="20"/>
                <w:szCs w:val="20"/>
                <w:color w:val="auto"/>
              </w:rPr>
            </w:pPr>
            <w:r>
              <w:rPr>
                <w:rFonts w:ascii="Arial" w:cs="Arial" w:eastAsia="Arial" w:hAnsi="Arial"/>
                <w:sz w:val="18"/>
                <w:szCs w:val="18"/>
                <w:color w:val="auto"/>
              </w:rPr>
              <w:t>663.42</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563.00</w:t>
            </w:r>
          </w:p>
        </w:tc>
      </w:tr>
      <w:tr>
        <w:trPr>
          <w:trHeight w:val="220"/>
        </w:trPr>
        <w:tc>
          <w:tcPr>
            <w:tcW w:w="62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322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4.30</w:t>
            </w:r>
          </w:p>
        </w:tc>
      </w:tr>
      <w:tr>
        <w:trPr>
          <w:trHeight w:val="220"/>
        </w:trPr>
        <w:tc>
          <w:tcPr>
            <w:tcW w:w="6220" w:type="dxa"/>
            <w:vAlign w:val="bottom"/>
          </w:tcPr>
          <w:p>
            <w:pPr>
              <w:spacing w:after="0"/>
              <w:rPr>
                <w:sz w:val="20"/>
                <w:szCs w:val="20"/>
                <w:color w:val="auto"/>
              </w:rPr>
            </w:pPr>
            <w:r>
              <w:rPr>
                <w:rFonts w:ascii="Arial" w:cs="Arial" w:eastAsia="Arial" w:hAnsi="Arial"/>
                <w:sz w:val="18"/>
                <w:szCs w:val="18"/>
                <w:color w:val="auto"/>
              </w:rPr>
              <w:t>Expected term (years)</w:t>
            </w:r>
          </w:p>
        </w:tc>
        <w:tc>
          <w:tcPr>
            <w:tcW w:w="322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2.80</w:t>
            </w:r>
          </w:p>
        </w:tc>
      </w:tr>
      <w:tr>
        <w:trPr>
          <w:trHeight w:val="220"/>
        </w:trPr>
        <w:tc>
          <w:tcPr>
            <w:tcW w:w="6220" w:type="dxa"/>
            <w:vAlign w:val="bottom"/>
          </w:tcPr>
          <w:p>
            <w:pPr>
              <w:spacing w:after="0"/>
              <w:rPr>
                <w:sz w:val="20"/>
                <w:szCs w:val="20"/>
                <w:color w:val="auto"/>
              </w:rPr>
            </w:pPr>
            <w:r>
              <w:rPr>
                <w:rFonts w:ascii="Arial" w:cs="Arial" w:eastAsia="Arial" w:hAnsi="Arial"/>
                <w:sz w:val="18"/>
                <w:szCs w:val="18"/>
                <w:color w:val="auto"/>
              </w:rPr>
              <w:t>Expected volatility (%)</w:t>
            </w:r>
          </w:p>
        </w:tc>
        <w:tc>
          <w:tcPr>
            <w:tcW w:w="3220" w:type="dxa"/>
            <w:vAlign w:val="bottom"/>
          </w:tcPr>
          <w:p>
            <w:pPr>
              <w:jc w:val="right"/>
              <w:ind w:right="30"/>
              <w:spacing w:after="0"/>
              <w:rPr>
                <w:sz w:val="20"/>
                <w:szCs w:val="20"/>
                <w:color w:val="auto"/>
              </w:rPr>
            </w:pPr>
            <w:r>
              <w:rPr>
                <w:rFonts w:ascii="Arial" w:cs="Arial" w:eastAsia="Arial" w:hAnsi="Arial"/>
                <w:sz w:val="18"/>
                <w:szCs w:val="18"/>
                <w:color w:val="auto"/>
              </w:rPr>
              <w:t>19.69</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20.12</w:t>
            </w:r>
          </w:p>
        </w:tc>
      </w:tr>
      <w:tr>
        <w:trPr>
          <w:trHeight w:val="268"/>
        </w:trPr>
        <w:tc>
          <w:tcPr>
            <w:tcW w:w="62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Expected dividend yield (%)</w:t>
            </w:r>
          </w:p>
        </w:tc>
        <w:tc>
          <w:tcPr>
            <w:tcW w:w="32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0.56</w:t>
            </w:r>
          </w:p>
        </w:tc>
        <w:tc>
          <w:tcPr>
            <w:tcW w:w="88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0.50</w:t>
            </w:r>
          </w:p>
        </w:tc>
      </w:tr>
    </w:tbl>
    <w:p>
      <w:pPr>
        <w:spacing w:after="0" w:line="200" w:lineRule="exact"/>
        <w:rPr>
          <w:sz w:val="20"/>
          <w:szCs w:val="20"/>
          <w:color w:val="auto"/>
        </w:rPr>
      </w:pPr>
    </w:p>
    <w:p>
      <w:pPr>
        <w:sectPr>
          <w:pgSz w:w="12240" w:h="15840" w:orient="portrait"/>
          <w:cols w:equalWidth="0" w:num="1">
            <w:col w:w="10380"/>
          </w:cols>
          <w:pgMar w:left="960" w:top="935" w:right="900" w:bottom="90" w:gutter="0" w:footer="0" w:header="0"/>
        </w:sectPr>
      </w:pPr>
    </w:p>
    <w:p>
      <w:pPr>
        <w:spacing w:after="0" w:line="151"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58</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35" w:right="900" w:bottom="9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The following table summarizes the Company’s restricted stock award activity during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Weighted-</w:t>
            </w:r>
          </w:p>
        </w:tc>
      </w:tr>
      <w:tr>
        <w:trPr>
          <w:trHeight w:val="220"/>
        </w:trPr>
        <w:tc>
          <w:tcPr>
            <w:tcW w:w="54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average</w:t>
            </w:r>
          </w:p>
        </w:tc>
      </w:tr>
      <w:tr>
        <w:trPr>
          <w:trHeight w:val="220"/>
        </w:trPr>
        <w:tc>
          <w:tcPr>
            <w:tcW w:w="5440" w:type="dxa"/>
            <w:vAlign w:val="bottom"/>
          </w:tcPr>
          <w:p>
            <w:pPr>
              <w:spacing w:after="0"/>
              <w:rPr>
                <w:sz w:val="19"/>
                <w:szCs w:val="19"/>
                <w:color w:val="auto"/>
              </w:rPr>
            </w:pP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Number of</w:t>
            </w:r>
          </w:p>
        </w:tc>
        <w:tc>
          <w:tcPr>
            <w:tcW w:w="1160" w:type="dxa"/>
            <w:vAlign w:val="bottom"/>
          </w:tcPr>
          <w:p>
            <w:pPr>
              <w:jc w:val="right"/>
              <w:spacing w:after="0"/>
              <w:rPr>
                <w:sz w:val="20"/>
                <w:szCs w:val="20"/>
                <w:color w:val="auto"/>
              </w:rPr>
            </w:pPr>
            <w:r>
              <w:rPr>
                <w:rFonts w:ascii="Arial" w:cs="Arial" w:eastAsia="Arial" w:hAnsi="Arial"/>
                <w:sz w:val="18"/>
                <w:szCs w:val="18"/>
                <w:color w:val="auto"/>
              </w:rPr>
              <w:t>grant date</w:t>
            </w:r>
          </w:p>
        </w:tc>
      </w:tr>
      <w:tr>
        <w:trPr>
          <w:trHeight w:val="268"/>
        </w:trPr>
        <w:tc>
          <w:tcPr>
            <w:tcW w:w="5440" w:type="dxa"/>
            <w:vAlign w:val="bottom"/>
            <w:tcBorders>
              <w:bottom w:val="single" w:sz="8" w:color="000041"/>
            </w:tcBorders>
          </w:tcPr>
          <w:p>
            <w:pPr>
              <w:spacing w:after="0"/>
              <w:rPr>
                <w:sz w:val="23"/>
                <w:szCs w:val="23"/>
                <w:color w:val="auto"/>
              </w:rPr>
            </w:pPr>
          </w:p>
        </w:tc>
        <w:tc>
          <w:tcPr>
            <w:tcW w:w="372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shares</w:t>
            </w:r>
          </w:p>
        </w:tc>
        <w:tc>
          <w:tcPr>
            <w:tcW w:w="11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fair value</w:t>
            </w: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Nonvested at December 31, 2023</w:t>
            </w: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0.440</w:t>
            </w:r>
          </w:p>
        </w:tc>
        <w:tc>
          <w:tcPr>
            <w:tcW w:w="1160" w:type="dxa"/>
            <w:vAlign w:val="bottom"/>
          </w:tcPr>
          <w:p>
            <w:pPr>
              <w:jc w:val="right"/>
              <w:spacing w:after="0"/>
              <w:rPr>
                <w:sz w:val="20"/>
                <w:szCs w:val="20"/>
                <w:color w:val="auto"/>
              </w:rPr>
            </w:pPr>
            <w:r>
              <w:rPr>
                <w:rFonts w:ascii="Arial" w:cs="Arial" w:eastAsia="Arial" w:hAnsi="Arial"/>
                <w:sz w:val="18"/>
                <w:szCs w:val="18"/>
                <w:color w:val="auto"/>
              </w:rPr>
              <w:t>ԤԞԞ</w:t>
            </w:r>
            <w:r>
              <w:rPr>
                <w:rFonts w:ascii="Arial" w:cs="Arial" w:eastAsia="Arial" w:hAnsi="Arial"/>
                <w:sz w:val="18"/>
                <w:szCs w:val="18"/>
                <w:color w:val="auto"/>
              </w:rPr>
              <w:t>љјіӝўћ</w:t>
            </w:r>
          </w:p>
        </w:tc>
      </w:tr>
      <w:tr>
        <w:trPr>
          <w:trHeight w:val="220"/>
        </w:trPr>
        <w:tc>
          <w:tcPr>
            <w:tcW w:w="5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0.402</w:t>
            </w:r>
          </w:p>
        </w:tc>
        <w:tc>
          <w:tcPr>
            <w:tcW w:w="1160" w:type="dxa"/>
            <w:vAlign w:val="bottom"/>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њњїӝўљ</w:t>
            </w:r>
          </w:p>
        </w:tc>
      </w:tr>
      <w:tr>
        <w:trPr>
          <w:trHeight w:val="220"/>
        </w:trPr>
        <w:tc>
          <w:tcPr>
            <w:tcW w:w="5440" w:type="dxa"/>
            <w:vAlign w:val="bottom"/>
          </w:tcPr>
          <w:p>
            <w:pPr>
              <w:ind w:left="180"/>
              <w:spacing w:after="0"/>
              <w:rPr>
                <w:sz w:val="20"/>
                <w:szCs w:val="20"/>
                <w:color w:val="auto"/>
              </w:rPr>
            </w:pPr>
            <w:r>
              <w:rPr>
                <w:rFonts w:ascii="Arial" w:cs="Arial" w:eastAsia="Arial" w:hAnsi="Arial"/>
                <w:sz w:val="18"/>
                <w:szCs w:val="18"/>
                <w:color w:val="auto"/>
              </w:rPr>
              <w:t>Vested</w:t>
            </w:r>
          </w:p>
        </w:tc>
        <w:tc>
          <w:tcPr>
            <w:tcW w:w="3720" w:type="dxa"/>
            <w:vAlign w:val="bottom"/>
          </w:tcPr>
          <w:p>
            <w:pPr>
              <w:jc w:val="right"/>
              <w:ind w:right="70"/>
              <w:spacing w:after="0"/>
              <w:rPr>
                <w:sz w:val="20"/>
                <w:szCs w:val="20"/>
                <w:color w:val="auto"/>
              </w:rPr>
            </w:pPr>
            <w:r>
              <w:rPr>
                <w:rFonts w:ascii="Arial" w:cs="Arial" w:eastAsia="Arial" w:hAnsi="Arial"/>
                <w:sz w:val="18"/>
                <w:szCs w:val="18"/>
                <w:color w:val="auto"/>
              </w:rPr>
              <w:t>(0.229)</w:t>
            </w:r>
          </w:p>
        </w:tc>
        <w:tc>
          <w:tcPr>
            <w:tcW w:w="1160" w:type="dxa"/>
            <w:vAlign w:val="bottom"/>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љљњӝѝќ</w:t>
            </w:r>
          </w:p>
        </w:tc>
      </w:tr>
      <w:tr>
        <w:trPr>
          <w:trHeight w:val="268"/>
        </w:trPr>
        <w:tc>
          <w:tcPr>
            <w:tcW w:w="544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Forfeited</w:t>
            </w:r>
          </w:p>
        </w:tc>
        <w:tc>
          <w:tcPr>
            <w:tcW w:w="372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(0.058)</w:t>
            </w:r>
          </w:p>
        </w:tc>
        <w:tc>
          <w:tcPr>
            <w:tcW w:w="11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њїїӝљћ</w:t>
            </w:r>
          </w:p>
        </w:tc>
      </w:tr>
      <w:tr>
        <w:trPr>
          <w:trHeight w:val="286"/>
        </w:trPr>
        <w:tc>
          <w:tcPr>
            <w:tcW w:w="54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Nonvested at December 31, 2024</w:t>
            </w:r>
          </w:p>
        </w:tc>
        <w:tc>
          <w:tcPr>
            <w:tcW w:w="372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0.555</w:t>
            </w:r>
          </w:p>
        </w:tc>
        <w:tc>
          <w:tcPr>
            <w:tcW w:w="11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w w:val="80"/>
              </w:rPr>
              <w:t>ԤԞԞԞԞԞ</w:t>
            </w:r>
            <w:r>
              <w:rPr>
                <w:rFonts w:ascii="Arial" w:cs="Arial" w:eastAsia="Arial" w:hAnsi="Arial"/>
                <w:sz w:val="18"/>
                <w:szCs w:val="18"/>
                <w:color w:val="auto"/>
                <w:w w:val="80"/>
              </w:rPr>
              <w:t>њіњӝќќ</w:t>
            </w:r>
          </w:p>
        </w:tc>
      </w:tr>
      <w:tr>
        <w:trPr>
          <w:trHeight w:val="241"/>
        </w:trPr>
        <w:tc>
          <w:tcPr>
            <w:tcW w:w="5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0.476</w:t>
            </w:r>
          </w:p>
        </w:tc>
        <w:tc>
          <w:tcPr>
            <w:tcW w:w="1160" w:type="dxa"/>
            <w:vAlign w:val="bottom"/>
          </w:tcPr>
          <w:p>
            <w:pPr>
              <w:jc w:val="right"/>
              <w:spacing w:after="0"/>
              <w:rPr>
                <w:sz w:val="20"/>
                <w:szCs w:val="20"/>
                <w:color w:val="auto"/>
              </w:rPr>
            </w:pPr>
            <w:r>
              <w:rPr>
                <w:rFonts w:ascii="Arial" w:cs="Arial" w:eastAsia="Arial" w:hAnsi="Arial"/>
                <w:sz w:val="18"/>
                <w:szCs w:val="18"/>
                <w:color w:val="auto"/>
                <w:w w:val="94"/>
              </w:rPr>
              <w:t>ԤԞԞԞ</w:t>
            </w:r>
            <w:r>
              <w:rPr>
                <w:rFonts w:ascii="Arial" w:cs="Arial" w:eastAsia="Arial" w:hAnsi="Arial"/>
                <w:sz w:val="18"/>
                <w:szCs w:val="18"/>
                <w:color w:val="auto"/>
                <w:w w:val="94"/>
              </w:rPr>
              <w:t>њѝіӝњћ</w:t>
            </w:r>
          </w:p>
        </w:tc>
      </w:tr>
      <w:tr>
        <w:trPr>
          <w:trHeight w:val="220"/>
        </w:trPr>
        <w:tc>
          <w:tcPr>
            <w:tcW w:w="5440" w:type="dxa"/>
            <w:vAlign w:val="bottom"/>
          </w:tcPr>
          <w:p>
            <w:pPr>
              <w:ind w:left="180"/>
              <w:spacing w:after="0"/>
              <w:rPr>
                <w:sz w:val="20"/>
                <w:szCs w:val="20"/>
                <w:color w:val="auto"/>
              </w:rPr>
            </w:pPr>
            <w:r>
              <w:rPr>
                <w:rFonts w:ascii="Arial" w:cs="Arial" w:eastAsia="Arial" w:hAnsi="Arial"/>
                <w:sz w:val="18"/>
                <w:szCs w:val="18"/>
                <w:color w:val="auto"/>
              </w:rPr>
              <w:t>Vested</w:t>
            </w:r>
          </w:p>
        </w:tc>
        <w:tc>
          <w:tcPr>
            <w:tcW w:w="3720" w:type="dxa"/>
            <w:vAlign w:val="bottom"/>
          </w:tcPr>
          <w:p>
            <w:pPr>
              <w:jc w:val="right"/>
              <w:ind w:right="70"/>
              <w:spacing w:after="0"/>
              <w:rPr>
                <w:sz w:val="20"/>
                <w:szCs w:val="20"/>
                <w:color w:val="auto"/>
              </w:rPr>
            </w:pPr>
            <w:r>
              <w:rPr>
                <w:rFonts w:ascii="Arial" w:cs="Arial" w:eastAsia="Arial" w:hAnsi="Arial"/>
                <w:sz w:val="18"/>
                <w:szCs w:val="18"/>
                <w:color w:val="auto"/>
              </w:rPr>
              <w:t>(0.157)</w:t>
            </w:r>
          </w:p>
        </w:tc>
        <w:tc>
          <w:tcPr>
            <w:tcW w:w="1160" w:type="dxa"/>
            <w:vAlign w:val="bottom"/>
          </w:tcPr>
          <w:p>
            <w:pPr>
              <w:jc w:val="right"/>
              <w:spacing w:after="0"/>
              <w:rPr>
                <w:sz w:val="20"/>
                <w:szCs w:val="20"/>
                <w:color w:val="auto"/>
              </w:rPr>
            </w:pPr>
            <w:r>
              <w:rPr>
                <w:rFonts w:ascii="Arial" w:cs="Arial" w:eastAsia="Arial" w:hAnsi="Arial"/>
                <w:sz w:val="18"/>
                <w:szCs w:val="18"/>
                <w:color w:val="auto"/>
              </w:rPr>
              <w:t>$498.46</w:t>
            </w:r>
          </w:p>
        </w:tc>
      </w:tr>
      <w:tr>
        <w:trPr>
          <w:trHeight w:val="268"/>
        </w:trPr>
        <w:tc>
          <w:tcPr>
            <w:tcW w:w="544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Forfeited</w:t>
            </w:r>
          </w:p>
        </w:tc>
        <w:tc>
          <w:tcPr>
            <w:tcW w:w="372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(0.091)</w:t>
            </w:r>
          </w:p>
        </w:tc>
        <w:tc>
          <w:tcPr>
            <w:tcW w:w="11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w w:val="91"/>
              </w:rPr>
              <w:t>ԤԞԞԞ</w:t>
            </w:r>
            <w:r>
              <w:rPr>
                <w:rFonts w:ascii="Arial" w:cs="Arial" w:eastAsia="Arial" w:hAnsi="Arial"/>
                <w:sz w:val="18"/>
                <w:szCs w:val="18"/>
                <w:color w:val="auto"/>
                <w:w w:val="91"/>
              </w:rPr>
              <w:t>њњњӝіѕ</w:t>
            </w:r>
          </w:p>
        </w:tc>
      </w:tr>
      <w:tr>
        <w:trPr>
          <w:trHeight w:val="286"/>
        </w:trPr>
        <w:tc>
          <w:tcPr>
            <w:tcW w:w="54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Nonvested at December 31, 2025</w:t>
            </w:r>
          </w:p>
        </w:tc>
        <w:tc>
          <w:tcPr>
            <w:tcW w:w="372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0.783</w:t>
            </w:r>
          </w:p>
        </w:tc>
        <w:tc>
          <w:tcPr>
            <w:tcW w:w="11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$553.96</w:t>
            </w:r>
          </w:p>
        </w:tc>
      </w:tr>
    </w:tbl>
    <w:p>
      <w:pPr>
        <w:spacing w:after="0" w:line="151" w:lineRule="exact"/>
        <w:rPr>
          <w:sz w:val="20"/>
          <w:szCs w:val="20"/>
          <w:color w:val="auto"/>
        </w:rPr>
      </w:pPr>
    </w:p>
    <w:p>
      <w:pPr>
        <w:jc w:val="both"/>
        <w:spacing w:after="0" w:line="230"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ɽ</w:t>
      </w:r>
      <w:r>
        <w:rPr>
          <w:rFonts w:ascii="PMingLiU" w:cs="PMingLiU" w:eastAsia="PMingLiU" w:hAnsi="PMingLiU"/>
          <w:sz w:val="18"/>
          <w:szCs w:val="18"/>
          <w:color w:val="auto"/>
        </w:rPr>
        <w:t/>
      </w:r>
      <w:r>
        <w:rPr>
          <w:rFonts w:ascii="Arial" w:cs="Arial" w:eastAsia="Arial" w:hAnsi="Arial"/>
          <w:sz w:val="18"/>
          <w:szCs w:val="18"/>
          <w:color w:val="auto"/>
        </w:rPr>
        <w:t xml:space="preserve">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 xml:space="preserve"> ɽȃǉɨǉ</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іњњӝі</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ɽɁɽƃȢ</w:t>
      </w:r>
      <w:r>
        <w:rPr>
          <w:rFonts w:ascii="PMingLiU" w:cs="PMingLiU" w:eastAsia="PMingLiU" w:hAnsi="PMingLiU"/>
          <w:sz w:val="18"/>
          <w:szCs w:val="18"/>
          <w:color w:val="auto"/>
        </w:rPr>
        <w:t/>
      </w:r>
      <w:r>
        <w:rPr>
          <w:rFonts w:ascii="Arial" w:cs="Arial" w:eastAsia="Arial" w:hAnsi="Arial"/>
          <w:sz w:val="18"/>
          <w:szCs w:val="18"/>
          <w:color w:val="auto"/>
        </w:rPr>
        <w:t>ʍȶɨǉƺɁǼȶȈ˃ǉǁ</w:t>
      </w:r>
      <w:r>
        <w:rPr>
          <w:rFonts w:ascii="PMingLiU" w:cs="PMingLiU" w:eastAsia="PMingLiU" w:hAnsi="PMingLiU"/>
          <w:sz w:val="18"/>
          <w:szCs w:val="18"/>
          <w:color w:val="auto"/>
        </w:rPr>
        <w:t/>
      </w:r>
      <w:r>
        <w:rPr>
          <w:rFonts w:ascii="Arial" w:cs="Arial" w:eastAsia="Arial" w:hAnsi="Arial"/>
          <w:sz w:val="18"/>
          <w:szCs w:val="18"/>
          <w:color w:val="auto"/>
        </w:rPr>
        <w:t>ƺɁȴɥǉȶɰƃɽȈɁȶ</w:t>
      </w:r>
      <w:r>
        <w:rPr>
          <w:rFonts w:ascii="PMingLiU" w:cs="PMingLiU" w:eastAsia="PMingLiU" w:hAnsi="PMingLiU"/>
          <w:sz w:val="18"/>
          <w:szCs w:val="18"/>
          <w:color w:val="auto"/>
        </w:rPr>
        <w:t/>
      </w:r>
      <w:r>
        <w:rPr>
          <w:rFonts w:ascii="Arial" w:cs="Arial" w:eastAsia="Arial" w:hAnsi="Arial"/>
          <w:sz w:val="18"/>
          <w:szCs w:val="18"/>
          <w:color w:val="auto"/>
        </w:rPr>
        <w:t>ǉʯɥǉȶɰǉ</w:t>
      </w:r>
      <w:r>
        <w:rPr>
          <w:rFonts w:ascii="PMingLiU" w:cs="PMingLiU" w:eastAsia="PMingLiU" w:hAnsi="PMingLiU"/>
          <w:sz w:val="18"/>
          <w:szCs w:val="18"/>
          <w:color w:val="auto"/>
        </w:rPr>
        <w:t/>
      </w:r>
      <w:r>
        <w:rPr>
          <w:rFonts w:ascii="Arial" w:cs="Arial" w:eastAsia="Arial" w:hAnsi="Arial"/>
          <w:sz w:val="18"/>
          <w:szCs w:val="18"/>
          <w:color w:val="auto"/>
        </w:rPr>
        <w:t>ɨǉȢƃɽǉǁ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ȶɁȶʤǉɰɽǉǁ</w:t>
      </w:r>
      <w:r>
        <w:rPr>
          <w:rFonts w:ascii="PMingLiU" w:cs="PMingLiU" w:eastAsia="PMingLiU" w:hAnsi="PMingLiU"/>
          <w:sz w:val="18"/>
          <w:szCs w:val="18"/>
          <w:color w:val="auto"/>
        </w:rPr>
        <w:t/>
      </w:r>
      <w:r>
        <w:rPr>
          <w:rFonts w:ascii="Arial" w:cs="Arial" w:eastAsia="Arial" w:hAnsi="Arial"/>
          <w:sz w:val="18"/>
          <w:szCs w:val="18"/>
          <w:color w:val="auto"/>
        </w:rPr>
        <w:t>ɨǉɰɽɨȈƺɽǉǁ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stock awards granted to both employees and directors under the Company’s compensation plans. That cost is </w:t>
      </w:r>
      <w:r>
        <w:rPr>
          <w:rFonts w:ascii="Arial" w:cs="Arial" w:eastAsia="Arial" w:hAnsi="Arial"/>
          <w:sz w:val="18"/>
          <w:szCs w:val="18"/>
          <w:color w:val="auto"/>
        </w:rPr>
        <w:t>ǉʯɥǉƺɽǉǁ</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ƹǉ</w:t>
      </w:r>
      <w:r>
        <w:rPr>
          <w:rFonts w:ascii="PMingLiU" w:cs="PMingLiU" w:eastAsia="PMingLiU" w:hAnsi="PMingLiU"/>
          <w:sz w:val="18"/>
          <w:szCs w:val="18"/>
          <w:color w:val="auto"/>
        </w:rPr>
        <w:t/>
      </w:r>
      <w:r>
        <w:rPr>
          <w:rFonts w:ascii="Arial" w:cs="Arial" w:eastAsia="Arial" w:hAnsi="Arial"/>
          <w:sz w:val="18"/>
          <w:szCs w:val="18"/>
          <w:color w:val="auto"/>
        </w:rPr>
        <w:t>ɨǉƺɁǼȶȈ˃ǉǁ</w:t>
      </w:r>
      <w:r>
        <w:rPr>
          <w:rFonts w:ascii="PMingLiU" w:cs="PMingLiU" w:eastAsia="PMingLiU" w:hAnsi="PMingLiU"/>
          <w:sz w:val="18"/>
          <w:szCs w:val="18"/>
          <w:color w:val="auto"/>
        </w:rPr>
        <w:t/>
      </w:r>
      <w:r>
        <w:rPr>
          <w:rFonts w:ascii="Arial" w:cs="Arial" w:eastAsia="Arial" w:hAnsi="Arial"/>
          <w:sz w:val="18"/>
          <w:szCs w:val="18"/>
          <w:color w:val="auto"/>
        </w:rPr>
        <w:t xml:space="preserve"> Ɂʤǉɨ</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ʥǉȈǼȃɽǉǁ</w:t>
      </w:r>
      <w:r>
        <w:rPr>
          <w:rFonts w:ascii="PMingLiU" w:cs="PMingLiU" w:eastAsia="PMingLiU" w:hAnsi="PMingLiU"/>
          <w:sz w:val="18"/>
          <w:szCs w:val="18"/>
          <w:color w:val="auto"/>
        </w:rPr>
        <w:t/>
      </w:r>
      <w:r>
        <w:rPr>
          <w:rFonts w:ascii="Arial" w:cs="Arial" w:eastAsia="Arial" w:hAnsi="Arial"/>
          <w:sz w:val="18"/>
          <w:szCs w:val="18"/>
          <w:color w:val="auto"/>
        </w:rPr>
        <w:t>ƃʤǉɨƃǼǉ</w:t>
      </w:r>
      <w:r>
        <w:rPr>
          <w:rFonts w:ascii="PMingLiU" w:cs="PMingLiU" w:eastAsia="PMingLiU" w:hAnsi="PMingLiU"/>
          <w:sz w:val="18"/>
          <w:szCs w:val="18"/>
          <w:color w:val="auto"/>
        </w:rPr>
        <w:t/>
      </w:r>
      <w:r>
        <w:rPr>
          <w:rFonts w:ascii="Arial" w:cs="Arial" w:eastAsia="Arial" w:hAnsi="Arial"/>
          <w:sz w:val="18"/>
          <w:szCs w:val="18"/>
          <w:color w:val="auto"/>
        </w:rPr>
        <w:t>ɥǉɨȈɁǁ</w:t>
      </w:r>
      <w:r>
        <w:rPr>
          <w:rFonts w:ascii="PMingLiU" w:cs="PMingLiU" w:eastAsia="PMingLiU" w:hAnsi="PMingLiU"/>
          <w:sz w:val="18"/>
          <w:szCs w:val="18"/>
          <w:color w:val="auto"/>
        </w:rPr>
        <w:t/>
      </w:r>
      <w:r>
        <w:rPr>
          <w:rFonts w:ascii="Arial" w:cs="Arial" w:eastAsia="Arial" w:hAnsi="Arial"/>
          <w:sz w:val="18"/>
          <w:szCs w:val="18"/>
          <w:color w:val="auto"/>
        </w:rPr>
        <w:t xml:space="preserve"> Ɂǹԝ</w:t>
      </w:r>
      <w:r>
        <w:rPr>
          <w:rFonts w:ascii="Arial" w:cs="Arial" w:eastAsia="Arial" w:hAnsi="Arial"/>
          <w:sz w:val="18"/>
          <w:szCs w:val="18"/>
          <w:color w:val="auto"/>
        </w:rPr>
        <w:t>іӝѝѝ</w:t>
      </w:r>
      <w:r>
        <w:rPr>
          <w:rFonts w:ascii="PMingLiU" w:cs="PMingLiU" w:eastAsia="PMingLiU" w:hAnsi="PMingLiU"/>
          <w:sz w:val="18"/>
          <w:szCs w:val="18"/>
          <w:color w:val="auto"/>
        </w:rPr>
        <w:t/>
      </w:r>
      <w:r>
        <w:rPr>
          <w:rFonts w:ascii="Arial" w:cs="Arial" w:eastAsia="Arial" w:hAnsi="Arial"/>
          <w:sz w:val="18"/>
          <w:szCs w:val="18"/>
          <w:color w:val="auto"/>
        </w:rPr>
        <w:t xml:space="preserve"> ʰǉƃɨɰ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 xml:space="preserve"> ɽɁɽƃȢ</w:t>
      </w:r>
      <w:r>
        <w:rPr>
          <w:rFonts w:ascii="PMingLiU" w:cs="PMingLiU" w:eastAsia="PMingLiU" w:hAnsi="PMingLiU"/>
          <w:sz w:val="18"/>
          <w:szCs w:val="18"/>
          <w:color w:val="auto"/>
        </w:rPr>
        <w:t/>
      </w:r>
      <w:r>
        <w:rPr>
          <w:rFonts w:ascii="Arial" w:cs="Arial" w:eastAsia="Arial" w:hAnsi="Arial"/>
          <w:sz w:val="18"/>
          <w:szCs w:val="18"/>
          <w:color w:val="auto"/>
        </w:rPr>
        <w:t>Ǽɨƃȶɽ</w:t>
      </w:r>
      <w:r>
        <w:rPr>
          <w:rFonts w:ascii="PMingLiU" w:cs="PMingLiU" w:eastAsia="PMingLiU" w:hAnsi="PMingLiU"/>
          <w:sz w:val="18"/>
          <w:szCs w:val="18"/>
          <w:color w:val="auto"/>
        </w:rPr>
        <w:t/>
      </w:r>
      <w:r>
        <w:rPr>
          <w:rFonts w:ascii="Arial" w:cs="Arial" w:eastAsia="Arial" w:hAnsi="Arial"/>
          <w:sz w:val="18"/>
          <w:szCs w:val="18"/>
          <w:color w:val="auto"/>
        </w:rPr>
        <w:t>ǁƃɽǉ</w:t>
      </w:r>
      <w:r>
        <w:rPr>
          <w:rFonts w:ascii="PMingLiU" w:cs="PMingLiU" w:eastAsia="PMingLiU" w:hAnsi="PMingLiU"/>
          <w:sz w:val="18"/>
          <w:szCs w:val="18"/>
          <w:color w:val="auto"/>
        </w:rPr>
        <w:t/>
      </w:r>
      <w:r>
        <w:rPr>
          <w:rFonts w:ascii="Arial" w:cs="Arial" w:eastAsia="Arial" w:hAnsi="Arial"/>
          <w:sz w:val="18"/>
          <w:szCs w:val="18"/>
          <w:color w:val="auto"/>
        </w:rPr>
        <w:t>ǹƃȈɨ</w:t>
      </w:r>
      <w:r>
        <w:rPr>
          <w:rFonts w:ascii="PMingLiU" w:cs="PMingLiU" w:eastAsia="PMingLiU" w:hAnsi="PMingLiU"/>
          <w:sz w:val="18"/>
          <w:szCs w:val="18"/>
          <w:color w:val="auto"/>
        </w:rPr>
        <w:t/>
      </w:r>
      <w:r>
        <w:rPr>
          <w:rFonts w:ascii="Arial" w:cs="Arial" w:eastAsia="Arial" w:hAnsi="Arial"/>
          <w:sz w:val="18"/>
          <w:szCs w:val="18"/>
          <w:color w:val="auto"/>
        </w:rPr>
        <w:t>ʤƃȢʍǉ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ɨǉɰɽɨȈƺɽǉǁ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stock awards vested during 2025, 2024, and 2023 was $78.0, $102.2, and $82.2, respectively.</w:t>
      </w:r>
    </w:p>
    <w:p>
      <w:pPr>
        <w:spacing w:after="0" w:line="65" w:lineRule="exact"/>
        <w:rPr>
          <w:sz w:val="20"/>
          <w:szCs w:val="20"/>
          <w:color w:val="auto"/>
        </w:rPr>
      </w:pPr>
    </w:p>
    <w:p>
      <w:pPr>
        <w:jc w:val="both"/>
        <w:ind w:right="40"/>
        <w:spacing w:after="0" w:line="290" w:lineRule="auto"/>
        <w:rPr>
          <w:sz w:val="20"/>
          <w:szCs w:val="20"/>
          <w:color w:val="auto"/>
        </w:rPr>
      </w:pPr>
      <w:r>
        <w:rPr>
          <w:rFonts w:ascii="Arial" w:cs="Arial" w:eastAsia="Arial" w:hAnsi="Arial"/>
          <w:sz w:val="18"/>
          <w:szCs w:val="18"/>
          <w:color w:val="auto"/>
        </w:rPr>
        <w:t>Employee Stock Purchase Plan—During 2025, 2024, and 2023, participants of the ESPP purchased 0.049, 0.038, and 0.038 shares, respectively, of Roper’s common stock for total consideration of $22.4, $18.5, and $15.5, respectively. All of these shares were purchased from Roper’s treasury shares.</w:t>
      </w:r>
    </w:p>
    <w:p>
      <w:pPr>
        <w:spacing w:after="0" w:line="147"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ӭіїӮ</w:t>
      </w:r>
      <w:r>
        <w:rPr>
          <w:rFonts w:ascii="PMingLiU" w:cs="PMingLiU" w:eastAsia="PMingLiU" w:hAnsi="PMingLiU"/>
          <w:sz w:val="20"/>
          <w:szCs w:val="20"/>
          <w:color w:val="000041"/>
        </w:rPr>
        <w:t/>
      </w:r>
      <w:r>
        <w:rPr>
          <w:rFonts w:ascii="Arial" w:cs="Arial" w:eastAsia="Arial" w:hAnsi="Arial"/>
          <w:sz w:val="20"/>
          <w:szCs w:val="20"/>
          <w:color w:val="000041"/>
        </w:rPr>
        <w:t>ČěÝ:¶</w:t>
      </w:r>
      <w:r>
        <w:rPr>
          <w:rFonts w:ascii="PMingLiU" w:cs="PMingLiU" w:eastAsia="PMingLiU" w:hAnsi="PMingLiU"/>
          <w:sz w:val="20"/>
          <w:szCs w:val="20"/>
          <w:color w:val="000041"/>
        </w:rPr>
        <w:t></w:t>
      </w:r>
      <w:r>
        <w:rPr>
          <w:rFonts w:ascii="Arial" w:cs="Arial" w:eastAsia="Arial" w:hAnsi="Arial"/>
          <w:sz w:val="20"/>
          <w:szCs w:val="20"/>
          <w:color w:val="000041"/>
        </w:rPr>
        <w:t>Ý¸AKĄČԇ</w:t>
      </w:r>
      <w:r>
        <w:rPr>
          <w:rFonts w:ascii="PMingLiU" w:cs="PMingLiU" w:eastAsia="PMingLiU" w:hAnsi="PMingLiU"/>
          <w:sz w:val="20"/>
          <w:szCs w:val="20"/>
          <w:color w:val="000041"/>
        </w:rPr>
        <w:t/>
      </w:r>
      <w:r>
        <w:rPr>
          <w:rFonts w:ascii="Arial" w:cs="Arial" w:eastAsia="Arial" w:hAnsi="Arial"/>
          <w:sz w:val="20"/>
          <w:szCs w:val="20"/>
          <w:color w:val="000041"/>
        </w:rPr>
        <w:t>KĂĩ</w:t>
      </w:r>
      <w:r>
        <w:rPr>
          <w:rFonts w:ascii="PMingLiU" w:cs="PMingLiU" w:eastAsia="PMingLiU" w:hAnsi="PMingLiU"/>
          <w:sz w:val="20"/>
          <w:szCs w:val="20"/>
          <w:color w:val="000041"/>
        </w:rPr>
        <w:t></w:t>
      </w:r>
      <w:r>
        <w:rPr>
          <w:rFonts w:ascii="Arial" w:cs="Arial" w:eastAsia="Arial" w:hAnsi="Arial"/>
          <w:sz w:val="20"/>
          <w:szCs w:val="20"/>
          <w:color w:val="000041"/>
        </w:rPr>
        <w:t>ěť</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October 2025, the Company’s Board of Directors approved a share repurchase program for the repurchase of up to $3,000.0 of the Company’s common stock. Shares of common stock may be repurchased from time to time through open market purchases or privately negotiated transactions, including under plans complying with Rule 10b5-1 under the Exchange Act, and subject to market conditions, applicable legal requirements, and other relevant factors. The repurchase program does not have a fixed expiration date, does not obligate the Company to acquire any specific number of shares, and may be suspended at any time at the Company’s discretion. The timing, manner, price, and amount of any repurchases will be determined by the Company in its discretion and will depend on a variety of fac-tors, including price, business and market conditions, corporate and regulatory requirements, alternative investment opportunities, acquisition opportunities, and other factors.</w:t>
      </w:r>
    </w:p>
    <w:p>
      <w:pPr>
        <w:spacing w:after="0" w:line="275" w:lineRule="exact"/>
        <w:rPr>
          <w:sz w:val="20"/>
          <w:szCs w:val="20"/>
          <w:color w:val="auto"/>
        </w:rPr>
      </w:pPr>
    </w:p>
    <w:p>
      <w:pPr>
        <w:jc w:val="both"/>
        <w:ind w:right="40"/>
        <w:spacing w:after="0" w:line="235" w:lineRule="exact"/>
        <w:rPr>
          <w:sz w:val="20"/>
          <w:szCs w:val="20"/>
          <w:color w:val="auto"/>
        </w:rPr>
      </w:pPr>
      <w:r>
        <w:rPr>
          <w:rFonts w:ascii="Arial" w:cs="Arial" w:eastAsia="Arial" w:hAnsi="Arial"/>
          <w:sz w:val="18"/>
          <w:szCs w:val="18"/>
          <w:color w:val="auto"/>
        </w:rPr>
        <w:t>AʍɨȈȶǼ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 xml:space="preserve"> :Ɂȴɥƃȶʰ</w:t>
      </w:r>
      <w:r>
        <w:rPr>
          <w:rFonts w:ascii="PMingLiU" w:cs="PMingLiU" w:eastAsia="PMingLiU" w:hAnsi="PMingLiU"/>
          <w:sz w:val="18"/>
          <w:szCs w:val="18"/>
          <w:color w:val="auto"/>
        </w:rPr>
        <w:t/>
      </w:r>
      <w:r>
        <w:rPr>
          <w:rFonts w:ascii="Arial" w:cs="Arial" w:eastAsia="Arial" w:hAnsi="Arial"/>
          <w:sz w:val="18"/>
          <w:szCs w:val="18"/>
          <w:color w:val="auto"/>
        </w:rPr>
        <w:t>ɨǉɥʍɨƺȃƃɰǉǁ</w:t>
      </w:r>
      <w:r>
        <w:rPr>
          <w:rFonts w:ascii="PMingLiU" w:cs="PMingLiU" w:eastAsia="PMingLiU" w:hAnsi="PMingLiU"/>
          <w:sz w:val="18"/>
          <w:szCs w:val="18"/>
          <w:color w:val="auto"/>
        </w:rPr>
        <w:t/>
      </w:r>
      <w:r>
        <w:rPr>
          <w:rFonts w:ascii="Arial" w:cs="Arial" w:eastAsia="Arial" w:hAnsi="Arial"/>
          <w:sz w:val="18"/>
          <w:szCs w:val="18"/>
          <w:color w:val="auto"/>
        </w:rPr>
        <w:t>іӝіїі</w:t>
      </w:r>
      <w:r>
        <w:rPr>
          <w:rFonts w:ascii="PMingLiU" w:cs="PMingLiU" w:eastAsia="PMingLiU" w:hAnsi="PMingLiU"/>
          <w:sz w:val="18"/>
          <w:szCs w:val="18"/>
          <w:color w:val="auto"/>
        </w:rPr>
        <w:t/>
      </w:r>
      <w:r>
        <w:rPr>
          <w:rFonts w:ascii="Arial" w:cs="Arial" w:eastAsia="Arial" w:hAnsi="Arial"/>
          <w:sz w:val="18"/>
          <w:szCs w:val="18"/>
          <w:color w:val="auto"/>
        </w:rPr>
        <w:t>ɰȃƃɨǉɰ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Ȉɽɰ</w:t>
      </w:r>
      <w:r>
        <w:rPr>
          <w:rFonts w:ascii="PMingLiU" w:cs="PMingLiU" w:eastAsia="PMingLiU" w:hAnsi="PMingLiU"/>
          <w:sz w:val="18"/>
          <w:szCs w:val="18"/>
          <w:color w:val="auto"/>
        </w:rPr>
        <w:t/>
      </w:r>
      <w:r>
        <w:rPr>
          <w:rFonts w:ascii="Arial" w:cs="Arial" w:eastAsia="Arial" w:hAnsi="Arial"/>
          <w:sz w:val="18"/>
          <w:szCs w:val="18"/>
          <w:color w:val="auto"/>
        </w:rPr>
        <w:t>ƺɁȴȴɁȶ</w:t>
      </w:r>
      <w:r>
        <w:rPr>
          <w:rFonts w:ascii="PMingLiU" w:cs="PMingLiU" w:eastAsia="PMingLiU" w:hAnsi="PMingLiU"/>
          <w:sz w:val="18"/>
          <w:szCs w:val="18"/>
          <w:color w:val="auto"/>
        </w:rPr>
        <w:t/>
      </w:r>
      <w:r>
        <w:rPr>
          <w:rFonts w:ascii="Arial" w:cs="Arial" w:eastAsia="Arial" w:hAnsi="Arial"/>
          <w:sz w:val="18"/>
          <w:szCs w:val="18"/>
          <w:color w:val="auto"/>
        </w:rPr>
        <w:t>ɰɽɁƺȟ</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ƃȶ</w:t>
      </w:r>
      <w:r>
        <w:rPr>
          <w:rFonts w:ascii="PMingLiU" w:cs="PMingLiU" w:eastAsia="PMingLiU" w:hAnsi="PMingLiU"/>
          <w:sz w:val="18"/>
          <w:szCs w:val="18"/>
          <w:color w:val="auto"/>
        </w:rPr>
        <w:t/>
      </w:r>
      <w:r>
        <w:rPr>
          <w:rFonts w:ascii="Arial" w:cs="Arial" w:eastAsia="Arial" w:hAnsi="Arial"/>
          <w:sz w:val="18"/>
          <w:szCs w:val="18"/>
          <w:color w:val="auto"/>
        </w:rPr>
        <w:t>ƃǼǼɨǉ</w:t>
      </w:r>
      <w:r>
        <w:rPr>
          <w:rFonts w:ascii="Arial" w:cs="Arial" w:eastAsia="Arial" w:hAnsi="Arial"/>
          <w:sz w:val="18"/>
          <w:szCs w:val="18"/>
          <w:color w:val="auto"/>
        </w:rPr>
        <w:t>-gate purchase price of $500.0 and an average price paid per share of $ 445.87, excluding broker commissions and excise tax. All repurchases were made in open market transactions and there are no current plans to retire repur-chased shares. As of December 31, 2025, $2,500.0 of the originally authorized amount under the share repurchase program remained available for future repurchases.</w:t>
      </w:r>
    </w:p>
    <w:p>
      <w:pPr>
        <w:spacing w:after="0" w:line="273"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From January 1, 2026 to February 20, 2026, the Company repurchased 3.723 shares of its common stock in open mar-ket transactions for an aggregate purchase price of $1,313.5 and an average price paid per share of $352.80, excluding broker commissions and excise tax. As of February 20, 2026, $1,186.5 of the originally authorized amount under the share repurchase program remained available for future repurchases.</w:t>
      </w:r>
    </w:p>
    <w:p>
      <w:pPr>
        <w:spacing w:after="0" w:line="161"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ӭіјӮ</w:t>
      </w:r>
      <w:r>
        <w:rPr>
          <w:rFonts w:ascii="PMingLiU" w:cs="PMingLiU" w:eastAsia="PMingLiU" w:hAnsi="PMingLiU"/>
          <w:sz w:val="20"/>
          <w:szCs w:val="20"/>
          <w:color w:val="000041"/>
        </w:rPr>
        <w:t/>
      </w:r>
      <w:r>
        <w:rPr>
          <w:rFonts w:ascii="Arial" w:cs="Arial" w:eastAsia="Arial" w:hAnsi="Arial"/>
          <w:sz w:val="20"/>
          <w:szCs w:val="20"/>
          <w:color w:val="000041"/>
        </w:rPr>
        <w:t>:ÝÇě</w:t>
      </w:r>
      <w:r>
        <w:rPr>
          <w:rFonts w:ascii="PMingLiU" w:cs="PMingLiU" w:eastAsia="PMingLiU" w:hAnsi="PMingLiU"/>
          <w:sz w:val="20"/>
          <w:szCs w:val="20"/>
          <w:color w:val="000041"/>
        </w:rPr>
        <w:t></w:t>
      </w:r>
      <w:r>
        <w:rPr>
          <w:rFonts w:ascii="Arial" w:cs="Arial" w:eastAsia="Arial" w:hAnsi="Arial"/>
          <w:sz w:val="20"/>
          <w:szCs w:val="20"/>
          <w:color w:val="000041"/>
        </w:rPr>
        <w:t>Ç{KÇ:</w:t>
      </w:r>
      <w:r>
        <w:rPr>
          <w:rFonts w:ascii="PMingLiU" w:cs="PMingLiU" w:eastAsia="PMingLiU" w:hAnsi="PMingLiU"/>
          <w:sz w:val="20"/>
          <w:szCs w:val="20"/>
          <w:color w:val="000041"/>
        </w:rPr>
        <w:t></w:t>
      </w:r>
      <w:r>
        <w:rPr>
          <w:rFonts w:ascii="Arial" w:cs="Arial" w:eastAsia="Arial" w:hAnsi="Arial"/>
          <w:sz w:val="20"/>
          <w:szCs w:val="20"/>
          <w:color w:val="000041"/>
        </w:rPr>
        <w:t>KČ</w:t>
      </w:r>
    </w:p>
    <w:p>
      <w:pPr>
        <w:spacing w:after="0" w:line="1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Roper, in the ordinary course of business, is party to various pending or threatened legal actions, including product liability, intellectual property, antitrust,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 January 2025, Roper’s subsidiary, PowerPlan, Inc., settled a legal matter for $24.0 on a pretax basis ($17.7 after taxes).</w:t>
      </w:r>
    </w:p>
    <w:p>
      <w:pPr>
        <w:spacing w:after="0" w:line="123" w:lineRule="exact"/>
        <w:rPr>
          <w:sz w:val="20"/>
          <w:szCs w:val="20"/>
          <w:color w:val="auto"/>
        </w:rPr>
      </w:pPr>
    </w:p>
    <w:p>
      <w:pPr>
        <w:spacing w:after="0" w:line="241"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 xml:space="preserve">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ĄɁɥǉɨ</w:t>
      </w:r>
      <w:r>
        <w:rPr>
          <w:rFonts w:ascii="PMingLiU" w:cs="PMingLiU" w:eastAsia="PMingLiU" w:hAnsi="PMingLiU"/>
          <w:sz w:val="18"/>
          <w:szCs w:val="18"/>
          <w:color w:val="auto"/>
        </w:rPr>
        <w:t/>
      </w:r>
      <w:r>
        <w:rPr>
          <w:rFonts w:ascii="Arial" w:cs="Arial" w:eastAsia="Arial" w:hAnsi="Arial"/>
          <w:sz w:val="18"/>
          <w:szCs w:val="18"/>
          <w:color w:val="auto"/>
        </w:rPr>
        <w:t>ȃƃǁ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љїӝћ</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ɁʍɽɰɽƃȶǁȈȶǼ</w:t>
      </w:r>
      <w:r>
        <w:rPr>
          <w:rFonts w:ascii="PMingLiU" w:cs="PMingLiU" w:eastAsia="PMingLiU" w:hAnsi="PMingLiU"/>
          <w:sz w:val="18"/>
          <w:szCs w:val="18"/>
          <w:color w:val="auto"/>
        </w:rPr>
        <w:t/>
      </w:r>
      <w:r>
        <w:rPr>
          <w:rFonts w:ascii="Arial" w:cs="Arial" w:eastAsia="Arial" w:hAnsi="Arial"/>
          <w:sz w:val="18"/>
          <w:szCs w:val="18"/>
          <w:color w:val="auto"/>
        </w:rPr>
        <w:t>ɰʍɨǉɽʰ</w:t>
      </w:r>
      <w:r>
        <w:rPr>
          <w:rFonts w:ascii="PMingLiU" w:cs="PMingLiU" w:eastAsia="PMingLiU" w:hAnsi="PMingLiU"/>
          <w:sz w:val="18"/>
          <w:szCs w:val="18"/>
          <w:color w:val="auto"/>
        </w:rPr>
        <w:t/>
      </w:r>
      <w:r>
        <w:rPr>
          <w:rFonts w:ascii="Arial" w:cs="Arial" w:eastAsia="Arial" w:hAnsi="Arial"/>
          <w:sz w:val="18"/>
          <w:szCs w:val="18"/>
          <w:color w:val="auto"/>
        </w:rPr>
        <w:t>ƹɁȶǁɰ</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:ǉɨɽƃȈȶ</w:t>
      </w:r>
      <w:r>
        <w:rPr>
          <w:rFonts w:ascii="PMingLiU" w:cs="PMingLiU" w:eastAsia="PMingLiU" w:hAnsi="PMingLiU"/>
          <w:sz w:val="18"/>
          <w:szCs w:val="18"/>
          <w:color w:val="auto"/>
        </w:rPr>
        <w:t/>
      </w:r>
      <w:r>
        <w:rPr>
          <w:rFonts w:ascii="Arial" w:cs="Arial" w:eastAsia="Arial" w:hAnsi="Arial"/>
          <w:sz w:val="18"/>
          <w:szCs w:val="18"/>
          <w:color w:val="auto"/>
        </w:rPr>
        <w:t>ƺɁȶɽɨƃƺɽɰ</w:t>
      </w:r>
      <w:r>
        <w:rPr>
          <w:rFonts w:ascii="PMingLiU" w:cs="PMingLiU" w:eastAsia="PMingLiU" w:hAnsi="PMingLiU"/>
          <w:sz w:val="18"/>
          <w:szCs w:val="18"/>
          <w:color w:val="auto"/>
        </w:rPr>
        <w:t/>
      </w:r>
      <w:r>
        <w:rPr>
          <w:rFonts w:ascii="Arial" w:cs="Arial" w:eastAsia="Arial" w:hAnsi="Arial"/>
          <w:sz w:val="18"/>
          <w:szCs w:val="18"/>
          <w:color w:val="auto"/>
        </w:rPr>
        <w:t>ɨǉɧʍȈɨǉ</w:t>
      </w:r>
      <w:r>
        <w:rPr>
          <w:rFonts w:ascii="PMingLiU" w:cs="PMingLiU" w:eastAsia="PMingLiU" w:hAnsi="PMingLiU"/>
          <w:sz w:val="18"/>
          <w:szCs w:val="18"/>
          <w:color w:val="auto"/>
        </w:rPr>
        <w:t/>
      </w:r>
      <w:r>
        <w:rPr>
          <w:rFonts w:ascii="Arial" w:cs="Arial" w:eastAsia="Arial" w:hAnsi="Arial"/>
          <w:sz w:val="18"/>
          <w:szCs w:val="18"/>
          <w:color w:val="auto"/>
        </w:rPr>
        <w:t>ĄɁɥǉɨ</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ɥɨɁʤȈǁǉ</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surety bond as a guarantee of its performance of contractual obligations.</w:t>
      </w:r>
    </w:p>
    <w:p>
      <w:pPr>
        <w:sectPr>
          <w:pgSz w:w="12240" w:h="15840" w:orient="portrait"/>
          <w:cols w:equalWidth="0" w:num="1">
            <w:col w:w="10360"/>
          </w:cols>
          <w:pgMar w:left="960" w:top="935" w:right="920" w:bottom="90" w:gutter="0" w:footer="0" w:header="0"/>
        </w:sectPr>
      </w:pPr>
    </w:p>
    <w:p>
      <w:pPr>
        <w:spacing w:after="0" w:line="200" w:lineRule="exact"/>
        <w:rPr>
          <w:sz w:val="20"/>
          <w:szCs w:val="20"/>
          <w:color w:val="auto"/>
        </w:rPr>
      </w:pPr>
    </w:p>
    <w:p>
      <w:pPr>
        <w:spacing w:after="0" w:line="388"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59</w:t>
      </w:r>
    </w:p>
    <w:p>
      <w:pPr>
        <w:sectPr>
          <w:pgSz w:w="12240" w:h="15840" w:orient="portrait"/>
          <w:cols w:equalWidth="0" w:num="1">
            <w:col w:w="10360"/>
          </w:cols>
          <w:pgMar w:left="960" w:top="935" w:right="920" w:bottom="90" w:gutter="0" w:footer="0" w:header="0"/>
          <w:type w:val="continuous"/>
        </w:sectPr>
      </w:pPr>
    </w:p>
    <w:bookmarkStart w:id="61" w:name="page62"/>
    <w:bookmarkEnd w:id="61"/>
    <w:p>
      <w:pPr>
        <w:spacing w:after="0" w:line="243" w:lineRule="exact"/>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ӭіљӮ</w:t>
      </w:r>
      <w:r>
        <w:rPr>
          <w:rFonts w:ascii="PMingLiU" w:cs="PMingLiU" w:eastAsia="PMingLiU" w:hAnsi="PMingLiU"/>
          <w:sz w:val="20"/>
          <w:szCs w:val="20"/>
          <w:color w:val="000041"/>
        </w:rPr>
        <w:t/>
      </w:r>
      <w:r>
        <w:rPr>
          <w:rFonts w:ascii="Arial" w:cs="Arial" w:eastAsia="Arial" w:hAnsi="Arial"/>
          <w:sz w:val="20"/>
          <w:szCs w:val="20"/>
          <w:color w:val="000041"/>
        </w:rPr>
        <w:t>ČK{ÃKÇě</w:t>
      </w:r>
      <w:r>
        <w:rPr>
          <w:rFonts w:ascii="PMingLiU" w:cs="PMingLiU" w:eastAsia="PMingLiU" w:hAnsi="PMingLiU"/>
          <w:sz w:val="20"/>
          <w:szCs w:val="20"/>
          <w:color w:val="000041"/>
        </w:rPr>
        <w:t/>
      </w:r>
      <w:r>
        <w:rPr>
          <w:rFonts w:ascii="Arial" w:cs="Arial" w:eastAsia="Arial" w:hAnsi="Arial"/>
          <w:sz w:val="20"/>
          <w:szCs w:val="20"/>
          <w:color w:val="000041"/>
        </w:rPr>
        <w:t>ÇA</w:t>
      </w:r>
      <w:r>
        <w:rPr>
          <w:rFonts w:ascii="PMingLiU" w:cs="PMingLiU" w:eastAsia="PMingLiU" w:hAnsi="PMingLiU"/>
          <w:sz w:val="20"/>
          <w:szCs w:val="20"/>
          <w:color w:val="000041"/>
        </w:rPr>
        <w:t/>
      </w:r>
      <w:r>
        <w:rPr>
          <w:rFonts w:ascii="Arial" w:cs="Arial" w:eastAsia="Arial" w:hAnsi="Arial"/>
          <w:sz w:val="20"/>
          <w:szCs w:val="20"/>
          <w:color w:val="000041"/>
        </w:rPr>
        <w:t>{KÝ{Ą</w:t>
      </w:r>
      <w:r>
        <w:rPr>
          <w:rFonts w:ascii="PMingLiU" w:cs="PMingLiU" w:eastAsia="PMingLiU" w:hAnsi="PMingLiU"/>
          <w:sz w:val="20"/>
          <w:szCs w:val="20"/>
          <w:color w:val="000041"/>
        </w:rPr>
        <w:t/>
      </w:r>
      <w:r>
        <w:rPr>
          <w:rFonts w:ascii="Arial" w:cs="Arial" w:eastAsia="Arial" w:hAnsi="Arial"/>
          <w:sz w:val="20"/>
          <w:szCs w:val="20"/>
          <w:color w:val="000041"/>
        </w:rPr>
        <w:t>Ā</w:t>
      </w:r>
      <w:r>
        <w:rPr>
          <w:rFonts w:ascii="PMingLiU" w:cs="PMingLiU" w:eastAsia="PMingLiU" w:hAnsi="PMingLiU"/>
          <w:sz w:val="20"/>
          <w:szCs w:val="20"/>
          <w:color w:val="000041"/>
        </w:rPr>
        <w:t></w:t>
      </w:r>
      <w:r>
        <w:rPr>
          <w:rFonts w:ascii="Arial" w:cs="Arial" w:eastAsia="Arial" w:hAnsi="Arial"/>
          <w:sz w:val="20"/>
          <w:szCs w:val="20"/>
          <w:color w:val="000041"/>
        </w:rPr>
        <w:t>:</w:t>
      </w:r>
      <w:r>
        <w:rPr>
          <w:rFonts w:ascii="PMingLiU" w:cs="PMingLiU" w:eastAsia="PMingLiU" w:hAnsi="PMingLiU"/>
          <w:sz w:val="20"/>
          <w:szCs w:val="20"/>
          <w:color w:val="000041"/>
        </w:rPr>
        <w:t/>
      </w:r>
      <w:r>
        <w:rPr>
          <w:rFonts w:ascii="Arial" w:cs="Arial" w:eastAsia="Arial" w:hAnsi="Arial"/>
          <w:sz w:val="20"/>
          <w:szCs w:val="20"/>
          <w:color w:val="000041"/>
        </w:rPr>
        <w:t>ĄK</w:t>
      </w:r>
      <w:r>
        <w:rPr>
          <w:rFonts w:ascii="PMingLiU" w:cs="PMingLiU" w:eastAsia="PMingLiU" w:hAnsi="PMingLiU"/>
          <w:sz w:val="20"/>
          <w:szCs w:val="20"/>
          <w:color w:val="000041"/>
        </w:rPr>
        <w:t></w:t>
      </w:r>
      <w:r>
        <w:rPr>
          <w:rFonts w:ascii="Arial" w:cs="Arial" w:eastAsia="Arial" w:hAnsi="Arial"/>
          <w:sz w:val="20"/>
          <w:szCs w:val="20"/>
          <w:color w:val="000041"/>
        </w:rPr>
        <w:t>ÇyÝĄÃ</w:t>
      </w:r>
      <w:r>
        <w:rPr>
          <w:rFonts w:ascii="PMingLiU" w:cs="PMingLiU" w:eastAsia="PMingLiU" w:hAnsi="PMingLiU"/>
          <w:sz w:val="20"/>
          <w:szCs w:val="20"/>
          <w:color w:val="000041"/>
        </w:rPr>
        <w:t/>
      </w:r>
      <w:r>
        <w:rPr>
          <w:rFonts w:ascii="Arial" w:cs="Arial" w:eastAsia="Arial" w:hAnsi="Arial"/>
          <w:sz w:val="20"/>
          <w:szCs w:val="20"/>
          <w:color w:val="000041"/>
        </w:rPr>
        <w:t>ě</w:t>
      </w:r>
      <w:r>
        <w:rPr>
          <w:rFonts w:ascii="PMingLiU" w:cs="PMingLiU" w:eastAsia="PMingLiU" w:hAnsi="PMingLiU"/>
          <w:sz w:val="20"/>
          <w:szCs w:val="20"/>
          <w:color w:val="000041"/>
        </w:rPr>
        <w:t></w:t>
      </w:r>
      <w:r>
        <w:rPr>
          <w:rFonts w:ascii="Arial" w:cs="Arial" w:eastAsia="Arial" w:hAnsi="Arial"/>
          <w:sz w:val="20"/>
          <w:szCs w:val="20"/>
          <w:color w:val="000041"/>
        </w:rPr>
        <w:t>ÝÇ</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businesses are reported in three segments classified based on business model and delivery of performance obli-gations. The segments are: Application Software, Network Software, and Technology Enabled Products. The three reportable segments are as follows:</w:t>
      </w:r>
    </w:p>
    <w:p>
      <w:pPr>
        <w:spacing w:after="0" w:line="21"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Application Software—Aderant, CentralReach, Clinisys, Data Innovations, Deltek, Frontline, IntelliTrans, PowerPlan, Procare, Strata, Transact/CBORD, and Vertafore;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Network Software—ConstructConnect, DAT, Foundry, iPipeline, iTradeNetwork, MHA, SHP, SoftWriters, and Subsplash;</w:t>
      </w:r>
    </w:p>
    <w:p>
      <w:pPr>
        <w:spacing w:after="0" w:line="123" w:lineRule="exact"/>
        <w:rPr>
          <w:sz w:val="20"/>
          <w:szCs w:val="20"/>
          <w:color w:val="auto"/>
        </w:rPr>
      </w:pPr>
    </w:p>
    <w:p>
      <w:pPr>
        <w:jc w:val="both"/>
        <w:ind w:right="20"/>
        <w:spacing w:after="0" w:line="322" w:lineRule="auto"/>
        <w:rPr>
          <w:sz w:val="20"/>
          <w:szCs w:val="20"/>
          <w:color w:val="auto"/>
        </w:rPr>
      </w:pPr>
      <w:r>
        <w:rPr>
          <w:rFonts w:ascii="Arial" w:cs="Arial" w:eastAsia="Arial" w:hAnsi="Arial"/>
          <w:sz w:val="18"/>
          <w:szCs w:val="18"/>
          <w:color w:val="auto"/>
        </w:rPr>
        <w:t>Technology Enabled Products—CIVCO Medical Solutions, FMI, Inovonics, IPA, Neptune, Northern Digital, rf IDEAS, and Verathon.</w:t>
      </w:r>
    </w:p>
    <w:p>
      <w:pPr>
        <w:jc w:val="both"/>
        <w:ind w:right="20"/>
        <w:spacing w:after="0" w:line="276" w:lineRule="auto"/>
        <w:rPr>
          <w:sz w:val="20"/>
          <w:szCs w:val="20"/>
          <w:color w:val="auto"/>
        </w:rPr>
      </w:pPr>
      <w:r>
        <w:rPr>
          <w:rFonts w:ascii="Arial" w:cs="Arial" w:eastAsia="Arial" w:hAnsi="Arial"/>
          <w:sz w:val="18"/>
          <w:szCs w:val="18"/>
          <w:color w:val="auto"/>
        </w:rPr>
        <w:t>The Company’s chief operating decision maker (“CODM”) is a group that consists of the Chief Executive Officer and the Board of Directors. The CODM uses operating profit to measure segment performance to evaluate resource allo-cation, primarily related to capital deployment towards business acquisitions, as such decisions are made by our Chief Executive Officer and Board of Directors collectively.</w:t>
      </w:r>
    </w:p>
    <w:p>
      <w:pPr>
        <w:spacing w:after="0" w:line="38"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There were no material transactions between Roper’s reportable segments during 2025, 2024, and 2023. Operating profit by reportable segment is defined as net revenues less operating costs and expenses. These costs and expenses do not include unallocated corporate general and administrative expenses or enterprise-wide stock-based compen-sation. Items below “Income from operations” in Roper’s Consolidated Statements of Earnings are not allocated to reportable segments.</w:t>
      </w:r>
    </w:p>
    <w:p>
      <w:pPr>
        <w:spacing w:after="0" w:line="268"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Corporate assets are principally comprised of cash and cash equivalents, income taxes receivable, deferred tax assets, deferred compensation assets, an equity investment, and property and equipment.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by reportable segment for 2025, 2024, and 2023 was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Technology</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060" w:type="dxa"/>
            <w:vAlign w:val="bottom"/>
          </w:tcPr>
          <w:p>
            <w:pPr>
              <w:spacing w:after="0"/>
              <w:rPr>
                <w:sz w:val="19"/>
                <w:szCs w:val="19"/>
                <w:color w:val="auto"/>
              </w:rPr>
            </w:pP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Application</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Network</w:t>
            </w: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rPr>
              <w:t>Enabled</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8"/>
        </w:trPr>
        <w:tc>
          <w:tcPr>
            <w:tcW w:w="40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ԝ</w:t>
            </w:r>
          </w:p>
        </w:tc>
        <w:tc>
          <w:tcPr>
            <w:tcW w:w="1500" w:type="dxa"/>
            <w:vAlign w:val="bottom"/>
            <w:tcBorders>
              <w:bottom w:val="single" w:sz="8" w:color="000041"/>
            </w:tcBorders>
            <w:gridSpan w:val="2"/>
          </w:tcPr>
          <w:p>
            <w:pPr>
              <w:jc w:val="right"/>
              <w:ind w:right="170"/>
              <w:spacing w:after="0"/>
              <w:rPr>
                <w:sz w:val="20"/>
                <w:szCs w:val="20"/>
                <w:color w:val="auto"/>
              </w:rPr>
            </w:pPr>
            <w:r>
              <w:rPr>
                <w:rFonts w:ascii="Arial" w:cs="Arial" w:eastAsia="Arial" w:hAnsi="Arial"/>
                <w:sz w:val="18"/>
                <w:szCs w:val="18"/>
                <w:color w:val="auto"/>
              </w:rPr>
              <w:t>Software</w:t>
            </w:r>
          </w:p>
        </w:tc>
        <w:tc>
          <w:tcPr>
            <w:tcW w:w="1060" w:type="dxa"/>
            <w:vAlign w:val="bottom"/>
            <w:tcBorders>
              <w:bottom w:val="single" w:sz="8" w:color="000041"/>
            </w:tcBorders>
            <w:gridSpan w:val="2"/>
          </w:tcPr>
          <w:p>
            <w:pPr>
              <w:ind w:left="240"/>
              <w:spacing w:after="0"/>
              <w:rPr>
                <w:sz w:val="20"/>
                <w:szCs w:val="20"/>
                <w:color w:val="auto"/>
              </w:rPr>
            </w:pPr>
            <w:r>
              <w:rPr>
                <w:rFonts w:ascii="Arial" w:cs="Arial" w:eastAsia="Arial" w:hAnsi="Arial"/>
                <w:sz w:val="18"/>
                <w:szCs w:val="18"/>
                <w:color w:val="auto"/>
              </w:rPr>
              <w:t>Software</w:t>
            </w:r>
          </w:p>
        </w:tc>
        <w:tc>
          <w:tcPr>
            <w:tcW w:w="1480" w:type="dxa"/>
            <w:vAlign w:val="bottom"/>
            <w:tcBorders>
              <w:bottom w:val="single" w:sz="8" w:color="000041"/>
            </w:tcBorders>
            <w:gridSpan w:val="2"/>
          </w:tcPr>
          <w:p>
            <w:pPr>
              <w:jc w:val="right"/>
              <w:ind w:right="150"/>
              <w:spacing w:after="0"/>
              <w:rPr>
                <w:sz w:val="20"/>
                <w:szCs w:val="20"/>
                <w:color w:val="auto"/>
              </w:rPr>
            </w:pPr>
            <w:r>
              <w:rPr>
                <w:rFonts w:ascii="Arial" w:cs="Arial" w:eastAsia="Arial" w:hAnsi="Arial"/>
                <w:sz w:val="18"/>
                <w:szCs w:val="18"/>
                <w:color w:val="auto"/>
              </w:rPr>
              <w:t>Products</w:t>
            </w:r>
          </w:p>
        </w:tc>
        <w:tc>
          <w:tcPr>
            <w:tcW w:w="104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Total</w:t>
            </w:r>
          </w:p>
        </w:tc>
      </w:tr>
      <w:tr>
        <w:trPr>
          <w:trHeight w:val="261"/>
        </w:trPr>
        <w:tc>
          <w:tcPr>
            <w:tcW w:w="4060" w:type="dxa"/>
            <w:vAlign w:val="bottom"/>
          </w:tcPr>
          <w:p>
            <w:pPr>
              <w:spacing w:after="0"/>
              <w:rPr>
                <w:sz w:val="20"/>
                <w:szCs w:val="20"/>
                <w:color w:val="auto"/>
              </w:rPr>
            </w:pPr>
            <w:r>
              <w:rPr>
                <w:rFonts w:ascii="Arial" w:cs="Arial" w:eastAsia="Arial" w:hAnsi="Arial"/>
                <w:sz w:val="18"/>
                <w:szCs w:val="18"/>
                <w:color w:val="auto"/>
              </w:rPr>
              <w:t>2025</w:t>
            </w:r>
          </w:p>
        </w:tc>
        <w:tc>
          <w:tcPr>
            <w:tcW w:w="540" w:type="dxa"/>
            <w:vAlign w:val="bottom"/>
          </w:tcPr>
          <w:p>
            <w:pPr>
              <w:jc w:val="right"/>
              <w:ind w:right="372"/>
              <w:spacing w:after="0"/>
              <w:rPr>
                <w:sz w:val="20"/>
                <w:szCs w:val="20"/>
                <w:color w:val="auto"/>
              </w:rPr>
            </w:pPr>
            <w:r>
              <w:rPr>
                <w:rFonts w:ascii="Arial" w:cs="Arial" w:eastAsia="Arial" w:hAnsi="Arial"/>
                <w:sz w:val="11"/>
                <w:szCs w:val="11"/>
                <w:color w:val="auto"/>
                <w:w w:val="74"/>
              </w:rPr>
              <w:t>ԝ</w:t>
            </w: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ԝ</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ԝ</w:t>
            </w: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jc w:val="right"/>
              <w:ind w:right="273"/>
              <w:spacing w:after="0"/>
              <w:rPr>
                <w:sz w:val="20"/>
                <w:szCs w:val="20"/>
                <w:color w:val="auto"/>
              </w:rPr>
            </w:pPr>
            <w:r>
              <w:rPr>
                <w:rFonts w:ascii="Arial" w:cs="Arial" w:eastAsia="Arial" w:hAnsi="Arial"/>
                <w:sz w:val="7"/>
                <w:szCs w:val="7"/>
                <w:color w:val="auto"/>
                <w:w w:val="78"/>
              </w:rPr>
              <w:t>ԝ</w:t>
            </w:r>
          </w:p>
        </w:tc>
        <w:tc>
          <w:tcPr>
            <w:tcW w:w="780" w:type="dxa"/>
            <w:vAlign w:val="bottom"/>
          </w:tcPr>
          <w:p>
            <w:pPr>
              <w:spacing w:after="0"/>
              <w:rPr>
                <w:sz w:val="22"/>
                <w:szCs w:val="22"/>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Net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4,483.0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іӗћѕѕӝѝ</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$ 1,818.7</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7,902.5</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54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1,413.3</w:t>
            </w: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255.0</w:t>
            </w:r>
          </w:p>
        </w:tc>
        <w:tc>
          <w:tcPr>
            <w:tcW w:w="6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762.2</w:t>
            </w: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2,430.5</w:t>
            </w:r>
          </w:p>
        </w:tc>
      </w:tr>
      <w:tr>
        <w:trPr>
          <w:trHeight w:val="268"/>
        </w:trPr>
        <w:tc>
          <w:tcPr>
            <w:tcW w:w="40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000041"/>
            </w:tcBorders>
          </w:tcPr>
          <w:p>
            <w:pPr>
              <w:spacing w:after="0"/>
              <w:rPr>
                <w:sz w:val="23"/>
                <w:szCs w:val="23"/>
                <w:color w:val="auto"/>
              </w:rPr>
            </w:pPr>
          </w:p>
        </w:tc>
        <w:tc>
          <w:tcPr>
            <w:tcW w:w="96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1,866.6</w:t>
            </w:r>
          </w:p>
        </w:tc>
        <w:tc>
          <w:tcPr>
            <w:tcW w:w="44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650.0</w:t>
            </w:r>
          </w:p>
        </w:tc>
        <w:tc>
          <w:tcPr>
            <w:tcW w:w="680" w:type="dxa"/>
            <w:vAlign w:val="bottom"/>
            <w:tcBorders>
              <w:bottom w:val="single" w:sz="8" w:color="000041"/>
            </w:tcBorders>
          </w:tcPr>
          <w:p>
            <w:pPr>
              <w:spacing w:after="0"/>
              <w:rPr>
                <w:sz w:val="23"/>
                <w:szCs w:val="23"/>
                <w:color w:val="auto"/>
              </w:rPr>
            </w:pPr>
          </w:p>
        </w:tc>
        <w:tc>
          <w:tcPr>
            <w:tcW w:w="80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429.8</w:t>
            </w:r>
          </w:p>
        </w:tc>
        <w:tc>
          <w:tcPr>
            <w:tcW w:w="460" w:type="dxa"/>
            <w:vAlign w:val="bottom"/>
            <w:tcBorders>
              <w:bottom w:val="single" w:sz="8" w:color="000041"/>
            </w:tcBorders>
          </w:tcPr>
          <w:p>
            <w:pPr>
              <w:spacing w:after="0"/>
              <w:rPr>
                <w:sz w:val="23"/>
                <w:szCs w:val="23"/>
                <w:color w:val="auto"/>
              </w:rPr>
            </w:pPr>
          </w:p>
        </w:tc>
        <w:tc>
          <w:tcPr>
            <w:tcW w:w="5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290.2</w:t>
            </w:r>
          </w:p>
        </w:tc>
        <w:tc>
          <w:tcPr>
            <w:tcW w:w="42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3,236.6</w:t>
            </w:r>
          </w:p>
        </w:tc>
      </w:tr>
      <w:tr>
        <w:trPr>
          <w:trHeight w:val="261"/>
        </w:trPr>
        <w:tc>
          <w:tcPr>
            <w:tcW w:w="4060" w:type="dxa"/>
            <w:vAlign w:val="bottom"/>
          </w:tcPr>
          <w:p>
            <w:pPr>
              <w:spacing w:after="0" w:line="219" w:lineRule="exact"/>
              <w:rPr>
                <w:sz w:val="20"/>
                <w:szCs w:val="20"/>
                <w:color w:val="auto"/>
              </w:rPr>
            </w:pPr>
            <w:r>
              <w:rPr>
                <w:rFonts w:ascii="Arial" w:cs="Arial" w:eastAsia="Arial" w:hAnsi="Arial"/>
                <w:sz w:val="18"/>
                <w:szCs w:val="18"/>
                <w:color w:val="auto"/>
              </w:rPr>
              <w:t>ÝɥǉɨƃɽȈȶǼ</w:t>
            </w:r>
            <w:r>
              <w:rPr>
                <w:rFonts w:ascii="PMingLiU" w:cs="PMingLiU" w:eastAsia="PMingLiU" w:hAnsi="PMingLiU"/>
                <w:sz w:val="18"/>
                <w:szCs w:val="18"/>
                <w:color w:val="auto"/>
              </w:rPr>
              <w:t/>
            </w:r>
            <w:r>
              <w:rPr>
                <w:rFonts w:ascii="Arial" w:cs="Arial" w:eastAsia="Arial" w:hAnsi="Arial"/>
                <w:sz w:val="18"/>
                <w:szCs w:val="18"/>
                <w:color w:val="auto"/>
              </w:rPr>
              <w:t>ɥɨɁˎɽ</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1,203.1</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695.8</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626.7</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w w:val="89"/>
              </w:rPr>
              <w:t>ԤԞ</w:t>
            </w:r>
            <w:r>
              <w:rPr>
                <w:rFonts w:ascii="Arial" w:cs="Arial" w:eastAsia="Arial" w:hAnsi="Arial"/>
                <w:sz w:val="18"/>
                <w:szCs w:val="18"/>
                <w:color w:val="auto"/>
                <w:w w:val="89"/>
              </w:rPr>
              <w:t>ӯїўѕӝї</w:t>
            </w:r>
            <w:r>
              <w:rPr>
                <w:rFonts w:ascii="Arial" w:cs="Arial" w:eastAsia="Arial" w:hAnsi="Arial"/>
                <w:sz w:val="18"/>
                <w:szCs w:val="18"/>
                <w:color w:val="auto"/>
                <w:w w:val="8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2,235.4</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Depreciation and other amortization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702.2</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169.6</w:t>
            </w:r>
          </w:p>
        </w:tc>
        <w:tc>
          <w:tcPr>
            <w:tcW w:w="680" w:type="dxa"/>
            <w:vAlign w:val="bottom"/>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23.1</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898.2</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ԤԞԞ</w:t>
            </w:r>
            <w:r>
              <w:rPr>
                <w:rFonts w:ascii="Arial" w:cs="Arial" w:eastAsia="Arial" w:hAnsi="Arial"/>
                <w:sz w:val="18"/>
                <w:szCs w:val="18"/>
                <w:color w:val="auto"/>
              </w:rPr>
              <w:t>їњӗјќїӝћ</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84"/>
              </w:rPr>
              <w:t>ԤԞԞ</w:t>
            </w:r>
            <w:r>
              <w:rPr>
                <w:rFonts w:ascii="Arial" w:cs="Arial" w:eastAsia="Arial" w:hAnsi="Arial"/>
                <w:sz w:val="18"/>
                <w:szCs w:val="18"/>
                <w:color w:val="auto"/>
                <w:w w:val="84"/>
              </w:rPr>
              <w:t>ћӗљњѝӝќ</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$1,666.0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$1,079.7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34,577.0</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22.0</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11.4</w:t>
            </w:r>
          </w:p>
        </w:tc>
        <w:tc>
          <w:tcPr>
            <w:tcW w:w="1040" w:type="dxa"/>
            <w:vAlign w:val="bottom"/>
            <w:gridSpan w:val="2"/>
          </w:tcPr>
          <w:p>
            <w:pPr>
              <w:jc w:val="right"/>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PMingLiU" w:cs="PMingLiU" w:eastAsia="PMingLiU" w:hAnsi="PMingLiU"/>
                <w:sz w:val="18"/>
                <w:szCs w:val="18"/>
                <w:color w:val="auto"/>
              </w:rPr>
              <w:t/>
            </w:r>
            <w:r>
              <w:rPr>
                <w:rFonts w:ascii="Arial" w:cs="Arial" w:eastAsia="Arial" w:hAnsi="Arial"/>
                <w:sz w:val="18"/>
                <w:szCs w:val="18"/>
                <w:color w:val="auto"/>
              </w:rPr>
              <w:t>њӝѕ</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69"/>
        </w:trPr>
        <w:tc>
          <w:tcPr>
            <w:tcW w:w="40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Capitalized software expenditures</w:t>
            </w:r>
          </w:p>
        </w:tc>
        <w:tc>
          <w:tcPr>
            <w:tcW w:w="5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57.3</w:t>
            </w:r>
          </w:p>
        </w:tc>
        <w:tc>
          <w:tcPr>
            <w:tcW w:w="440" w:type="dxa"/>
            <w:vAlign w:val="bottom"/>
            <w:tcBorders>
              <w:bottom w:val="single" w:sz="8" w:color="000041"/>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0041"/>
            </w:tcBorders>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000041"/>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57.3</w:t>
            </w:r>
          </w:p>
        </w:tc>
      </w:tr>
      <w:tr>
        <w:trPr>
          <w:trHeight w:val="260"/>
        </w:trPr>
        <w:tc>
          <w:tcPr>
            <w:tcW w:w="4060" w:type="dxa"/>
            <w:vAlign w:val="bottom"/>
          </w:tcPr>
          <w:p>
            <w:pPr>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2"/>
                <w:szCs w:val="22"/>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ԝ</w:t>
            </w:r>
          </w:p>
        </w:tc>
        <w:tc>
          <w:tcPr>
            <w:tcW w:w="44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ԝ</w:t>
            </w:r>
          </w:p>
        </w:tc>
        <w:tc>
          <w:tcPr>
            <w:tcW w:w="680" w:type="dxa"/>
            <w:vAlign w:val="bottom"/>
          </w:tcPr>
          <w:p>
            <w:pPr>
              <w:spacing w:after="0"/>
              <w:rPr>
                <w:sz w:val="22"/>
                <w:szCs w:val="22"/>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ԝ</w:t>
            </w:r>
          </w:p>
        </w:tc>
        <w:tc>
          <w:tcPr>
            <w:tcW w:w="46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ԝ</w:t>
            </w:r>
          </w:p>
        </w:tc>
        <w:tc>
          <w:tcPr>
            <w:tcW w:w="42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ԝ</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Net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3,868.3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$ 1,475.6</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ԤԞԞԞ</w:t>
            </w:r>
            <w:r>
              <w:rPr>
                <w:rFonts w:ascii="Arial" w:cs="Arial" w:eastAsia="Arial" w:hAnsi="Arial"/>
                <w:sz w:val="18"/>
                <w:szCs w:val="18"/>
                <w:color w:val="auto"/>
              </w:rPr>
              <w:t>іӗћўњӝј</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7,039.2</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54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1,220.7</w:t>
            </w: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220.8</w:t>
            </w:r>
          </w:p>
        </w:tc>
        <w:tc>
          <w:tcPr>
            <w:tcW w:w="6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719.4</w:t>
            </w: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2,160.9</w:t>
            </w:r>
          </w:p>
        </w:tc>
      </w:tr>
      <w:tr>
        <w:trPr>
          <w:trHeight w:val="268"/>
        </w:trPr>
        <w:tc>
          <w:tcPr>
            <w:tcW w:w="40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000041"/>
            </w:tcBorders>
          </w:tcPr>
          <w:p>
            <w:pPr>
              <w:spacing w:after="0"/>
              <w:rPr>
                <w:sz w:val="23"/>
                <w:szCs w:val="23"/>
                <w:color w:val="auto"/>
              </w:rPr>
            </w:pPr>
          </w:p>
        </w:tc>
        <w:tc>
          <w:tcPr>
            <w:tcW w:w="96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1,624.2</w:t>
            </w:r>
          </w:p>
        </w:tc>
        <w:tc>
          <w:tcPr>
            <w:tcW w:w="44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588.3</w:t>
            </w:r>
          </w:p>
        </w:tc>
        <w:tc>
          <w:tcPr>
            <w:tcW w:w="680" w:type="dxa"/>
            <w:vAlign w:val="bottom"/>
            <w:tcBorders>
              <w:bottom w:val="single" w:sz="8" w:color="000041"/>
            </w:tcBorders>
          </w:tcPr>
          <w:p>
            <w:pPr>
              <w:spacing w:after="0"/>
              <w:rPr>
                <w:sz w:val="23"/>
                <w:szCs w:val="23"/>
                <w:color w:val="auto"/>
              </w:rPr>
            </w:pPr>
          </w:p>
        </w:tc>
        <w:tc>
          <w:tcPr>
            <w:tcW w:w="80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401.6</w:t>
            </w:r>
          </w:p>
        </w:tc>
        <w:tc>
          <w:tcPr>
            <w:tcW w:w="460" w:type="dxa"/>
            <w:vAlign w:val="bottom"/>
            <w:tcBorders>
              <w:bottom w:val="single" w:sz="8" w:color="000041"/>
            </w:tcBorders>
          </w:tcPr>
          <w:p>
            <w:pPr>
              <w:spacing w:after="0"/>
              <w:rPr>
                <w:sz w:val="23"/>
                <w:szCs w:val="23"/>
                <w:color w:val="auto"/>
              </w:rPr>
            </w:pPr>
          </w:p>
        </w:tc>
        <w:tc>
          <w:tcPr>
            <w:tcW w:w="5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267.4</w:t>
            </w:r>
          </w:p>
        </w:tc>
        <w:tc>
          <w:tcPr>
            <w:tcW w:w="42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2,881.5</w:t>
            </w:r>
          </w:p>
        </w:tc>
      </w:tr>
      <w:tr>
        <w:trPr>
          <w:trHeight w:val="260"/>
        </w:trPr>
        <w:tc>
          <w:tcPr>
            <w:tcW w:w="4060" w:type="dxa"/>
            <w:vAlign w:val="bottom"/>
          </w:tcPr>
          <w:p>
            <w:pPr>
              <w:spacing w:after="0" w:line="219" w:lineRule="exact"/>
              <w:rPr>
                <w:sz w:val="20"/>
                <w:szCs w:val="20"/>
                <w:color w:val="auto"/>
              </w:rPr>
            </w:pPr>
            <w:r>
              <w:rPr>
                <w:rFonts w:ascii="Arial" w:cs="Arial" w:eastAsia="Arial" w:hAnsi="Arial"/>
                <w:sz w:val="18"/>
                <w:szCs w:val="18"/>
                <w:color w:val="auto"/>
              </w:rPr>
              <w:t>ÝɥǉɨƃɽȈȶǼ</w:t>
            </w:r>
            <w:r>
              <w:rPr>
                <w:rFonts w:ascii="PMingLiU" w:cs="PMingLiU" w:eastAsia="PMingLiU" w:hAnsi="PMingLiU"/>
                <w:sz w:val="18"/>
                <w:szCs w:val="18"/>
                <w:color w:val="auto"/>
              </w:rPr>
              <w:t/>
            </w:r>
            <w:r>
              <w:rPr>
                <w:rFonts w:ascii="Arial" w:cs="Arial" w:eastAsia="Arial" w:hAnsi="Arial"/>
                <w:sz w:val="18"/>
                <w:szCs w:val="18"/>
                <w:color w:val="auto"/>
              </w:rPr>
              <w:t>ɥɨɁˎɽ</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1,023.4</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666.5</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574.3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(267.4)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1,996.8</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Depreciation and other amortization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628.8</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161.0</w:t>
            </w:r>
          </w:p>
        </w:tc>
        <w:tc>
          <w:tcPr>
            <w:tcW w:w="680" w:type="dxa"/>
            <w:vAlign w:val="bottom"/>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21.7</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812.8</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$23,600.9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$5,348.0</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$ 1,498.1</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887.7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31,334.7</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17.8</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11.7</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69"/>
        </w:trPr>
        <w:tc>
          <w:tcPr>
            <w:tcW w:w="40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Capitalized software expenditures</w:t>
            </w:r>
          </w:p>
        </w:tc>
        <w:tc>
          <w:tcPr>
            <w:tcW w:w="5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43.7</w:t>
            </w:r>
          </w:p>
        </w:tc>
        <w:tc>
          <w:tcPr>
            <w:tcW w:w="440" w:type="dxa"/>
            <w:vAlign w:val="bottom"/>
            <w:tcBorders>
              <w:bottom w:val="single" w:sz="8" w:color="000041"/>
            </w:tcBorders>
          </w:tcPr>
          <w:p>
            <w:pPr>
              <w:ind w:left="2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000041"/>
            </w:tcBorders>
          </w:tcPr>
          <w:p>
            <w:pPr>
              <w:ind w:left="5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000041"/>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45.0</w:t>
            </w:r>
          </w:p>
        </w:tc>
      </w:tr>
      <w:tr>
        <w:trPr>
          <w:trHeight w:val="260"/>
        </w:trPr>
        <w:tc>
          <w:tcPr>
            <w:tcW w:w="4060" w:type="dxa"/>
            <w:vAlign w:val="bottom"/>
          </w:tcPr>
          <w:p>
            <w:pPr>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22"/>
                <w:szCs w:val="22"/>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ԝ</w:t>
            </w:r>
          </w:p>
        </w:tc>
        <w:tc>
          <w:tcPr>
            <w:tcW w:w="44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ԝ</w:t>
            </w:r>
          </w:p>
        </w:tc>
        <w:tc>
          <w:tcPr>
            <w:tcW w:w="680" w:type="dxa"/>
            <w:vAlign w:val="bottom"/>
          </w:tcPr>
          <w:p>
            <w:pPr>
              <w:spacing w:after="0"/>
              <w:rPr>
                <w:sz w:val="22"/>
                <w:szCs w:val="22"/>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ԝ</w:t>
            </w:r>
          </w:p>
        </w:tc>
        <w:tc>
          <w:tcPr>
            <w:tcW w:w="46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ԝ</w:t>
            </w:r>
          </w:p>
        </w:tc>
        <w:tc>
          <w:tcPr>
            <w:tcW w:w="4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ԝ</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Net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3,186.9</w:t>
            </w:r>
          </w:p>
        </w:tc>
        <w:tc>
          <w:tcPr>
            <w:tcW w:w="1060" w:type="dxa"/>
            <w:vAlign w:val="bottom"/>
            <w:gridSpan w:val="2"/>
          </w:tcPr>
          <w:p>
            <w:pPr>
              <w:jc w:val="right"/>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іӗљјўӝљ</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$ 1,551.5</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6,177.8</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54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991.1</w:t>
            </w: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213.8</w:t>
            </w:r>
          </w:p>
        </w:tc>
        <w:tc>
          <w:tcPr>
            <w:tcW w:w="6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665.7</w:t>
            </w: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1,870.6</w:t>
            </w:r>
          </w:p>
        </w:tc>
      </w:tr>
      <w:tr>
        <w:trPr>
          <w:trHeight w:val="268"/>
        </w:trPr>
        <w:tc>
          <w:tcPr>
            <w:tcW w:w="40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000041"/>
            </w:tcBorders>
          </w:tcPr>
          <w:p>
            <w:pPr>
              <w:spacing w:after="0"/>
              <w:rPr>
                <w:sz w:val="23"/>
                <w:szCs w:val="23"/>
                <w:color w:val="auto"/>
              </w:rPr>
            </w:pPr>
          </w:p>
        </w:tc>
        <w:tc>
          <w:tcPr>
            <w:tcW w:w="96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1,375.0</w:t>
            </w:r>
          </w:p>
        </w:tc>
        <w:tc>
          <w:tcPr>
            <w:tcW w:w="440" w:type="dxa"/>
            <w:vAlign w:val="bottom"/>
            <w:tcBorders>
              <w:bottom w:val="single" w:sz="8" w:color="000041"/>
            </w:tcBorders>
          </w:tcPr>
          <w:p>
            <w:pPr>
              <w:spacing w:after="0"/>
              <w:rPr>
                <w:sz w:val="23"/>
                <w:szCs w:val="23"/>
                <w:color w:val="auto"/>
              </w:rPr>
            </w:pP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593.2</w:t>
            </w:r>
          </w:p>
        </w:tc>
        <w:tc>
          <w:tcPr>
            <w:tcW w:w="680" w:type="dxa"/>
            <w:vAlign w:val="bottom"/>
            <w:tcBorders>
              <w:bottom w:val="single" w:sz="8" w:color="000041"/>
            </w:tcBorders>
          </w:tcPr>
          <w:p>
            <w:pPr>
              <w:spacing w:after="0"/>
              <w:rPr>
                <w:sz w:val="23"/>
                <w:szCs w:val="23"/>
                <w:color w:val="auto"/>
              </w:rPr>
            </w:pPr>
          </w:p>
        </w:tc>
        <w:tc>
          <w:tcPr>
            <w:tcW w:w="80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367.1</w:t>
            </w:r>
          </w:p>
        </w:tc>
        <w:tc>
          <w:tcPr>
            <w:tcW w:w="460" w:type="dxa"/>
            <w:vAlign w:val="bottom"/>
            <w:tcBorders>
              <w:bottom w:val="single" w:sz="8" w:color="000041"/>
            </w:tcBorders>
          </w:tcPr>
          <w:p>
            <w:pPr>
              <w:spacing w:after="0"/>
              <w:rPr>
                <w:sz w:val="23"/>
                <w:szCs w:val="23"/>
                <w:color w:val="auto"/>
              </w:rPr>
            </w:pPr>
          </w:p>
        </w:tc>
        <w:tc>
          <w:tcPr>
            <w:tcW w:w="5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226.7</w:t>
            </w:r>
          </w:p>
        </w:tc>
        <w:tc>
          <w:tcPr>
            <w:tcW w:w="420" w:type="dxa"/>
            <w:vAlign w:val="bottom"/>
            <w:tcBorders>
              <w:bottom w:val="single" w:sz="8" w:color="000041"/>
            </w:tcBorders>
          </w:tcPr>
          <w:p>
            <w:pPr>
              <w:spacing w:after="0"/>
              <w:rPr>
                <w:sz w:val="23"/>
                <w:szCs w:val="23"/>
                <w:color w:val="auto"/>
              </w:rPr>
            </w:pP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2,562.0</w:t>
            </w:r>
          </w:p>
        </w:tc>
      </w:tr>
      <w:tr>
        <w:trPr>
          <w:trHeight w:val="260"/>
        </w:trPr>
        <w:tc>
          <w:tcPr>
            <w:tcW w:w="4060" w:type="dxa"/>
            <w:vAlign w:val="bottom"/>
          </w:tcPr>
          <w:p>
            <w:pPr>
              <w:spacing w:after="0" w:line="219" w:lineRule="exact"/>
              <w:rPr>
                <w:sz w:val="20"/>
                <w:szCs w:val="20"/>
                <w:color w:val="auto"/>
              </w:rPr>
            </w:pPr>
            <w:r>
              <w:rPr>
                <w:rFonts w:ascii="Arial" w:cs="Arial" w:eastAsia="Arial" w:hAnsi="Arial"/>
                <w:sz w:val="18"/>
                <w:szCs w:val="18"/>
                <w:color w:val="auto"/>
              </w:rPr>
              <w:t>ÝɥǉɨƃɽȈȶǼ</w:t>
            </w:r>
            <w:r>
              <w:rPr>
                <w:rFonts w:ascii="PMingLiU" w:cs="PMingLiU" w:eastAsia="PMingLiU" w:hAnsi="PMingLiU"/>
                <w:sz w:val="18"/>
                <w:szCs w:val="18"/>
                <w:color w:val="auto"/>
              </w:rPr>
              <w:t/>
            </w:r>
            <w:r>
              <w:rPr>
                <w:rFonts w:ascii="Arial" w:cs="Arial" w:eastAsia="Arial" w:hAnsi="Arial"/>
                <w:sz w:val="18"/>
                <w:szCs w:val="18"/>
                <w:color w:val="auto"/>
              </w:rPr>
              <w:t>ɥɨɁˎɽ</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820.8</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632.4</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518.7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(226.7)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1,745.2</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Depreciation and other amortization expense</w:t>
            </w:r>
          </w:p>
        </w:tc>
        <w:tc>
          <w:tcPr>
            <w:tcW w:w="1500" w:type="dxa"/>
            <w:vAlign w:val="bottom"/>
            <w:gridSpan w:val="2"/>
          </w:tcPr>
          <w:p>
            <w:pPr>
              <w:jc w:val="right"/>
              <w:ind w:right="170"/>
              <w:spacing w:after="0" w:line="219" w:lineRule="exact"/>
              <w:rPr>
                <w:sz w:val="20"/>
                <w:szCs w:val="20"/>
                <w:color w:val="auto"/>
              </w:rPr>
            </w:pPr>
            <w:r>
              <w:rPr>
                <w:rFonts w:ascii="Arial" w:cs="Arial" w:eastAsia="Arial" w:hAnsi="Arial"/>
                <w:sz w:val="18"/>
                <w:szCs w:val="18"/>
                <w:color w:val="auto"/>
              </w:rPr>
              <w:t>Ԥ</w:t>
            </w:r>
            <w:r>
              <w:rPr>
                <w:rFonts w:ascii="PMingLiU" w:cs="PMingLiU" w:eastAsia="PMingLiU" w:hAnsi="PMingLiU"/>
                <w:sz w:val="18"/>
                <w:szCs w:val="18"/>
                <w:color w:val="auto"/>
              </w:rPr>
              <w:t/>
            </w:r>
            <w:r>
              <w:rPr>
                <w:rFonts w:ascii="Arial" w:cs="Arial" w:eastAsia="Arial" w:hAnsi="Arial"/>
                <w:sz w:val="18"/>
                <w:szCs w:val="18"/>
                <w:color w:val="auto"/>
              </w:rPr>
              <w:t>Ԟ</w:t>
            </w:r>
            <w:r>
              <w:rPr>
                <w:rFonts w:ascii="Arial" w:cs="Arial" w:eastAsia="Arial" w:hAnsi="Arial"/>
                <w:sz w:val="18"/>
                <w:szCs w:val="18"/>
                <w:color w:val="auto"/>
              </w:rPr>
              <w:t>њћјӝѕ</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162.5</w:t>
            </w:r>
          </w:p>
        </w:tc>
        <w:tc>
          <w:tcPr>
            <w:tcW w:w="680" w:type="dxa"/>
            <w:vAlign w:val="bottom"/>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29.1</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755.2</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їѕӗјњѕӝў</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њӗјћјӝѝ</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w w:val="95"/>
              </w:rPr>
              <w:t>ԤԞԞԞ</w:t>
            </w:r>
            <w:r>
              <w:rPr>
                <w:rFonts w:ascii="Arial" w:cs="Arial" w:eastAsia="Arial" w:hAnsi="Arial"/>
                <w:sz w:val="18"/>
                <w:szCs w:val="18"/>
                <w:color w:val="auto"/>
                <w:w w:val="95"/>
              </w:rPr>
              <w:t>іӗљѝњӝћ</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28,167.5</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20.1</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13.8</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49"/>
        </w:trPr>
        <w:tc>
          <w:tcPr>
            <w:tcW w:w="40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Capitalized software expenditures</w:t>
            </w:r>
          </w:p>
        </w:tc>
        <w:tc>
          <w:tcPr>
            <w:tcW w:w="5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39.5</w:t>
            </w:r>
          </w:p>
        </w:tc>
        <w:tc>
          <w:tcPr>
            <w:tcW w:w="440" w:type="dxa"/>
            <w:vAlign w:val="bottom"/>
            <w:tcBorders>
              <w:bottom w:val="single" w:sz="8" w:color="000041"/>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0.5</w:t>
            </w:r>
          </w:p>
        </w:tc>
        <w:tc>
          <w:tcPr>
            <w:tcW w:w="680" w:type="dxa"/>
            <w:vAlign w:val="bottom"/>
            <w:tcBorders>
              <w:bottom w:val="single" w:sz="8" w:color="000041"/>
            </w:tcBorders>
          </w:tcPr>
          <w:p>
            <w:pPr>
              <w:ind w:left="5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000041"/>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40.0</w:t>
            </w:r>
          </w:p>
        </w:tc>
      </w:tr>
    </w:tbl>
    <w:p>
      <w:pPr>
        <w:spacing w:after="0" w:line="200" w:lineRule="exact"/>
        <w:rPr>
          <w:sz w:val="20"/>
          <w:szCs w:val="20"/>
          <w:color w:val="auto"/>
        </w:rPr>
      </w:pPr>
    </w:p>
    <w:p>
      <w:pPr>
        <w:sectPr>
          <w:pgSz w:w="12240" w:h="15840" w:orient="portrait"/>
          <w:cols w:equalWidth="0" w:num="1">
            <w:col w:w="10340"/>
          </w:cols>
          <w:pgMar w:left="960" w:top="926" w:right="940" w:bottom="9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60</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40"/>
          </w:cols>
          <w:pgMar w:left="960" w:top="926" w:right="940" w:bottom="9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Summarized long-lived assets information for Roper’s U.S. and foreign operations (principally in Canada, Europe, and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Asia) for 2025, 2024, and 2023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860" w:type="dxa"/>
            <w:vAlign w:val="bottom"/>
            <w:tcBorders>
              <w:bottom w:val="single" w:sz="8" w:color="000041"/>
            </w:tcBorders>
          </w:tcPr>
          <w:p>
            <w:pPr>
              <w:spacing w:after="0"/>
              <w:rPr>
                <w:sz w:val="23"/>
                <w:szCs w:val="23"/>
                <w:color w:val="auto"/>
              </w:rPr>
            </w:pPr>
          </w:p>
        </w:tc>
        <w:tc>
          <w:tcPr>
            <w:tcW w:w="358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2025</w:t>
            </w:r>
          </w:p>
        </w:tc>
        <w:tc>
          <w:tcPr>
            <w:tcW w:w="102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2024</w:t>
            </w:r>
          </w:p>
        </w:tc>
        <w:tc>
          <w:tcPr>
            <w:tcW w:w="86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2023</w:t>
            </w:r>
          </w:p>
        </w:tc>
      </w:tr>
      <w:tr>
        <w:trPr>
          <w:trHeight w:val="261"/>
        </w:trPr>
        <w:tc>
          <w:tcPr>
            <w:tcW w:w="4860" w:type="dxa"/>
            <w:vAlign w:val="bottom"/>
          </w:tcPr>
          <w:p>
            <w:pPr>
              <w:spacing w:after="0"/>
              <w:rPr>
                <w:sz w:val="20"/>
                <w:szCs w:val="20"/>
                <w:color w:val="auto"/>
              </w:rPr>
            </w:pPr>
            <w:r>
              <w:rPr>
                <w:rFonts w:ascii="Arial" w:cs="Arial" w:eastAsia="Arial" w:hAnsi="Arial"/>
                <w:sz w:val="18"/>
                <w:szCs w:val="18"/>
                <w:color w:val="auto"/>
              </w:rPr>
              <w:t>United States</w:t>
            </w:r>
          </w:p>
        </w:tc>
        <w:tc>
          <w:tcPr>
            <w:tcW w:w="3580" w:type="dxa"/>
            <w:vAlign w:val="bottom"/>
          </w:tcPr>
          <w:p>
            <w:pPr>
              <w:jc w:val="right"/>
              <w:ind w:right="110"/>
              <w:spacing w:after="0"/>
              <w:rPr>
                <w:sz w:val="20"/>
                <w:szCs w:val="20"/>
                <w:color w:val="auto"/>
              </w:rPr>
            </w:pPr>
            <w:r>
              <w:rPr>
                <w:rFonts w:ascii="Arial" w:cs="Arial" w:eastAsia="Arial" w:hAnsi="Arial"/>
                <w:sz w:val="18"/>
                <w:szCs w:val="18"/>
                <w:color w:val="auto"/>
              </w:rPr>
              <w:t>$340.0</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$303.4</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їњіӝі</w:t>
            </w:r>
          </w:p>
        </w:tc>
      </w:tr>
      <w:tr>
        <w:trPr>
          <w:trHeight w:val="268"/>
        </w:trPr>
        <w:tc>
          <w:tcPr>
            <w:tcW w:w="4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Non-U.S.</w:t>
            </w:r>
          </w:p>
        </w:tc>
        <w:tc>
          <w:tcPr>
            <w:tcW w:w="358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32.6</w:t>
            </w:r>
          </w:p>
        </w:tc>
        <w:tc>
          <w:tcPr>
            <w:tcW w:w="102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23.9</w:t>
            </w:r>
          </w:p>
        </w:tc>
        <w:tc>
          <w:tcPr>
            <w:tcW w:w="86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20.1</w:t>
            </w:r>
          </w:p>
        </w:tc>
      </w:tr>
      <w:tr>
        <w:trPr>
          <w:trHeight w:val="295"/>
        </w:trPr>
        <w:tc>
          <w:tcPr>
            <w:tcW w:w="48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Total long-lived assets</w:t>
            </w:r>
          </w:p>
        </w:tc>
        <w:tc>
          <w:tcPr>
            <w:tcW w:w="358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јќїӝћ</w:t>
            </w:r>
          </w:p>
        </w:tc>
        <w:tc>
          <w:tcPr>
            <w:tcW w:w="102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јїќӝј</w:t>
            </w:r>
          </w:p>
        </w:tc>
        <w:tc>
          <w:tcPr>
            <w:tcW w:w="86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$271.2</w:t>
            </w:r>
          </w:p>
        </w:tc>
      </w:tr>
    </w:tbl>
    <w:p>
      <w:pPr>
        <w:spacing w:after="0" w:line="142" w:lineRule="exact"/>
        <w:rPr>
          <w:sz w:val="20"/>
          <w:szCs w:val="20"/>
          <w:color w:val="auto"/>
        </w:rPr>
      </w:pPr>
    </w:p>
    <w:p>
      <w:pPr>
        <w:jc w:val="both"/>
        <w:spacing w:after="0" w:line="240" w:lineRule="exact"/>
        <w:rPr>
          <w:sz w:val="20"/>
          <w:szCs w:val="20"/>
          <w:color w:val="auto"/>
        </w:rPr>
      </w:pPr>
      <w:r>
        <w:rPr>
          <w:rFonts w:ascii="Arial" w:cs="Arial" w:eastAsia="Arial" w:hAnsi="Arial"/>
          <w:sz w:val="18"/>
          <w:szCs w:val="18"/>
          <w:color w:val="auto"/>
        </w:rPr>
        <w:t xml:space="preserve">Sales to customers outside of the U.S. accounted for a significant portion of Roper’s net revenues. Sales are attributed to geographic areas based upon the location where the product is ultimately delivered. Roper’s net revenues for the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ɰȃɁʥȶ</w:t>
      </w:r>
      <w:r>
        <w:rPr>
          <w:rFonts w:ascii="PMingLiU" w:cs="PMingLiU" w:eastAsia="PMingLiU" w:hAnsi="PMingLiU"/>
          <w:sz w:val="18"/>
          <w:szCs w:val="18"/>
          <w:color w:val="auto"/>
        </w:rPr>
        <w:t/>
      </w:r>
      <w:r>
        <w:rPr>
          <w:rFonts w:ascii="Arial" w:cs="Arial" w:eastAsia="Arial" w:hAnsi="Arial"/>
          <w:sz w:val="18"/>
          <w:szCs w:val="18"/>
          <w:color w:val="auto"/>
        </w:rPr>
        <w:t>ƹǉȢɁʥ</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ɨǉǼȈɁȶ</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ǉʯƺǉɥɽ</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ĩ</w:t>
      </w:r>
      <w:r>
        <w:rPr>
          <w:rFonts w:ascii="Arial" w:cs="Arial" w:eastAsia="Arial" w:hAnsi="Arial"/>
          <w:sz w:val="18"/>
          <w:szCs w:val="18"/>
          <w:color w:val="auto"/>
        </w:rPr>
        <w:t>ӝ</w:t>
      </w:r>
      <w:r>
        <w:rPr>
          <w:rFonts w:ascii="Arial" w:cs="Arial" w:eastAsia="Arial" w:hAnsi="Arial"/>
          <w:sz w:val="18"/>
          <w:szCs w:val="18"/>
          <w:color w:val="auto"/>
        </w:rPr>
        <w:t>Č</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:ƃȶƃǁƃ</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ʥȃȈƺȃ</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are presented separately: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640" w:type="dxa"/>
            <w:vAlign w:val="bottom"/>
            <w:tcBorders>
              <w:bottom w:val="single" w:sz="8" w:color="000041"/>
            </w:tcBorders>
          </w:tcPr>
          <w:p>
            <w:pPr>
              <w:spacing w:after="0"/>
              <w:rPr>
                <w:sz w:val="23"/>
                <w:szCs w:val="23"/>
                <w:color w:val="auto"/>
              </w:rPr>
            </w:pPr>
          </w:p>
        </w:tc>
        <w:tc>
          <w:tcPr>
            <w:tcW w:w="37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2025</w:t>
            </w:r>
          </w:p>
        </w:tc>
        <w:tc>
          <w:tcPr>
            <w:tcW w:w="100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2024</w:t>
            </w:r>
          </w:p>
        </w:tc>
        <w:tc>
          <w:tcPr>
            <w:tcW w:w="96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2023</w:t>
            </w:r>
          </w:p>
        </w:tc>
      </w:tr>
      <w:tr>
        <w:trPr>
          <w:trHeight w:val="261"/>
        </w:trPr>
        <w:tc>
          <w:tcPr>
            <w:tcW w:w="4640" w:type="dxa"/>
            <w:vAlign w:val="bottom"/>
          </w:tcPr>
          <w:p>
            <w:pPr>
              <w:spacing w:after="0"/>
              <w:rPr>
                <w:sz w:val="20"/>
                <w:szCs w:val="20"/>
                <w:color w:val="auto"/>
              </w:rPr>
            </w:pPr>
            <w:r>
              <w:rPr>
                <w:rFonts w:ascii="Arial" w:cs="Arial" w:eastAsia="Arial" w:hAnsi="Arial"/>
                <w:sz w:val="18"/>
                <w:szCs w:val="18"/>
                <w:color w:val="auto"/>
              </w:rPr>
              <w:t>United States</w:t>
            </w:r>
          </w:p>
        </w:tc>
        <w:tc>
          <w:tcPr>
            <w:tcW w:w="3720" w:type="dxa"/>
            <w:vAlign w:val="bottom"/>
          </w:tcPr>
          <w:p>
            <w:pPr>
              <w:jc w:val="right"/>
              <w:ind w:right="30"/>
              <w:spacing w:after="0"/>
              <w:rPr>
                <w:sz w:val="20"/>
                <w:szCs w:val="20"/>
                <w:color w:val="auto"/>
              </w:rPr>
            </w:pPr>
            <w:r>
              <w:rPr>
                <w:rFonts w:ascii="Arial" w:cs="Arial" w:eastAsia="Arial" w:hAnsi="Arial"/>
                <w:sz w:val="18"/>
                <w:szCs w:val="18"/>
                <w:color w:val="auto"/>
              </w:rPr>
              <w:t>$6,872.8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$6,063.3</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$5,304.4</w:t>
            </w:r>
          </w:p>
        </w:tc>
      </w:tr>
      <w:tr>
        <w:trPr>
          <w:trHeight w:val="234"/>
        </w:trPr>
        <w:tc>
          <w:tcPr>
            <w:tcW w:w="4640" w:type="dxa"/>
            <w:vAlign w:val="bottom"/>
          </w:tcPr>
          <w:p>
            <w:pPr>
              <w:spacing w:after="0"/>
              <w:rPr>
                <w:sz w:val="20"/>
                <w:szCs w:val="20"/>
                <w:color w:val="auto"/>
              </w:rPr>
            </w:pPr>
            <w:r>
              <w:rPr>
                <w:rFonts w:ascii="Arial" w:cs="Arial" w:eastAsia="Arial" w:hAnsi="Arial"/>
                <w:sz w:val="18"/>
                <w:szCs w:val="18"/>
                <w:color w:val="auto"/>
              </w:rPr>
              <w:t>Canada</w:t>
            </w:r>
          </w:p>
        </w:tc>
        <w:tc>
          <w:tcPr>
            <w:tcW w:w="3720" w:type="dxa"/>
            <w:vAlign w:val="bottom"/>
          </w:tcPr>
          <w:p>
            <w:pPr>
              <w:jc w:val="right"/>
              <w:ind w:right="30"/>
              <w:spacing w:after="0"/>
              <w:rPr>
                <w:sz w:val="20"/>
                <w:szCs w:val="20"/>
                <w:color w:val="auto"/>
              </w:rPr>
            </w:pPr>
            <w:r>
              <w:rPr>
                <w:rFonts w:ascii="Arial" w:cs="Arial" w:eastAsia="Arial" w:hAnsi="Arial"/>
                <w:sz w:val="18"/>
                <w:szCs w:val="18"/>
                <w:color w:val="auto"/>
              </w:rPr>
              <w:t>291.7</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288.3</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254.6</w:t>
            </w:r>
          </w:p>
        </w:tc>
      </w:tr>
      <w:tr>
        <w:trPr>
          <w:trHeight w:val="234"/>
        </w:trPr>
        <w:tc>
          <w:tcPr>
            <w:tcW w:w="4640" w:type="dxa"/>
            <w:vAlign w:val="bottom"/>
          </w:tcPr>
          <w:p>
            <w:pPr>
              <w:spacing w:after="0"/>
              <w:rPr>
                <w:sz w:val="20"/>
                <w:szCs w:val="20"/>
                <w:color w:val="auto"/>
              </w:rPr>
            </w:pPr>
            <w:r>
              <w:rPr>
                <w:rFonts w:ascii="Arial" w:cs="Arial" w:eastAsia="Arial" w:hAnsi="Arial"/>
                <w:sz w:val="18"/>
                <w:szCs w:val="18"/>
                <w:color w:val="auto"/>
              </w:rPr>
              <w:t>Europe</w:t>
            </w:r>
          </w:p>
        </w:tc>
        <w:tc>
          <w:tcPr>
            <w:tcW w:w="3720" w:type="dxa"/>
            <w:vAlign w:val="bottom"/>
          </w:tcPr>
          <w:p>
            <w:pPr>
              <w:jc w:val="right"/>
              <w:ind w:right="30"/>
              <w:spacing w:after="0"/>
              <w:rPr>
                <w:sz w:val="20"/>
                <w:szCs w:val="20"/>
                <w:color w:val="auto"/>
              </w:rPr>
            </w:pPr>
            <w:r>
              <w:rPr>
                <w:rFonts w:ascii="Arial" w:cs="Arial" w:eastAsia="Arial" w:hAnsi="Arial"/>
                <w:sz w:val="18"/>
                <w:szCs w:val="18"/>
                <w:color w:val="auto"/>
              </w:rPr>
              <w:t>541.4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495.1</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453.2</w:t>
            </w:r>
          </w:p>
        </w:tc>
      </w:tr>
      <w:tr>
        <w:trPr>
          <w:trHeight w:val="234"/>
        </w:trPr>
        <w:tc>
          <w:tcPr>
            <w:tcW w:w="4640" w:type="dxa"/>
            <w:vAlign w:val="bottom"/>
          </w:tcPr>
          <w:p>
            <w:pPr>
              <w:spacing w:after="0"/>
              <w:rPr>
                <w:sz w:val="20"/>
                <w:szCs w:val="20"/>
                <w:color w:val="auto"/>
              </w:rPr>
            </w:pPr>
            <w:r>
              <w:rPr>
                <w:rFonts w:ascii="Arial" w:cs="Arial" w:eastAsia="Arial" w:hAnsi="Arial"/>
                <w:sz w:val="18"/>
                <w:szCs w:val="18"/>
                <w:color w:val="auto"/>
              </w:rPr>
              <w:t>Asia</w:t>
            </w:r>
          </w:p>
        </w:tc>
        <w:tc>
          <w:tcPr>
            <w:tcW w:w="372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75.1</w:t>
            </w:r>
          </w:p>
        </w:tc>
      </w:tr>
      <w:tr>
        <w:trPr>
          <w:trHeight w:val="268"/>
        </w:trPr>
        <w:tc>
          <w:tcPr>
            <w:tcW w:w="46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Rest of the world</w:t>
            </w:r>
          </w:p>
        </w:tc>
        <w:tc>
          <w:tcPr>
            <w:tcW w:w="37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125.5</w:t>
            </w:r>
          </w:p>
        </w:tc>
        <w:tc>
          <w:tcPr>
            <w:tcW w:w="100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118.4</w:t>
            </w:r>
          </w:p>
        </w:tc>
        <w:tc>
          <w:tcPr>
            <w:tcW w:w="96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90.5</w:t>
            </w:r>
          </w:p>
        </w:tc>
      </w:tr>
      <w:tr>
        <w:trPr>
          <w:trHeight w:val="295"/>
        </w:trPr>
        <w:tc>
          <w:tcPr>
            <w:tcW w:w="464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Total net revenues</w:t>
            </w:r>
          </w:p>
        </w:tc>
        <w:tc>
          <w:tcPr>
            <w:tcW w:w="372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$7,902.5</w:t>
            </w:r>
          </w:p>
        </w:tc>
        <w:tc>
          <w:tcPr>
            <w:tcW w:w="100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ќӗѕјўӝї</w:t>
            </w:r>
          </w:p>
        </w:tc>
        <w:tc>
          <w:tcPr>
            <w:tcW w:w="960" w:type="dxa"/>
            <w:vAlign w:val="bottom"/>
            <w:tcBorders>
              <w:bottom w:val="single" w:sz="8" w:color="000041"/>
            </w:tcBorders>
          </w:tcPr>
          <w:p>
            <w:pPr>
              <w:jc w:val="right"/>
              <w:ind w:right="30"/>
              <w:spacing w:after="0" w:line="219" w:lineRule="exact"/>
              <w:rPr>
                <w:sz w:val="20"/>
                <w:szCs w:val="20"/>
                <w:color w:val="auto"/>
              </w:rPr>
            </w:pPr>
            <w:r>
              <w:rPr>
                <w:rFonts w:ascii="Arial" w:cs="Arial" w:eastAsia="Arial" w:hAnsi="Arial"/>
                <w:sz w:val="18"/>
                <w:szCs w:val="18"/>
                <w:color w:val="auto"/>
                <w:w w:val="94"/>
              </w:rPr>
              <w:t>Ԥ</w:t>
            </w:r>
            <w:r>
              <w:rPr>
                <w:rFonts w:ascii="PMingLiU" w:cs="PMingLiU" w:eastAsia="PMingLiU" w:hAnsi="PMingLiU"/>
                <w:sz w:val="18"/>
                <w:szCs w:val="18"/>
                <w:color w:val="auto"/>
                <w:w w:val="94"/>
              </w:rPr>
              <w:t/>
            </w:r>
            <w:r>
              <w:rPr>
                <w:rFonts w:ascii="Arial" w:cs="Arial" w:eastAsia="Arial" w:hAnsi="Arial"/>
                <w:sz w:val="18"/>
                <w:szCs w:val="18"/>
                <w:color w:val="auto"/>
                <w:w w:val="94"/>
              </w:rPr>
              <w:t>Ԟ</w:t>
            </w:r>
            <w:r>
              <w:rPr>
                <w:rFonts w:ascii="Arial" w:cs="Arial" w:eastAsia="Arial" w:hAnsi="Arial"/>
                <w:sz w:val="18"/>
                <w:szCs w:val="18"/>
                <w:color w:val="auto"/>
                <w:w w:val="94"/>
              </w:rPr>
              <w:t>ћӗіќќӝѝ</w:t>
            </w:r>
          </w:p>
        </w:tc>
      </w:tr>
    </w:tbl>
    <w:p>
      <w:pPr>
        <w:spacing w:after="0" w:line="234"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ӭіњӮ</w:t>
      </w:r>
      <w:r>
        <w:rPr>
          <w:rFonts w:ascii="PMingLiU" w:cs="PMingLiU" w:eastAsia="PMingLiU" w:hAnsi="PMingLiU"/>
          <w:sz w:val="20"/>
          <w:szCs w:val="20"/>
          <w:color w:val="000041"/>
        </w:rPr>
        <w:t/>
      </w:r>
      <w:r>
        <w:rPr>
          <w:rFonts w:ascii="Arial" w:cs="Arial" w:eastAsia="Arial" w:hAnsi="Arial"/>
          <w:sz w:val="20"/>
          <w:szCs w:val="20"/>
          <w:color w:val="000041"/>
        </w:rPr>
        <w:t>:ÝÇ:KÇěĄ</w:t>
      </w:r>
      <w:r>
        <w:rPr>
          <w:rFonts w:ascii="PMingLiU" w:cs="PMingLiU" w:eastAsia="PMingLiU" w:hAnsi="PMingLiU"/>
          <w:sz w:val="20"/>
          <w:szCs w:val="20"/>
          <w:color w:val="000041"/>
        </w:rPr>
        <w:t/>
      </w:r>
      <w:r>
        <w:rPr>
          <w:rFonts w:ascii="Arial" w:cs="Arial" w:eastAsia="Arial" w:hAnsi="Arial"/>
          <w:sz w:val="20"/>
          <w:szCs w:val="20"/>
          <w:color w:val="000041"/>
        </w:rPr>
        <w:t>ě</w:t>
      </w:r>
      <w:r>
        <w:rPr>
          <w:rFonts w:ascii="PMingLiU" w:cs="PMingLiU" w:eastAsia="PMingLiU" w:hAnsi="PMingLiU"/>
          <w:sz w:val="20"/>
          <w:szCs w:val="20"/>
          <w:color w:val="000041"/>
        </w:rPr>
        <w:t></w:t>
      </w:r>
      <w:r>
        <w:rPr>
          <w:rFonts w:ascii="Arial" w:cs="Arial" w:eastAsia="Arial" w:hAnsi="Arial"/>
          <w:sz w:val="20"/>
          <w:szCs w:val="20"/>
          <w:color w:val="000041"/>
        </w:rPr>
        <w:t>ÝÇ</w:t>
      </w:r>
      <w:r>
        <w:rPr>
          <w:rFonts w:ascii="PMingLiU" w:cs="PMingLiU" w:eastAsia="PMingLiU" w:hAnsi="PMingLiU"/>
          <w:sz w:val="20"/>
          <w:szCs w:val="20"/>
          <w:color w:val="000041"/>
        </w:rPr>
        <w:t/>
      </w:r>
      <w:r>
        <w:rPr>
          <w:rFonts w:ascii="Arial" w:cs="Arial" w:eastAsia="Arial" w:hAnsi="Arial"/>
          <w:sz w:val="20"/>
          <w:szCs w:val="20"/>
          <w:color w:val="000041"/>
        </w:rPr>
        <w:t>Ýy</w:t>
      </w:r>
      <w:r>
        <w:rPr>
          <w:rFonts w:ascii="PMingLiU" w:cs="PMingLiU" w:eastAsia="PMingLiU" w:hAnsi="PMingLiU"/>
          <w:sz w:val="20"/>
          <w:szCs w:val="20"/>
          <w:color w:val="000041"/>
        </w:rPr>
        <w:t/>
      </w:r>
      <w:r>
        <w:rPr>
          <w:rFonts w:ascii="Arial" w:cs="Arial" w:eastAsia="Arial" w:hAnsi="Arial"/>
          <w:sz w:val="20"/>
          <w:szCs w:val="20"/>
          <w:color w:val="000041"/>
        </w:rPr>
        <w:t>Ą</w:t>
      </w:r>
      <w:r>
        <w:rPr>
          <w:rFonts w:ascii="PMingLiU" w:cs="PMingLiU" w:eastAsia="PMingLiU" w:hAnsi="PMingLiU"/>
          <w:sz w:val="20"/>
          <w:szCs w:val="20"/>
          <w:color w:val="000041"/>
        </w:rPr>
        <w:t></w:t>
      </w:r>
      <w:r>
        <w:rPr>
          <w:rFonts w:ascii="Arial" w:cs="Arial" w:eastAsia="Arial" w:hAnsi="Arial"/>
          <w:sz w:val="20"/>
          <w:szCs w:val="20"/>
          <w:color w:val="000041"/>
        </w:rPr>
        <w:t>Č¶</w:t>
      </w:r>
    </w:p>
    <w:p>
      <w:pPr>
        <w:spacing w:after="0" w:line="115" w:lineRule="exact"/>
        <w:rPr>
          <w:sz w:val="20"/>
          <w:szCs w:val="20"/>
          <w:color w:val="auto"/>
        </w:rPr>
      </w:pPr>
    </w:p>
    <w:p>
      <w:pPr>
        <w:jc w:val="both"/>
        <w:ind w:right="60"/>
        <w:spacing w:after="0" w:line="318"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and cash equiva-lents, accounts receivable, and unbilled receivables.</w:t>
      </w:r>
    </w:p>
    <w:p>
      <w:pPr>
        <w:spacing w:after="0" w:line="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The Company maintains cash and cash equivalents with various major financial institutions around the world. The Company limits the amount of credit exposure with any one financial institution and believes that no significant con-centration of credit risk exists with respect to cash and cash equivalent balances.</w:t>
      </w:r>
    </w:p>
    <w:p>
      <w:pPr>
        <w:spacing w:after="0" w:line="27" w:lineRule="exact"/>
        <w:rPr>
          <w:sz w:val="20"/>
          <w:szCs w:val="20"/>
          <w:color w:val="auto"/>
        </w:rPr>
      </w:pPr>
    </w:p>
    <w:p>
      <w:pPr>
        <w:jc w:val="both"/>
        <w:ind w:right="60"/>
        <w:spacing w:after="0" w:line="319" w:lineRule="auto"/>
        <w:rPr>
          <w:sz w:val="20"/>
          <w:szCs w:val="20"/>
          <w:color w:val="auto"/>
        </w:rPr>
      </w:pPr>
      <w:r>
        <w:rPr>
          <w:rFonts w:ascii="Arial" w:cs="Arial" w:eastAsia="Arial" w:hAnsi="Arial"/>
          <w:sz w:val="18"/>
          <w:szCs w:val="18"/>
          <w:color w:val="auto"/>
        </w:rPr>
        <w:t>Accounts receivable and unbilled receivables subject the Company to the potential for credit risk with customers. To reduce credit risk, the Company performs ongoing evaluations of its customers’ financial condition.</w:t>
      </w:r>
    </w:p>
    <w:p>
      <w:pPr>
        <w:spacing w:after="0" w:line="123"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ӭіћӮ</w:t>
      </w:r>
      <w:r>
        <w:rPr>
          <w:rFonts w:ascii="PMingLiU" w:cs="PMingLiU" w:eastAsia="PMingLiU" w:hAnsi="PMingLiU"/>
          <w:sz w:val="20"/>
          <w:szCs w:val="20"/>
          <w:color w:val="000041"/>
        </w:rPr>
        <w:t/>
      </w:r>
      <w:r>
        <w:rPr>
          <w:rFonts w:ascii="Arial" w:cs="Arial" w:eastAsia="Arial" w:hAnsi="Arial"/>
          <w:sz w:val="20"/>
          <w:szCs w:val="20"/>
          <w:color w:val="000041"/>
        </w:rPr>
        <w:t>:ÝÇěĄ</w:t>
      </w:r>
      <w:r>
        <w:rPr>
          <w:rFonts w:ascii="PMingLiU" w:cs="PMingLiU" w:eastAsia="PMingLiU" w:hAnsi="PMingLiU"/>
          <w:sz w:val="20"/>
          <w:szCs w:val="20"/>
          <w:color w:val="000041"/>
        </w:rPr>
        <w:t/>
      </w:r>
      <w:r>
        <w:rPr>
          <w:rFonts w:ascii="Arial" w:cs="Arial" w:eastAsia="Arial" w:hAnsi="Arial"/>
          <w:sz w:val="20"/>
          <w:szCs w:val="20"/>
          <w:color w:val="000041"/>
        </w:rPr>
        <w:t>:ě</w:t>
      </w:r>
      <w:r>
        <w:rPr>
          <w:rFonts w:ascii="PMingLiU" w:cs="PMingLiU" w:eastAsia="PMingLiU" w:hAnsi="PMingLiU"/>
          <w:sz w:val="20"/>
          <w:szCs w:val="20"/>
          <w:color w:val="000041"/>
        </w:rPr>
        <w:t/>
      </w:r>
      <w:r>
        <w:rPr>
          <w:rFonts w:ascii="Arial" w:cs="Arial" w:eastAsia="Arial" w:hAnsi="Arial"/>
          <w:sz w:val="20"/>
          <w:szCs w:val="20"/>
          <w:color w:val="000041"/>
        </w:rPr>
        <w:t>9</w:t>
      </w:r>
      <w:r>
        <w:rPr>
          <w:rFonts w:ascii="PMingLiU" w:cs="PMingLiU" w:eastAsia="PMingLiU" w:hAnsi="PMingLiU"/>
          <w:sz w:val="20"/>
          <w:szCs w:val="20"/>
          <w:color w:val="000041"/>
        </w:rPr>
        <w:t/>
      </w:r>
      <w:r>
        <w:rPr>
          <w:rFonts w:ascii="Arial" w:cs="Arial" w:eastAsia="Arial" w:hAnsi="Arial"/>
          <w:sz w:val="20"/>
          <w:szCs w:val="20"/>
          <w:color w:val="000041"/>
        </w:rPr>
        <w:t>¸</w:t>
      </w:r>
      <w:r>
        <w:rPr>
          <w:rFonts w:ascii="PMingLiU" w:cs="PMingLiU" w:eastAsia="PMingLiU" w:hAnsi="PMingLiU"/>
          <w:sz w:val="20"/>
          <w:szCs w:val="20"/>
          <w:color w:val="000041"/>
        </w:rPr>
        <w:t/>
      </w:r>
      <w:r>
        <w:rPr>
          <w:rFonts w:ascii="Arial" w:cs="Arial" w:eastAsia="Arial" w:hAnsi="Arial"/>
          <w:sz w:val="20"/>
          <w:szCs w:val="20"/>
          <w:color w:val="000041"/>
        </w:rPr>
        <w:t>Ç:KČ</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 at December 31 are set forth in the following table: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8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Balance sheet account</w:t>
            </w:r>
          </w:p>
        </w:tc>
        <w:tc>
          <w:tcPr>
            <w:tcW w:w="2480" w:type="dxa"/>
            <w:vAlign w:val="bottom"/>
            <w:tcBorders>
              <w:bottom w:val="single" w:sz="8" w:color="000041"/>
            </w:tcBorders>
          </w:tcPr>
          <w:p>
            <w:pPr>
              <w:spacing w:after="0"/>
              <w:rPr>
                <w:sz w:val="23"/>
                <w:szCs w:val="23"/>
                <w:color w:val="auto"/>
              </w:rPr>
            </w:pPr>
          </w:p>
        </w:tc>
        <w:tc>
          <w:tcPr>
            <w:tcW w:w="840" w:type="dxa"/>
            <w:vAlign w:val="bottom"/>
            <w:tcBorders>
              <w:bottom w:val="single" w:sz="8" w:color="000041"/>
            </w:tcBorders>
          </w:tcPr>
          <w:p>
            <w:pPr>
              <w:jc w:val="right"/>
              <w:ind w:right="70"/>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000041"/>
            </w:tcBorders>
          </w:tcPr>
          <w:p>
            <w:pPr>
              <w:spacing w:after="0"/>
              <w:rPr>
                <w:sz w:val="23"/>
                <w:szCs w:val="23"/>
                <w:color w:val="auto"/>
              </w:rPr>
            </w:pPr>
          </w:p>
        </w:tc>
        <w:tc>
          <w:tcPr>
            <w:tcW w:w="8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000041"/>
            </w:tcBorders>
            <w:gridSpan w:val="2"/>
          </w:tcPr>
          <w:p>
            <w:pPr>
              <w:jc w:val="right"/>
              <w:spacing w:after="0"/>
              <w:rPr>
                <w:sz w:val="20"/>
                <w:szCs w:val="20"/>
                <w:color w:val="auto"/>
              </w:rPr>
            </w:pPr>
            <w:r>
              <w:rPr>
                <w:rFonts w:ascii="Arial" w:cs="Arial" w:eastAsia="Arial" w:hAnsi="Arial"/>
                <w:sz w:val="18"/>
                <w:szCs w:val="18"/>
                <w:color w:val="auto"/>
              </w:rPr>
              <w:t>Change</w:t>
            </w:r>
          </w:p>
        </w:tc>
      </w:tr>
      <w:tr>
        <w:trPr>
          <w:trHeight w:val="261"/>
        </w:trPr>
        <w:tc>
          <w:tcPr>
            <w:tcW w:w="5080" w:type="dxa"/>
            <w:vAlign w:val="bottom"/>
          </w:tcPr>
          <w:p>
            <w:pPr>
              <w:spacing w:after="0"/>
              <w:rPr>
                <w:sz w:val="20"/>
                <w:szCs w:val="20"/>
                <w:color w:val="auto"/>
              </w:rPr>
            </w:pPr>
            <w:r>
              <w:rPr>
                <w:rFonts w:ascii="Arial" w:cs="Arial" w:eastAsia="Arial" w:hAnsi="Arial"/>
                <w:sz w:val="18"/>
                <w:szCs w:val="18"/>
                <w:color w:val="auto"/>
              </w:rPr>
              <w:t>Unbilled receivables</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127.3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4"/>
        </w:trPr>
        <w:tc>
          <w:tcPr>
            <w:tcW w:w="5080" w:type="dxa"/>
            <w:vAlign w:val="bottom"/>
          </w:tcPr>
          <w:p>
            <w:pPr>
              <w:spacing w:after="0"/>
              <w:rPr>
                <w:sz w:val="20"/>
                <w:szCs w:val="20"/>
                <w:color w:val="auto"/>
              </w:rPr>
            </w:pPr>
            <w:r>
              <w:rPr>
                <w:rFonts w:ascii="Arial" w:cs="Arial" w:eastAsia="Arial" w:hAnsi="Arial"/>
                <w:sz w:val="18"/>
                <w:szCs w:val="18"/>
                <w:color w:val="auto"/>
              </w:rPr>
              <w:t>Deferred revenue—current</w:t>
            </w:r>
          </w:p>
        </w:tc>
        <w:tc>
          <w:tcPr>
            <w:tcW w:w="24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97"/>
              </w:rPr>
              <w:t>(1,906.8)</w:t>
            </w:r>
          </w:p>
        </w:tc>
        <w:tc>
          <w:tcPr>
            <w:tcW w:w="2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w w:val="91"/>
              </w:rPr>
              <w:t>(1,737.4)</w:t>
            </w:r>
          </w:p>
        </w:tc>
        <w:tc>
          <w:tcPr>
            <w:tcW w:w="3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(169.4)</w:t>
            </w:r>
          </w:p>
        </w:tc>
      </w:tr>
      <w:tr>
        <w:trPr>
          <w:trHeight w:val="268"/>
        </w:trPr>
        <w:tc>
          <w:tcPr>
            <w:tcW w:w="508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Deferred revenue—non-current</w:t>
            </w:r>
          </w:p>
        </w:tc>
        <w:tc>
          <w:tcPr>
            <w:tcW w:w="2480" w:type="dxa"/>
            <w:vAlign w:val="bottom"/>
            <w:tcBorders>
              <w:bottom w:val="single" w:sz="8" w:color="000041"/>
            </w:tcBorders>
          </w:tcPr>
          <w:p>
            <w:pPr>
              <w:spacing w:after="0"/>
              <w:rPr>
                <w:sz w:val="23"/>
                <w:szCs w:val="23"/>
                <w:color w:val="auto"/>
              </w:rPr>
            </w:pPr>
          </w:p>
        </w:tc>
        <w:tc>
          <w:tcPr>
            <w:tcW w:w="8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rPr>
              <w:t>(170.8)</w:t>
            </w:r>
          </w:p>
        </w:tc>
        <w:tc>
          <w:tcPr>
            <w:tcW w:w="220" w:type="dxa"/>
            <w:vAlign w:val="bottom"/>
            <w:tcBorders>
              <w:bottom w:val="single" w:sz="8" w:color="000041"/>
            </w:tcBorders>
          </w:tcPr>
          <w:p>
            <w:pPr>
              <w:spacing w:after="0"/>
              <w:rPr>
                <w:sz w:val="23"/>
                <w:szCs w:val="23"/>
                <w:color w:val="auto"/>
              </w:rPr>
            </w:pPr>
          </w:p>
        </w:tc>
        <w:tc>
          <w:tcPr>
            <w:tcW w:w="82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rPr>
              <w:t>(154.7)</w:t>
            </w:r>
          </w:p>
        </w:tc>
        <w:tc>
          <w:tcPr>
            <w:tcW w:w="320" w:type="dxa"/>
            <w:vAlign w:val="bottom"/>
            <w:tcBorders>
              <w:bottom w:val="single" w:sz="8" w:color="000041"/>
            </w:tcBorders>
          </w:tcPr>
          <w:p>
            <w:pPr>
              <w:spacing w:after="0"/>
              <w:rPr>
                <w:sz w:val="23"/>
                <w:szCs w:val="23"/>
                <w:color w:val="auto"/>
              </w:rPr>
            </w:pPr>
          </w:p>
        </w:tc>
        <w:tc>
          <w:tcPr>
            <w:tcW w:w="5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(16.1)</w:t>
            </w:r>
          </w:p>
        </w:tc>
      </w:tr>
      <w:tr>
        <w:trPr>
          <w:trHeight w:val="295"/>
        </w:trPr>
        <w:tc>
          <w:tcPr>
            <w:tcW w:w="508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Net contract assets/(liabilities)</w:t>
            </w:r>
          </w:p>
        </w:tc>
        <w:tc>
          <w:tcPr>
            <w:tcW w:w="24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00041"/>
            </w:tcBorders>
          </w:tcPr>
          <w:p>
            <w:pPr>
              <w:jc w:val="right"/>
              <w:ind w:right="30"/>
              <w:spacing w:after="0"/>
              <w:rPr>
                <w:sz w:val="20"/>
                <w:szCs w:val="20"/>
                <w:color w:val="auto"/>
              </w:rPr>
            </w:pPr>
            <w:r>
              <w:rPr>
                <w:rFonts w:ascii="Arial" w:cs="Arial" w:eastAsia="Arial" w:hAnsi="Arial"/>
                <w:sz w:val="18"/>
                <w:szCs w:val="18"/>
                <w:color w:val="auto"/>
                <w:w w:val="97"/>
              </w:rPr>
              <w:t>(1,953.6)</w:t>
            </w:r>
          </w:p>
        </w:tc>
        <w:tc>
          <w:tcPr>
            <w:tcW w:w="2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000041"/>
            </w:tcBorders>
          </w:tcPr>
          <w:p>
            <w:pPr>
              <w:jc w:val="right"/>
              <w:ind w:right="50"/>
              <w:spacing w:after="0"/>
              <w:rPr>
                <w:sz w:val="20"/>
                <w:szCs w:val="20"/>
                <w:color w:val="auto"/>
              </w:rPr>
            </w:pPr>
            <w:r>
              <w:rPr>
                <w:rFonts w:ascii="Arial" w:cs="Arial" w:eastAsia="Arial" w:hAnsi="Arial"/>
                <w:sz w:val="18"/>
                <w:szCs w:val="18"/>
                <w:color w:val="auto"/>
                <w:w w:val="91"/>
              </w:rPr>
              <w:t>(1,764.8)</w:t>
            </w:r>
          </w:p>
        </w:tc>
        <w:tc>
          <w:tcPr>
            <w:tcW w:w="3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w w:val="94"/>
              </w:rPr>
              <w:t>(188.8)</w:t>
            </w:r>
          </w:p>
        </w:tc>
      </w:tr>
    </w:tbl>
    <w:p>
      <w:pPr>
        <w:spacing w:after="0" w:line="142" w:lineRule="exact"/>
        <w:rPr>
          <w:sz w:val="20"/>
          <w:szCs w:val="20"/>
          <w:color w:val="auto"/>
        </w:rPr>
      </w:pPr>
    </w:p>
    <w:p>
      <w:pPr>
        <w:jc w:val="both"/>
        <w:spacing w:after="0" w:line="241" w:lineRule="exact"/>
        <w:rPr>
          <w:sz w:val="20"/>
          <w:szCs w:val="20"/>
          <w:color w:val="auto"/>
        </w:rPr>
      </w:pP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ƺȃƃȶǼǉ</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ȶǉɽ</w:t>
      </w:r>
      <w:r>
        <w:rPr>
          <w:rFonts w:ascii="PMingLiU" w:cs="PMingLiU" w:eastAsia="PMingLiU" w:hAnsi="PMingLiU"/>
          <w:sz w:val="18"/>
          <w:szCs w:val="18"/>
          <w:color w:val="auto"/>
        </w:rPr>
        <w:t/>
      </w:r>
      <w:r>
        <w:rPr>
          <w:rFonts w:ascii="Arial" w:cs="Arial" w:eastAsia="Arial" w:hAnsi="Arial"/>
          <w:sz w:val="18"/>
          <w:szCs w:val="18"/>
          <w:color w:val="auto"/>
        </w:rPr>
        <w:t>ƺɁȶɽɨƃƺɽ</w:t>
      </w:r>
      <w:r>
        <w:rPr>
          <w:rFonts w:ascii="PMingLiU" w:cs="PMingLiU" w:eastAsia="PMingLiU" w:hAnsi="PMingLiU"/>
          <w:sz w:val="18"/>
          <w:szCs w:val="18"/>
          <w:color w:val="auto"/>
        </w:rPr>
        <w:t/>
      </w:r>
      <w:r>
        <w:rPr>
          <w:rFonts w:ascii="Arial" w:cs="Arial" w:eastAsia="Arial" w:hAnsi="Arial"/>
          <w:sz w:val="18"/>
          <w:szCs w:val="18"/>
          <w:color w:val="auto"/>
        </w:rPr>
        <w:t xml:space="preserve">ƃɰɰǉɽɰ </w:t>
      </w:r>
      <w:r>
        <w:rPr>
          <w:rFonts w:ascii="Arial" w:cs="Arial" w:eastAsia="Arial" w:hAnsi="Arial"/>
          <w:sz w:val="18"/>
          <w:szCs w:val="18"/>
          <w:color w:val="auto"/>
        </w:rPr>
        <w:t>ӣӯ</w:t>
      </w:r>
      <w:r>
        <w:rPr>
          <w:rFonts w:ascii="Arial" w:cs="Arial" w:eastAsia="Arial" w:hAnsi="Arial"/>
          <w:sz w:val="18"/>
          <w:szCs w:val="18"/>
          <w:color w:val="auto"/>
        </w:rPr>
        <w:t>ȢȈƃƹȈȢȈɽȈǉɰ</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ǹɨɁȴ</w:t>
      </w:r>
      <w:r>
        <w:rPr>
          <w:rFonts w:ascii="PMingLiU" w:cs="PMingLiU" w:eastAsia="PMingLiU" w:hAnsi="PMingLiU"/>
          <w:sz w:val="18"/>
          <w:szCs w:val="18"/>
          <w:color w:val="auto"/>
        </w:rPr>
        <w:t/>
      </w:r>
      <w:r>
        <w:rPr>
          <w:rFonts w:ascii="Arial" w:cs="Arial" w:eastAsia="Arial" w:hAnsi="Arial"/>
          <w:sz w:val="18"/>
          <w:szCs w:val="18"/>
          <w:color w:val="auto"/>
        </w:rPr>
        <w:t>Aǉƺǉȴƹǉɨ</w:t>
      </w:r>
      <w:r>
        <w:rPr>
          <w:rFonts w:ascii="PMingLiU" w:cs="PMingLiU" w:eastAsia="PMingLiU" w:hAnsi="PMingLiU"/>
          <w:sz w:val="18"/>
          <w:szCs w:val="18"/>
          <w:color w:val="auto"/>
        </w:rPr>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ɥɨȈȴƃɨȈȢʰ</w:t>
      </w:r>
      <w:r>
        <w:rPr>
          <w:rFonts w:ascii="PMingLiU" w:cs="PMingLiU" w:eastAsia="PMingLiU" w:hAnsi="PMingLiU"/>
          <w:sz w:val="18"/>
          <w:szCs w:val="18"/>
          <w:color w:val="auto"/>
        </w:rPr>
        <w:t/>
      </w:r>
      <w:r>
        <w:rPr>
          <w:rFonts w:ascii="Arial" w:cs="Arial" w:eastAsia="Arial" w:hAnsi="Arial"/>
          <w:sz w:val="18"/>
          <w:szCs w:val="18"/>
          <w:color w:val="auto"/>
        </w:rPr>
        <w:t>ǁʍǉ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the timing of payments and invoicing as well as growth related to SaaS and PCS renewals.</w:t>
      </w:r>
    </w:p>
    <w:p>
      <w:pPr>
        <w:spacing w:after="0" w:line="68"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Ąǉʤǉȶʍǉ</w:t>
      </w:r>
      <w:r>
        <w:rPr>
          <w:rFonts w:ascii="PMingLiU" w:cs="PMingLiU" w:eastAsia="PMingLiU" w:hAnsi="PMingLiU"/>
          <w:sz w:val="18"/>
          <w:szCs w:val="18"/>
          <w:color w:val="auto"/>
        </w:rPr>
        <w:t/>
      </w:r>
      <w:r>
        <w:rPr>
          <w:rFonts w:ascii="Arial" w:cs="Arial" w:eastAsia="Arial" w:hAnsi="Arial"/>
          <w:sz w:val="18"/>
          <w:szCs w:val="18"/>
          <w:color w:val="auto"/>
        </w:rPr>
        <w:t>ɨǉƺɁǼȶȈ˃ǉǁ</w:t>
      </w:r>
      <w:r>
        <w:rPr>
          <w:rFonts w:ascii="PMingLiU" w:cs="PMingLiU" w:eastAsia="PMingLiU" w:hAnsi="PMingLiU"/>
          <w:sz w:val="18"/>
          <w:szCs w:val="18"/>
          <w:color w:val="auto"/>
        </w:rPr>
        <w:t/>
      </w:r>
      <w:r>
        <w:rPr>
          <w:rFonts w:ascii="Arial" w:cs="Arial" w:eastAsia="Arial" w:hAnsi="Arial"/>
          <w:sz w:val="18"/>
          <w:szCs w:val="18"/>
          <w:color w:val="auto"/>
        </w:rPr>
        <w:t>ǁʍɨȈȶǼ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ȈȶƺȢʍǁǉǁ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ǁǉǹǉɨɨǉǁ</w:t>
      </w:r>
      <w:r>
        <w:rPr>
          <w:rFonts w:ascii="PMingLiU" w:cs="PMingLiU" w:eastAsia="PMingLiU" w:hAnsi="PMingLiU"/>
          <w:sz w:val="18"/>
          <w:szCs w:val="18"/>
          <w:color w:val="auto"/>
        </w:rPr>
        <w:t/>
      </w:r>
      <w:r>
        <w:rPr>
          <w:rFonts w:ascii="Arial" w:cs="Arial" w:eastAsia="Arial" w:hAnsi="Arial"/>
          <w:sz w:val="18"/>
          <w:szCs w:val="18"/>
          <w:color w:val="auto"/>
        </w:rPr>
        <w:t>ɨǉʤǉȶʍǉ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balance on December 31, 2024 and 2023 was $1,716.9 and $1,546.5, respectively. In order to determine revenues rec-ognized in the period from contract liabilities, we allocate revenue to the individual deferred revenue balance out-standing at the beginning of the year until the revenue exceeds that balance.</w:t>
      </w:r>
    </w:p>
    <w:p>
      <w:pPr>
        <w:spacing w:after="0" w:line="70" w:lineRule="exact"/>
        <w:rPr>
          <w:sz w:val="20"/>
          <w:szCs w:val="20"/>
          <w:color w:val="auto"/>
        </w:rPr>
      </w:pPr>
    </w:p>
    <w:p>
      <w:pPr>
        <w:jc w:val="both"/>
        <w:ind w:right="60"/>
        <w:spacing w:after="0" w:line="241" w:lineRule="exact"/>
        <w:rPr>
          <w:sz w:val="20"/>
          <w:szCs w:val="20"/>
          <w:color w:val="auto"/>
        </w:rPr>
      </w:pPr>
      <w:r>
        <w:rPr>
          <w:rFonts w:ascii="Arial" w:cs="Arial" w:eastAsia="Arial" w:hAnsi="Arial"/>
          <w:sz w:val="18"/>
          <w:szCs w:val="18"/>
          <w:color w:val="auto"/>
        </w:rPr>
        <w:t xml:space="preserve">Impairment losses recognized on our accounts receivable and unbilled receivables were immaterial in each of the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їѕїјӗ</w:t>
      </w:r>
      <w:r>
        <w:rPr>
          <w:rFonts w:ascii="PMingLiU" w:cs="PMingLiU" w:eastAsia="PMingLiU" w:hAnsi="PMingLiU"/>
          <w:sz w:val="18"/>
          <w:szCs w:val="18"/>
          <w:color w:val="auto"/>
        </w:rPr>
        <w:t/>
      </w:r>
      <w:r>
        <w:rPr>
          <w:rFonts w:ascii="Arial" w:cs="Arial" w:eastAsia="Arial" w:hAnsi="Arial"/>
          <w:sz w:val="18"/>
          <w:szCs w:val="18"/>
          <w:color w:val="auto"/>
        </w:rPr>
        <w:t>ɨǉɰɥǉƺɽȈʤǉȢʰ</w:t>
      </w:r>
      <w:r>
        <w:rPr>
          <w:rFonts w:ascii="Arial" w:cs="Arial" w:eastAsia="Arial" w:hAnsi="Arial"/>
          <w:sz w:val="18"/>
          <w:szCs w:val="18"/>
          <w:color w:val="auto"/>
        </w:rPr>
        <w:t>ӝ</w:t>
      </w:r>
    </w:p>
    <w:p>
      <w:pPr>
        <w:spacing w:after="0" w:line="191"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ӭіќӮ</w:t>
      </w:r>
      <w:r>
        <w:rPr>
          <w:rFonts w:ascii="PMingLiU" w:cs="PMingLiU" w:eastAsia="PMingLiU" w:hAnsi="PMingLiU"/>
          <w:sz w:val="20"/>
          <w:szCs w:val="20"/>
          <w:color w:val="000041"/>
        </w:rPr>
        <w:t/>
      </w:r>
      <w:r>
        <w:rPr>
          <w:rFonts w:ascii="Arial" w:cs="Arial" w:eastAsia="Arial" w:hAnsi="Arial"/>
          <w:sz w:val="20"/>
          <w:szCs w:val="20"/>
          <w:color w:val="000041"/>
        </w:rPr>
        <w:t>¸K</w:t>
      </w:r>
      <w:r>
        <w:rPr>
          <w:rFonts w:ascii="PMingLiU" w:cs="PMingLiU" w:eastAsia="PMingLiU" w:hAnsi="PMingLiU"/>
          <w:sz w:val="20"/>
          <w:szCs w:val="20"/>
          <w:color w:val="000041"/>
        </w:rPr>
        <w:t/>
      </w:r>
      <w:r>
        <w:rPr>
          <w:rFonts w:ascii="Arial" w:cs="Arial" w:eastAsia="Arial" w:hAnsi="Arial"/>
          <w:sz w:val="20"/>
          <w:szCs w:val="20"/>
          <w:color w:val="000041"/>
        </w:rPr>
        <w:t>ČKČ</w:t>
      </w:r>
    </w:p>
    <w:p>
      <w:pPr>
        <w:spacing w:after="0" w:line="115" w:lineRule="exact"/>
        <w:rPr>
          <w:sz w:val="20"/>
          <w:szCs w:val="20"/>
          <w:color w:val="auto"/>
        </w:rPr>
      </w:pPr>
    </w:p>
    <w:p>
      <w:pPr>
        <w:jc w:val="both"/>
        <w:ind w:right="60"/>
        <w:spacing w:after="0" w:line="269" w:lineRule="auto"/>
        <w:rPr>
          <w:sz w:val="20"/>
          <w:szCs w:val="20"/>
          <w:color w:val="auto"/>
        </w:rPr>
      </w:pPr>
      <w:r>
        <w:rPr>
          <w:rFonts w:ascii="Arial" w:cs="Arial" w:eastAsia="Arial" w:hAnsi="Arial"/>
          <w:sz w:val="18"/>
          <w:szCs w:val="18"/>
          <w:color w:val="auto"/>
        </w:rPr>
        <w:t>The Company’s operating leases are primarily for real property in support of our business operations. Although many of our leases contain renewal options, we generally are not reasonably certain to exercise these options at the com-mencement date. Accordingly, renewal options are generally not included in the lease term for determining the right-of-use (“ROU”) asset and lease liability at commencement. Variable lease payments generally depend on an inflation-based index and such payments are not included in the original estimate of the lease liability. These variable lease payments are not material.</w:t>
      </w:r>
    </w:p>
    <w:p>
      <w:pPr>
        <w:sectPr>
          <w:pgSz w:w="12240" w:h="15840" w:orient="portrait"/>
          <w:cols w:equalWidth="0" w:num="1">
            <w:col w:w="10380"/>
          </w:cols>
          <w:pgMar w:left="960" w:top="935" w:right="900" w:bottom="90" w:gutter="0" w:footer="0" w:header="0"/>
        </w:sectPr>
      </w:pPr>
    </w:p>
    <w:p>
      <w:pPr>
        <w:spacing w:after="0" w:line="396" w:lineRule="exact"/>
        <w:rPr>
          <w:sz w:val="20"/>
          <w:szCs w:val="20"/>
          <w:color w:val="auto"/>
        </w:rPr>
      </w:pPr>
    </w:p>
    <w:p>
      <w:pPr>
        <w:ind w:left="3500"/>
        <w:spacing w:after="0" w:line="146" w:lineRule="exact"/>
        <w:tabs>
          <w:tab w:leader="none" w:pos="1016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61</w:t>
      </w:r>
    </w:p>
    <w:p>
      <w:pPr>
        <w:sectPr>
          <w:pgSz w:w="12240" w:h="15840" w:orient="portrait"/>
          <w:cols w:equalWidth="0" w:num="1">
            <w:col w:w="10380"/>
          </w:cols>
          <w:pgMar w:left="960" w:top="935" w:right="900" w:bottom="90" w:gutter="0" w:footer="0" w:header="0"/>
          <w:type w:val="continuous"/>
        </w:sectPr>
      </w:pPr>
    </w:p>
    <w:bookmarkStart w:id="63" w:name="page64"/>
    <w:bookmarkEnd w:id="63"/>
    <w:p>
      <w:pPr>
        <w:spacing w:after="0" w:line="241"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yɁɨ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їѕїљӗ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їѕїјӗ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ɨǉƺɁǼȶȈ˃ǉǁ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ћѕӝіӗ</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њјӝўӗ</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Ԥ</w:t>
      </w:r>
      <w:r>
        <w:rPr>
          <w:rFonts w:ascii="Arial" w:cs="Arial" w:eastAsia="Arial" w:hAnsi="Arial"/>
          <w:sz w:val="18"/>
          <w:szCs w:val="18"/>
          <w:color w:val="auto"/>
        </w:rPr>
        <w:t>њѕӝћ</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Ɂɥǉɨƃɽ-ing lease expense, respectively.</w:t>
      </w:r>
    </w:p>
    <w:p>
      <w:pPr>
        <w:spacing w:after="0" w:line="68" w:lineRule="exact"/>
        <w:rPr>
          <w:sz w:val="20"/>
          <w:szCs w:val="20"/>
          <w:color w:val="auto"/>
        </w:rPr>
      </w:pPr>
    </w:p>
    <w:p>
      <w:pPr>
        <w:spacing w:after="0" w:line="319" w:lineRule="auto"/>
        <w:rPr>
          <w:sz w:val="20"/>
          <w:szCs w:val="20"/>
          <w:color w:val="auto"/>
        </w:rPr>
      </w:pPr>
      <w:r>
        <w:rPr>
          <w:rFonts w:ascii="Arial" w:cs="Arial" w:eastAsia="Arial" w:hAnsi="Arial"/>
          <w:sz w:val="18"/>
          <w:szCs w:val="18"/>
          <w:color w:val="auto"/>
        </w:rPr>
        <w:t>The following table presents the supplemental cash flow information related to the Company’s operating leases for the years ended December 31: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020" w:type="dxa"/>
            <w:vAlign w:val="bottom"/>
            <w:tcBorders>
              <w:bottom w:val="single" w:sz="8" w:color="000041"/>
            </w:tcBorders>
          </w:tcPr>
          <w:p>
            <w:pPr>
              <w:spacing w:after="0"/>
              <w:rPr>
                <w:sz w:val="23"/>
                <w:szCs w:val="23"/>
                <w:color w:val="auto"/>
              </w:rPr>
            </w:pPr>
          </w:p>
        </w:tc>
        <w:tc>
          <w:tcPr>
            <w:tcW w:w="14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2025</w:t>
            </w:r>
          </w:p>
        </w:tc>
        <w:tc>
          <w:tcPr>
            <w:tcW w:w="100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2024</w:t>
            </w:r>
          </w:p>
        </w:tc>
        <w:tc>
          <w:tcPr>
            <w:tcW w:w="8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2023</w:t>
            </w:r>
          </w:p>
        </w:tc>
      </w:tr>
      <w:tr>
        <w:trPr>
          <w:trHeight w:val="261"/>
        </w:trPr>
        <w:tc>
          <w:tcPr>
            <w:tcW w:w="7020" w:type="dxa"/>
            <w:vAlign w:val="bottom"/>
          </w:tcPr>
          <w:p>
            <w:pPr>
              <w:spacing w:after="0" w:line="219" w:lineRule="exact"/>
              <w:rPr>
                <w:sz w:val="20"/>
                <w:szCs w:val="20"/>
                <w:color w:val="auto"/>
              </w:rPr>
            </w:pPr>
            <w:r>
              <w:rPr>
                <w:rFonts w:ascii="Arial" w:cs="Arial" w:eastAsia="Arial" w:hAnsi="Arial"/>
                <w:sz w:val="18"/>
                <w:szCs w:val="18"/>
                <w:color w:val="auto"/>
              </w:rPr>
              <w:t>ÝɥǉɨƃɽȈȶǼ</w:t>
            </w:r>
            <w:r>
              <w:rPr>
                <w:rFonts w:ascii="PMingLiU" w:cs="PMingLiU" w:eastAsia="PMingLiU" w:hAnsi="PMingLiU"/>
                <w:sz w:val="18"/>
                <w:szCs w:val="18"/>
                <w:color w:val="auto"/>
              </w:rPr>
              <w:t/>
            </w:r>
            <w:r>
              <w:rPr>
                <w:rFonts w:ascii="Arial" w:cs="Arial" w:eastAsia="Arial" w:hAnsi="Arial"/>
                <w:sz w:val="18"/>
                <w:szCs w:val="18"/>
                <w:color w:val="auto"/>
              </w:rPr>
              <w:t>ƺƃɰȃ</w:t>
            </w:r>
            <w:r>
              <w:rPr>
                <w:rFonts w:ascii="PMingLiU" w:cs="PMingLiU" w:eastAsia="PMingLiU" w:hAnsi="PMingLiU"/>
                <w:sz w:val="18"/>
                <w:szCs w:val="18"/>
                <w:color w:val="auto"/>
              </w:rPr>
              <w:t/>
            </w:r>
            <w:r>
              <w:rPr>
                <w:rFonts w:ascii="Arial" w:cs="Arial" w:eastAsia="Arial" w:hAnsi="Arial"/>
                <w:sz w:val="18"/>
                <w:szCs w:val="18"/>
                <w:color w:val="auto"/>
              </w:rPr>
              <w:t>ːɁʥɰ</w:t>
            </w:r>
            <w:r>
              <w:rPr>
                <w:rFonts w:ascii="PMingLiU" w:cs="PMingLiU" w:eastAsia="PMingLiU" w:hAnsi="PMingLiU"/>
                <w:sz w:val="18"/>
                <w:szCs w:val="18"/>
                <w:color w:val="auto"/>
              </w:rPr>
              <w:t/>
            </w:r>
            <w:r>
              <w:rPr>
                <w:rFonts w:ascii="Arial" w:cs="Arial" w:eastAsia="Arial" w:hAnsi="Arial"/>
                <w:sz w:val="18"/>
                <w:szCs w:val="18"/>
                <w:color w:val="auto"/>
              </w:rPr>
              <w:t>ʍɰǉǁ</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ɁɥǉɨƃɽȈȶǼ</w:t>
            </w:r>
            <w:r>
              <w:rPr>
                <w:rFonts w:ascii="PMingLiU" w:cs="PMingLiU" w:eastAsia="PMingLiU" w:hAnsi="PMingLiU"/>
                <w:sz w:val="18"/>
                <w:szCs w:val="18"/>
                <w:color w:val="auto"/>
              </w:rPr>
              <w:t/>
            </w:r>
            <w:r>
              <w:rPr>
                <w:rFonts w:ascii="Arial" w:cs="Arial" w:eastAsia="Arial" w:hAnsi="Arial"/>
                <w:sz w:val="18"/>
                <w:szCs w:val="18"/>
                <w:color w:val="auto"/>
              </w:rPr>
              <w:t>Ȣǉƃɰǉɰ</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$59.0</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$53.6</w:t>
            </w:r>
          </w:p>
        </w:tc>
        <w:tc>
          <w:tcPr>
            <w:tcW w:w="82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48"/>
        </w:trPr>
        <w:tc>
          <w:tcPr>
            <w:tcW w:w="70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148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$ 77.5</w:t>
            </w:r>
          </w:p>
        </w:tc>
        <w:tc>
          <w:tcPr>
            <w:tcW w:w="100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њїӝљ</w:t>
            </w:r>
          </w:p>
        </w:tc>
        <w:tc>
          <w:tcPr>
            <w:tcW w:w="8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ԤԞ</w:t>
            </w:r>
            <w:r>
              <w:rPr>
                <w:rFonts w:ascii="Arial" w:cs="Arial" w:eastAsia="Arial" w:hAnsi="Arial"/>
                <w:sz w:val="18"/>
                <w:szCs w:val="18"/>
                <w:color w:val="auto"/>
              </w:rPr>
              <w:t>їўӝћ</w:t>
            </w:r>
          </w:p>
        </w:tc>
      </w:tr>
    </w:tbl>
    <w:p>
      <w:pPr>
        <w:spacing w:after="0" w:line="142" w:lineRule="exact"/>
        <w:rPr>
          <w:sz w:val="20"/>
          <w:szCs w:val="20"/>
          <w:color w:val="auto"/>
        </w:rPr>
      </w:pPr>
    </w:p>
    <w:p>
      <w:pPr>
        <w:spacing w:after="0" w:line="241" w:lineRule="exact"/>
        <w:rPr>
          <w:sz w:val="20"/>
          <w:szCs w:val="20"/>
          <w:color w:val="auto"/>
        </w:rPr>
      </w:pPr>
      <w:r>
        <w:rPr>
          <w:rFonts w:ascii="Arial" w:cs="Arial" w:eastAsia="Arial" w:hAnsi="Arial"/>
          <w:sz w:val="18"/>
          <w:szCs w:val="18"/>
          <w:color w:val="auto"/>
        </w:rPr>
        <w:t>The following table presents the lease balances within the Consolidated Balance Sheets related to the Company’s ɁɥǉɨƃɽȈȶǼ</w:t>
      </w:r>
      <w:r>
        <w:rPr>
          <w:rFonts w:ascii="PMingLiU" w:cs="PMingLiU" w:eastAsia="PMingLiU" w:hAnsi="PMingLiU"/>
          <w:sz w:val="18"/>
          <w:szCs w:val="18"/>
          <w:color w:val="auto"/>
        </w:rPr>
        <w:t/>
      </w:r>
      <w:r>
        <w:rPr>
          <w:rFonts w:ascii="Arial" w:cs="Arial" w:eastAsia="Arial" w:hAnsi="Arial"/>
          <w:sz w:val="18"/>
          <w:szCs w:val="18"/>
          <w:color w:val="auto"/>
        </w:rPr>
        <w:t>Ȣǉƃɰǉɰ</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ɁǹԝAǉƺǉȴƹǉɨ</w:t>
      </w:r>
      <w:r>
        <w:rPr>
          <w:rFonts w:ascii="PMingLiU" w:cs="PMingLiU" w:eastAsia="PMingLiU" w:hAnsi="PMingLiU"/>
          <w:sz w:val="18"/>
          <w:szCs w:val="18"/>
          <w:color w:val="auto"/>
        </w:rPr>
        <w:t/>
      </w:r>
      <w:r>
        <w:rPr>
          <w:rFonts w:ascii="Arial" w:cs="Arial" w:eastAsia="Arial" w:hAnsi="Arial"/>
          <w:sz w:val="18"/>
          <w:szCs w:val="18"/>
          <w:color w:val="auto"/>
        </w:rPr>
        <w:t>јіӖ</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3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Lease assets and liabilities</w:t>
            </w:r>
          </w:p>
        </w:tc>
        <w:tc>
          <w:tcPr>
            <w:tcW w:w="3940" w:type="dxa"/>
            <w:vAlign w:val="bottom"/>
            <w:tcBorders>
              <w:bottom w:val="single" w:sz="8" w:color="000041"/>
            </w:tcBorders>
          </w:tcPr>
          <w:p>
            <w:pPr>
              <w:ind w:left="240"/>
              <w:spacing w:after="0"/>
              <w:rPr>
                <w:sz w:val="20"/>
                <w:szCs w:val="20"/>
                <w:color w:val="auto"/>
              </w:rPr>
            </w:pPr>
            <w:r>
              <w:rPr>
                <w:rFonts w:ascii="Arial" w:cs="Arial" w:eastAsia="Arial" w:hAnsi="Arial"/>
                <w:sz w:val="18"/>
                <w:szCs w:val="18"/>
                <w:color w:val="auto"/>
              </w:rPr>
              <w:t>Balance sheet account</w:t>
            </w:r>
          </w:p>
        </w:tc>
        <w:tc>
          <w:tcPr>
            <w:tcW w:w="232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2025</w:t>
            </w:r>
          </w:p>
        </w:tc>
        <w:tc>
          <w:tcPr>
            <w:tcW w:w="7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2024</w:t>
            </w:r>
          </w:p>
        </w:tc>
      </w:tr>
      <w:tr>
        <w:trPr>
          <w:trHeight w:val="261"/>
        </w:trPr>
        <w:tc>
          <w:tcPr>
            <w:tcW w:w="3320" w:type="dxa"/>
            <w:vAlign w:val="bottom"/>
          </w:tcPr>
          <w:p>
            <w:pPr>
              <w:spacing w:after="0"/>
              <w:rPr>
                <w:sz w:val="20"/>
                <w:szCs w:val="20"/>
                <w:color w:val="auto"/>
              </w:rPr>
            </w:pPr>
            <w:r>
              <w:rPr>
                <w:rFonts w:ascii="Arial" w:cs="Arial" w:eastAsia="Arial" w:hAnsi="Arial"/>
                <w:sz w:val="18"/>
                <w:szCs w:val="18"/>
                <w:color w:val="auto"/>
              </w:rPr>
              <w:t>ASSETS:</w:t>
            </w:r>
          </w:p>
        </w:tc>
        <w:tc>
          <w:tcPr>
            <w:tcW w:w="39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34"/>
        </w:trPr>
        <w:tc>
          <w:tcPr>
            <w:tcW w:w="3320" w:type="dxa"/>
            <w:vAlign w:val="bottom"/>
          </w:tcPr>
          <w:p>
            <w:pPr>
              <w:spacing w:after="0"/>
              <w:rPr>
                <w:sz w:val="20"/>
                <w:szCs w:val="20"/>
                <w:color w:val="auto"/>
              </w:rPr>
            </w:pPr>
            <w:r>
              <w:rPr>
                <w:rFonts w:ascii="Arial" w:cs="Arial" w:eastAsia="Arial" w:hAnsi="Arial"/>
                <w:sz w:val="18"/>
                <w:szCs w:val="18"/>
                <w:color w:val="auto"/>
              </w:rPr>
              <w:t>Operating lease ROU assets</w:t>
            </w:r>
          </w:p>
        </w:tc>
        <w:tc>
          <w:tcPr>
            <w:tcW w:w="394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$220.0</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$Ԟ189.4</w:t>
            </w:r>
          </w:p>
        </w:tc>
      </w:tr>
      <w:tr>
        <w:trPr>
          <w:trHeight w:val="234"/>
        </w:trPr>
        <w:tc>
          <w:tcPr>
            <w:tcW w:w="3320" w:type="dxa"/>
            <w:vAlign w:val="bottom"/>
          </w:tcPr>
          <w:p>
            <w:pPr>
              <w:spacing w:after="0"/>
              <w:rPr>
                <w:sz w:val="20"/>
                <w:szCs w:val="20"/>
                <w:color w:val="auto"/>
              </w:rPr>
            </w:pPr>
            <w:r>
              <w:rPr>
                <w:rFonts w:ascii="Arial" w:cs="Arial" w:eastAsia="Arial" w:hAnsi="Arial"/>
                <w:sz w:val="18"/>
                <w:szCs w:val="18"/>
                <w:color w:val="auto"/>
              </w:rPr>
              <w:t>LIABILITIES:</w:t>
            </w:r>
          </w:p>
        </w:tc>
        <w:tc>
          <w:tcPr>
            <w:tcW w:w="39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4"/>
        </w:trPr>
        <w:tc>
          <w:tcPr>
            <w:tcW w:w="332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3940" w:type="dxa"/>
            <w:vAlign w:val="bottom"/>
          </w:tcPr>
          <w:p>
            <w:pPr>
              <w:ind w:left="240"/>
              <w:spacing w:after="0"/>
              <w:rPr>
                <w:sz w:val="20"/>
                <w:szCs w:val="20"/>
                <w:color w:val="auto"/>
              </w:rPr>
            </w:pPr>
            <w:r>
              <w:rPr>
                <w:rFonts w:ascii="Arial" w:cs="Arial" w:eastAsia="Arial" w:hAnsi="Arial"/>
                <w:sz w:val="18"/>
                <w:szCs w:val="18"/>
                <w:color w:val="auto"/>
              </w:rPr>
              <w:t>Other accrued liabilities</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74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68"/>
        </w:trPr>
        <w:tc>
          <w:tcPr>
            <w:tcW w:w="332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Operating lease liabilities</w:t>
            </w:r>
          </w:p>
        </w:tc>
        <w:tc>
          <w:tcPr>
            <w:tcW w:w="3940" w:type="dxa"/>
            <w:vAlign w:val="bottom"/>
            <w:tcBorders>
              <w:bottom w:val="single" w:sz="8" w:color="000041"/>
            </w:tcBorders>
          </w:tcPr>
          <w:p>
            <w:pPr>
              <w:ind w:left="240"/>
              <w:spacing w:after="0"/>
              <w:rPr>
                <w:sz w:val="20"/>
                <w:szCs w:val="20"/>
                <w:color w:val="auto"/>
              </w:rPr>
            </w:pPr>
            <w:r>
              <w:rPr>
                <w:rFonts w:ascii="Arial" w:cs="Arial" w:eastAsia="Arial" w:hAnsi="Arial"/>
                <w:sz w:val="18"/>
                <w:szCs w:val="18"/>
                <w:color w:val="auto"/>
              </w:rPr>
              <w:t>Other liabilities</w:t>
            </w:r>
          </w:p>
        </w:tc>
        <w:tc>
          <w:tcPr>
            <w:tcW w:w="232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185.2</w:t>
            </w:r>
          </w:p>
        </w:tc>
        <w:tc>
          <w:tcPr>
            <w:tcW w:w="7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154.8</w:t>
            </w:r>
          </w:p>
        </w:tc>
      </w:tr>
      <w:tr>
        <w:trPr>
          <w:trHeight w:val="295"/>
        </w:trPr>
        <w:tc>
          <w:tcPr>
            <w:tcW w:w="332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Total operating lease liabilities</w:t>
            </w:r>
          </w:p>
        </w:tc>
        <w:tc>
          <w:tcPr>
            <w:tcW w:w="3940" w:type="dxa"/>
            <w:vAlign w:val="bottom"/>
            <w:tcBorders>
              <w:bottom w:val="single" w:sz="8" w:color="000041"/>
            </w:tcBorders>
          </w:tcPr>
          <w:p>
            <w:pPr>
              <w:spacing w:after="0"/>
              <w:rPr>
                <w:sz w:val="24"/>
                <w:szCs w:val="24"/>
                <w:color w:val="auto"/>
              </w:rPr>
            </w:pPr>
          </w:p>
        </w:tc>
        <w:tc>
          <w:tcPr>
            <w:tcW w:w="2320" w:type="dxa"/>
            <w:vAlign w:val="bottom"/>
            <w:tcBorders>
              <w:bottom w:val="single" w:sz="8" w:color="000041"/>
            </w:tcBorders>
          </w:tcPr>
          <w:p>
            <w:pPr>
              <w:jc w:val="right"/>
              <w:ind w:right="10"/>
              <w:spacing w:after="0"/>
              <w:rPr>
                <w:sz w:val="20"/>
                <w:szCs w:val="20"/>
                <w:color w:val="auto"/>
              </w:rPr>
            </w:pPr>
            <w:r>
              <w:rPr>
                <w:rFonts w:ascii="Arial" w:cs="Arial" w:eastAsia="Arial" w:hAnsi="Arial"/>
                <w:sz w:val="18"/>
                <w:szCs w:val="18"/>
                <w:color w:val="auto"/>
              </w:rPr>
              <w:t>$ 233.5</w:t>
            </w:r>
          </w:p>
        </w:tc>
        <w:tc>
          <w:tcPr>
            <w:tcW w:w="7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$201.0</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were as follows:</w:t>
      </w:r>
    </w:p>
    <w:p>
      <w:pPr>
        <w:spacing w:after="0" w:line="29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color w:val="auto"/>
              </w:rPr>
              <w:t>2026</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34"/>
        </w:trPr>
        <w:tc>
          <w:tcPr>
            <w:tcW w:w="6360" w:type="dxa"/>
            <w:vAlign w:val="bottom"/>
          </w:tcPr>
          <w:p>
            <w:pPr>
              <w:spacing w:after="0"/>
              <w:rPr>
                <w:sz w:val="20"/>
                <w:szCs w:val="20"/>
                <w:color w:val="auto"/>
              </w:rPr>
            </w:pPr>
            <w:r>
              <w:rPr>
                <w:rFonts w:ascii="Arial" w:cs="Arial" w:eastAsia="Arial" w:hAnsi="Arial"/>
                <w:sz w:val="18"/>
                <w:szCs w:val="18"/>
                <w:color w:val="auto"/>
              </w:rPr>
              <w:t>2027</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4"/>
        </w:trPr>
        <w:tc>
          <w:tcPr>
            <w:tcW w:w="6360" w:type="dxa"/>
            <w:vAlign w:val="bottom"/>
          </w:tcPr>
          <w:p>
            <w:pPr>
              <w:spacing w:after="0"/>
              <w:rPr>
                <w:sz w:val="20"/>
                <w:szCs w:val="20"/>
                <w:color w:val="auto"/>
              </w:rPr>
            </w:pPr>
            <w:r>
              <w:rPr>
                <w:rFonts w:ascii="Arial" w:cs="Arial" w:eastAsia="Arial" w:hAnsi="Arial"/>
                <w:sz w:val="18"/>
                <w:szCs w:val="18"/>
                <w:color w:val="auto"/>
              </w:rPr>
              <w:t>2028</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4"/>
        </w:trPr>
        <w:tc>
          <w:tcPr>
            <w:tcW w:w="6360" w:type="dxa"/>
            <w:vAlign w:val="bottom"/>
          </w:tcPr>
          <w:p>
            <w:pPr>
              <w:spacing w:after="0"/>
              <w:rPr>
                <w:sz w:val="20"/>
                <w:szCs w:val="20"/>
                <w:color w:val="auto"/>
              </w:rPr>
            </w:pPr>
            <w:r>
              <w:rPr>
                <w:rFonts w:ascii="Arial" w:cs="Arial" w:eastAsia="Arial" w:hAnsi="Arial"/>
                <w:sz w:val="18"/>
                <w:szCs w:val="18"/>
                <w:color w:val="auto"/>
              </w:rPr>
              <w:t>2029</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4"/>
        </w:trPr>
        <w:tc>
          <w:tcPr>
            <w:tcW w:w="6360" w:type="dxa"/>
            <w:vAlign w:val="bottom"/>
          </w:tcPr>
          <w:p>
            <w:pPr>
              <w:spacing w:after="0"/>
              <w:rPr>
                <w:sz w:val="20"/>
                <w:szCs w:val="20"/>
                <w:color w:val="auto"/>
              </w:rPr>
            </w:pPr>
            <w:r>
              <w:rPr>
                <w:rFonts w:ascii="Arial" w:cs="Arial" w:eastAsia="Arial" w:hAnsi="Arial"/>
                <w:sz w:val="18"/>
                <w:szCs w:val="18"/>
                <w:color w:val="auto"/>
              </w:rPr>
              <w:t>2030</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68"/>
        </w:trPr>
        <w:tc>
          <w:tcPr>
            <w:tcW w:w="63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000041"/>
            </w:tcBorders>
          </w:tcPr>
          <w:p>
            <w:pPr>
              <w:spacing w:after="0"/>
              <w:rPr>
                <w:sz w:val="23"/>
                <w:szCs w:val="23"/>
                <w:color w:val="auto"/>
              </w:rPr>
            </w:pPr>
          </w:p>
        </w:tc>
        <w:tc>
          <w:tcPr>
            <w:tcW w:w="5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65.5</w:t>
            </w:r>
          </w:p>
        </w:tc>
      </w:tr>
      <w:tr>
        <w:trPr>
          <w:trHeight w:val="261"/>
        </w:trPr>
        <w:tc>
          <w:tcPr>
            <w:tcW w:w="6360" w:type="dxa"/>
            <w:vAlign w:val="bottom"/>
          </w:tcPr>
          <w:p>
            <w:pPr>
              <w:spacing w:after="0"/>
              <w:rPr>
                <w:sz w:val="20"/>
                <w:szCs w:val="20"/>
                <w:color w:val="auto"/>
              </w:rPr>
            </w:pPr>
            <w:r>
              <w:rPr>
                <w:rFonts w:ascii="Arial" w:cs="Arial" w:eastAsia="Arial" w:hAnsi="Arial"/>
                <w:sz w:val="18"/>
                <w:szCs w:val="18"/>
                <w:color w:val="auto"/>
              </w:rPr>
              <w:t>Total operating lease payments</w:t>
            </w:r>
          </w:p>
        </w:tc>
        <w:tc>
          <w:tcPr>
            <w:tcW w:w="8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267.1</w:t>
            </w:r>
          </w:p>
        </w:tc>
      </w:tr>
      <w:tr>
        <w:trPr>
          <w:trHeight w:val="268"/>
        </w:trPr>
        <w:tc>
          <w:tcPr>
            <w:tcW w:w="63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Less: Imputed interest</w:t>
            </w:r>
          </w:p>
        </w:tc>
        <w:tc>
          <w:tcPr>
            <w:tcW w:w="800" w:type="dxa"/>
            <w:vAlign w:val="bottom"/>
            <w:tcBorders>
              <w:bottom w:val="single" w:sz="8" w:color="000041"/>
            </w:tcBorders>
          </w:tcPr>
          <w:p>
            <w:pPr>
              <w:spacing w:after="0"/>
              <w:rPr>
                <w:sz w:val="23"/>
                <w:szCs w:val="23"/>
                <w:color w:val="auto"/>
              </w:rPr>
            </w:pPr>
          </w:p>
        </w:tc>
        <w:tc>
          <w:tcPr>
            <w:tcW w:w="5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(33.6)</w:t>
            </w:r>
          </w:p>
        </w:tc>
      </w:tr>
      <w:tr>
        <w:trPr>
          <w:trHeight w:val="295"/>
        </w:trPr>
        <w:tc>
          <w:tcPr>
            <w:tcW w:w="63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Total operating lease liabilities</w:t>
            </w:r>
          </w:p>
        </w:tc>
        <w:tc>
          <w:tcPr>
            <w:tcW w:w="80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w w:val="97"/>
              </w:rPr>
              <w:t>233.5</w:t>
            </w:r>
          </w:p>
        </w:tc>
      </w:tr>
      <w:tr>
        <w:trPr>
          <w:trHeight w:val="260"/>
        </w:trPr>
        <w:tc>
          <w:tcPr>
            <w:tcW w:w="6360" w:type="dxa"/>
            <w:vAlign w:val="bottom"/>
          </w:tcPr>
          <w:p>
            <w:pPr>
              <w:spacing w:after="0"/>
              <w:rPr>
                <w:sz w:val="20"/>
                <w:szCs w:val="20"/>
                <w:color w:val="auto"/>
              </w:rPr>
            </w:pPr>
            <w:r>
              <w:rPr>
                <w:rFonts w:ascii="Arial" w:cs="Arial" w:eastAsia="Arial" w:hAnsi="Arial"/>
                <w:sz w:val="18"/>
                <w:szCs w:val="18"/>
                <w:color w:val="auto"/>
              </w:rPr>
              <w:t>Weighted average remaining lease term—operating leases (years)</w:t>
            </w:r>
          </w:p>
        </w:tc>
        <w:tc>
          <w:tcPr>
            <w:tcW w:w="8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49"/>
        </w:trPr>
        <w:tc>
          <w:tcPr>
            <w:tcW w:w="63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Weighted average discount rate (%)</w:t>
            </w:r>
          </w:p>
        </w:tc>
        <w:tc>
          <w:tcPr>
            <w:tcW w:w="800" w:type="dxa"/>
            <w:vAlign w:val="bottom"/>
            <w:tcBorders>
              <w:bottom w:val="single" w:sz="8" w:color="000041"/>
            </w:tcBorders>
          </w:tcPr>
          <w:p>
            <w:pPr>
              <w:spacing w:after="0"/>
              <w:rPr>
                <w:sz w:val="21"/>
                <w:szCs w:val="21"/>
                <w:color w:val="auto"/>
              </w:rPr>
            </w:pPr>
          </w:p>
        </w:tc>
        <w:tc>
          <w:tcPr>
            <w:tcW w:w="5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ectPr>
          <w:pgSz w:w="12240" w:h="15840" w:orient="portrait"/>
          <w:cols w:equalWidth="0" w:num="1">
            <w:col w:w="10320"/>
          </w:cols>
          <w:pgMar w:left="960" w:top="935"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20"/>
          </w:cols>
          <w:pgMar w:left="960" w:top="935" w:right="960" w:bottom="90" w:gutter="0" w:footer="0" w:header="0"/>
          <w:type w:val="continuous"/>
        </w:sectPr>
      </w:pPr>
    </w:p>
    <w:bookmarkStart w:id="64" w:name="page65"/>
    <w:bookmarkEnd w:id="64"/>
    <w:p>
      <w:pPr>
        <w:ind w:left="1000" w:right="340" w:hanging="998"/>
        <w:spacing w:after="0" w:line="288" w:lineRule="auto"/>
        <w:rPr>
          <w:sz w:val="20"/>
          <w:szCs w:val="20"/>
          <w:color w:val="auto"/>
        </w:rPr>
      </w:pPr>
      <w:r>
        <w:rPr>
          <w:rFonts w:ascii="Arial" w:cs="Arial" w:eastAsia="Arial" w:hAnsi="Arial"/>
          <w:sz w:val="24"/>
          <w:szCs w:val="24"/>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ITEM 9 | CHANGES IN AND DISAGREEMENTS WITH ACCOUNTANTS ON ACCOUNTING AND FINANCIAL DISCLOSURE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color w:val="000041"/>
        </w:rPr>
        <w:t>ITEM 9A |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000041"/>
        </w:rPr>
        <w:t>MANAGEMENT’S REPORT ON INTERNAL CONTROL OVER FINANCIAL REPORTING</w:t>
      </w:r>
    </w:p>
    <w:p>
      <w:pPr>
        <w:spacing w:after="0" w:line="129"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 xml:space="preserve">Our management is responsible for establishing and maintaining adequate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evaluation under the framework in Internal Control—Integrated Framework, our management con-</w:t>
      </w:r>
      <w:r>
        <w:rPr>
          <w:rFonts w:ascii="Arial" w:cs="Arial" w:eastAsia="Arial" w:hAnsi="Arial"/>
          <w:sz w:val="18"/>
          <w:szCs w:val="18"/>
          <w:color w:val="auto"/>
        </w:rPr>
        <w:t>ƺȢʍǁǉǁ</w:t>
      </w:r>
      <w:r>
        <w:rPr>
          <w:rFonts w:ascii="PMingLiU" w:cs="PMingLiU" w:eastAsia="PMingLiU" w:hAnsi="PMingLiU"/>
          <w:sz w:val="18"/>
          <w:szCs w:val="18"/>
          <w:color w:val="auto"/>
        </w:rPr>
        <w:t/>
      </w:r>
      <w:r>
        <w:rPr>
          <w:rFonts w:ascii="Arial" w:cs="Arial" w:eastAsia="Arial" w:hAnsi="Arial"/>
          <w:sz w:val="18"/>
          <w:szCs w:val="18"/>
          <w:color w:val="auto"/>
        </w:rPr>
        <w:t>ɽȃƃɽ</w:t>
      </w:r>
      <w:r>
        <w:rPr>
          <w:rFonts w:ascii="PMingLiU" w:cs="PMingLiU" w:eastAsia="PMingLiU" w:hAnsi="PMingLiU"/>
          <w:sz w:val="18"/>
          <w:szCs w:val="18"/>
          <w:color w:val="auto"/>
        </w:rPr>
        <w:t/>
      </w:r>
      <w:r>
        <w:rPr>
          <w:rFonts w:ascii="Arial" w:cs="Arial" w:eastAsia="Arial" w:hAnsi="Arial"/>
          <w:sz w:val="18"/>
          <w:szCs w:val="18"/>
          <w:color w:val="auto"/>
        </w:rPr>
        <w:t>Ɂʍɨ</w:t>
      </w:r>
      <w:r>
        <w:rPr>
          <w:rFonts w:ascii="PMingLiU" w:cs="PMingLiU" w:eastAsia="PMingLiU" w:hAnsi="PMingLiU"/>
          <w:sz w:val="18"/>
          <w:szCs w:val="18"/>
          <w:color w:val="auto"/>
        </w:rPr>
        <w:t/>
      </w:r>
      <w:r>
        <w:rPr>
          <w:rFonts w:ascii="Arial" w:cs="Arial" w:eastAsia="Arial" w:hAnsi="Arial"/>
          <w:sz w:val="18"/>
          <w:szCs w:val="18"/>
          <w:color w:val="auto"/>
        </w:rPr>
        <w:t>ȈȶɽǉɨȶƃȢ</w:t>
      </w:r>
      <w:r>
        <w:rPr>
          <w:rFonts w:ascii="PMingLiU" w:cs="PMingLiU" w:eastAsia="PMingLiU" w:hAnsi="PMingLiU"/>
          <w:sz w:val="18"/>
          <w:szCs w:val="18"/>
          <w:color w:val="auto"/>
        </w:rPr>
        <w:t/>
      </w:r>
      <w:r>
        <w:rPr>
          <w:rFonts w:ascii="Arial" w:cs="Arial" w:eastAsia="Arial" w:hAnsi="Arial"/>
          <w:sz w:val="18"/>
          <w:szCs w:val="18"/>
          <w:color w:val="auto"/>
        </w:rPr>
        <w:t>ƺɁȶɽɨɁȢ</w:t>
      </w:r>
      <w:r>
        <w:rPr>
          <w:rFonts w:ascii="PMingLiU" w:cs="PMingLiU" w:eastAsia="PMingLiU" w:hAnsi="PMingLiU"/>
          <w:sz w:val="18"/>
          <w:szCs w:val="18"/>
          <w:color w:val="auto"/>
        </w:rPr>
        <w:t/>
      </w:r>
      <w:r>
        <w:rPr>
          <w:rFonts w:ascii="Arial" w:cs="Arial" w:eastAsia="Arial" w:hAnsi="Arial"/>
          <w:sz w:val="18"/>
          <w:szCs w:val="18"/>
          <w:color w:val="auto"/>
        </w:rPr>
        <w:t>Ɂʤǉɨ</w:t>
      </w:r>
      <w:r>
        <w:rPr>
          <w:rFonts w:ascii="PMingLiU" w:cs="PMingLiU" w:eastAsia="PMingLiU" w:hAnsi="PMingLiU"/>
          <w:sz w:val="18"/>
          <w:szCs w:val="18"/>
          <w:color w:val="auto"/>
        </w:rPr>
        <w:t/>
      </w:r>
      <w:r>
        <w:rPr>
          <w:rFonts w:ascii="Arial" w:cs="Arial" w:eastAsia="Arial" w:hAnsi="Arial"/>
          <w:sz w:val="18"/>
          <w:szCs w:val="18"/>
          <w:color w:val="auto"/>
        </w:rPr>
        <w:t>ǹȈȶƃȶƺȈƃȢ</w:t>
      </w:r>
      <w:r>
        <w:rPr>
          <w:rFonts w:ascii="PMingLiU" w:cs="PMingLiU" w:eastAsia="PMingLiU" w:hAnsi="PMingLiU"/>
          <w:sz w:val="18"/>
          <w:szCs w:val="18"/>
          <w:color w:val="auto"/>
        </w:rPr>
        <w:t/>
      </w:r>
      <w:r>
        <w:rPr>
          <w:rFonts w:ascii="Arial" w:cs="Arial" w:eastAsia="Arial" w:hAnsi="Arial"/>
          <w:sz w:val="18"/>
          <w:szCs w:val="18"/>
          <w:color w:val="auto"/>
        </w:rPr>
        <w:t>ɨǉɥɁɨɽȈȶǼ</w:t>
      </w:r>
      <w:r>
        <w:rPr>
          <w:rFonts w:ascii="PMingLiU" w:cs="PMingLiU" w:eastAsia="PMingLiU" w:hAnsi="PMingLiU"/>
          <w:sz w:val="18"/>
          <w:szCs w:val="18"/>
          <w:color w:val="auto"/>
        </w:rPr>
        <w:t/>
      </w:r>
      <w:r>
        <w:rPr>
          <w:rFonts w:ascii="Arial" w:cs="Arial" w:eastAsia="Arial" w:hAnsi="Arial"/>
          <w:sz w:val="18"/>
          <w:szCs w:val="18"/>
          <w:color w:val="auto"/>
        </w:rPr>
        <w:t>ʥƃɰ</w:t>
      </w:r>
      <w:r>
        <w:rPr>
          <w:rFonts w:ascii="PMingLiU" w:cs="PMingLiU" w:eastAsia="PMingLiU" w:hAnsi="PMingLiU"/>
          <w:sz w:val="18"/>
          <w:szCs w:val="18"/>
          <w:color w:val="auto"/>
        </w:rPr>
        <w:t/>
      </w:r>
      <w:r>
        <w:rPr>
          <w:rFonts w:ascii="Arial" w:cs="Arial" w:eastAsia="Arial" w:hAnsi="Arial"/>
          <w:sz w:val="18"/>
          <w:szCs w:val="18"/>
          <w:color w:val="auto"/>
        </w:rPr>
        <w:t>ǉǹǹǉƺɽȈʤǉ</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їѕїњӝ</w:t>
      </w:r>
      <w:r>
        <w:rPr>
          <w:rFonts w:ascii="PMingLiU" w:cs="PMingLiU" w:eastAsia="PMingLiU" w:hAnsi="PMingLiU"/>
          <w:sz w:val="18"/>
          <w:szCs w:val="18"/>
          <w:color w:val="auto"/>
        </w:rPr>
        <w:t/>
      </w:r>
      <w:r>
        <w:rPr>
          <w:rFonts w:ascii="Arial" w:cs="Arial" w:eastAsia="Arial" w:hAnsi="Arial"/>
          <w:sz w:val="18"/>
          <w:szCs w:val="18"/>
          <w:color w:val="auto"/>
        </w:rPr>
        <w:t>Ýʍɨ</w:t>
      </w:r>
      <w:r>
        <w:rPr>
          <w:rFonts w:ascii="PMingLiU" w:cs="PMingLiU" w:eastAsia="PMingLiU" w:hAnsi="PMingLiU"/>
          <w:sz w:val="18"/>
          <w:szCs w:val="18"/>
          <w:color w:val="auto"/>
        </w:rPr>
        <w:t/>
      </w:r>
      <w:r>
        <w:rPr>
          <w:rFonts w:ascii="Arial" w:cs="Arial" w:eastAsia="Arial" w:hAnsi="Arial"/>
          <w:sz w:val="18"/>
          <w:szCs w:val="18"/>
          <w:color w:val="auto"/>
        </w:rPr>
        <w:t>ȈȶɽǉɨȶƃȢ</w:t>
      </w:r>
      <w:r>
        <w:rPr>
          <w:rFonts w:ascii="PMingLiU" w:cs="PMingLiU" w:eastAsia="PMingLiU" w:hAnsi="PMingLiU"/>
          <w:sz w:val="18"/>
          <w:szCs w:val="18"/>
          <w:color w:val="auto"/>
        </w:rPr>
        <w:t/>
      </w:r>
      <w:r>
        <w:rPr>
          <w:rFonts w:ascii="Arial" w:cs="Arial" w:eastAsia="Arial" w:hAnsi="Arial"/>
          <w:sz w:val="18"/>
          <w:szCs w:val="18"/>
          <w:color w:val="auto"/>
        </w:rPr>
        <w:t>ƺɁȶɽɨɁȢ</w:t>
      </w:r>
      <w:r>
        <w:rPr>
          <w:rFonts w:ascii="PMingLiU" w:cs="PMingLiU" w:eastAsia="PMingLiU" w:hAnsi="PMingLiU"/>
          <w:sz w:val="18"/>
          <w:szCs w:val="18"/>
          <w:color w:val="auto"/>
        </w:rPr>
        <w:t/>
      </w:r>
      <w:r>
        <w:rPr>
          <w:rFonts w:ascii="Arial" w:cs="Arial" w:eastAsia="Arial" w:hAnsi="Arial"/>
          <w:sz w:val="18"/>
          <w:szCs w:val="18"/>
          <w:color w:val="auto"/>
        </w:rPr>
        <w:t xml:space="preserve"> Ɂʤǉɨ</w:t>
      </w:r>
      <w:r>
        <w:rPr>
          <w:rFonts w:ascii="PMingLiU" w:cs="PMingLiU" w:eastAsia="PMingLiU" w:hAnsi="PMingLiU"/>
          <w:sz w:val="18"/>
          <w:szCs w:val="18"/>
          <w:color w:val="auto"/>
        </w:rPr>
        <w:t/>
      </w:r>
      <w:r>
        <w:rPr>
          <w:rFonts w:ascii="Arial" w:cs="Arial" w:eastAsia="Arial" w:hAnsi="Arial"/>
          <w:sz w:val="18"/>
          <w:szCs w:val="18"/>
          <w:color w:val="auto"/>
        </w:rPr>
        <w:t>ǹȈȶƃȶƺȈƃȢ</w:t>
      </w:r>
      <w:r>
        <w:rPr>
          <w:rFonts w:ascii="PMingLiU" w:cs="PMingLiU" w:eastAsia="PMingLiU" w:hAnsi="PMingLiU"/>
          <w:sz w:val="18"/>
          <w:szCs w:val="18"/>
          <w:color w:val="auto"/>
        </w:rPr>
        <w:t/>
      </w:r>
      <w:r>
        <w:rPr>
          <w:rFonts w:ascii="Arial" w:cs="Arial" w:eastAsia="Arial" w:hAnsi="Arial"/>
          <w:sz w:val="18"/>
          <w:szCs w:val="18"/>
          <w:color w:val="auto"/>
        </w:rPr>
        <w:t>ɨǉɥɁɨɽȈȶǼ</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ȃƃɰ</w:t>
      </w:r>
      <w:r>
        <w:rPr>
          <w:rFonts w:ascii="PMingLiU" w:cs="PMingLiU" w:eastAsia="PMingLiU" w:hAnsi="PMingLiU"/>
          <w:sz w:val="18"/>
          <w:szCs w:val="18"/>
          <w:color w:val="auto"/>
        </w:rPr>
        <w:t/>
      </w:r>
      <w:r>
        <w:rPr>
          <w:rFonts w:ascii="Arial" w:cs="Arial" w:eastAsia="Arial" w:hAnsi="Arial"/>
          <w:sz w:val="18"/>
          <w:szCs w:val="18"/>
          <w:color w:val="auto"/>
        </w:rPr>
        <w:t>ƹǉǉȶ</w:t>
      </w:r>
      <w:r>
        <w:rPr>
          <w:rFonts w:ascii="PMingLiU" w:cs="PMingLiU" w:eastAsia="PMingLiU" w:hAnsi="PMingLiU"/>
          <w:sz w:val="18"/>
          <w:szCs w:val="18"/>
          <w:color w:val="auto"/>
        </w:rPr>
        <w:t/>
      </w:r>
      <w:r>
        <w:rPr>
          <w:rFonts w:ascii="Arial" w:cs="Arial" w:eastAsia="Arial" w:hAnsi="Arial"/>
          <w:sz w:val="18"/>
          <w:szCs w:val="18"/>
          <w:color w:val="auto"/>
        </w:rPr>
        <w:t>ƃʍǁȈɽǉǁ</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ĀɨȈƺǉʥƃɽǉɨȃɁʍɰǉ:ɁɁɥǉɨɰ</w:t>
      </w:r>
      <w:r>
        <w:rPr>
          <w:rFonts w:ascii="PMingLiU" w:cs="PMingLiU" w:eastAsia="PMingLiU" w:hAnsi="PMingLiU"/>
          <w:sz w:val="18"/>
          <w:szCs w:val="18"/>
          <w:color w:val="auto"/>
        </w:rPr>
        <w:t/>
      </w:r>
      <w:r>
        <w:rPr>
          <w:rFonts w:ascii="Arial" w:cs="Arial" w:eastAsia="Arial" w:hAnsi="Arial"/>
          <w:sz w:val="18"/>
          <w:szCs w:val="18"/>
          <w:color w:val="auto"/>
        </w:rPr>
        <w:t>¸¸Ā</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ƃȶ</w:t>
      </w:r>
      <w:r>
        <w:rPr>
          <w:rFonts w:ascii="PMingLiU" w:cs="PMingLiU" w:eastAsia="PMingLiU" w:hAnsi="PMingLiU"/>
          <w:sz w:val="18"/>
          <w:szCs w:val="18"/>
          <w:color w:val="auto"/>
        </w:rPr>
        <w:t/>
      </w:r>
      <w:r>
        <w:rPr>
          <w:rFonts w:ascii="Arial" w:cs="Arial" w:eastAsia="Arial" w:hAnsi="Arial"/>
          <w:sz w:val="18"/>
          <w:szCs w:val="18"/>
          <w:color w:val="auto"/>
        </w:rPr>
        <w:t>Ȉȶǁǉɥǉȶǁǉȶɽ</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registered public accounting firm, as stated in their report which is included herein.</w:t>
      </w:r>
    </w:p>
    <w:p>
      <w:pPr>
        <w:spacing w:after="0" w:line="71"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 xml:space="preserve">Our management excluded the nine acquisitions completed during 2025 from its assessment of internal control over </w:t>
      </w:r>
      <w:r>
        <w:rPr>
          <w:rFonts w:ascii="Arial" w:cs="Arial" w:eastAsia="Arial" w:hAnsi="Arial"/>
          <w:sz w:val="18"/>
          <w:szCs w:val="18"/>
          <w:color w:val="auto"/>
        </w:rPr>
        <w:t>ǹȈȶƃȶƺȈƃȢ</w:t>
      </w:r>
      <w:r>
        <w:rPr>
          <w:rFonts w:ascii="PMingLiU" w:cs="PMingLiU" w:eastAsia="PMingLiU" w:hAnsi="PMingLiU"/>
          <w:sz w:val="18"/>
          <w:szCs w:val="18"/>
          <w:color w:val="auto"/>
        </w:rPr>
        <w:t/>
      </w:r>
      <w:r>
        <w:rPr>
          <w:rFonts w:ascii="Arial" w:cs="Arial" w:eastAsia="Arial" w:hAnsi="Arial"/>
          <w:sz w:val="18"/>
          <w:szCs w:val="18"/>
          <w:color w:val="auto"/>
        </w:rPr>
        <w:t xml:space="preserve"> ɨǉɥɁɨɽȈȶǼ</w:t>
      </w:r>
      <w:r>
        <w:rPr>
          <w:rFonts w:ascii="PMingLiU" w:cs="PMingLiU" w:eastAsia="PMingLiU" w:hAnsi="PMingLiU"/>
          <w:sz w:val="18"/>
          <w:szCs w:val="18"/>
          <w:color w:val="auto"/>
        </w:rPr>
        <w:t/>
      </w:r>
      <w:r>
        <w:rPr>
          <w:rFonts w:ascii="Arial" w:cs="Arial" w:eastAsia="Arial" w:hAnsi="Arial"/>
          <w:sz w:val="18"/>
          <w:szCs w:val="18"/>
          <w:color w:val="auto"/>
        </w:rPr>
        <w:t xml:space="preserve"> ƃɰ</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Aǉƺǉȴƹǉɨԝ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їѕїњӝ</w:t>
      </w:r>
      <w:r>
        <w:rPr>
          <w:rFonts w:ascii="Arial" w:cs="Arial" w:eastAsia="Arial" w:hAnsi="Arial"/>
          <w:sz w:val="18"/>
          <w:szCs w:val="18"/>
          <w:color w:val="auto"/>
        </w:rPr>
        <w:t>ԝ ěȃǉɰǉ</w:t>
      </w:r>
      <w:r>
        <w:rPr>
          <w:rFonts w:ascii="PMingLiU" w:cs="PMingLiU" w:eastAsia="PMingLiU" w:hAnsi="PMingLiU"/>
          <w:sz w:val="18"/>
          <w:szCs w:val="18"/>
          <w:color w:val="auto"/>
        </w:rPr>
        <w:t/>
      </w:r>
      <w:r>
        <w:rPr>
          <w:rFonts w:ascii="Arial" w:cs="Arial" w:eastAsia="Arial" w:hAnsi="Arial"/>
          <w:sz w:val="18"/>
          <w:szCs w:val="18"/>
          <w:color w:val="auto"/>
        </w:rPr>
        <w:t xml:space="preserve"> ƃƺɧʍȈɰȈɽȈɁȶɰ</w:t>
      </w:r>
      <w:r>
        <w:rPr>
          <w:rFonts w:ascii="PMingLiU" w:cs="PMingLiU" w:eastAsia="PMingLiU" w:hAnsi="PMingLiU"/>
          <w:sz w:val="18"/>
          <w:szCs w:val="18"/>
          <w:color w:val="auto"/>
        </w:rPr>
        <w:t/>
      </w:r>
      <w:r>
        <w:rPr>
          <w:rFonts w:ascii="Arial" w:cs="Arial" w:eastAsia="Arial" w:hAnsi="Arial"/>
          <w:sz w:val="18"/>
          <w:szCs w:val="18"/>
          <w:color w:val="auto"/>
        </w:rPr>
        <w:t xml:space="preserve"> ƃɨǉ</w:t>
      </w:r>
      <w:r>
        <w:rPr>
          <w:rFonts w:ascii="PMingLiU" w:cs="PMingLiU" w:eastAsia="PMingLiU" w:hAnsi="PMingLiU"/>
          <w:sz w:val="18"/>
          <w:szCs w:val="18"/>
          <w:color w:val="auto"/>
        </w:rPr>
        <w:t/>
      </w:r>
      <w:r>
        <w:rPr>
          <w:rFonts w:ascii="Arial" w:cs="Arial" w:eastAsia="Arial" w:hAnsi="Arial"/>
          <w:sz w:val="18"/>
          <w:szCs w:val="18"/>
          <w:color w:val="auto"/>
        </w:rPr>
        <w:t xml:space="preserve"> ʥȃɁȢȢʰ</w:t>
      </w:r>
      <w:r>
        <w:rPr>
          <w:rFonts w:ascii="Arial" w:cs="Arial" w:eastAsia="Arial" w:hAnsi="Arial"/>
          <w:sz w:val="18"/>
          <w:szCs w:val="18"/>
          <w:color w:val="auto"/>
        </w:rPr>
        <w:t>Ӹ</w:t>
      </w:r>
      <w:r>
        <w:rPr>
          <w:rFonts w:ascii="Arial" w:cs="Arial" w:eastAsia="Arial" w:hAnsi="Arial"/>
          <w:sz w:val="18"/>
          <w:szCs w:val="18"/>
          <w:color w:val="auto"/>
        </w:rPr>
        <w:t xml:space="preserve">Ɂʥȶǉǁ </w:t>
      </w:r>
      <w:r>
        <w:rPr>
          <w:rFonts w:ascii="PMingLiU" w:cs="PMingLiU" w:eastAsia="PMingLiU" w:hAnsi="PMingLiU"/>
          <w:sz w:val="18"/>
          <w:szCs w:val="18"/>
          <w:color w:val="auto"/>
        </w:rPr>
        <w:t/>
      </w:r>
      <w:r>
        <w:rPr>
          <w:rFonts w:ascii="Arial" w:cs="Arial" w:eastAsia="Arial" w:hAnsi="Arial"/>
          <w:sz w:val="18"/>
          <w:szCs w:val="18"/>
          <w:color w:val="auto"/>
        </w:rPr>
        <w:t xml:space="preserve"> ɰʍƹɰȈǁȈƃɨȈǉɰ</w:t>
      </w:r>
      <w:r>
        <w:rPr>
          <w:rFonts w:ascii="PMingLiU" w:cs="PMingLiU" w:eastAsia="PMingLiU" w:hAnsi="PMingLiU"/>
          <w:sz w:val="18"/>
          <w:szCs w:val="18"/>
          <w:color w:val="auto"/>
        </w:rPr>
        <w:t/>
      </w:r>
      <w:r>
        <w:rPr>
          <w:rFonts w:ascii="Arial" w:cs="Arial" w:eastAsia="Arial" w:hAnsi="Arial"/>
          <w:sz w:val="18"/>
          <w:szCs w:val="18"/>
          <w:color w:val="auto"/>
        </w:rPr>
        <w:t xml:space="preserve"> ʥȃɁɰǉ</w:t>
      </w:r>
      <w:r>
        <w:rPr>
          <w:rFonts w:ascii="PMingLiU" w:cs="PMingLiU" w:eastAsia="PMingLiU" w:hAnsi="PMingLiU"/>
          <w:sz w:val="18"/>
          <w:szCs w:val="18"/>
          <w:color w:val="auto"/>
        </w:rPr>
        <w:t/>
      </w:r>
      <w:r>
        <w:rPr>
          <w:rFonts w:ascii="Arial" w:cs="Arial" w:eastAsia="Arial" w:hAnsi="Arial"/>
          <w:sz w:val="18"/>
          <w:szCs w:val="18"/>
          <w:color w:val="auto"/>
        </w:rPr>
        <w:t xml:space="preserve"> ɽɁɽƃȢ</w:t>
      </w:r>
      <w:r>
        <w:rPr>
          <w:rFonts w:ascii="PMingLiU" w:cs="PMingLiU" w:eastAsia="PMingLiU" w:hAnsi="PMingLiU"/>
          <w:sz w:val="18"/>
          <w:szCs w:val="18"/>
          <w:color w:val="auto"/>
        </w:rPr>
        <w:t/>
      </w:r>
      <w:r>
        <w:rPr>
          <w:rFonts w:ascii="Arial" w:cs="Arial" w:eastAsia="Arial" w:hAnsi="Arial"/>
          <w:sz w:val="18"/>
          <w:szCs w:val="18"/>
          <w:color w:val="auto"/>
        </w:rPr>
        <w:t xml:space="preserve"> ƃɰɰǉɽɰ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 xml:space="preserve">(excluding goodwill and other identifiable intangibles, which are included within the scope of the assessment) repre-sent less than 1%, and whose aggregate total revenues represent approximately 3%, of the related Consolidated </w:t>
      </w:r>
      <w:r>
        <w:rPr>
          <w:rFonts w:ascii="Arial" w:cs="Arial" w:eastAsia="Arial" w:hAnsi="Arial"/>
          <w:sz w:val="18"/>
          <w:szCs w:val="18"/>
          <w:color w:val="auto"/>
        </w:rPr>
        <w:t>yȈȶƃȶƺȈƃȢ</w:t>
      </w:r>
      <w:r>
        <w:rPr>
          <w:rFonts w:ascii="PMingLiU" w:cs="PMingLiU" w:eastAsia="PMingLiU" w:hAnsi="PMingLiU"/>
          <w:sz w:val="18"/>
          <w:szCs w:val="18"/>
          <w:color w:val="auto"/>
        </w:rPr>
        <w:t/>
      </w:r>
      <w:r>
        <w:rPr>
          <w:rFonts w:ascii="Arial" w:cs="Arial" w:eastAsia="Arial" w:hAnsi="Arial"/>
          <w:sz w:val="18"/>
          <w:szCs w:val="18"/>
          <w:color w:val="auto"/>
        </w:rPr>
        <w:t>Čɽƃɽǉȴǉȶɽ</w:t>
      </w:r>
      <w:r>
        <w:rPr>
          <w:rFonts w:ascii="PMingLiU" w:cs="PMingLiU" w:eastAsia="PMingLiU" w:hAnsi="PMingLiU"/>
          <w:sz w:val="18"/>
          <w:szCs w:val="18"/>
          <w:color w:val="auto"/>
        </w:rPr>
        <w:t/>
      </w:r>
      <w:r>
        <w:rPr>
          <w:rFonts w:ascii="Arial" w:cs="Arial" w:eastAsia="Arial" w:hAnsi="Arial"/>
          <w:sz w:val="18"/>
          <w:szCs w:val="18"/>
          <w:color w:val="auto"/>
        </w:rPr>
        <w:t>ƃȴɁʍȶɽɰ</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ǹɁɨ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ʰǉƃɨ</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їѕїњӝ</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00041"/>
        </w:rPr>
        <w:t>EVALUATION OF DISCLOSURE CONTROLS AND PROCEDURES</w:t>
      </w:r>
    </w:p>
    <w:p>
      <w:pPr>
        <w:spacing w:after="0" w:line="127" w:lineRule="exact"/>
        <w:rPr>
          <w:sz w:val="20"/>
          <w:szCs w:val="20"/>
          <w:color w:val="auto"/>
        </w:rPr>
      </w:pPr>
    </w:p>
    <w:p>
      <w:pPr>
        <w:jc w:val="both"/>
        <w:ind w:right="40"/>
        <w:spacing w:after="0" w:line="235" w:lineRule="exact"/>
        <w:rPr>
          <w:sz w:val="20"/>
          <w:szCs w:val="20"/>
          <w:color w:val="auto"/>
        </w:rPr>
      </w:pPr>
      <w:r>
        <w:rPr>
          <w:rFonts w:ascii="Arial" w:cs="Arial" w:eastAsia="Arial" w:hAnsi="Arial"/>
          <w:sz w:val="18"/>
          <w:szCs w:val="18"/>
          <w:color w:val="auto"/>
        </w:rPr>
        <w:t xml:space="preserve">As required by SEC rules, we have evaluated the effectiveness of the design and operation of our disclosure controls and procedures as of the end of the period covered by this report. This evaluation was carried out under the supervi-sion and with the participation of our management, including our principal executive officer and principal financial officer. Based on this evaluation, we have concluded that our disclosure controls and procedures were effective as of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їѕїњӝ</w:t>
      </w:r>
    </w:p>
    <w:p>
      <w:pPr>
        <w:spacing w:after="0" w:line="273"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Disclosure controls and procedures are our controls and other procedures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000041"/>
        </w:rPr>
        <w:t>CHANGES IN INTERNAL CONTROL OVER FINANCIAL REPORTING</w:t>
      </w:r>
    </w:p>
    <w:p>
      <w:pPr>
        <w:spacing w:after="0" w:line="127" w:lineRule="exact"/>
        <w:rPr>
          <w:sz w:val="20"/>
          <w:szCs w:val="20"/>
          <w:color w:val="auto"/>
        </w:rPr>
      </w:pPr>
    </w:p>
    <w:p>
      <w:pPr>
        <w:jc w:val="both"/>
        <w:ind w:right="40"/>
        <w:spacing w:after="0" w:line="319"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2025 that has materially affected, or is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24"/>
          <w:szCs w:val="24"/>
          <w:color w:val="000041"/>
        </w:rPr>
        <w:t>ITEM 9B | OTHER INFORMATION</w:t>
      </w:r>
    </w:p>
    <w:p>
      <w:pPr>
        <w:spacing w:after="0" w:line="128" w:lineRule="exact"/>
        <w:rPr>
          <w:sz w:val="20"/>
          <w:szCs w:val="20"/>
          <w:color w:val="auto"/>
        </w:rPr>
      </w:pPr>
    </w:p>
    <w:p>
      <w:pPr>
        <w:jc w:val="both"/>
        <w:ind w:right="40"/>
        <w:spacing w:after="0" w:line="256" w:lineRule="exact"/>
        <w:rPr>
          <w:sz w:val="20"/>
          <w:szCs w:val="20"/>
          <w:color w:val="auto"/>
        </w:rPr>
      </w:pPr>
      <w:r>
        <w:rPr>
          <w:rFonts w:ascii="Arial" w:cs="Arial" w:eastAsia="Arial" w:hAnsi="Arial"/>
          <w:sz w:val="18"/>
          <w:szCs w:val="18"/>
          <w:color w:val="auto"/>
        </w:rPr>
        <w:t>AʍɨȈȶǼ</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ɽȃɨǉǉ</w:t>
      </w:r>
      <w:r>
        <w:rPr>
          <w:rFonts w:ascii="PMingLiU" w:cs="PMingLiU" w:eastAsia="PMingLiU" w:hAnsi="PMingLiU"/>
          <w:sz w:val="18"/>
          <w:szCs w:val="18"/>
          <w:color w:val="auto"/>
        </w:rPr>
        <w:t/>
      </w:r>
      <w:r>
        <w:rPr>
          <w:rFonts w:ascii="Arial" w:cs="Arial" w:eastAsia="Arial" w:hAnsi="Arial"/>
          <w:sz w:val="18"/>
          <w:szCs w:val="18"/>
          <w:color w:val="auto"/>
        </w:rPr>
        <w:t>ȴɁȶɽȃɰ</w:t>
      </w:r>
      <w:r>
        <w:rPr>
          <w:rFonts w:ascii="PMingLiU" w:cs="PMingLiU" w:eastAsia="PMingLiU" w:hAnsi="PMingLiU"/>
          <w:sz w:val="18"/>
          <w:szCs w:val="18"/>
          <w:color w:val="auto"/>
        </w:rPr>
        <w:t/>
      </w:r>
      <w:r>
        <w:rPr>
          <w:rFonts w:ascii="Arial" w:cs="Arial" w:eastAsia="Arial" w:hAnsi="Arial"/>
          <w:sz w:val="18"/>
          <w:szCs w:val="18"/>
          <w:color w:val="auto"/>
        </w:rPr>
        <w:t>ǉȶǁǉǁ</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їѕїњӗ</w:t>
      </w:r>
      <w:r>
        <w:rPr>
          <w:rFonts w:ascii="PMingLiU" w:cs="PMingLiU" w:eastAsia="PMingLiU" w:hAnsi="PMingLiU"/>
          <w:sz w:val="18"/>
          <w:szCs w:val="18"/>
          <w:color w:val="auto"/>
        </w:rPr>
        <w:t/>
      </w:r>
      <w:r>
        <w:rPr>
          <w:rFonts w:ascii="Arial" w:cs="Arial" w:eastAsia="Arial" w:hAnsi="Arial"/>
          <w:sz w:val="18"/>
          <w:szCs w:val="18"/>
          <w:color w:val="auto"/>
        </w:rPr>
        <w:t>ȶɁ</w:t>
      </w:r>
      <w:r>
        <w:rPr>
          <w:rFonts w:ascii="PMingLiU" w:cs="PMingLiU" w:eastAsia="PMingLiU" w:hAnsi="PMingLiU"/>
          <w:sz w:val="18"/>
          <w:szCs w:val="18"/>
          <w:color w:val="auto"/>
        </w:rPr>
        <w:t/>
      </w:r>
      <w:r>
        <w:rPr>
          <w:rFonts w:ascii="Arial" w:cs="Arial" w:eastAsia="Arial" w:hAnsi="Arial"/>
          <w:sz w:val="18"/>
          <w:szCs w:val="18"/>
          <w:color w:val="auto"/>
        </w:rPr>
        <w:t>ǁȈɨǉƺɽɁɨ</w:t>
      </w:r>
      <w:r>
        <w:rPr>
          <w:rFonts w:ascii="PMingLiU" w:cs="PMingLiU" w:eastAsia="PMingLiU" w:hAnsi="PMingLiU"/>
          <w:sz w:val="18"/>
          <w:szCs w:val="18"/>
          <w:color w:val="auto"/>
        </w:rPr>
        <w:t/>
      </w:r>
      <w:r>
        <w:rPr>
          <w:rFonts w:ascii="Arial" w:cs="Arial" w:eastAsia="Arial" w:hAnsi="Arial"/>
          <w:sz w:val="18"/>
          <w:szCs w:val="18"/>
          <w:color w:val="auto"/>
        </w:rPr>
        <w:t>Ɂɨ</w:t>
      </w:r>
      <w:r>
        <w:rPr>
          <w:rFonts w:ascii="PMingLiU" w:cs="PMingLiU" w:eastAsia="PMingLiU" w:hAnsi="PMingLiU"/>
          <w:sz w:val="18"/>
          <w:szCs w:val="18"/>
          <w:color w:val="auto"/>
        </w:rPr>
        <w:t/>
      </w:r>
      <w:r>
        <w:rPr>
          <w:rFonts w:ascii="Arial" w:cs="Arial" w:eastAsia="Arial" w:hAnsi="Arial"/>
          <w:sz w:val="18"/>
          <w:szCs w:val="18"/>
          <w:color w:val="auto"/>
        </w:rPr>
        <w:t>ɁǹǹȈƺǉɨ</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ƃǁɁɥɽǉǁ</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ȴɁǁȈǹȈǉǁ</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Ɂɨ</w:t>
      </w:r>
      <w:r>
        <w:rPr>
          <w:rFonts w:ascii="PMingLiU" w:cs="PMingLiU" w:eastAsia="PMingLiU" w:hAnsi="PMingLiU"/>
          <w:sz w:val="18"/>
          <w:szCs w:val="18"/>
          <w:color w:val="auto"/>
        </w:rPr>
        <w:t/>
      </w:r>
      <w:r>
        <w:rPr>
          <w:rFonts w:ascii="Arial" w:cs="Arial" w:eastAsia="Arial" w:hAnsi="Arial"/>
          <w:sz w:val="18"/>
          <w:szCs w:val="18"/>
          <w:color w:val="auto"/>
        </w:rPr>
        <w:t>ɽǉɨ</w:t>
      </w:r>
      <w:r>
        <w:rPr>
          <w:rFonts w:ascii="Arial" w:cs="Arial" w:eastAsia="Arial" w:hAnsi="Arial"/>
          <w:sz w:val="18"/>
          <w:szCs w:val="18"/>
          <w:color w:val="auto"/>
        </w:rPr>
        <w:t>-minated a “Rule 10b5-1 trading arrangement” or “non-Rule 10b5-1 trading arrangement,” as each term is defined in Item 408 of Regulation S-K.</w:t>
      </w:r>
    </w:p>
    <w:p>
      <w:pPr>
        <w:spacing w:after="0" w:line="374" w:lineRule="exact"/>
        <w:rPr>
          <w:sz w:val="20"/>
          <w:szCs w:val="20"/>
          <w:color w:val="auto"/>
        </w:rPr>
      </w:pPr>
    </w:p>
    <w:p>
      <w:pPr>
        <w:ind w:left="1160" w:right="1140" w:hanging="1166"/>
        <w:spacing w:after="0" w:line="288" w:lineRule="auto"/>
        <w:rPr>
          <w:sz w:val="20"/>
          <w:szCs w:val="20"/>
          <w:color w:val="auto"/>
        </w:rPr>
      </w:pPr>
      <w:r>
        <w:rPr>
          <w:rFonts w:ascii="Arial" w:cs="Arial" w:eastAsia="Arial" w:hAnsi="Arial"/>
          <w:sz w:val="24"/>
          <w:szCs w:val="24"/>
          <w:color w:val="000041"/>
        </w:rPr>
        <w:t>ITEM 9C | DISCLOSURE REGARDING FOREIGN JURISDICTIONS THAT PREVENT INSPECTIONS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2240" w:h="15840" w:orient="portrait"/>
          <w:cols w:equalWidth="0" w:num="1">
            <w:col w:w="10360"/>
          </w:cols>
          <w:pgMar w:left="960" w:top="919" w:right="92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63</w:t>
      </w:r>
    </w:p>
    <w:p>
      <w:pPr>
        <w:sectPr>
          <w:pgSz w:w="12240" w:h="15840" w:orient="portrait"/>
          <w:cols w:equalWidth="0" w:num="1">
            <w:col w:w="10360"/>
          </w:cols>
          <w:pgMar w:left="960" w:top="919" w:right="920" w:bottom="90" w:gutter="0" w:footer="0" w:header="0"/>
          <w:type w:val="continuous"/>
        </w:sectPr>
      </w:pPr>
    </w:p>
    <w:bookmarkStart w:id="65" w:name="page66"/>
    <w:bookmarkEnd w:id="65"/>
    <w:p>
      <w:pPr>
        <w:spacing w:after="0"/>
        <w:rPr>
          <w:sz w:val="20"/>
          <w:szCs w:val="20"/>
          <w:color w:val="auto"/>
        </w:rPr>
      </w:pPr>
      <w:r>
        <w:rPr>
          <w:rFonts w:ascii="Arial" w:cs="Arial" w:eastAsia="Arial" w:hAnsi="Arial"/>
          <w:sz w:val="28"/>
          <w:szCs w:val="28"/>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PART III</w:t>
      </w:r>
    </w:p>
    <w:p>
      <w:pPr>
        <w:sectPr>
          <w:pgSz w:w="12240" w:h="15840" w:orient="portrait"/>
          <w:cols w:equalWidth="0" w:num="1">
            <w:col w:w="10360"/>
          </w:cols>
          <w:pgMar w:left="960" w:top="913" w:right="920" w:bottom="90" w:gutter="0" w:footer="0" w:header="0"/>
        </w:sectPr>
      </w:pPr>
    </w:p>
    <w:p>
      <w:pPr>
        <w:spacing w:after="0" w:line="127"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Kʯƺǉɥɽ</w:t>
      </w:r>
      <w:r>
        <w:rPr>
          <w:rFonts w:ascii="PMingLiU" w:cs="PMingLiU" w:eastAsia="PMingLiU" w:hAnsi="PMingLiU"/>
          <w:sz w:val="18"/>
          <w:szCs w:val="18"/>
          <w:color w:val="auto"/>
        </w:rPr>
        <w:t/>
      </w:r>
      <w:r>
        <w:rPr>
          <w:rFonts w:ascii="Arial" w:cs="Arial" w:eastAsia="Arial" w:hAnsi="Arial"/>
          <w:sz w:val="18"/>
          <w:szCs w:val="18"/>
          <w:color w:val="auto"/>
        </w:rPr>
        <w:t xml:space="preserve"> ƃɰ </w:t>
      </w:r>
      <w:r>
        <w:rPr>
          <w:rFonts w:ascii="PMingLiU" w:cs="PMingLiU" w:eastAsia="PMingLiU" w:hAnsi="PMingLiU"/>
          <w:sz w:val="18"/>
          <w:szCs w:val="18"/>
          <w:color w:val="auto"/>
        </w:rPr>
        <w:t/>
      </w:r>
      <w:r>
        <w:rPr>
          <w:rFonts w:ascii="Arial" w:cs="Arial" w:eastAsia="Arial" w:hAnsi="Arial"/>
          <w:sz w:val="18"/>
          <w:szCs w:val="18"/>
          <w:color w:val="auto"/>
        </w:rPr>
        <w:t xml:space="preserve"> ɁɽȃǉɨʥȈɰǉ</w:t>
      </w:r>
      <w:r>
        <w:rPr>
          <w:rFonts w:ascii="PMingLiU" w:cs="PMingLiU" w:eastAsia="PMingLiU" w:hAnsi="PMingLiU"/>
          <w:sz w:val="18"/>
          <w:szCs w:val="18"/>
          <w:color w:val="auto"/>
        </w:rPr>
        <w:t/>
      </w:r>
      <w:r>
        <w:rPr>
          <w:rFonts w:ascii="Arial" w:cs="Arial" w:eastAsia="Arial" w:hAnsi="Arial"/>
          <w:sz w:val="18"/>
          <w:szCs w:val="18"/>
          <w:color w:val="auto"/>
        </w:rPr>
        <w:t xml:space="preserve"> ȈȶǁȈƺƃɽǉǁ</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ǹɁȢȢɁʥȈȶǼ</w:t>
      </w:r>
      <w:r>
        <w:rPr>
          <w:rFonts w:ascii="PMingLiU" w:cs="PMingLiU" w:eastAsia="PMingLiU" w:hAnsi="PMingLiU"/>
          <w:sz w:val="18"/>
          <w:szCs w:val="18"/>
          <w:color w:val="auto"/>
        </w:rPr>
        <w:t/>
      </w:r>
      <w:r>
        <w:rPr>
          <w:rFonts w:ascii="Arial" w:cs="Arial" w:eastAsia="Arial" w:hAnsi="Arial"/>
          <w:sz w:val="18"/>
          <w:szCs w:val="18"/>
          <w:color w:val="auto"/>
        </w:rPr>
        <w:t xml:space="preserve"> ȈȶǹɁɨȴƃɽȈɁȶ</w:t>
      </w:r>
      <w:r>
        <w:rPr>
          <w:rFonts w:ascii="PMingLiU" w:cs="PMingLiU" w:eastAsia="PMingLiU" w:hAnsi="PMingLiU"/>
          <w:sz w:val="18"/>
          <w:szCs w:val="18"/>
          <w:color w:val="auto"/>
        </w:rPr>
        <w:t/>
      </w:r>
      <w:r>
        <w:rPr>
          <w:rFonts w:ascii="Arial" w:cs="Arial" w:eastAsia="Arial" w:hAnsi="Arial"/>
          <w:sz w:val="18"/>
          <w:szCs w:val="18"/>
          <w:color w:val="auto"/>
        </w:rPr>
        <w:t xml:space="preserve"> ɨǉɧʍȈɨǉǁ</w:t>
      </w:r>
      <w:r>
        <w:rPr>
          <w:rFonts w:ascii="PMingLiU" w:cs="PMingLiU" w:eastAsia="PMingLiU" w:hAnsi="PMingLiU"/>
          <w:sz w:val="18"/>
          <w:szCs w:val="18"/>
          <w:color w:val="auto"/>
        </w:rPr>
        <w:t/>
      </w:r>
      <w:r>
        <w:rPr>
          <w:rFonts w:ascii="Arial" w:cs="Arial" w:eastAsia="Arial" w:hAnsi="Arial"/>
          <w:sz w:val="18"/>
          <w:szCs w:val="18"/>
          <w:color w:val="auto"/>
        </w:rPr>
        <w:t xml:space="preserve"> ƹʰ</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t>
      </w:r>
      <w:r>
        <w:rPr>
          <w:rFonts w:ascii="Arial" w:cs="Arial" w:eastAsia="Arial" w:hAnsi="Arial"/>
          <w:sz w:val="18"/>
          <w:szCs w:val="18"/>
          <w:color w:val="auto"/>
        </w:rPr>
        <w:t>ȶɰɽɨʍƺɽȈɁȶɰ</w:t>
      </w:r>
      <w:r>
        <w:rPr>
          <w:rFonts w:ascii="PMingLiU" w:cs="PMingLiU" w:eastAsia="PMingLiU" w:hAnsi="PMingLiU"/>
          <w:sz w:val="18"/>
          <w:szCs w:val="18"/>
          <w:color w:val="auto"/>
        </w:rPr>
        <w:t/>
      </w:r>
      <w:r>
        <w:rPr>
          <w:rFonts w:ascii="Arial" w:cs="Arial" w:eastAsia="Arial" w:hAnsi="Arial"/>
          <w:sz w:val="18"/>
          <w:szCs w:val="18"/>
          <w:color w:val="auto"/>
        </w:rPr>
        <w:t xml:space="preserve"> ɽɁ</w:t>
      </w:r>
      <w:r>
        <w:rPr>
          <w:rFonts w:ascii="PMingLiU" w:cs="PMingLiU" w:eastAsia="PMingLiU" w:hAnsi="PMingLiU"/>
          <w:sz w:val="18"/>
          <w:szCs w:val="18"/>
          <w:color w:val="auto"/>
        </w:rPr>
        <w:t/>
      </w:r>
      <w:r>
        <w:rPr>
          <w:rFonts w:ascii="Arial" w:cs="Arial" w:eastAsia="Arial" w:hAnsi="Arial"/>
          <w:sz w:val="18"/>
          <w:szCs w:val="18"/>
          <w:color w:val="auto"/>
        </w:rPr>
        <w:t xml:space="preserve"> yɁɨȴԝ </w:t>
      </w:r>
      <w:r>
        <w:rPr>
          <w:rFonts w:ascii="Arial" w:cs="Arial" w:eastAsia="Arial" w:hAnsi="Arial"/>
          <w:sz w:val="18"/>
          <w:szCs w:val="18"/>
          <w:color w:val="auto"/>
        </w:rPr>
        <w:t>іѕӸ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 xml:space="preserve"> Ȉɰ</w:t>
      </w:r>
      <w:r>
        <w:rPr>
          <w:rFonts w:ascii="PMingLiU" w:cs="PMingLiU" w:eastAsia="PMingLiU" w:hAnsi="PMingLiU"/>
          <w:sz w:val="18"/>
          <w:szCs w:val="18"/>
          <w:color w:val="auto"/>
        </w:rPr>
        <w:t/>
      </w:r>
      <w:r>
        <w:rPr>
          <w:rFonts w:ascii="Arial" w:cs="Arial" w:eastAsia="Arial" w:hAnsi="Arial"/>
          <w:sz w:val="18"/>
          <w:szCs w:val="18"/>
          <w:color w:val="auto"/>
        </w:rPr>
        <w:t xml:space="preserve"> ȈȶƺɁɨɥɁɨƃɽǉǁ</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herein by reference from the sections of the Roper Proxy Statement for the annual meeting of shareholders (“2026 Proxy Statement”), which we anticipate filing with the SEC within 120 days after the end of the fiscal year to which this report relates, as specified below:</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000041"/>
        </w:rPr>
        <w:t>ITEM 10 | DIRECTORS, EXECUTIVE OFFICERS AND CORPORATE GOVERNANCE</w:t>
      </w:r>
    </w:p>
    <w:p>
      <w:pPr>
        <w:spacing w:after="0" w:line="128" w:lineRule="exact"/>
        <w:rPr>
          <w:sz w:val="20"/>
          <w:szCs w:val="20"/>
          <w:color w:val="auto"/>
        </w:rPr>
      </w:pPr>
    </w:p>
    <w:p>
      <w:pPr>
        <w:jc w:val="both"/>
        <w:ind w:right="40"/>
        <w:spacing w:after="0" w:line="318" w:lineRule="auto"/>
        <w:rPr>
          <w:sz w:val="20"/>
          <w:szCs w:val="20"/>
          <w:color w:val="auto"/>
        </w:rPr>
      </w:pPr>
      <w:r>
        <w:rPr>
          <w:rFonts w:ascii="Arial" w:cs="Arial" w:eastAsia="Arial" w:hAnsi="Arial"/>
          <w:sz w:val="18"/>
          <w:szCs w:val="18"/>
          <w:color w:val="auto"/>
        </w:rPr>
        <w:t xml:space="preserve">The information about our directors required by this </w:t>
      </w:r>
      <w:r>
        <w:rPr>
          <w:rFonts w:ascii="Arial" w:cs="Arial" w:eastAsia="Arial" w:hAnsi="Arial"/>
          <w:sz w:val="18"/>
          <w:szCs w:val="18"/>
          <w:i w:val="1"/>
          <w:iCs w:val="1"/>
          <w:color w:val="auto"/>
        </w:rPr>
        <w:t>Item 10—Directors, Executive Officers and Corporate Governance</w:t>
      </w:r>
      <w:r>
        <w:rPr>
          <w:rFonts w:ascii="Arial" w:cs="Arial" w:eastAsia="Arial" w:hAnsi="Arial"/>
          <w:sz w:val="18"/>
          <w:szCs w:val="18"/>
          <w:color w:val="auto"/>
        </w:rPr>
        <w:t xml:space="preserve"> is contained in the 2026 Proxy Statement under the caption “Proposal 1: Election of Directors.”</w:t>
      </w:r>
    </w:p>
    <w:p>
      <w:pPr>
        <w:spacing w:after="0" w:line="1" w:lineRule="exact"/>
        <w:rPr>
          <w:sz w:val="20"/>
          <w:szCs w:val="20"/>
          <w:color w:val="auto"/>
        </w:rPr>
      </w:pPr>
    </w:p>
    <w:p>
      <w:pPr>
        <w:jc w:val="both"/>
        <w:ind w:right="40"/>
        <w:spacing w:after="0" w:line="318" w:lineRule="auto"/>
        <w:rPr>
          <w:sz w:val="20"/>
          <w:szCs w:val="20"/>
          <w:color w:val="auto"/>
        </w:rPr>
      </w:pPr>
      <w:r>
        <w:rPr>
          <w:rFonts w:ascii="Arial" w:cs="Arial" w:eastAsia="Arial" w:hAnsi="Arial"/>
          <w:sz w:val="18"/>
          <w:szCs w:val="18"/>
          <w:color w:val="auto"/>
        </w:rPr>
        <w:t>Information regarding our audit committee is contained in the 2026 Proxy Statement under the captions “Corporate Governance” and “Board Committees and Meetings.”</w:t>
      </w:r>
    </w:p>
    <w:p>
      <w:pPr>
        <w:spacing w:after="0" w:line="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If applicable, information required under this Item with respect to compliance with Section 16(a) of the Exchange Act will be included in the Proxy Statement under the caption “Delinquent Section 16(a) Reports,” which information is incorporated by reference.</w:t>
      </w:r>
    </w:p>
    <w:p>
      <w:pPr>
        <w:spacing w:after="0" w:line="27" w:lineRule="exact"/>
        <w:rPr>
          <w:sz w:val="20"/>
          <w:szCs w:val="20"/>
          <w:color w:val="auto"/>
        </w:rPr>
      </w:pPr>
    </w:p>
    <w:p>
      <w:pPr>
        <w:jc w:val="both"/>
        <w:ind w:right="40"/>
        <w:spacing w:after="0" w:line="319" w:lineRule="auto"/>
        <w:rPr>
          <w:sz w:val="20"/>
          <w:szCs w:val="20"/>
          <w:color w:val="auto"/>
        </w:rPr>
      </w:pPr>
      <w:r>
        <w:rPr>
          <w:rFonts w:ascii="Arial" w:cs="Arial" w:eastAsia="Arial" w:hAnsi="Arial"/>
          <w:sz w:val="18"/>
          <w:szCs w:val="18"/>
          <w:color w:val="auto"/>
        </w:rPr>
        <w:t>Information required under this Item with respect to executive officers of the Company is included as a supplemental item at the end of Part I of this report.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29"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Roper has a code of ethics for directors, officers (including the Company’s principal executive officer, principal finan-cial officer, and principal accounting officer), and employees. The Code of Ethics is available on the Company’s web-site at www.ropertech.com/code-of-ethics. The Company posts any amendments to its Code of Ethics or waivers of its Code of Ethics (to the extent applicable to the Company’s directors, executive officers, or senior financial officers) at the same location on the Company’s website. In addition, copies of the Code of Ethics may be obtained in print with-out charge upon written request by any stockholder to the Company’s Corporate Secretary at 6496 University Parkway, Sarasota, Florida 34240.</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Transaction Compliance Program</w:t>
      </w:r>
    </w:p>
    <w:p>
      <w:pPr>
        <w:spacing w:after="0" w:line="129"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Roper has adopted a securities transaction compliance program applicable to its directors, officers and employees, and has implemented procedures for Roper, governing the purchase, sale, and other disposition of Roper’s securities. Roper believes its insider trading policy and procedures are reasonably designed to promote compliance with insider trading laws, rules and regulations, and listing standards applicable to Roper. A copy of the Roper Technologies, Inc. Securities Transaction Compliance Program is filed as Exhibit 19.1 to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color w:val="000041"/>
        </w:rPr>
        <w:t>ITEM 11 | EXECUTIVE COMPENSATION</w:t>
      </w:r>
    </w:p>
    <w:p>
      <w:pPr>
        <w:spacing w:after="0" w:line="126" w:lineRule="exact"/>
        <w:rPr>
          <w:sz w:val="20"/>
          <w:szCs w:val="20"/>
          <w:color w:val="auto"/>
        </w:rPr>
      </w:pPr>
    </w:p>
    <w:p>
      <w:pPr>
        <w:jc w:val="both"/>
        <w:ind w:right="40"/>
        <w:spacing w:after="0" w:line="235" w:lineRule="exact"/>
        <w:rPr>
          <w:sz w:val="20"/>
          <w:szCs w:val="20"/>
          <w:color w:val="auto"/>
        </w:rPr>
      </w:pP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ȈȶǹɁɨȴƃɽȈɁȶ</w:t>
      </w:r>
      <w:r>
        <w:rPr>
          <w:rFonts w:ascii="PMingLiU" w:cs="PMingLiU" w:eastAsia="PMingLiU" w:hAnsi="PMingLiU"/>
          <w:sz w:val="18"/>
          <w:szCs w:val="18"/>
          <w:color w:val="auto"/>
        </w:rPr>
        <w:t/>
      </w:r>
      <w:r>
        <w:rPr>
          <w:rFonts w:ascii="Arial" w:cs="Arial" w:eastAsia="Arial" w:hAnsi="Arial"/>
          <w:sz w:val="18"/>
          <w:szCs w:val="18"/>
          <w:color w:val="auto"/>
        </w:rPr>
        <w:t>ɨǉɧʍȈɨǉǁ</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ɽȃȈɰԝ</w:t>
      </w:r>
      <w:r>
        <w:rPr>
          <w:rFonts w:ascii="Arial" w:cs="Arial" w:eastAsia="Arial" w:hAnsi="Arial"/>
          <w:sz w:val="18"/>
          <w:szCs w:val="18"/>
          <w:i w:val="1"/>
          <w:iCs w:val="1"/>
          <w:color w:val="auto"/>
        </w:rPr>
        <w:t>Item 11—Executive CompensationՄ</w:t>
      </w:r>
      <w:r>
        <w:rPr>
          <w:rFonts w:ascii="Arial" w:cs="Arial" w:eastAsia="Arial" w:hAnsi="Arial"/>
          <w:sz w:val="18"/>
          <w:szCs w:val="18"/>
          <w:color w:val="auto"/>
        </w:rPr>
        <w:t xml:space="preserve"> </w:t>
      </w:r>
      <w:r>
        <w:rPr>
          <w:rFonts w:ascii="Arial" w:cs="Arial" w:eastAsia="Arial" w:hAnsi="Arial"/>
          <w:sz w:val="18"/>
          <w:szCs w:val="18"/>
          <w:color w:val="auto"/>
        </w:rPr>
        <w:t>is contained in the 2026 Proxy Statement under</w:t>
      </w:r>
      <w:r>
        <w:rPr>
          <w:rFonts w:ascii="Arial" w:cs="Arial" w:eastAsia="Arial" w:hAnsi="Arial"/>
          <w:sz w:val="18"/>
          <w:szCs w:val="18"/>
          <w:color w:val="auto"/>
        </w:rPr>
        <w:t xml:space="preserve"> </w:t>
      </w:r>
      <w:r>
        <w:rPr>
          <w:rFonts w:ascii="Arial" w:cs="Arial" w:eastAsia="Arial" w:hAnsi="Arial"/>
          <w:sz w:val="18"/>
          <w:szCs w:val="18"/>
          <w:color w:val="auto"/>
        </w:rPr>
        <w:t>the captions “Compensation Discussion and Analysis,” “Executive Compensation,” “Director Compensation,” “Compensation Committee Report,” and “Compensation Committee Interlocks and Insider Participation.”</w:t>
      </w:r>
    </w:p>
    <w:p>
      <w:pPr>
        <w:spacing w:after="0" w:line="185" w:lineRule="exact"/>
        <w:rPr>
          <w:sz w:val="20"/>
          <w:szCs w:val="20"/>
          <w:color w:val="auto"/>
        </w:rPr>
      </w:pPr>
    </w:p>
    <w:p>
      <w:pPr>
        <w:jc w:val="both"/>
        <w:ind w:left="1080" w:right="40" w:hanging="1077"/>
        <w:spacing w:after="0" w:line="309" w:lineRule="auto"/>
        <w:rPr>
          <w:sz w:val="20"/>
          <w:szCs w:val="20"/>
          <w:color w:val="auto"/>
        </w:rPr>
      </w:pPr>
      <w:r>
        <w:rPr>
          <w:rFonts w:ascii="Arial" w:cs="Arial" w:eastAsia="Arial" w:hAnsi="Arial"/>
          <w:sz w:val="24"/>
          <w:szCs w:val="24"/>
          <w:color w:val="000041"/>
        </w:rPr>
        <w:t>ITEM 12 | SECURITY</w:t>
      </w:r>
      <w:r>
        <w:rPr>
          <w:sz w:val="20"/>
          <w:szCs w:val="20"/>
          <w:color w:val="auto"/>
        </w:rPr>
        <w:t xml:space="preserve"> </w:t>
      </w:r>
      <w:r>
        <w:rPr>
          <w:rFonts w:ascii="Arial" w:cs="Arial" w:eastAsia="Arial" w:hAnsi="Arial"/>
          <w:sz w:val="24"/>
          <w:szCs w:val="24"/>
          <w:color w:val="000041"/>
        </w:rPr>
        <w:t>OWNERSHIP OF CERTAIN BENEFICIAL OWNERS AND MANAGEMENT AND RELATED STOCKHOLDER MATTERS</w:t>
      </w:r>
    </w:p>
    <w:p>
      <w:pPr>
        <w:spacing w:after="0" w:line="76" w:lineRule="exact"/>
        <w:rPr>
          <w:sz w:val="20"/>
          <w:szCs w:val="20"/>
          <w:color w:val="auto"/>
        </w:rPr>
      </w:pPr>
    </w:p>
    <w:p>
      <w:pPr>
        <w:spacing w:after="0" w:line="243" w:lineRule="exact"/>
        <w:rPr>
          <w:sz w:val="20"/>
          <w:szCs w:val="20"/>
          <w:color w:val="auto"/>
        </w:rPr>
      </w:pPr>
      <w:r>
        <w:rPr>
          <w:rFonts w:ascii="Arial" w:cs="Arial" w:eastAsia="Arial" w:hAnsi="Arial"/>
          <w:sz w:val="20"/>
          <w:szCs w:val="20"/>
          <w:color w:val="000041"/>
        </w:rPr>
        <w:t>ӭ</w:t>
      </w:r>
      <w:r>
        <w:rPr>
          <w:rFonts w:ascii="PMingLiU" w:cs="PMingLiU" w:eastAsia="PMingLiU" w:hAnsi="PMingLiU"/>
          <w:sz w:val="20"/>
          <w:szCs w:val="20"/>
          <w:color w:val="000041"/>
        </w:rPr>
        <w:t/>
      </w:r>
      <w:r>
        <w:rPr>
          <w:rFonts w:ascii="Arial" w:cs="Arial" w:eastAsia="Arial" w:hAnsi="Arial"/>
          <w:sz w:val="20"/>
          <w:szCs w:val="20"/>
          <w:color w:val="000041"/>
        </w:rPr>
        <w:t>¸¸</w:t>
      </w:r>
      <w:r>
        <w:rPr>
          <w:rFonts w:ascii="PMingLiU" w:cs="PMingLiU" w:eastAsia="PMingLiU" w:hAnsi="PMingLiU"/>
          <w:sz w:val="20"/>
          <w:szCs w:val="20"/>
          <w:color w:val="000041"/>
        </w:rPr>
        <w:t/>
      </w:r>
      <w:r>
        <w:rPr>
          <w:rFonts w:ascii="Arial" w:cs="Arial" w:eastAsia="Arial" w:hAnsi="Arial"/>
          <w:sz w:val="20"/>
          <w:szCs w:val="20"/>
          <w:color w:val="000041"/>
        </w:rPr>
        <w:t>Č</w:t>
      </w:r>
      <w:r>
        <w:rPr>
          <w:rFonts w:ascii="PMingLiU" w:cs="PMingLiU" w:eastAsia="PMingLiU" w:hAnsi="PMingLiU"/>
          <w:sz w:val="20"/>
          <w:szCs w:val="20"/>
          <w:color w:val="000041"/>
        </w:rPr>
        <w:t></w:t>
      </w:r>
      <w:r>
        <w:rPr>
          <w:rFonts w:ascii="Arial" w:cs="Arial" w:eastAsia="Arial" w:hAnsi="Arial"/>
          <w:sz w:val="20"/>
          <w:szCs w:val="20"/>
          <w:color w:val="000041"/>
        </w:rPr>
        <w:t>ĄK</w:t>
      </w:r>
      <w:r>
        <w:rPr>
          <w:rFonts w:ascii="PMingLiU" w:cs="PMingLiU" w:eastAsia="PMingLiU" w:hAnsi="PMingLiU"/>
          <w:sz w:val="20"/>
          <w:szCs w:val="20"/>
          <w:color w:val="000041"/>
        </w:rPr>
        <w:t/>
      </w:r>
      <w:r>
        <w:rPr>
          <w:rFonts w:ascii="Arial" w:cs="Arial" w:eastAsia="Arial" w:hAnsi="Arial"/>
          <w:sz w:val="20"/>
          <w:szCs w:val="20"/>
          <w:color w:val="000041"/>
        </w:rPr>
        <w:t>ÃÝĩÇěČ</w:t>
      </w:r>
      <w:r>
        <w:rPr>
          <w:rFonts w:ascii="PMingLiU" w:cs="PMingLiU" w:eastAsia="PMingLiU" w:hAnsi="PMingLiU"/>
          <w:sz w:val="20"/>
          <w:szCs w:val="20"/>
          <w:color w:val="000041"/>
        </w:rPr>
        <w:t/>
      </w:r>
      <w:r>
        <w:rPr>
          <w:rFonts w:ascii="Arial" w:cs="Arial" w:eastAsia="Arial" w:hAnsi="Arial"/>
          <w:sz w:val="20"/>
          <w:szCs w:val="20"/>
          <w:color w:val="000041"/>
        </w:rPr>
        <w:t>ĄK</w:t>
      </w:r>
      <w:r>
        <w:rPr>
          <w:rFonts w:ascii="PMingLiU" w:cs="PMingLiU" w:eastAsia="PMingLiU" w:hAnsi="PMingLiU"/>
          <w:sz w:val="20"/>
          <w:szCs w:val="20"/>
          <w:color w:val="000041"/>
        </w:rPr>
        <w:t></w:t>
      </w:r>
      <w:r>
        <w:rPr>
          <w:rFonts w:ascii="Arial" w:cs="Arial" w:eastAsia="Arial" w:hAnsi="Arial"/>
          <w:sz w:val="20"/>
          <w:szCs w:val="20"/>
          <w:color w:val="000041"/>
        </w:rPr>
        <w:t>Ç</w:t>
      </w:r>
      <w:r>
        <w:rPr>
          <w:rFonts w:ascii="PMingLiU" w:cs="PMingLiU" w:eastAsia="PMingLiU" w:hAnsi="PMingLiU"/>
          <w:sz w:val="20"/>
          <w:szCs w:val="20"/>
          <w:color w:val="000041"/>
        </w:rPr>
        <w:t/>
      </w:r>
      <w:r>
        <w:rPr>
          <w:rFonts w:ascii="Arial" w:cs="Arial" w:eastAsia="Arial" w:hAnsi="Arial"/>
          <w:sz w:val="20"/>
          <w:szCs w:val="20"/>
          <w:color w:val="000041"/>
        </w:rPr>
        <w:t>Ã</w:t>
      </w:r>
      <w:r>
        <w:rPr>
          <w:rFonts w:ascii="PMingLiU" w:cs="PMingLiU" w:eastAsia="PMingLiU" w:hAnsi="PMingLiU"/>
          <w:sz w:val="20"/>
          <w:szCs w:val="20"/>
          <w:color w:val="000041"/>
        </w:rPr>
        <w:t></w:t>
      </w:r>
      <w:r>
        <w:rPr>
          <w:rFonts w:ascii="Arial" w:cs="Arial" w:eastAsia="Arial" w:hAnsi="Arial"/>
          <w:sz w:val="20"/>
          <w:szCs w:val="20"/>
          <w:color w:val="000041"/>
        </w:rPr>
        <w:t>¸¸</w:t>
      </w:r>
      <w:r>
        <w:rPr>
          <w:rFonts w:ascii="PMingLiU" w:cs="PMingLiU" w:eastAsia="PMingLiU" w:hAnsi="PMingLiU"/>
          <w:sz w:val="20"/>
          <w:szCs w:val="20"/>
          <w:color w:val="000041"/>
        </w:rPr>
        <w:t></w:t>
      </w:r>
      <w:r>
        <w:rPr>
          <w:rFonts w:ascii="Arial" w:cs="Arial" w:eastAsia="Arial" w:hAnsi="Arial"/>
          <w:sz w:val="20"/>
          <w:szCs w:val="20"/>
          <w:color w:val="000041"/>
        </w:rPr>
        <w:t>ÝÇČ</w:t>
      </w:r>
      <w:r>
        <w:rPr>
          <w:rFonts w:ascii="Arial" w:cs="Arial" w:eastAsia="Arial" w:hAnsi="Arial"/>
          <w:sz w:val="20"/>
          <w:szCs w:val="20"/>
          <w:color w:val="000041"/>
        </w:rPr>
        <w:t>Ӯ</w:t>
      </w:r>
    </w:p>
    <w:p>
      <w:pPr>
        <w:spacing w:after="0" w:line="115" w:lineRule="exact"/>
        <w:rPr>
          <w:sz w:val="20"/>
          <w:szCs w:val="20"/>
          <w:color w:val="auto"/>
        </w:rPr>
      </w:pPr>
    </w:p>
    <w:p>
      <w:pPr>
        <w:jc w:val="both"/>
        <w:spacing w:after="0" w:line="234" w:lineRule="exact"/>
        <w:rPr>
          <w:sz w:val="20"/>
          <w:szCs w:val="20"/>
          <w:color w:val="auto"/>
        </w:rPr>
      </w:pPr>
      <w:r>
        <w:rPr>
          <w:rFonts w:ascii="Arial" w:cs="Arial" w:eastAsia="Arial" w:hAnsi="Arial"/>
          <w:sz w:val="18"/>
          <w:szCs w:val="18"/>
          <w:color w:val="auto"/>
        </w:rPr>
        <w:t>Ýɽȃǉɨ</w:t>
      </w:r>
      <w:r>
        <w:rPr>
          <w:rFonts w:ascii="PMingLiU" w:cs="PMingLiU" w:eastAsia="PMingLiU" w:hAnsi="PMingLiU"/>
          <w:sz w:val="18"/>
          <w:szCs w:val="18"/>
          <w:color w:val="auto"/>
        </w:rPr>
        <w:t/>
      </w:r>
      <w:r>
        <w:rPr>
          <w:rFonts w:ascii="Arial" w:cs="Arial" w:eastAsia="Arial" w:hAnsi="Arial"/>
          <w:sz w:val="18"/>
          <w:szCs w:val="18"/>
          <w:color w:val="auto"/>
        </w:rPr>
        <w:t xml:space="preserve"> ɽȃƃȶ</w:t>
      </w:r>
      <w:r>
        <w:rPr>
          <w:rFonts w:ascii="PMingLiU" w:cs="PMingLiU" w:eastAsia="PMingLiU" w:hAnsi="PMingLiU"/>
          <w:sz w:val="18"/>
          <w:szCs w:val="18"/>
          <w:color w:val="auto"/>
        </w:rPr>
        <w:t/>
      </w:r>
      <w:r>
        <w:rPr>
          <w:rFonts w:ascii="Arial" w:cs="Arial" w:eastAsia="Arial" w:hAnsi="Arial"/>
          <w:sz w:val="18"/>
          <w:szCs w:val="18"/>
          <w:color w:val="auto"/>
        </w:rPr>
        <w:t xml:space="preserve"> ƃɰ</w:t>
      </w:r>
      <w:r>
        <w:rPr>
          <w:rFonts w:ascii="PMingLiU" w:cs="PMingLiU" w:eastAsia="PMingLiU" w:hAnsi="PMingLiU"/>
          <w:sz w:val="18"/>
          <w:szCs w:val="18"/>
          <w:color w:val="auto"/>
        </w:rPr>
        <w:t/>
      </w:r>
      <w:r>
        <w:rPr>
          <w:rFonts w:ascii="Arial" w:cs="Arial" w:eastAsia="Arial" w:hAnsi="Arial"/>
          <w:sz w:val="18"/>
          <w:szCs w:val="18"/>
          <w:color w:val="auto"/>
        </w:rPr>
        <w:t xml:space="preserve"> ɰǉɽ</w:t>
      </w:r>
      <w:r>
        <w:rPr>
          <w:rFonts w:ascii="PMingLiU" w:cs="PMingLiU" w:eastAsia="PMingLiU" w:hAnsi="PMingLiU"/>
          <w:sz w:val="18"/>
          <w:szCs w:val="18"/>
          <w:color w:val="auto"/>
        </w:rPr>
        <w:t/>
      </w:r>
      <w:r>
        <w:rPr>
          <w:rFonts w:ascii="Arial" w:cs="Arial" w:eastAsia="Arial" w:hAnsi="Arial"/>
          <w:sz w:val="18"/>
          <w:szCs w:val="18"/>
          <w:color w:val="auto"/>
        </w:rPr>
        <w:t xml:space="preserve"> ǹɁɨɽȃ</w:t>
      </w:r>
      <w:r>
        <w:rPr>
          <w:rFonts w:ascii="PMingLiU" w:cs="PMingLiU" w:eastAsia="PMingLiU" w:hAnsi="PMingLiU"/>
          <w:sz w:val="18"/>
          <w:szCs w:val="18"/>
          <w:color w:val="auto"/>
        </w:rPr>
        <w:t/>
      </w:r>
      <w:r>
        <w:rPr>
          <w:rFonts w:ascii="Arial" w:cs="Arial" w:eastAsia="Arial" w:hAnsi="Arial"/>
          <w:sz w:val="18"/>
          <w:szCs w:val="18"/>
          <w:color w:val="auto"/>
        </w:rPr>
        <w:t xml:space="preserve"> ƹǉȢɁʥ</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ȈȶǹɁɨȴƃɽȈɁȶ</w:t>
      </w:r>
      <w:r>
        <w:rPr>
          <w:rFonts w:ascii="PMingLiU" w:cs="PMingLiU" w:eastAsia="PMingLiU" w:hAnsi="PMingLiU"/>
          <w:sz w:val="18"/>
          <w:szCs w:val="18"/>
          <w:color w:val="auto"/>
        </w:rPr>
        <w:t/>
      </w:r>
      <w:r>
        <w:rPr>
          <w:rFonts w:ascii="Arial" w:cs="Arial" w:eastAsia="Arial" w:hAnsi="Arial"/>
          <w:sz w:val="18"/>
          <w:szCs w:val="18"/>
          <w:color w:val="auto"/>
        </w:rPr>
        <w:t xml:space="preserve"> ɨǉɧʍȈɨǉǁ</w:t>
      </w:r>
      <w:r>
        <w:rPr>
          <w:rFonts w:ascii="PMingLiU" w:cs="PMingLiU" w:eastAsia="PMingLiU" w:hAnsi="PMingLiU"/>
          <w:sz w:val="18"/>
          <w:szCs w:val="18"/>
          <w:color w:val="auto"/>
        </w:rPr>
        <w:t/>
      </w:r>
      <w:r>
        <w:rPr>
          <w:rFonts w:ascii="Arial" w:cs="Arial" w:eastAsia="Arial" w:hAnsi="Arial"/>
          <w:sz w:val="18"/>
          <w:szCs w:val="18"/>
          <w:color w:val="auto"/>
        </w:rPr>
        <w:t xml:space="preserve"> ƹʰ</w:t>
      </w:r>
      <w:r>
        <w:rPr>
          <w:rFonts w:ascii="PMingLiU" w:cs="PMingLiU" w:eastAsia="PMingLiU" w:hAnsi="PMingLiU"/>
          <w:sz w:val="18"/>
          <w:szCs w:val="18"/>
          <w:color w:val="auto"/>
        </w:rPr>
        <w:t/>
      </w:r>
      <w:r>
        <w:rPr>
          <w:rFonts w:ascii="Arial" w:cs="Arial" w:eastAsia="Arial" w:hAnsi="Arial"/>
          <w:sz w:val="18"/>
          <w:szCs w:val="18"/>
          <w:color w:val="auto"/>
        </w:rPr>
        <w:t xml:space="preserve"> ɽȃȈɰԝ </w:t>
      </w:r>
      <w:r>
        <w:rPr>
          <w:rFonts w:ascii="Arial" w:cs="Arial" w:eastAsia="Arial" w:hAnsi="Arial"/>
          <w:sz w:val="18"/>
          <w:szCs w:val="18"/>
          <w:i w:val="1"/>
          <w:iCs w:val="1"/>
          <w:color w:val="auto"/>
        </w:rPr>
        <w:t>Item 12—Security Ownership of Certain 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Owners and Management and Related Stockholder Matters</w:t>
      </w:r>
      <w:r>
        <w:rPr>
          <w:rFonts w:ascii="Arial" w:cs="Arial" w:eastAsia="Arial" w:hAnsi="Arial"/>
          <w:sz w:val="18"/>
          <w:szCs w:val="18"/>
          <w:color w:val="auto"/>
        </w:rPr>
        <w:t>ԝƃȶǁ</w:t>
      </w:r>
      <w:r>
        <w:rPr>
          <w:rFonts w:ascii="PMingLiU" w:cs="PMingLiU" w:eastAsia="PMingLiU" w:hAnsi="PMingLiU"/>
          <w:sz w:val="18"/>
          <w:szCs w:val="18"/>
          <w:color w:val="auto"/>
        </w:rPr>
        <w:t/>
      </w:r>
      <w:r>
        <w:rPr>
          <w:rFonts w:ascii="Arial" w:cs="Arial" w:eastAsia="Arial" w:hAnsi="Arial"/>
          <w:sz w:val="18"/>
          <w:szCs w:val="18"/>
          <w:color w:val="auto"/>
        </w:rPr>
        <w:t>ȶɁɽ</w:t>
      </w:r>
      <w:r>
        <w:rPr>
          <w:rFonts w:ascii="PMingLiU" w:cs="PMingLiU" w:eastAsia="PMingLiU" w:hAnsi="PMingLiU"/>
          <w:sz w:val="18"/>
          <w:szCs w:val="18"/>
          <w:color w:val="auto"/>
        </w:rPr>
        <w:t/>
      </w:r>
      <w:r>
        <w:rPr>
          <w:rFonts w:ascii="Arial" w:cs="Arial" w:eastAsia="Arial" w:hAnsi="Arial"/>
          <w:sz w:val="18"/>
          <w:szCs w:val="18"/>
          <w:color w:val="auto"/>
        </w:rPr>
        <w:t>ɁɽȃǉɨʥȈɰǉ</w:t>
      </w:r>
      <w:r>
        <w:rPr>
          <w:rFonts w:ascii="PMingLiU" w:cs="PMingLiU" w:eastAsia="PMingLiU" w:hAnsi="PMingLiU"/>
          <w:sz w:val="18"/>
          <w:szCs w:val="18"/>
          <w:color w:val="auto"/>
        </w:rPr>
        <w:t/>
      </w:r>
      <w:r>
        <w:rPr>
          <w:rFonts w:ascii="Arial" w:cs="Arial" w:eastAsia="Arial" w:hAnsi="Arial"/>
          <w:sz w:val="18"/>
          <w:szCs w:val="18"/>
          <w:color w:val="auto"/>
        </w:rPr>
        <w:t>ɰǉɽ</w:t>
      </w:r>
      <w:r>
        <w:rPr>
          <w:rFonts w:ascii="PMingLiU" w:cs="PMingLiU" w:eastAsia="PMingLiU" w:hAnsi="PMingLiU"/>
          <w:sz w:val="18"/>
          <w:szCs w:val="18"/>
          <w:color w:val="auto"/>
        </w:rPr>
        <w:t/>
      </w:r>
      <w:r>
        <w:rPr>
          <w:rFonts w:ascii="Arial" w:cs="Arial" w:eastAsia="Arial" w:hAnsi="Arial"/>
          <w:sz w:val="18"/>
          <w:szCs w:val="18"/>
          <w:color w:val="auto"/>
        </w:rPr>
        <w:t>ǹɁɨɽȃ</w:t>
      </w:r>
      <w:r>
        <w:rPr>
          <w:rFonts w:ascii="PMingLiU" w:cs="PMingLiU" w:eastAsia="PMingLiU" w:hAnsi="PMingLiU"/>
          <w:sz w:val="18"/>
          <w:szCs w:val="18"/>
          <w:color w:val="auto"/>
        </w:rPr>
        <w:t/>
      </w:r>
      <w:r>
        <w:rPr>
          <w:rFonts w:ascii="Arial" w:cs="Arial" w:eastAsia="Arial" w:hAnsi="Arial"/>
          <w:sz w:val="18"/>
          <w:szCs w:val="18"/>
          <w:color w:val="auto"/>
        </w:rPr>
        <w:t>ƹǉȢɁʥ</w:t>
      </w:r>
      <w:r>
        <w:rPr>
          <w:rFonts w:ascii="PMingLiU" w:cs="PMingLiU" w:eastAsia="PMingLiU" w:hAnsi="PMingLiU"/>
          <w:sz w:val="18"/>
          <w:szCs w:val="18"/>
          <w:color w:val="auto"/>
        </w:rPr>
        <w:t/>
      </w:r>
      <w:r>
        <w:rPr>
          <w:rFonts w:ascii="Arial" w:cs="Arial" w:eastAsia="Arial" w:hAnsi="Arial"/>
          <w:sz w:val="18"/>
          <w:szCs w:val="18"/>
          <w:color w:val="auto"/>
        </w:rPr>
        <w:t>Ȉɰ</w:t>
      </w:r>
      <w:r>
        <w:rPr>
          <w:rFonts w:ascii="PMingLiU" w:cs="PMingLiU" w:eastAsia="PMingLiU" w:hAnsi="PMingLiU"/>
          <w:sz w:val="18"/>
          <w:szCs w:val="18"/>
          <w:color w:val="auto"/>
        </w:rPr>
        <w:t/>
      </w:r>
      <w:r>
        <w:rPr>
          <w:rFonts w:ascii="Arial" w:cs="Arial" w:eastAsia="Arial" w:hAnsi="Arial"/>
          <w:sz w:val="18"/>
          <w:szCs w:val="18"/>
          <w:color w:val="auto"/>
        </w:rPr>
        <w:t>ƺɁȶɽƃȈȶǉǁ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i w:val="1"/>
          <w:iCs w:val="1"/>
          <w:color w:val="auto"/>
        </w:rPr>
        <w:t xml:space="preserve"> </w:t>
      </w:r>
      <w:r>
        <w:rPr>
          <w:rFonts w:ascii="Arial" w:cs="Arial" w:eastAsia="Arial" w:hAnsi="Arial"/>
          <w:sz w:val="18"/>
          <w:szCs w:val="18"/>
          <w:color w:val="auto"/>
        </w:rPr>
        <w:t>2026 Proxy Statement under the caption “Beneficial Ownership.”</w:t>
      </w:r>
    </w:p>
    <w:p>
      <w:pPr>
        <w:sectPr>
          <w:pgSz w:w="12240" w:h="15840" w:orient="portrait"/>
          <w:cols w:equalWidth="0" w:num="1">
            <w:col w:w="10360"/>
          </w:cols>
          <w:pgMar w:left="960" w:top="913" w:right="920" w:bottom="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64</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60"/>
          </w:cols>
          <w:pgMar w:left="960" w:top="913" w:right="920" w:bottom="9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SECURITIES AUTHORIZED FOR ISSUANCE UNDER EQUITY COMPENSATION PLANS</w:t>
      </w:r>
    </w:p>
    <w:p>
      <w:pPr>
        <w:spacing w:after="0" w:line="129" w:lineRule="exact"/>
        <w:rPr>
          <w:sz w:val="20"/>
          <w:szCs w:val="20"/>
          <w:color w:val="auto"/>
        </w:rPr>
      </w:pPr>
    </w:p>
    <w:p>
      <w:pPr>
        <w:spacing w:after="0" w:line="241" w:lineRule="exact"/>
        <w:rPr>
          <w:sz w:val="20"/>
          <w:szCs w:val="20"/>
          <w:color w:val="auto"/>
        </w:rPr>
      </w:pP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ǹɁȢȢɁʥȈȶǼ</w:t>
      </w:r>
      <w:r>
        <w:rPr>
          <w:rFonts w:ascii="PMingLiU" w:cs="PMingLiU" w:eastAsia="PMingLiU" w:hAnsi="PMingLiU"/>
          <w:sz w:val="18"/>
          <w:szCs w:val="18"/>
          <w:color w:val="auto"/>
        </w:rPr>
        <w:t/>
      </w:r>
      <w:r>
        <w:rPr>
          <w:rFonts w:ascii="Arial" w:cs="Arial" w:eastAsia="Arial" w:hAnsi="Arial"/>
          <w:sz w:val="18"/>
          <w:szCs w:val="18"/>
          <w:color w:val="auto"/>
        </w:rPr>
        <w:t>ɽƃƹȢǉ</w:t>
      </w:r>
      <w:r>
        <w:rPr>
          <w:rFonts w:ascii="PMingLiU" w:cs="PMingLiU" w:eastAsia="PMingLiU" w:hAnsi="PMingLiU"/>
          <w:sz w:val="18"/>
          <w:szCs w:val="18"/>
          <w:color w:val="auto"/>
        </w:rPr>
        <w:t/>
      </w:r>
      <w:r>
        <w:rPr>
          <w:rFonts w:ascii="Arial" w:cs="Arial" w:eastAsia="Arial" w:hAnsi="Arial"/>
          <w:sz w:val="18"/>
          <w:szCs w:val="18"/>
          <w:color w:val="auto"/>
        </w:rPr>
        <w:t>ɥɨɁʤȈǁǉɰ</w:t>
      </w:r>
      <w:r>
        <w:rPr>
          <w:rFonts w:ascii="PMingLiU" w:cs="PMingLiU" w:eastAsia="PMingLiU" w:hAnsi="PMingLiU"/>
          <w:sz w:val="18"/>
          <w:szCs w:val="18"/>
          <w:color w:val="auto"/>
        </w:rPr>
        <w:t/>
      </w:r>
      <w:r>
        <w:rPr>
          <w:rFonts w:ascii="Arial" w:cs="Arial" w:eastAsia="Arial" w:hAnsi="Arial"/>
          <w:sz w:val="18"/>
          <w:szCs w:val="18"/>
          <w:color w:val="auto"/>
        </w:rPr>
        <w:t>ȈȶǹɁɨȴƃɽȈɁȶ</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Aǉƺǉȴƹǉɨԝ</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ɨǉǼƃɨǁȈȶǼ</w:t>
      </w:r>
      <w:r>
        <w:rPr>
          <w:rFonts w:ascii="PMingLiU" w:cs="PMingLiU" w:eastAsia="PMingLiU" w:hAnsi="PMingLiU"/>
          <w:sz w:val="18"/>
          <w:szCs w:val="18"/>
          <w:color w:val="auto"/>
        </w:rPr>
        <w:t/>
      </w:r>
      <w:r>
        <w:rPr>
          <w:rFonts w:ascii="Arial" w:cs="Arial" w:eastAsia="Arial" w:hAnsi="Arial"/>
          <w:sz w:val="18"/>
          <w:szCs w:val="18"/>
          <w:color w:val="auto"/>
        </w:rPr>
        <w:t>ƺɁȴɥǉȶɰƃɽȈɁȶ</w:t>
      </w:r>
      <w:r>
        <w:rPr>
          <w:rFonts w:ascii="PMingLiU" w:cs="PMingLiU" w:eastAsia="PMingLiU" w:hAnsi="PMingLiU"/>
          <w:sz w:val="18"/>
          <w:szCs w:val="18"/>
          <w:color w:val="auto"/>
        </w:rPr>
        <w:t/>
      </w:r>
      <w:r>
        <w:rPr>
          <w:rFonts w:ascii="Arial" w:cs="Arial" w:eastAsia="Arial" w:hAnsi="Arial"/>
          <w:sz w:val="18"/>
          <w:szCs w:val="18"/>
          <w:color w:val="auto"/>
        </w:rPr>
        <w:t>ɥȢƃȶɰ</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ȈȶƺȢʍǁȈȶǼ</w:t>
      </w:r>
      <w:r>
        <w:rPr>
          <w:rFonts w:ascii="PMingLiU" w:cs="PMingLiU" w:eastAsia="PMingLiU" w:hAnsi="PMingLiU"/>
          <w:sz w:val="18"/>
          <w:szCs w:val="18"/>
          <w:color w:val="auto"/>
        </w:rPr>
        <w:t/>
      </w:r>
      <w:r>
        <w:rPr>
          <w:rFonts w:ascii="Arial" w:cs="Arial" w:eastAsia="Arial" w:hAnsi="Arial"/>
          <w:sz w:val="18"/>
          <w:szCs w:val="18"/>
          <w:color w:val="auto"/>
        </w:rPr>
        <w:t>ȈȶǁȈʤȈǁʍƃȢ</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compensation arrangements) under which our equity securities are authorized for issuance:</w:t>
      </w: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(a)</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6"/>
                <w:szCs w:val="16"/>
                <w:color w:val="auto"/>
              </w:rPr>
              <w:t>(c)</w:t>
            </w:r>
          </w:p>
        </w:tc>
      </w:tr>
      <w:tr>
        <w:trPr>
          <w:trHeight w:val="200"/>
        </w:trPr>
        <w:tc>
          <w:tcPr>
            <w:tcW w:w="5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Number of</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6"/>
                <w:szCs w:val="16"/>
                <w:color w:val="auto"/>
              </w:rPr>
              <w:t>Number of Securities</w:t>
            </w:r>
          </w:p>
        </w:tc>
      </w:tr>
      <w:tr>
        <w:trPr>
          <w:trHeight w:val="200"/>
        </w:trPr>
        <w:tc>
          <w:tcPr>
            <w:tcW w:w="5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Securities to</w:t>
            </w:r>
          </w:p>
        </w:tc>
        <w:tc>
          <w:tcPr>
            <w:tcW w:w="1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(b)</w:t>
            </w:r>
          </w:p>
        </w:tc>
        <w:tc>
          <w:tcPr>
            <w:tcW w:w="1980" w:type="dxa"/>
            <w:vAlign w:val="bottom"/>
            <w:gridSpan w:val="2"/>
          </w:tcPr>
          <w:p>
            <w:pPr>
              <w:jc w:val="right"/>
              <w:ind w:right="40"/>
              <w:spacing w:after="0"/>
              <w:rPr>
                <w:sz w:val="20"/>
                <w:szCs w:val="20"/>
                <w:color w:val="auto"/>
              </w:rPr>
            </w:pPr>
            <w:r>
              <w:rPr>
                <w:rFonts w:ascii="Arial" w:cs="Arial" w:eastAsia="Arial" w:hAnsi="Arial"/>
                <w:sz w:val="16"/>
                <w:szCs w:val="16"/>
                <w:color w:val="auto"/>
              </w:rPr>
              <w:t>Remaining Available for</w:t>
            </w:r>
          </w:p>
        </w:tc>
      </w:tr>
      <w:tr>
        <w:trPr>
          <w:trHeight w:val="200"/>
        </w:trPr>
        <w:tc>
          <w:tcPr>
            <w:tcW w:w="5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be Issued Upon</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Weighted-Average</w:t>
            </w:r>
          </w:p>
        </w:tc>
        <w:tc>
          <w:tcPr>
            <w:tcW w:w="1980" w:type="dxa"/>
            <w:vAlign w:val="bottom"/>
            <w:gridSpan w:val="2"/>
          </w:tcPr>
          <w:p>
            <w:pPr>
              <w:jc w:val="right"/>
              <w:ind w:right="40"/>
              <w:spacing w:after="0"/>
              <w:rPr>
                <w:sz w:val="20"/>
                <w:szCs w:val="20"/>
                <w:color w:val="auto"/>
              </w:rPr>
            </w:pPr>
            <w:r>
              <w:rPr>
                <w:rFonts w:ascii="Arial" w:cs="Arial" w:eastAsia="Arial" w:hAnsi="Arial"/>
                <w:sz w:val="16"/>
                <w:szCs w:val="16"/>
                <w:color w:val="auto"/>
              </w:rPr>
              <w:t>Future Issuance under</w:t>
            </w:r>
          </w:p>
        </w:tc>
      </w:tr>
      <w:tr>
        <w:trPr>
          <w:trHeight w:val="200"/>
        </w:trPr>
        <w:tc>
          <w:tcPr>
            <w:tcW w:w="5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Exercise of</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Exercise Price of</w:t>
            </w:r>
          </w:p>
        </w:tc>
        <w:tc>
          <w:tcPr>
            <w:tcW w:w="1980" w:type="dxa"/>
            <w:vAlign w:val="bottom"/>
            <w:gridSpan w:val="2"/>
          </w:tcPr>
          <w:p>
            <w:pPr>
              <w:jc w:val="right"/>
              <w:ind w:right="40"/>
              <w:spacing w:after="0"/>
              <w:rPr>
                <w:sz w:val="20"/>
                <w:szCs w:val="20"/>
                <w:color w:val="auto"/>
              </w:rPr>
            </w:pPr>
            <w:r>
              <w:rPr>
                <w:rFonts w:ascii="Arial" w:cs="Arial" w:eastAsia="Arial" w:hAnsi="Arial"/>
                <w:sz w:val="16"/>
                <w:szCs w:val="16"/>
                <w:color w:val="auto"/>
              </w:rPr>
              <w:t>Equity Compensation</w:t>
            </w:r>
          </w:p>
        </w:tc>
      </w:tr>
      <w:tr>
        <w:trPr>
          <w:trHeight w:val="200"/>
        </w:trPr>
        <w:tc>
          <w:tcPr>
            <w:tcW w:w="5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Outstanding</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Outstanding</w:t>
            </w:r>
          </w:p>
        </w:tc>
        <w:tc>
          <w:tcPr>
            <w:tcW w:w="1980" w:type="dxa"/>
            <w:vAlign w:val="bottom"/>
            <w:gridSpan w:val="2"/>
          </w:tcPr>
          <w:p>
            <w:pPr>
              <w:jc w:val="right"/>
              <w:ind w:right="40"/>
              <w:spacing w:after="0"/>
              <w:rPr>
                <w:sz w:val="20"/>
                <w:szCs w:val="20"/>
                <w:color w:val="auto"/>
              </w:rPr>
            </w:pPr>
            <w:r>
              <w:rPr>
                <w:rFonts w:ascii="Arial" w:cs="Arial" w:eastAsia="Arial" w:hAnsi="Arial"/>
                <w:sz w:val="16"/>
                <w:szCs w:val="16"/>
                <w:color w:val="auto"/>
              </w:rPr>
              <w:t>Plans (Excluding</w:t>
            </w:r>
          </w:p>
        </w:tc>
      </w:tr>
      <w:tr>
        <w:trPr>
          <w:trHeight w:val="200"/>
        </w:trPr>
        <w:tc>
          <w:tcPr>
            <w:tcW w:w="5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Options, Warrants</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Options, Warrants</w:t>
            </w:r>
          </w:p>
        </w:tc>
        <w:tc>
          <w:tcPr>
            <w:tcW w:w="1980" w:type="dxa"/>
            <w:vAlign w:val="bottom"/>
            <w:gridSpan w:val="2"/>
          </w:tcPr>
          <w:p>
            <w:pPr>
              <w:jc w:val="right"/>
              <w:spacing w:after="0" w:line="194" w:lineRule="exact"/>
              <w:rPr>
                <w:sz w:val="20"/>
                <w:szCs w:val="20"/>
                <w:color w:val="auto"/>
              </w:rPr>
            </w:pPr>
            <w:r>
              <w:rPr>
                <w:rFonts w:ascii="Arial" w:cs="Arial" w:eastAsia="Arial" w:hAnsi="Arial"/>
                <w:sz w:val="16"/>
                <w:szCs w:val="16"/>
                <w:color w:val="auto"/>
              </w:rPr>
              <w:t>ČǉƺʍɨȈɽȈǉɰ</w:t>
            </w:r>
            <w:r>
              <w:rPr>
                <w:rFonts w:ascii="PMingLiU" w:cs="PMingLiU" w:eastAsia="PMingLiU" w:hAnsi="PMingLiU"/>
                <w:sz w:val="16"/>
                <w:szCs w:val="16"/>
                <w:color w:val="auto"/>
              </w:rPr>
              <w:t/>
            </w:r>
            <w:r>
              <w:rPr>
                <w:rFonts w:ascii="Arial" w:cs="Arial" w:eastAsia="Arial" w:hAnsi="Arial"/>
                <w:sz w:val="16"/>
                <w:szCs w:val="16"/>
                <w:color w:val="auto"/>
              </w:rPr>
              <w:t>Ąǉːǉƺɽǉǁ</w:t>
            </w:r>
            <w:r>
              <w:rPr>
                <w:rFonts w:ascii="PMingLiU" w:cs="PMingLiU" w:eastAsia="PMingLiU" w:hAnsi="PMingLiU"/>
                <w:sz w:val="16"/>
                <w:szCs w:val="16"/>
                <w:color w:val="auto"/>
              </w:rPr>
              <w:t/>
            </w:r>
            <w:r>
              <w:rPr>
                <w:rFonts w:ascii="Arial" w:cs="Arial" w:eastAsia="Arial" w:hAnsi="Arial"/>
                <w:sz w:val="16"/>
                <w:szCs w:val="16"/>
                <w:color w:val="auto"/>
              </w:rPr>
              <w:t>Ȉȶ</w:t>
            </w:r>
            <w:r>
              <w:rPr>
                <w:rFonts w:ascii="PMingLiU" w:cs="PMingLiU" w:eastAsia="PMingLiU" w:hAnsi="PMingLiU"/>
                <w:sz w:val="16"/>
                <w:szCs w:val="16"/>
                <w:color w:val="auto"/>
              </w:rPr>
              <w:t/>
            </w:r>
          </w:p>
        </w:tc>
      </w:tr>
      <w:tr>
        <w:trPr>
          <w:trHeight w:val="230"/>
        </w:trPr>
        <w:tc>
          <w:tcPr>
            <w:tcW w:w="5240" w:type="dxa"/>
            <w:vAlign w:val="bottom"/>
          </w:tcPr>
          <w:p>
            <w:pPr>
              <w:spacing w:after="0"/>
              <w:rPr>
                <w:sz w:val="20"/>
                <w:szCs w:val="20"/>
                <w:color w:val="auto"/>
              </w:rPr>
            </w:pPr>
            <w:r>
              <w:rPr>
                <w:rFonts w:ascii="Arial" w:cs="Arial" w:eastAsia="Arial" w:hAnsi="Arial"/>
                <w:sz w:val="16"/>
                <w:szCs w:val="16"/>
                <w:color w:val="auto"/>
              </w:rPr>
              <w:t>Plan Category</w:t>
            </w:r>
          </w:p>
        </w:tc>
        <w:tc>
          <w:tcPr>
            <w:tcW w:w="1520" w:type="dxa"/>
            <w:vAlign w:val="bottom"/>
          </w:tcPr>
          <w:p>
            <w:pPr>
              <w:jc w:val="right"/>
              <w:spacing w:after="0"/>
              <w:rPr>
                <w:sz w:val="20"/>
                <w:szCs w:val="20"/>
                <w:color w:val="auto"/>
              </w:rPr>
            </w:pPr>
            <w:r>
              <w:rPr>
                <w:rFonts w:ascii="Arial" w:cs="Arial" w:eastAsia="Arial" w:hAnsi="Arial"/>
                <w:sz w:val="16"/>
                <w:szCs w:val="16"/>
                <w:color w:val="auto"/>
              </w:rPr>
              <w:t>and Rights</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and Rights</w:t>
            </w:r>
          </w:p>
        </w:tc>
        <w:tc>
          <w:tcPr>
            <w:tcW w:w="1980" w:type="dxa"/>
            <w:vAlign w:val="bottom"/>
            <w:gridSpan w:val="2"/>
          </w:tcPr>
          <w:p>
            <w:pPr>
              <w:jc w:val="right"/>
              <w:ind w:right="40"/>
              <w:spacing w:after="0"/>
              <w:rPr>
                <w:sz w:val="20"/>
                <w:szCs w:val="20"/>
                <w:color w:val="auto"/>
              </w:rPr>
            </w:pPr>
            <w:r>
              <w:rPr>
                <w:rFonts w:ascii="Arial" w:cs="Arial" w:eastAsia="Arial" w:hAnsi="Arial"/>
                <w:sz w:val="16"/>
                <w:szCs w:val="16"/>
                <w:color w:val="auto"/>
              </w:rPr>
              <w:t>Column (a))</w:t>
            </w:r>
          </w:p>
        </w:tc>
      </w:tr>
      <w:tr>
        <w:trPr>
          <w:trHeight w:val="260"/>
        </w:trPr>
        <w:tc>
          <w:tcPr>
            <w:tcW w:w="5240" w:type="dxa"/>
            <w:vAlign w:val="bottom"/>
            <w:tcBorders>
              <w:top w:val="single" w:sz="8" w:color="000041"/>
            </w:tcBorders>
          </w:tcPr>
          <w:p>
            <w:pPr>
              <w:spacing w:after="0"/>
              <w:rPr>
                <w:sz w:val="20"/>
                <w:szCs w:val="20"/>
                <w:color w:val="auto"/>
              </w:rPr>
            </w:pPr>
            <w:r>
              <w:rPr>
                <w:rFonts w:ascii="Arial" w:cs="Arial" w:eastAsia="Arial" w:hAnsi="Arial"/>
                <w:sz w:val="18"/>
                <w:szCs w:val="18"/>
                <w:color w:val="auto"/>
              </w:rPr>
              <w:t>Equity Compensation Plans Approved by Shareholders</w:t>
            </w:r>
            <w:r>
              <w:rPr>
                <w:rFonts w:ascii="Arial" w:cs="Arial" w:eastAsia="Arial" w:hAnsi="Arial"/>
                <w:sz w:val="10"/>
                <w:szCs w:val="10"/>
                <w:color w:val="auto"/>
              </w:rPr>
              <w:t>(1)</w:t>
            </w:r>
          </w:p>
        </w:tc>
        <w:tc>
          <w:tcPr>
            <w:tcW w:w="1520" w:type="dxa"/>
            <w:vAlign w:val="bottom"/>
            <w:tcBorders>
              <w:top w:val="single" w:sz="8" w:color="000041"/>
            </w:tcBorders>
          </w:tcPr>
          <w:p>
            <w:pPr>
              <w:spacing w:after="0"/>
              <w:rPr>
                <w:sz w:val="22"/>
                <w:szCs w:val="22"/>
                <w:color w:val="auto"/>
              </w:rPr>
            </w:pPr>
          </w:p>
        </w:tc>
        <w:tc>
          <w:tcPr>
            <w:tcW w:w="1140" w:type="dxa"/>
            <w:vAlign w:val="bottom"/>
            <w:tcBorders>
              <w:top w:val="single" w:sz="8" w:color="000041"/>
            </w:tcBorders>
          </w:tcPr>
          <w:p>
            <w:pPr>
              <w:spacing w:after="0"/>
              <w:rPr>
                <w:sz w:val="22"/>
                <w:szCs w:val="22"/>
                <w:color w:val="auto"/>
              </w:rPr>
            </w:pPr>
          </w:p>
        </w:tc>
        <w:tc>
          <w:tcPr>
            <w:tcW w:w="460" w:type="dxa"/>
            <w:vAlign w:val="bottom"/>
            <w:tcBorders>
              <w:top w:val="single" w:sz="8" w:color="000041"/>
            </w:tcBorders>
          </w:tcPr>
          <w:p>
            <w:pPr>
              <w:spacing w:after="0"/>
              <w:rPr>
                <w:sz w:val="22"/>
                <w:szCs w:val="22"/>
                <w:color w:val="auto"/>
              </w:rPr>
            </w:pPr>
          </w:p>
        </w:tc>
        <w:tc>
          <w:tcPr>
            <w:tcW w:w="1940" w:type="dxa"/>
            <w:vAlign w:val="bottom"/>
            <w:tcBorders>
              <w:top w:val="single" w:sz="8" w:color="000041"/>
            </w:tcBorders>
          </w:tcPr>
          <w:p>
            <w:pPr>
              <w:spacing w:after="0"/>
              <w:rPr>
                <w:sz w:val="22"/>
                <w:szCs w:val="22"/>
                <w:color w:val="auto"/>
              </w:rPr>
            </w:pPr>
          </w:p>
        </w:tc>
        <w:tc>
          <w:tcPr>
            <w:tcW w:w="40" w:type="dxa"/>
            <w:vAlign w:val="bottom"/>
          </w:tcPr>
          <w:p>
            <w:pPr>
              <w:spacing w:after="0"/>
              <w:rPr>
                <w:sz w:val="22"/>
                <w:szCs w:val="22"/>
                <w:color w:val="auto"/>
              </w:rPr>
            </w:pPr>
          </w:p>
        </w:tc>
      </w:tr>
      <w:tr>
        <w:trPr>
          <w:trHeight w:val="234"/>
        </w:trPr>
        <w:tc>
          <w:tcPr>
            <w:tcW w:w="52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2.349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$400.46</w:t>
            </w: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68"/>
        </w:trPr>
        <w:tc>
          <w:tcPr>
            <w:tcW w:w="524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Restricted stock awards</w:t>
            </w:r>
            <w:r>
              <w:rPr>
                <w:rFonts w:ascii="Arial" w:cs="Arial" w:eastAsia="Arial" w:hAnsi="Arial"/>
                <w:sz w:val="10"/>
                <w:szCs w:val="10"/>
                <w:color w:val="auto"/>
              </w:rPr>
              <w:t>(2)</w:t>
            </w:r>
          </w:p>
        </w:tc>
        <w:tc>
          <w:tcPr>
            <w:tcW w:w="15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0.783</w:t>
            </w:r>
          </w:p>
        </w:tc>
        <w:tc>
          <w:tcPr>
            <w:tcW w:w="1140" w:type="dxa"/>
            <w:vAlign w:val="bottom"/>
            <w:tcBorders>
              <w:bottom w:val="single" w:sz="8" w:color="000041"/>
            </w:tcBorders>
          </w:tcPr>
          <w:p>
            <w:pPr>
              <w:spacing w:after="0"/>
              <w:rPr>
                <w:sz w:val="23"/>
                <w:szCs w:val="23"/>
                <w:color w:val="auto"/>
              </w:rPr>
            </w:pPr>
          </w:p>
        </w:tc>
        <w:tc>
          <w:tcPr>
            <w:tcW w:w="4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000041"/>
            </w:tcBorders>
          </w:tcPr>
          <w:p>
            <w:pPr>
              <w:spacing w:after="0"/>
              <w:rPr>
                <w:sz w:val="23"/>
                <w:szCs w:val="23"/>
                <w:color w:val="auto"/>
              </w:rPr>
            </w:pPr>
          </w:p>
        </w:tc>
        <w:tc>
          <w:tcPr>
            <w:tcW w:w="40" w:type="dxa"/>
            <w:vAlign w:val="bottom"/>
          </w:tcPr>
          <w:p>
            <w:pPr>
              <w:spacing w:after="0"/>
              <w:rPr>
                <w:sz w:val="23"/>
                <w:szCs w:val="23"/>
                <w:color w:val="auto"/>
              </w:rPr>
            </w:pPr>
          </w:p>
        </w:tc>
      </w:tr>
      <w:tr>
        <w:trPr>
          <w:trHeight w:val="295"/>
        </w:trPr>
        <w:tc>
          <w:tcPr>
            <w:tcW w:w="524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Subtotal</w:t>
            </w:r>
          </w:p>
        </w:tc>
        <w:tc>
          <w:tcPr>
            <w:tcW w:w="15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3.132</w:t>
            </w:r>
          </w:p>
        </w:tc>
        <w:tc>
          <w:tcPr>
            <w:tcW w:w="1140" w:type="dxa"/>
            <w:vAlign w:val="bottom"/>
            <w:tcBorders>
              <w:bottom w:val="single" w:sz="8" w:color="000041"/>
            </w:tcBorders>
          </w:tcPr>
          <w:p>
            <w:pPr>
              <w:spacing w:after="0"/>
              <w:rPr>
                <w:sz w:val="24"/>
                <w:szCs w:val="24"/>
                <w:color w:val="auto"/>
              </w:rPr>
            </w:pPr>
          </w:p>
        </w:tc>
        <w:tc>
          <w:tcPr>
            <w:tcW w:w="460" w:type="dxa"/>
            <w:vAlign w:val="bottom"/>
            <w:tcBorders>
              <w:bottom w:val="single" w:sz="8" w:color="000041"/>
            </w:tcBorders>
          </w:tcPr>
          <w:p>
            <w:pPr>
              <w:spacing w:after="0"/>
              <w:rPr>
                <w:sz w:val="24"/>
                <w:szCs w:val="24"/>
                <w:color w:val="auto"/>
              </w:rPr>
            </w:pPr>
          </w:p>
        </w:tc>
        <w:tc>
          <w:tcPr>
            <w:tcW w:w="194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4.293</w:t>
            </w:r>
          </w:p>
        </w:tc>
        <w:tc>
          <w:tcPr>
            <w:tcW w:w="40" w:type="dxa"/>
            <w:vAlign w:val="bottom"/>
          </w:tcPr>
          <w:p>
            <w:pPr>
              <w:spacing w:after="0"/>
              <w:rPr>
                <w:sz w:val="24"/>
                <w:szCs w:val="24"/>
                <w:color w:val="auto"/>
              </w:rPr>
            </w:pPr>
          </w:p>
        </w:tc>
      </w:tr>
      <w:tr>
        <w:trPr>
          <w:trHeight w:val="294"/>
        </w:trPr>
        <w:tc>
          <w:tcPr>
            <w:tcW w:w="524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95"/>
        </w:trPr>
        <w:tc>
          <w:tcPr>
            <w:tcW w:w="5240" w:type="dxa"/>
            <w:vAlign w:val="bottom"/>
            <w:tcBorders>
              <w:top w:val="single" w:sz="8" w:color="000041"/>
              <w:bottom w:val="single" w:sz="8" w:color="000041"/>
            </w:tcBorders>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000041"/>
              <w:bottom w:val="single" w:sz="8" w:color="000041"/>
            </w:tcBorders>
          </w:tcPr>
          <w:p>
            <w:pPr>
              <w:jc w:val="right"/>
              <w:spacing w:after="0"/>
              <w:rPr>
                <w:sz w:val="20"/>
                <w:szCs w:val="20"/>
                <w:color w:val="auto"/>
              </w:rPr>
            </w:pPr>
            <w:r>
              <w:rPr>
                <w:rFonts w:ascii="Arial" w:cs="Arial" w:eastAsia="Arial" w:hAnsi="Arial"/>
                <w:sz w:val="18"/>
                <w:szCs w:val="18"/>
                <w:color w:val="auto"/>
              </w:rPr>
              <w:t>3.132</w:t>
            </w:r>
          </w:p>
        </w:tc>
        <w:tc>
          <w:tcPr>
            <w:tcW w:w="1140" w:type="dxa"/>
            <w:vAlign w:val="bottom"/>
            <w:tcBorders>
              <w:top w:val="single" w:sz="8" w:color="000041"/>
              <w:bottom w:val="single" w:sz="8" w:color="000041"/>
            </w:tcBorders>
          </w:tcPr>
          <w:p>
            <w:pPr>
              <w:jc w:val="right"/>
              <w:ind w:right="97"/>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000041"/>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000041"/>
              <w:bottom w:val="single" w:sz="8" w:color="000041"/>
            </w:tcBorders>
          </w:tcPr>
          <w:p>
            <w:pPr>
              <w:jc w:val="right"/>
              <w:spacing w:after="0"/>
              <w:rPr>
                <w:sz w:val="20"/>
                <w:szCs w:val="20"/>
                <w:color w:val="auto"/>
              </w:rPr>
            </w:pPr>
            <w:r>
              <w:rPr>
                <w:rFonts w:ascii="Arial" w:cs="Arial" w:eastAsia="Arial" w:hAnsi="Arial"/>
                <w:sz w:val="18"/>
                <w:szCs w:val="18"/>
                <w:color w:val="auto"/>
              </w:rPr>
              <w:t>4.293</w:t>
            </w:r>
          </w:p>
        </w:tc>
        <w:tc>
          <w:tcPr>
            <w:tcW w:w="40" w:type="dxa"/>
            <w:vAlign w:val="bottom"/>
          </w:tcPr>
          <w:p>
            <w:pPr>
              <w:spacing w:after="0"/>
              <w:rPr>
                <w:sz w:val="24"/>
                <w:szCs w:val="24"/>
                <w:color w:val="auto"/>
              </w:rPr>
            </w:pPr>
          </w:p>
        </w:tc>
      </w:tr>
    </w:tbl>
    <w:p>
      <w:pPr>
        <w:spacing w:after="0" w:line="36" w:lineRule="exact"/>
        <w:rPr>
          <w:sz w:val="20"/>
          <w:szCs w:val="20"/>
          <w:color w:val="auto"/>
        </w:rPr>
      </w:pPr>
    </w:p>
    <w:p>
      <w:pPr>
        <w:ind w:left="120" w:right="40" w:hanging="120"/>
        <w:spacing w:after="0" w:line="331" w:lineRule="auto"/>
        <w:tabs>
          <w:tab w:leader="none" w:pos="120" w:val="left"/>
        </w:tabs>
        <w:numPr>
          <w:ilvl w:val="0"/>
          <w:numId w:val="21"/>
        </w:numPr>
        <w:rPr>
          <w:rFonts w:ascii="Arial" w:cs="Arial" w:eastAsia="Arial" w:hAnsi="Arial"/>
          <w:sz w:val="8"/>
          <w:szCs w:val="8"/>
          <w:color w:val="auto"/>
        </w:rPr>
      </w:pPr>
      <w:r>
        <w:rPr>
          <w:rFonts w:ascii="Arial" w:cs="Arial" w:eastAsia="Arial" w:hAnsi="Arial"/>
          <w:sz w:val="14"/>
          <w:szCs w:val="14"/>
          <w:color w:val="auto"/>
        </w:rPr>
        <w:t>Consists of the Amended and Restated 2006 Incentive Plan, the 2016 Incentive Plan, as amended, and the 2021 Incentive Plan. No additional awards may be granted under the 2006 Incentive Plan or the 2016 Incentive Plan.</w:t>
      </w:r>
    </w:p>
    <w:p>
      <w:pPr>
        <w:spacing w:after="0" w:line="5" w:lineRule="exact"/>
        <w:rPr>
          <w:rFonts w:ascii="Arial" w:cs="Arial" w:eastAsia="Arial" w:hAnsi="Arial"/>
          <w:sz w:val="8"/>
          <w:szCs w:val="8"/>
          <w:color w:val="auto"/>
        </w:rPr>
      </w:pPr>
    </w:p>
    <w:p>
      <w:pPr>
        <w:ind w:left="140" w:hanging="140"/>
        <w:spacing w:after="0"/>
        <w:tabs>
          <w:tab w:leader="none" w:pos="140" w:val="left"/>
        </w:tabs>
        <w:numPr>
          <w:ilvl w:val="0"/>
          <w:numId w:val="21"/>
        </w:numPr>
        <w:rPr>
          <w:rFonts w:ascii="Arial" w:cs="Arial" w:eastAsia="Arial" w:hAnsi="Arial"/>
          <w:sz w:val="8"/>
          <w:szCs w:val="8"/>
          <w:color w:val="auto"/>
        </w:rPr>
      </w:pPr>
      <w:r>
        <w:rPr>
          <w:rFonts w:ascii="Arial" w:cs="Arial" w:eastAsia="Arial" w:hAnsi="Arial"/>
          <w:sz w:val="14"/>
          <w:szCs w:val="14"/>
          <w:color w:val="auto"/>
        </w:rPr>
        <w:t>The weighted-average exercise price is not applicable to restricted stock awards.</w:t>
      </w:r>
    </w:p>
    <w:p>
      <w:pPr>
        <w:spacing w:after="0" w:line="240" w:lineRule="exact"/>
        <w:rPr>
          <w:sz w:val="20"/>
          <w:szCs w:val="20"/>
          <w:color w:val="auto"/>
        </w:rPr>
      </w:pPr>
    </w:p>
    <w:p>
      <w:pPr>
        <w:ind w:left="1080" w:right="520" w:hanging="1078"/>
        <w:spacing w:after="0" w:line="288" w:lineRule="auto"/>
        <w:rPr>
          <w:sz w:val="20"/>
          <w:szCs w:val="20"/>
          <w:color w:val="auto"/>
        </w:rPr>
      </w:pPr>
      <w:r>
        <w:rPr>
          <w:rFonts w:ascii="Arial" w:cs="Arial" w:eastAsia="Arial" w:hAnsi="Arial"/>
          <w:sz w:val="24"/>
          <w:szCs w:val="24"/>
          <w:color w:val="000041"/>
        </w:rPr>
        <w:t>ITEM 13 | CERTAIN RELATIONSHIPS AND RELATED TRANSACTIONS, AND DIRECTOR INDEPENDENCE</w:t>
      </w:r>
    </w:p>
    <w:p>
      <w:pPr>
        <w:spacing w:after="0" w:line="2" w:lineRule="exact"/>
        <w:rPr>
          <w:sz w:val="20"/>
          <w:szCs w:val="20"/>
          <w:color w:val="auto"/>
        </w:rPr>
      </w:pPr>
    </w:p>
    <w:p>
      <w:pPr>
        <w:jc w:val="both"/>
        <w:spacing w:after="0" w:line="234" w:lineRule="exact"/>
        <w:rPr>
          <w:sz w:val="20"/>
          <w:szCs w:val="20"/>
          <w:color w:val="auto"/>
        </w:rPr>
      </w:pP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 xml:space="preserve"> ȈȶǹɁɨȴƃɽȈɁȶ</w:t>
      </w:r>
      <w:r>
        <w:rPr>
          <w:rFonts w:ascii="PMingLiU" w:cs="PMingLiU" w:eastAsia="PMingLiU" w:hAnsi="PMingLiU"/>
          <w:sz w:val="18"/>
          <w:szCs w:val="18"/>
          <w:color w:val="auto"/>
        </w:rPr>
        <w:t/>
      </w:r>
      <w:r>
        <w:rPr>
          <w:rFonts w:ascii="Arial" w:cs="Arial" w:eastAsia="Arial" w:hAnsi="Arial"/>
          <w:sz w:val="18"/>
          <w:szCs w:val="18"/>
          <w:color w:val="auto"/>
        </w:rPr>
        <w:t xml:space="preserve"> ɨǉɧʍȈɨǉǁ</w:t>
      </w:r>
      <w:r>
        <w:rPr>
          <w:rFonts w:ascii="PMingLiU" w:cs="PMingLiU" w:eastAsia="PMingLiU" w:hAnsi="PMingLiU"/>
          <w:sz w:val="18"/>
          <w:szCs w:val="18"/>
          <w:color w:val="auto"/>
        </w:rPr>
        <w:t/>
      </w:r>
      <w:r>
        <w:rPr>
          <w:rFonts w:ascii="Arial" w:cs="Arial" w:eastAsia="Arial" w:hAnsi="Arial"/>
          <w:sz w:val="18"/>
          <w:szCs w:val="18"/>
          <w:color w:val="auto"/>
        </w:rPr>
        <w:t xml:space="preserve"> ƹʰ</w:t>
      </w:r>
      <w:r>
        <w:rPr>
          <w:rFonts w:ascii="PMingLiU" w:cs="PMingLiU" w:eastAsia="PMingLiU" w:hAnsi="PMingLiU"/>
          <w:sz w:val="18"/>
          <w:szCs w:val="18"/>
          <w:color w:val="auto"/>
        </w:rPr>
        <w:t/>
      </w:r>
      <w:r>
        <w:rPr>
          <w:rFonts w:ascii="Arial" w:cs="Arial" w:eastAsia="Arial" w:hAnsi="Arial"/>
          <w:sz w:val="18"/>
          <w:szCs w:val="18"/>
          <w:color w:val="auto"/>
        </w:rPr>
        <w:t xml:space="preserve"> ɽȃȈɰԝ </w:t>
      </w:r>
      <w:r>
        <w:rPr>
          <w:rFonts w:ascii="Arial" w:cs="Arial" w:eastAsia="Arial" w:hAnsi="Arial"/>
          <w:sz w:val="18"/>
          <w:szCs w:val="18"/>
          <w:i w:val="1"/>
          <w:iCs w:val="1"/>
          <w:color w:val="auto"/>
        </w:rPr>
        <w:t>Item 13—Certain Relationships and Related Transactions,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ԝȈɰ</w:t>
      </w:r>
      <w:r>
        <w:rPr>
          <w:rFonts w:ascii="PMingLiU" w:cs="PMingLiU" w:eastAsia="PMingLiU" w:hAnsi="PMingLiU"/>
          <w:sz w:val="18"/>
          <w:szCs w:val="18"/>
          <w:color w:val="auto"/>
        </w:rPr>
        <w:t/>
      </w:r>
      <w:r>
        <w:rPr>
          <w:rFonts w:ascii="Arial" w:cs="Arial" w:eastAsia="Arial" w:hAnsi="Arial"/>
          <w:sz w:val="18"/>
          <w:szCs w:val="18"/>
          <w:color w:val="auto"/>
        </w:rPr>
        <w:t>ƺɁȶɽƃȈȶǉǁ</w:t>
      </w:r>
      <w:r>
        <w:rPr>
          <w:rFonts w:ascii="PMingLiU" w:cs="PMingLiU" w:eastAsia="PMingLiU" w:hAnsi="PMingLiU"/>
          <w:sz w:val="18"/>
          <w:szCs w:val="18"/>
          <w:color w:val="auto"/>
        </w:rPr>
        <w:t/>
      </w:r>
      <w:r>
        <w:rPr>
          <w:rFonts w:ascii="Arial" w:cs="Arial" w:eastAsia="Arial" w:hAnsi="Arial"/>
          <w:sz w:val="18"/>
          <w:szCs w:val="18"/>
          <w:color w:val="auto"/>
        </w:rPr>
        <w:t>Ȉȶ</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їѕїћ</w:t>
      </w:r>
      <w:r>
        <w:rPr>
          <w:rFonts w:ascii="PMingLiU" w:cs="PMingLiU" w:eastAsia="PMingLiU" w:hAnsi="PMingLiU"/>
          <w:sz w:val="18"/>
          <w:szCs w:val="18"/>
          <w:color w:val="auto"/>
        </w:rPr>
        <w:t/>
      </w:r>
      <w:r>
        <w:rPr>
          <w:rFonts w:ascii="Arial" w:cs="Arial" w:eastAsia="Arial" w:hAnsi="Arial"/>
          <w:sz w:val="18"/>
          <w:szCs w:val="18"/>
          <w:color w:val="auto"/>
        </w:rPr>
        <w:t>ĀɨɁʯʰ</w:t>
      </w:r>
      <w:r>
        <w:rPr>
          <w:rFonts w:ascii="PMingLiU" w:cs="PMingLiU" w:eastAsia="PMingLiU" w:hAnsi="PMingLiU"/>
          <w:sz w:val="18"/>
          <w:szCs w:val="18"/>
          <w:color w:val="auto"/>
        </w:rPr>
        <w:t/>
      </w:r>
      <w:r>
        <w:rPr>
          <w:rFonts w:ascii="Arial" w:cs="Arial" w:eastAsia="Arial" w:hAnsi="Arial"/>
          <w:sz w:val="18"/>
          <w:szCs w:val="18"/>
          <w:color w:val="auto"/>
        </w:rPr>
        <w:t>Čɽƃɽǉȴǉȶɽ</w:t>
      </w:r>
      <w:r>
        <w:rPr>
          <w:rFonts w:ascii="PMingLiU" w:cs="PMingLiU" w:eastAsia="PMingLiU" w:hAnsi="PMingLiU"/>
          <w:sz w:val="18"/>
          <w:szCs w:val="18"/>
          <w:color w:val="auto"/>
        </w:rPr>
        <w:t/>
      </w:r>
      <w:r>
        <w:rPr>
          <w:rFonts w:ascii="Arial" w:cs="Arial" w:eastAsia="Arial" w:hAnsi="Arial"/>
          <w:sz w:val="18"/>
          <w:szCs w:val="18"/>
          <w:color w:val="auto"/>
        </w:rPr>
        <w:t>ʍȶǁǉɨ</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ƺƃɥɽȈɁȶɰ</w:t>
      </w:r>
      <w:r>
        <w:rPr>
          <w:rFonts w:ascii="PMingLiU" w:cs="PMingLiU" w:eastAsia="PMingLiU" w:hAnsi="PMingLiU"/>
          <w:sz w:val="18"/>
          <w:szCs w:val="18"/>
          <w:color w:val="auto"/>
        </w:rPr>
        <w:t/>
      </w:r>
      <w:r>
        <w:rPr>
          <w:rFonts w:ascii="Arial" w:cs="Arial" w:eastAsia="Arial" w:hAnsi="Arial"/>
          <w:sz w:val="18"/>
          <w:szCs w:val="18"/>
          <w:color w:val="auto"/>
        </w:rPr>
        <w:t>ԄAȈɨǉƺɽɁɨ</w:t>
      </w:r>
      <w:r>
        <w:rPr>
          <w:rFonts w:ascii="PMingLiU" w:cs="PMingLiU" w:eastAsia="PMingLiU" w:hAnsi="PMingLiU"/>
          <w:sz w:val="18"/>
          <w:szCs w:val="18"/>
          <w:color w:val="auto"/>
        </w:rPr>
        <w:t></w:t>
      </w:r>
      <w:r>
        <w:rPr>
          <w:rFonts w:ascii="Arial" w:cs="Arial" w:eastAsia="Arial" w:hAnsi="Arial"/>
          <w:sz w:val="18"/>
          <w:szCs w:val="18"/>
          <w:color w:val="auto"/>
        </w:rPr>
        <w:t>ȶǁǉɥǉȶǁǉȶƺǉԅ</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ԄĄǉʤȈǉʥ</w:t>
      </w:r>
      <w:r>
        <w:rPr>
          <w:rFonts w:ascii="PMingLiU" w:cs="PMingLiU" w:eastAsia="PMingLiU" w:hAnsi="PMingLiU"/>
          <w:sz w:val="18"/>
          <w:szCs w:val="18"/>
          <w:color w:val="auto"/>
        </w:rPr>
        <w:t/>
      </w:r>
      <w:r>
        <w:rPr>
          <w:rFonts w:ascii="Arial" w:cs="Arial" w:eastAsia="Arial" w:hAnsi="Arial"/>
          <w:sz w:val="18"/>
          <w:szCs w:val="18"/>
          <w:i w:val="1"/>
          <w:iCs w:val="1"/>
          <w:color w:val="auto"/>
        </w:rPr>
        <w:t xml:space="preserve"> </w:t>
      </w:r>
      <w:r>
        <w:rPr>
          <w:rFonts w:ascii="Arial" w:cs="Arial" w:eastAsia="Arial" w:hAnsi="Arial"/>
          <w:sz w:val="18"/>
          <w:szCs w:val="18"/>
          <w:color w:val="auto"/>
        </w:rPr>
        <w:t>and Approval of Related Person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000041"/>
        </w:rPr>
        <w:t>ITEM 14 | PRINCIPAL ACCOUNTANT FEES AND SERVICES</w:t>
      </w:r>
    </w:p>
    <w:p>
      <w:pPr>
        <w:spacing w:after="0" w:line="128" w:lineRule="exact"/>
        <w:rPr>
          <w:sz w:val="20"/>
          <w:szCs w:val="20"/>
          <w:color w:val="auto"/>
        </w:rPr>
      </w:pPr>
    </w:p>
    <w:p>
      <w:pPr>
        <w:jc w:val="both"/>
        <w:spacing w:after="0" w:line="240" w:lineRule="exact"/>
        <w:rPr>
          <w:sz w:val="20"/>
          <w:szCs w:val="20"/>
          <w:color w:val="auto"/>
        </w:rPr>
      </w:pP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 xml:space="preserve"> ȈȶǹɁɨȴƃɽȈɁȶ</w:t>
      </w:r>
      <w:r>
        <w:rPr>
          <w:rFonts w:ascii="PMingLiU" w:cs="PMingLiU" w:eastAsia="PMingLiU" w:hAnsi="PMingLiU"/>
          <w:sz w:val="18"/>
          <w:szCs w:val="18"/>
          <w:color w:val="auto"/>
        </w:rPr>
        <w:t/>
      </w:r>
      <w:r>
        <w:rPr>
          <w:rFonts w:ascii="Arial" w:cs="Arial" w:eastAsia="Arial" w:hAnsi="Arial"/>
          <w:sz w:val="18"/>
          <w:szCs w:val="18"/>
          <w:color w:val="auto"/>
        </w:rPr>
        <w:t xml:space="preserve"> ɨǉɧʍȈɨǉǁ</w:t>
      </w:r>
      <w:r>
        <w:rPr>
          <w:rFonts w:ascii="PMingLiU" w:cs="PMingLiU" w:eastAsia="PMingLiU" w:hAnsi="PMingLiU"/>
          <w:sz w:val="18"/>
          <w:szCs w:val="18"/>
          <w:color w:val="auto"/>
        </w:rPr>
        <w:t/>
      </w:r>
      <w:r>
        <w:rPr>
          <w:rFonts w:ascii="Arial" w:cs="Arial" w:eastAsia="Arial" w:hAnsi="Arial"/>
          <w:sz w:val="18"/>
          <w:szCs w:val="18"/>
          <w:color w:val="auto"/>
        </w:rPr>
        <w:t xml:space="preserve"> ƹʰ</w:t>
      </w:r>
      <w:r>
        <w:rPr>
          <w:rFonts w:ascii="PMingLiU" w:cs="PMingLiU" w:eastAsia="PMingLiU" w:hAnsi="PMingLiU"/>
          <w:sz w:val="18"/>
          <w:szCs w:val="18"/>
          <w:color w:val="auto"/>
        </w:rPr>
        <w:t/>
      </w:r>
      <w:r>
        <w:rPr>
          <w:rFonts w:ascii="Arial" w:cs="Arial" w:eastAsia="Arial" w:hAnsi="Arial"/>
          <w:sz w:val="18"/>
          <w:szCs w:val="18"/>
          <w:color w:val="auto"/>
        </w:rPr>
        <w:t xml:space="preserve"> ɽȃȈɰԝ </w:t>
      </w:r>
      <w:r>
        <w:rPr>
          <w:rFonts w:ascii="Arial" w:cs="Arial" w:eastAsia="Arial" w:hAnsi="Arial"/>
          <w:sz w:val="18"/>
          <w:szCs w:val="18"/>
          <w:i w:val="1"/>
          <w:iCs w:val="1"/>
          <w:color w:val="auto"/>
        </w:rPr>
        <w:t>Item 14—Principal Accountant Fees and Services</w:t>
      </w:r>
      <w:r>
        <w:rPr>
          <w:rFonts w:ascii="Arial" w:cs="Arial" w:eastAsia="Arial" w:hAnsi="Arial"/>
          <w:sz w:val="18"/>
          <w:szCs w:val="18"/>
          <w:color w:val="auto"/>
        </w:rPr>
        <w:t>ԝȈɰ</w:t>
      </w:r>
      <w:r>
        <w:rPr>
          <w:rFonts w:ascii="PMingLiU" w:cs="PMingLiU" w:eastAsia="PMingLiU" w:hAnsi="PMingLiU"/>
          <w:sz w:val="18"/>
          <w:szCs w:val="18"/>
          <w:color w:val="auto"/>
        </w:rPr>
        <w:t/>
      </w:r>
      <w:r>
        <w:rPr>
          <w:rFonts w:ascii="Arial" w:cs="Arial" w:eastAsia="Arial" w:hAnsi="Arial"/>
          <w:sz w:val="18"/>
          <w:szCs w:val="18"/>
          <w:color w:val="auto"/>
        </w:rPr>
        <w:t xml:space="preserve"> ƺɁȶɽƃȈȶǉǁ</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ɽȃǉ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їѕїћ</w:t>
      </w:r>
      <w:r>
        <w:rPr>
          <w:rFonts w:ascii="PMingLiU" w:cs="PMingLiU" w:eastAsia="PMingLiU" w:hAnsi="PMingLiU"/>
          <w:sz w:val="18"/>
          <w:szCs w:val="18"/>
          <w:color w:val="auto"/>
        </w:rPr>
        <w:t/>
      </w:r>
      <w:r>
        <w:rPr>
          <w:rFonts w:ascii="Arial" w:cs="Arial" w:eastAsia="Arial" w:hAnsi="Arial"/>
          <w:sz w:val="18"/>
          <w:szCs w:val="18"/>
          <w:color w:val="auto"/>
        </w:rPr>
        <w:t xml:space="preserve"> ĀɨɁʯʰ</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Statement under the captions “Proposal 3: Ratification of the Appointment of PricewaterhouseCoopers LLP as our Independent Registered Public Accounting Firm for the Year Ending December 31, 2026” and “Independent Public Accountant’s Fees.”</w:t>
      </w:r>
    </w:p>
    <w:p>
      <w:pPr>
        <w:sectPr>
          <w:pgSz w:w="12240" w:h="15840" w:orient="portrait"/>
          <w:cols w:equalWidth="0" w:num="1">
            <w:col w:w="10360"/>
          </w:cols>
          <w:pgMar w:left="960" w:top="926" w:right="92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65</w:t>
      </w:r>
    </w:p>
    <w:p>
      <w:pPr>
        <w:sectPr>
          <w:pgSz w:w="12240" w:h="15840" w:orient="portrait"/>
          <w:cols w:equalWidth="0" w:num="1">
            <w:col w:w="10360"/>
          </w:cols>
          <w:pgMar w:left="960" w:top="926" w:right="920" w:bottom="90" w:gutter="0" w:footer="0" w:header="0"/>
          <w:type w:val="continuous"/>
        </w:sectPr>
      </w:pPr>
    </w:p>
    <w:bookmarkStart w:id="67" w:name="page68"/>
    <w:bookmarkEnd w:id="67"/>
    <w:p>
      <w:pPr>
        <w:spacing w:after="0"/>
        <w:rPr>
          <w:sz w:val="20"/>
          <w:szCs w:val="20"/>
          <w:color w:val="auto"/>
        </w:rPr>
      </w:pPr>
      <w:r>
        <w:rPr>
          <w:rFonts w:ascii="Arial" w:cs="Arial" w:eastAsia="Arial" w:hAnsi="Arial"/>
          <w:sz w:val="28"/>
          <w:szCs w:val="28"/>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PART IV</w:t>
      </w:r>
    </w:p>
    <w:p>
      <w:pPr>
        <w:sectPr>
          <w:pgSz w:w="12240" w:h="15840" w:orient="portrait"/>
          <w:cols w:equalWidth="0" w:num="1">
            <w:col w:w="10380"/>
          </w:cols>
          <w:pgMar w:left="960" w:top="913" w:right="900" w:bottom="9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24"/>
          <w:szCs w:val="24"/>
          <w:color w:val="000041"/>
        </w:rPr>
        <w:t>ITEM 15 | EXHIBITS AND FINANCIAL STATEMENT SCHEDULES</w:t>
      </w:r>
    </w:p>
    <w:p>
      <w:pPr>
        <w:spacing w:after="0" w:line="128" w:lineRule="exact"/>
        <w:rPr>
          <w:sz w:val="20"/>
          <w:szCs w:val="20"/>
          <w:color w:val="auto"/>
        </w:rPr>
      </w:pPr>
    </w:p>
    <w:p>
      <w:pPr>
        <w:ind w:left="600" w:hanging="600"/>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w:t>
      </w:r>
    </w:p>
    <w:p>
      <w:pPr>
        <w:spacing w:after="0" w:line="122" w:lineRule="exact"/>
        <w:rPr>
          <w:rFonts w:ascii="Arial" w:cs="Arial" w:eastAsia="Arial" w:hAnsi="Arial"/>
          <w:sz w:val="18"/>
          <w:szCs w:val="18"/>
          <w:color w:val="auto"/>
        </w:rPr>
      </w:pPr>
    </w:p>
    <w:p>
      <w:pPr>
        <w:ind w:left="600" w:right="60" w:hanging="294"/>
        <w:spacing w:after="0" w:line="318" w:lineRule="auto"/>
        <w:tabs>
          <w:tab w:leader="none" w:pos="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Financial Statements: The following Consolidated Financial Statements are included in Part II, Item 8 of this report.</w:t>
      </w:r>
    </w:p>
    <w:p>
      <w:pPr>
        <w:spacing w:after="0" w:line="1"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Consolidated Balance Sheets as of December 31, 2025 and 2024</w:t>
      </w:r>
    </w:p>
    <w:p>
      <w:pPr>
        <w:spacing w:after="0" w:line="12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Consolidated Statements of Earnings for the Years ended December 31, 2025, 2024, and 2023</w:t>
      </w:r>
    </w:p>
    <w:p>
      <w:pPr>
        <w:spacing w:after="0" w:line="122" w:lineRule="exact"/>
        <w:rPr>
          <w:rFonts w:ascii="Arial" w:cs="Arial" w:eastAsia="Arial" w:hAnsi="Arial"/>
          <w:sz w:val="18"/>
          <w:szCs w:val="18"/>
          <w:color w:val="auto"/>
        </w:rPr>
      </w:pPr>
    </w:p>
    <w:p>
      <w:pPr>
        <w:ind w:left="600" w:right="180"/>
        <w:spacing w:after="0" w:line="382" w:lineRule="auto"/>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2025, 2024, and 2023 Consolidated Statements of Stockholders’ Equity for the Years ended December 31, 2025, 2024, and 2023 Consolidated Statements of Cash Flows for the Years ended December 31, 2025, 2024, and 2023</w:t>
      </w:r>
    </w:p>
    <w:p>
      <w:pPr>
        <w:spacing w:after="0" w:line="1"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22" w:lineRule="exact"/>
        <w:rPr>
          <w:rFonts w:ascii="Arial" w:cs="Arial" w:eastAsia="Arial" w:hAnsi="Arial"/>
          <w:sz w:val="18"/>
          <w:szCs w:val="18"/>
          <w:color w:val="auto"/>
        </w:rPr>
      </w:pPr>
    </w:p>
    <w:p>
      <w:pPr>
        <w:ind w:left="280" w:hanging="280"/>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8"/>
          <w:szCs w:val="18"/>
          <w:color w:val="auto"/>
        </w:rPr>
        <w:t>Description of Exhibit</w:t>
      </w:r>
    </w:p>
    <w:p>
      <w:pPr>
        <w:spacing w:after="0" w:line="210" w:lineRule="exact"/>
        <w:rPr>
          <w:sz w:val="20"/>
          <w:szCs w:val="20"/>
          <w:color w:val="auto"/>
        </w:rPr>
      </w:pPr>
    </w:p>
    <w:p>
      <w:pPr>
        <w:jc w:val="both"/>
        <w:ind w:left="1320" w:right="60" w:hanging="803"/>
        <w:spacing w:after="0" w:line="287" w:lineRule="auto"/>
        <w:tabs>
          <w:tab w:leader="none" w:pos="1300" w:val="left"/>
        </w:tabs>
        <w:rPr>
          <w:sz w:val="20"/>
          <w:szCs w:val="20"/>
          <w:color w:val="auto"/>
        </w:rPr>
      </w:pPr>
      <w:r>
        <w:rPr>
          <w:rFonts w:ascii="Arial" w:cs="Arial" w:eastAsia="Arial" w:hAnsi="Arial"/>
          <w:sz w:val="10"/>
          <w:szCs w:val="10"/>
          <w:color w:val="auto"/>
        </w:rPr>
        <w:t>(a)</w:t>
      </w: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Equity Purchase Agreement by and among RIPIC Holdco Inc., Roper International Holding, Inc., RIPIC Equity LLC, CD&amp;R Tree Delaware Holdings, L.P. AND, solely for purposes of section 6.25, Roper Technologies, Inc. dated as of May 29, 2022.*</w:t>
      </w:r>
    </w:p>
    <w:p>
      <w:pPr>
        <w:spacing w:after="0" w:line="27" w:lineRule="exact"/>
        <w:rPr>
          <w:sz w:val="20"/>
          <w:szCs w:val="20"/>
          <w:color w:val="auto"/>
        </w:rPr>
      </w:pPr>
    </w:p>
    <w:p>
      <w:pPr>
        <w:ind w:left="500"/>
        <w:spacing w:after="0" w:line="219" w:lineRule="exact"/>
        <w:tabs>
          <w:tab w:leader="none" w:pos="1300" w:val="left"/>
        </w:tabs>
        <w:rPr>
          <w:sz w:val="20"/>
          <w:szCs w:val="20"/>
          <w:color w:val="auto"/>
        </w:rPr>
      </w:pPr>
      <w:r>
        <w:rPr>
          <w:rFonts w:ascii="Arial" w:cs="Arial" w:eastAsia="Arial" w:hAnsi="Arial"/>
          <w:sz w:val="10"/>
          <w:szCs w:val="10"/>
          <w:color w:val="auto"/>
        </w:rPr>
        <w:t>(b)</w:t>
      </w:r>
      <w:r>
        <w:rPr>
          <w:rFonts w:ascii="Arial" w:cs="Arial" w:eastAsia="Arial" w:hAnsi="Arial"/>
          <w:sz w:val="18"/>
          <w:szCs w:val="18"/>
          <w:color w:val="auto"/>
        </w:rPr>
        <w:t>јӝі</w:t>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r>
        <w:rPr>
          <w:rFonts w:ascii="Arial" w:cs="Arial" w:eastAsia="Arial" w:hAnsi="Arial"/>
          <w:sz w:val="18"/>
          <w:szCs w:val="18"/>
          <w:color w:val="auto"/>
        </w:rPr>
        <w:t>ȴǉȶǁǉǁ</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Ąǉɰɽƃɽǉǁ</w:t>
      </w:r>
      <w:r>
        <w:rPr>
          <w:rFonts w:ascii="PMingLiU" w:cs="PMingLiU" w:eastAsia="PMingLiU" w:hAnsi="PMingLiU"/>
          <w:sz w:val="18"/>
          <w:szCs w:val="18"/>
          <w:color w:val="auto"/>
        </w:rPr>
        <w:t/>
      </w:r>
      <w:r>
        <w:rPr>
          <w:rFonts w:ascii="Arial" w:cs="Arial" w:eastAsia="Arial" w:hAnsi="Arial"/>
          <w:sz w:val="18"/>
          <w:szCs w:val="18"/>
          <w:color w:val="auto"/>
        </w:rPr>
        <w:t>:ǉɨɽȈˎƺƃɽǉ</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w:t>
      </w:r>
      <w:r>
        <w:rPr>
          <w:rFonts w:ascii="Arial" w:cs="Arial" w:eastAsia="Arial" w:hAnsi="Arial"/>
          <w:sz w:val="18"/>
          <w:szCs w:val="18"/>
          <w:color w:val="auto"/>
        </w:rPr>
        <w:t>ȶƺɁɨɥɁɨƃɽȈɁȶ</w:t>
      </w:r>
      <w:r>
        <w:rPr>
          <w:rFonts w:ascii="PMingLiU" w:cs="PMingLiU" w:eastAsia="PMingLiU" w:hAnsi="PMingLiU"/>
          <w:sz w:val="18"/>
          <w:szCs w:val="18"/>
          <w:color w:val="auto"/>
        </w:rPr>
        <w:t/>
      </w:r>
      <w:r>
        <w:rPr>
          <w:rFonts w:ascii="Arial" w:cs="Arial" w:eastAsia="Arial" w:hAnsi="Arial"/>
          <w:sz w:val="18"/>
          <w:szCs w:val="18"/>
          <w:color w:val="auto"/>
        </w:rPr>
        <w:t>ǉǹǹǉƺɽȈʤǉ</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°ʍȶǉ</w:t>
      </w:r>
      <w:r>
        <w:rPr>
          <w:rFonts w:ascii="PMingLiU" w:cs="PMingLiU" w:eastAsia="PMingLiU" w:hAnsi="PMingLiU"/>
          <w:sz w:val="18"/>
          <w:szCs w:val="18"/>
          <w:color w:val="auto"/>
        </w:rPr>
        <w:t/>
      </w:r>
      <w:r>
        <w:rPr>
          <w:rFonts w:ascii="Arial" w:cs="Arial" w:eastAsia="Arial" w:hAnsi="Arial"/>
          <w:sz w:val="18"/>
          <w:szCs w:val="18"/>
          <w:color w:val="auto"/>
        </w:rPr>
        <w:t>іјӗ</w:t>
      </w:r>
      <w:r>
        <w:rPr>
          <w:rFonts w:ascii="PMingLiU" w:cs="PMingLiU" w:eastAsia="PMingLiU" w:hAnsi="PMingLiU"/>
          <w:sz w:val="18"/>
          <w:szCs w:val="18"/>
          <w:color w:val="auto"/>
        </w:rPr>
        <w:t/>
      </w:r>
      <w:r>
        <w:rPr>
          <w:rFonts w:ascii="Arial" w:cs="Arial" w:eastAsia="Arial" w:hAnsi="Arial"/>
          <w:sz w:val="18"/>
          <w:szCs w:val="18"/>
          <w:color w:val="auto"/>
        </w:rPr>
        <w:t>їѕїјӝ</w:t>
      </w:r>
    </w:p>
    <w:p>
      <w:pPr>
        <w:spacing w:after="0" w:line="112" w:lineRule="exact"/>
        <w:rPr>
          <w:sz w:val="20"/>
          <w:szCs w:val="20"/>
          <w:color w:val="auto"/>
        </w:rPr>
      </w:pPr>
    </w:p>
    <w:p>
      <w:pPr>
        <w:ind w:left="480"/>
        <w:spacing w:after="0"/>
        <w:tabs>
          <w:tab w:leader="none" w:pos="1300" w:val="left"/>
        </w:tabs>
        <w:rPr>
          <w:sz w:val="20"/>
          <w:szCs w:val="20"/>
          <w:color w:val="auto"/>
        </w:rPr>
      </w:pPr>
      <w:r>
        <w:rPr>
          <w:rFonts w:ascii="Arial" w:cs="Arial" w:eastAsia="Arial" w:hAnsi="Arial"/>
          <w:sz w:val="10"/>
          <w:szCs w:val="10"/>
          <w:color w:val="auto"/>
        </w:rPr>
        <w:t>(c)</w:t>
      </w: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w:t>
      </w:r>
    </w:p>
    <w:p>
      <w:pPr>
        <w:spacing w:after="0" w:line="12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0"/>
          <w:szCs w:val="10"/>
          <w:color w:val="auto"/>
        </w:rPr>
        <w:t>(d)</w:t>
      </w: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between Registrant and Wells Fargo Bank, dated as of August 4, 2008.</w:t>
      </w:r>
    </w:p>
    <w:p>
      <w:pPr>
        <w:spacing w:after="0" w:line="123" w:lineRule="exact"/>
        <w:rPr>
          <w:sz w:val="20"/>
          <w:szCs w:val="20"/>
          <w:color w:val="auto"/>
        </w:rPr>
      </w:pPr>
    </w:p>
    <w:p>
      <w:pPr>
        <w:ind w:left="480"/>
        <w:spacing w:after="0"/>
        <w:tabs>
          <w:tab w:leader="none" w:pos="1300" w:val="left"/>
        </w:tabs>
        <w:rPr>
          <w:sz w:val="20"/>
          <w:szCs w:val="20"/>
          <w:color w:val="auto"/>
        </w:rPr>
      </w:pPr>
      <w:r>
        <w:rPr>
          <w:rFonts w:ascii="Arial" w:cs="Arial" w:eastAsia="Arial" w:hAnsi="Arial"/>
          <w:sz w:val="10"/>
          <w:szCs w:val="10"/>
          <w:color w:val="auto"/>
        </w:rPr>
        <w:t>(e)</w:t>
      </w: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Indenture between Registrant and Wells Fargo Bank, dated as of November 26, 2018.</w:t>
      </w:r>
    </w:p>
    <w:p>
      <w:pPr>
        <w:spacing w:after="0" w:line="12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0"/>
          <w:szCs w:val="10"/>
          <w:color w:val="auto"/>
        </w:rPr>
        <w:t>(f)</w:t>
      </w: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Form of Note.</w:t>
      </w:r>
    </w:p>
    <w:p>
      <w:pPr>
        <w:spacing w:after="0" w:line="123"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0"/>
          <w:szCs w:val="10"/>
          <w:color w:val="auto"/>
        </w:rPr>
        <w:t>(g)</w:t>
      </w: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4.200% Senior Notes due 2028.</w:t>
      </w:r>
    </w:p>
    <w:p>
      <w:pPr>
        <w:spacing w:after="0" w:line="123"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0"/>
          <w:szCs w:val="10"/>
          <w:color w:val="auto"/>
        </w:rPr>
        <w:t>(h)</w:t>
      </w: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3.800% Senior Notes due 2026.</w:t>
      </w:r>
    </w:p>
    <w:p>
      <w:pPr>
        <w:spacing w:after="0" w:line="12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0"/>
          <w:szCs w:val="10"/>
          <w:color w:val="auto"/>
        </w:rPr>
        <w:t>(i)</w:t>
      </w: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Form of 2.950% Senior Notes due 2029.</w:t>
      </w:r>
    </w:p>
    <w:p>
      <w:pPr>
        <w:spacing w:after="0" w:line="12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0"/>
          <w:szCs w:val="10"/>
          <w:color w:val="auto"/>
        </w:rPr>
        <w:t>(j)</w:t>
      </w: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2.000% Senior Notes due 2030.</w:t>
      </w:r>
    </w:p>
    <w:p>
      <w:pPr>
        <w:spacing w:after="0" w:line="123"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0"/>
          <w:szCs w:val="10"/>
          <w:color w:val="auto"/>
        </w:rPr>
        <w:t>(k)</w:t>
      </w: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Form of 1.400% Senior Notes due 2027.</w:t>
      </w:r>
    </w:p>
    <w:p>
      <w:pPr>
        <w:spacing w:after="0" w:line="123" w:lineRule="exact"/>
        <w:rPr>
          <w:sz w:val="20"/>
          <w:szCs w:val="20"/>
          <w:color w:val="auto"/>
        </w:rPr>
      </w:pPr>
    </w:p>
    <w:p>
      <w:pPr>
        <w:ind w:left="460"/>
        <w:spacing w:after="0"/>
        <w:tabs>
          <w:tab w:leader="none" w:pos="1300" w:val="left"/>
        </w:tabs>
        <w:rPr>
          <w:sz w:val="20"/>
          <w:szCs w:val="20"/>
          <w:color w:val="auto"/>
        </w:rPr>
      </w:pPr>
      <w:r>
        <w:rPr>
          <w:rFonts w:ascii="Arial" w:cs="Arial" w:eastAsia="Arial" w:hAnsi="Arial"/>
          <w:sz w:val="10"/>
          <w:szCs w:val="10"/>
          <w:color w:val="auto"/>
        </w:rPr>
        <w:t>(k)</w:t>
      </w: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Form of 1.750% Senior Notes due 2031.</w:t>
      </w:r>
    </w:p>
    <w:p>
      <w:pPr>
        <w:spacing w:after="0" w:line="123"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0"/>
          <w:szCs w:val="10"/>
          <w:color w:val="auto"/>
        </w:rPr>
        <w:t>(l)</w:t>
      </w: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Form of 4.500% Senior Notes due 2029.</w:t>
      </w:r>
    </w:p>
    <w:p>
      <w:pPr>
        <w:spacing w:after="0" w:line="123" w:lineRule="exact"/>
        <w:rPr>
          <w:sz w:val="20"/>
          <w:szCs w:val="20"/>
          <w:color w:val="auto"/>
        </w:rPr>
      </w:pPr>
    </w:p>
    <w:p>
      <w:pPr>
        <w:ind w:left="480"/>
        <w:spacing w:after="0"/>
        <w:tabs>
          <w:tab w:leader="none" w:pos="1300" w:val="left"/>
        </w:tabs>
        <w:rPr>
          <w:sz w:val="20"/>
          <w:szCs w:val="20"/>
          <w:color w:val="auto"/>
        </w:rPr>
      </w:pPr>
      <w:r>
        <w:rPr>
          <w:rFonts w:ascii="Arial" w:cs="Arial" w:eastAsia="Arial" w:hAnsi="Arial"/>
          <w:sz w:val="10"/>
          <w:szCs w:val="10"/>
          <w:color w:val="auto"/>
        </w:rPr>
        <w:t>(l)</w:t>
      </w: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Form of 4.750% Senior Notes due 2032.</w:t>
      </w:r>
    </w:p>
    <w:p>
      <w:pPr>
        <w:spacing w:after="0" w:line="123"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0"/>
          <w:szCs w:val="10"/>
          <w:color w:val="auto"/>
        </w:rPr>
        <w:t>(l)</w:t>
      </w: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Form of 4.900% Senior Notes due 2034.</w:t>
      </w:r>
    </w:p>
    <w:p>
      <w:pPr>
        <w:spacing w:after="0" w:line="123"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0"/>
          <w:szCs w:val="10"/>
          <w:color w:val="auto"/>
        </w:rPr>
        <w:t>(m)</w:t>
      </w: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Form of 4.250% Senior Notes due 2028.</w:t>
      </w:r>
    </w:p>
    <w:p>
      <w:pPr>
        <w:spacing w:after="0" w:line="123"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0"/>
          <w:szCs w:val="10"/>
          <w:color w:val="auto"/>
        </w:rPr>
        <w:t>(m)</w:t>
      </w: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Form of 4.450% Senior Notes due 2030.</w:t>
      </w:r>
    </w:p>
    <w:p>
      <w:pPr>
        <w:spacing w:after="0" w:line="123"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0"/>
          <w:szCs w:val="10"/>
          <w:color w:val="auto"/>
        </w:rPr>
        <w:t>(m)</w:t>
      </w: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Form of 5.100% Senior Notes due 2035.</w:t>
      </w:r>
    </w:p>
    <w:p>
      <w:pPr>
        <w:spacing w:after="0" w:line="123" w:lineRule="exact"/>
        <w:rPr>
          <w:sz w:val="20"/>
          <w:szCs w:val="20"/>
          <w:color w:val="auto"/>
        </w:rPr>
      </w:pPr>
    </w:p>
    <w:p>
      <w:pPr>
        <w:ind w:left="1320" w:right="60" w:hanging="930"/>
        <w:spacing w:after="0" w:line="279" w:lineRule="auto"/>
        <w:tabs>
          <w:tab w:leader="none" w:pos="1300" w:val="left"/>
        </w:tabs>
        <w:rPr>
          <w:sz w:val="20"/>
          <w:szCs w:val="20"/>
          <w:color w:val="auto"/>
        </w:rPr>
      </w:pPr>
      <w:r>
        <w:rPr>
          <w:rFonts w:ascii="Arial" w:cs="Arial" w:eastAsia="Arial" w:hAnsi="Arial"/>
          <w:sz w:val="10"/>
          <w:szCs w:val="10"/>
          <w:color w:val="auto"/>
        </w:rPr>
        <w:t>(n)</w:t>
      </w: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Description of Registrant’s Securities Registered Pursuant to Section 12 of the Securities Exchange Act of 1934.</w:t>
      </w:r>
    </w:p>
    <w:p>
      <w:pPr>
        <w:spacing w:after="0" w:line="288"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0"/>
          <w:szCs w:val="10"/>
          <w:color w:val="auto"/>
        </w:rPr>
        <w:t>(o)</w:t>
      </w: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Employee Stock Purchase Plan, as Amended and Restated. †</w:t>
      </w:r>
    </w:p>
    <w:p>
      <w:pPr>
        <w:spacing w:after="0" w:line="123" w:lineRule="exact"/>
        <w:rPr>
          <w:sz w:val="20"/>
          <w:szCs w:val="20"/>
          <w:color w:val="auto"/>
        </w:rPr>
      </w:pPr>
    </w:p>
    <w:p>
      <w:pPr>
        <w:ind w:left="500"/>
        <w:spacing w:after="0" w:line="219" w:lineRule="exact"/>
        <w:tabs>
          <w:tab w:leader="none" w:pos="1300" w:val="left"/>
        </w:tabs>
        <w:rPr>
          <w:sz w:val="20"/>
          <w:szCs w:val="20"/>
          <w:color w:val="auto"/>
        </w:rPr>
      </w:pPr>
      <w:r>
        <w:rPr>
          <w:rFonts w:ascii="Arial" w:cs="Arial" w:eastAsia="Arial" w:hAnsi="Arial"/>
          <w:sz w:val="18"/>
          <w:szCs w:val="18"/>
          <w:color w:val="auto"/>
        </w:rPr>
        <w:t>10.2</w:t>
      </w:r>
      <w:r>
        <w:rPr>
          <w:rFonts w:ascii="PMingLiU" w:cs="PMingLiU" w:eastAsia="PMingLiU" w:hAnsi="PMingLiU"/>
          <w:sz w:val="18"/>
          <w:szCs w:val="18"/>
          <w:color w:val="auto"/>
        </w:rPr>
        <w:t/>
      </w:r>
      <w:r>
        <w:rPr>
          <w:sz w:val="20"/>
          <w:szCs w:val="20"/>
          <w:color w:val="auto"/>
        </w:rPr>
        <w:tab/>
      </w:r>
      <w:r>
        <w:rPr>
          <w:rFonts w:ascii="Arial" w:cs="Arial" w:eastAsia="Arial" w:hAnsi="Arial"/>
          <w:sz w:val="18"/>
          <w:szCs w:val="18"/>
          <w:color w:val="auto"/>
        </w:rPr>
        <w:t>ÇɁȶ</w:t>
      </w:r>
      <w:r>
        <w:rPr>
          <w:rFonts w:ascii="Arial" w:cs="Arial" w:eastAsia="Arial" w:hAnsi="Arial"/>
          <w:sz w:val="18"/>
          <w:szCs w:val="18"/>
          <w:color w:val="auto"/>
        </w:rPr>
        <w:t>Ӹ</w:t>
      </w:r>
      <w:r>
        <w:rPr>
          <w:rFonts w:ascii="Arial" w:cs="Arial" w:eastAsia="Arial" w:hAnsi="Arial"/>
          <w:sz w:val="18"/>
          <w:szCs w:val="18"/>
          <w:color w:val="auto"/>
        </w:rPr>
        <w:t>ĂʍƃȢȈˎǉǁ</w:t>
      </w:r>
      <w:r>
        <w:rPr>
          <w:rFonts w:ascii="PMingLiU" w:cs="PMingLiU" w:eastAsia="PMingLiU" w:hAnsi="PMingLiU"/>
          <w:sz w:val="18"/>
          <w:szCs w:val="18"/>
          <w:color w:val="auto"/>
        </w:rPr>
        <w:t/>
      </w:r>
      <w:r>
        <w:rPr>
          <w:rFonts w:ascii="Arial" w:cs="Arial" w:eastAsia="Arial" w:hAnsi="Arial"/>
          <w:sz w:val="18"/>
          <w:szCs w:val="18"/>
          <w:color w:val="auto"/>
        </w:rPr>
        <w:t>ĄǉɽȈɨǉȴǉȶɽ</w:t>
      </w:r>
      <w:r>
        <w:rPr>
          <w:rFonts w:ascii="PMingLiU" w:cs="PMingLiU" w:eastAsia="PMingLiU" w:hAnsi="PMingLiU"/>
          <w:sz w:val="18"/>
          <w:szCs w:val="18"/>
          <w:color w:val="auto"/>
        </w:rPr>
        <w:t/>
      </w:r>
      <w:r>
        <w:rPr>
          <w:rFonts w:ascii="Arial" w:cs="Arial" w:eastAsia="Arial" w:hAnsi="Arial"/>
          <w:sz w:val="18"/>
          <w:szCs w:val="18"/>
          <w:color w:val="auto"/>
        </w:rPr>
        <w:t>ĀȢƃȶ</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ȴǉȶǁǉǁ</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Ąǉɰɽƃɽǉǁ</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ȃǉɨǉʥȈɽȃ</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ո</w:t>
      </w:r>
    </w:p>
    <w:p>
      <w:pPr>
        <w:spacing w:after="0" w:line="112" w:lineRule="exact"/>
        <w:rPr>
          <w:sz w:val="20"/>
          <w:szCs w:val="20"/>
          <w:color w:val="auto"/>
        </w:rPr>
      </w:pPr>
    </w:p>
    <w:p>
      <w:pPr>
        <w:jc w:val="both"/>
        <w:ind w:left="1320" w:hanging="945"/>
        <w:spacing w:after="0" w:line="229" w:lineRule="exact"/>
        <w:tabs>
          <w:tab w:leader="none" w:pos="1300" w:val="left"/>
        </w:tabs>
        <w:rPr>
          <w:sz w:val="20"/>
          <w:szCs w:val="20"/>
          <w:color w:val="auto"/>
        </w:rPr>
      </w:pPr>
      <w:r>
        <w:rPr>
          <w:rFonts w:ascii="Arial" w:cs="Arial" w:eastAsia="Arial" w:hAnsi="Arial"/>
          <w:sz w:val="10"/>
          <w:szCs w:val="10"/>
          <w:color w:val="auto"/>
        </w:rPr>
        <w:t>(p)</w:t>
      </w: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xml:space="preserve">Credit Agreement dated as of July 21, 2022, among Roper, the foreign subsidiary borrowers from time to </w:t>
      </w:r>
      <w:r>
        <w:rPr>
          <w:rFonts w:ascii="Arial" w:cs="Arial" w:eastAsia="Arial" w:hAnsi="Arial"/>
          <w:sz w:val="18"/>
          <w:szCs w:val="18"/>
          <w:color w:val="auto"/>
        </w:rPr>
        <w:t>ɽȈȴǉ</w:t>
      </w:r>
      <w:r>
        <w:rPr>
          <w:rFonts w:ascii="PMingLiU" w:cs="PMingLiU" w:eastAsia="PMingLiU" w:hAnsi="PMingLiU"/>
          <w:sz w:val="18"/>
          <w:szCs w:val="18"/>
          <w:color w:val="auto"/>
        </w:rPr>
        <w:t/>
      </w:r>
      <w:r>
        <w:rPr>
          <w:rFonts w:ascii="Arial" w:cs="Arial" w:eastAsia="Arial" w:hAnsi="Arial"/>
          <w:sz w:val="18"/>
          <w:szCs w:val="18"/>
          <w:color w:val="auto"/>
        </w:rPr>
        <w:t>ɥƃɨɽʰ</w:t>
      </w:r>
      <w:r>
        <w:rPr>
          <w:rFonts w:ascii="PMingLiU" w:cs="PMingLiU" w:eastAsia="PMingLiU" w:hAnsi="PMingLiU"/>
          <w:sz w:val="18"/>
          <w:szCs w:val="18"/>
          <w:color w:val="auto"/>
        </w:rPr>
        <w:t/>
      </w:r>
      <w:r>
        <w:rPr>
          <w:rFonts w:ascii="Arial" w:cs="Arial" w:eastAsia="Arial" w:hAnsi="Arial"/>
          <w:sz w:val="18"/>
          <w:szCs w:val="18"/>
          <w:color w:val="auto"/>
        </w:rPr>
        <w:t>ɽȃǉɨǉɽɁ</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ˎȶƃȶƺȈƃȢ</w:t>
      </w:r>
      <w:r>
        <w:rPr>
          <w:rFonts w:ascii="PMingLiU" w:cs="PMingLiU" w:eastAsia="PMingLiU" w:hAnsi="PMingLiU"/>
          <w:sz w:val="18"/>
          <w:szCs w:val="18"/>
          <w:color w:val="auto"/>
        </w:rPr>
        <w:t/>
      </w:r>
      <w:r>
        <w:rPr>
          <w:rFonts w:ascii="Arial" w:cs="Arial" w:eastAsia="Arial" w:hAnsi="Arial"/>
          <w:sz w:val="18"/>
          <w:szCs w:val="18"/>
          <w:color w:val="auto"/>
        </w:rPr>
        <w:t>ȈȶɰɽȈɽʍɽȈɁȶɰ</w:t>
      </w:r>
      <w:r>
        <w:rPr>
          <w:rFonts w:ascii="PMingLiU" w:cs="PMingLiU" w:eastAsia="PMingLiU" w:hAnsi="PMingLiU"/>
          <w:sz w:val="18"/>
          <w:szCs w:val="18"/>
          <w:color w:val="auto"/>
        </w:rPr>
        <w:t/>
      </w:r>
      <w:r>
        <w:rPr>
          <w:rFonts w:ascii="Arial" w:cs="Arial" w:eastAsia="Arial" w:hAnsi="Arial"/>
          <w:sz w:val="18"/>
          <w:szCs w:val="18"/>
          <w:color w:val="auto"/>
        </w:rPr>
        <w:t>ɥƃɨɽʰ</w:t>
      </w:r>
      <w:r>
        <w:rPr>
          <w:rFonts w:ascii="PMingLiU" w:cs="PMingLiU" w:eastAsia="PMingLiU" w:hAnsi="PMingLiU"/>
          <w:sz w:val="18"/>
          <w:szCs w:val="18"/>
          <w:color w:val="auto"/>
        </w:rPr>
        <w:t/>
      </w:r>
      <w:r>
        <w:rPr>
          <w:rFonts w:ascii="Arial" w:cs="Arial" w:eastAsia="Arial" w:hAnsi="Arial"/>
          <w:sz w:val="18"/>
          <w:szCs w:val="18"/>
          <w:color w:val="auto"/>
        </w:rPr>
        <w:t>ɽȃǉɨǉɽɁ</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°ĀÃɁɨǼƃȶ</w:t>
      </w:r>
      <w:r>
        <w:rPr>
          <w:rFonts w:ascii="PMingLiU" w:cs="PMingLiU" w:eastAsia="PMingLiU" w:hAnsi="PMingLiU"/>
          <w:sz w:val="18"/>
          <w:szCs w:val="18"/>
          <w:color w:val="auto"/>
        </w:rPr>
        <w:t/>
      </w:r>
      <w:r>
        <w:rPr>
          <w:rFonts w:ascii="Arial" w:cs="Arial" w:eastAsia="Arial" w:hAnsi="Arial"/>
          <w:sz w:val="18"/>
          <w:szCs w:val="18"/>
          <w:color w:val="auto"/>
        </w:rPr>
        <w:t>:ȃƃɰǉ</w:t>
      </w:r>
      <w:r>
        <w:rPr>
          <w:rFonts w:ascii="PMingLiU" w:cs="PMingLiU" w:eastAsia="PMingLiU" w:hAnsi="PMingLiU"/>
          <w:sz w:val="18"/>
          <w:szCs w:val="18"/>
          <w:color w:val="auto"/>
        </w:rPr>
        <w:t/>
      </w:r>
      <w:r>
        <w:rPr>
          <w:rFonts w:ascii="Arial" w:cs="Arial" w:eastAsia="Arial" w:hAnsi="Arial"/>
          <w:sz w:val="18"/>
          <w:szCs w:val="18"/>
          <w:color w:val="auto"/>
        </w:rPr>
        <w:t>9ƃȶȟ</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Ç</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ӝӗ</w:t>
      </w:r>
      <w:r>
        <w:rPr>
          <w:rFonts w:ascii="PMingLiU" w:cs="PMingLiU" w:eastAsia="PMingLiU" w:hAnsi="PMingLiU"/>
          <w:sz w:val="18"/>
          <w:szCs w:val="18"/>
          <w:color w:val="auto"/>
        </w:rPr>
        <w:t/>
      </w:r>
      <w:r>
        <w:rPr>
          <w:rFonts w:ascii="Arial" w:cs="Arial" w:eastAsia="Arial" w:hAnsi="Arial"/>
          <w:sz w:val="18"/>
          <w:szCs w:val="18"/>
          <w:color w:val="auto"/>
        </w:rPr>
        <w:t>ƃɰ</w:t>
      </w:r>
      <w:r>
        <w:rPr>
          <w:rFonts w:ascii="PMingLiU" w:cs="PMingLiU" w:eastAsia="PMingLiU" w:hAnsi="PMingLiU"/>
          <w:sz w:val="18"/>
          <w:szCs w:val="18"/>
          <w:color w:val="auto"/>
        </w:rPr>
        <w:t/>
      </w:r>
      <w:r>
        <w:rPr>
          <w:rFonts w:ascii="Arial" w:cs="Arial" w:eastAsia="Arial" w:hAnsi="Arial"/>
          <w:sz w:val="18"/>
          <w:szCs w:val="18"/>
          <w:color w:val="auto"/>
        </w:rPr>
        <w:t>ƃǁȴȈȶȈɰɽɨƃɽȈʤǉ</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agent, Bank of America, N.A. and Wells Fargo Bank, N.A., as syndication agents, and Mizuho Bank, Ltd., MUFG Bank, Ltd., PNC Bank, National Association, TD Bank, N.A., Truist Bank and U.S. Bank, National Association, as documentation agents.</w:t>
      </w:r>
    </w:p>
    <w:p>
      <w:pPr>
        <w:sectPr>
          <w:pgSz w:w="12240" w:h="15840" w:orient="portrait"/>
          <w:cols w:equalWidth="0" w:num="1">
            <w:col w:w="10380"/>
          </w:cols>
          <w:pgMar w:left="960" w:top="913" w:right="900" w:bottom="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66</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13" w:right="900" w:bottom="9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62"/>
        </w:trPr>
        <w:tc>
          <w:tcPr>
            <w:tcW w:w="120" w:type="dxa"/>
            <w:vAlign w:val="bottom"/>
          </w:tcPr>
          <w:p>
            <w:pPr>
              <w:spacing w:after="0"/>
              <w:rPr>
                <w:sz w:val="22"/>
                <w:szCs w:val="22"/>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(q)</w:t>
            </w:r>
            <w:r>
              <w:rPr>
                <w:rFonts w:ascii="Arial" w:cs="Arial" w:eastAsia="Arial" w:hAnsi="Arial"/>
                <w:sz w:val="18"/>
                <w:szCs w:val="18"/>
                <w:color w:val="auto"/>
              </w:rPr>
              <w:t>10.4</w:t>
            </w:r>
          </w:p>
        </w:tc>
        <w:tc>
          <w:tcPr>
            <w:tcW w:w="9280" w:type="dxa"/>
            <w:vAlign w:val="bottom"/>
          </w:tcPr>
          <w:p>
            <w:pPr>
              <w:ind w:left="220"/>
              <w:spacing w:after="0"/>
              <w:rPr>
                <w:sz w:val="20"/>
                <w:szCs w:val="20"/>
                <w:color w:val="auto"/>
              </w:rPr>
            </w:pPr>
            <w:r>
              <w:rPr>
                <w:rFonts w:ascii="Arial" w:cs="Arial" w:eastAsia="Arial" w:hAnsi="Arial"/>
                <w:sz w:val="18"/>
                <w:szCs w:val="18"/>
                <w:color w:val="auto"/>
              </w:rPr>
              <w:t>Amended and Restated 2006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(r)</w:t>
            </w:r>
            <w:r>
              <w:rPr>
                <w:rFonts w:ascii="Arial" w:cs="Arial" w:eastAsia="Arial" w:hAnsi="Arial"/>
                <w:sz w:val="18"/>
                <w:szCs w:val="18"/>
                <w:color w:val="auto"/>
              </w:rPr>
              <w:t>10.5</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Non-Statutory Stock Option Agreement, under the 2006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(s)</w:t>
            </w:r>
            <w:r>
              <w:rPr>
                <w:rFonts w:ascii="Arial" w:cs="Arial" w:eastAsia="Arial" w:hAnsi="Arial"/>
                <w:sz w:val="18"/>
                <w:szCs w:val="18"/>
                <w:color w:val="auto"/>
              </w:rPr>
              <w:t>10.6</w:t>
            </w:r>
          </w:p>
        </w:tc>
        <w:tc>
          <w:tcPr>
            <w:tcW w:w="9280" w:type="dxa"/>
            <w:vAlign w:val="bottom"/>
          </w:tcPr>
          <w:p>
            <w:pPr>
              <w:ind w:left="220"/>
              <w:spacing w:after="0"/>
              <w:rPr>
                <w:sz w:val="20"/>
                <w:szCs w:val="20"/>
                <w:color w:val="auto"/>
              </w:rPr>
            </w:pPr>
            <w:r>
              <w:rPr>
                <w:rFonts w:ascii="Arial" w:cs="Arial" w:eastAsia="Arial" w:hAnsi="Arial"/>
                <w:sz w:val="18"/>
                <w:szCs w:val="18"/>
                <w:color w:val="auto"/>
              </w:rPr>
              <w:t>Offer Letter to John K. Stipancich.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165"/>
              <w:spacing w:after="0" w:line="219" w:lineRule="exact"/>
              <w:rPr>
                <w:sz w:val="20"/>
                <w:szCs w:val="20"/>
                <w:color w:val="auto"/>
              </w:rPr>
            </w:pPr>
            <w:r>
              <w:rPr>
                <w:rFonts w:ascii="Arial" w:cs="Arial" w:eastAsia="Arial" w:hAnsi="Arial"/>
                <w:sz w:val="10"/>
                <w:szCs w:val="10"/>
                <w:color w:val="auto"/>
              </w:rPr>
              <w:t>(t)</w:t>
            </w:r>
            <w:r>
              <w:rPr>
                <w:rFonts w:ascii="Arial" w:cs="Arial" w:eastAsia="Arial" w:hAnsi="Arial"/>
                <w:sz w:val="18"/>
                <w:szCs w:val="18"/>
                <w:color w:val="auto"/>
              </w:rPr>
              <w:t>іѕӝќ</w:t>
            </w:r>
            <w:r>
              <w:rPr>
                <w:rFonts w:ascii="PMingLiU" w:cs="PMingLiU" w:eastAsia="PMingLiU" w:hAnsi="PMingLiU"/>
                <w:sz w:val="18"/>
                <w:szCs w:val="18"/>
                <w:color w:val="auto"/>
              </w:rPr>
              <w:t/>
            </w:r>
          </w:p>
        </w:tc>
        <w:tc>
          <w:tcPr>
            <w:tcW w:w="9280" w:type="dxa"/>
            <w:vAlign w:val="bottom"/>
          </w:tcPr>
          <w:p>
            <w:pPr>
              <w:ind w:left="220"/>
              <w:spacing w:after="0" w:line="219" w:lineRule="exact"/>
              <w:rPr>
                <w:sz w:val="20"/>
                <w:szCs w:val="20"/>
                <w:color w:val="auto"/>
              </w:rPr>
            </w:pP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AȈɨǉƺɽɁɨ</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Ýǹˎƺǉɨ</w:t>
            </w:r>
            <w:r>
              <w:rPr>
                <w:rFonts w:ascii="PMingLiU" w:cs="PMingLiU" w:eastAsia="PMingLiU" w:hAnsi="PMingLiU"/>
                <w:sz w:val="18"/>
                <w:szCs w:val="18"/>
                <w:color w:val="auto"/>
              </w:rPr>
              <w:t></w:t>
            </w:r>
            <w:r>
              <w:rPr>
                <w:rFonts w:ascii="Arial" w:cs="Arial" w:eastAsia="Arial" w:hAnsi="Arial"/>
                <w:sz w:val="18"/>
                <w:szCs w:val="18"/>
                <w:color w:val="auto"/>
              </w:rPr>
              <w:t>ȶǁǉȴȶȈˎƺƃɽȈɁȶ</w:t>
            </w:r>
            <w:r>
              <w:rPr>
                <w:rFonts w:ascii="PMingLiU" w:cs="PMingLiU" w:eastAsia="PMingLiU" w:hAnsi="PMingLiU"/>
                <w:sz w:val="18"/>
                <w:szCs w:val="18"/>
                <w:color w:val="auto"/>
              </w:rPr>
              <w:t/>
            </w:r>
            <w:r>
              <w:rPr>
                <w:rFonts w:ascii="Arial" w:cs="Arial" w:eastAsia="Arial" w:hAnsi="Arial"/>
                <w:sz w:val="18"/>
                <w:szCs w:val="18"/>
                <w:color w:val="auto"/>
              </w:rPr>
              <w:t>Ǽɨǉǉȴǉȶɽ</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ո</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(u)</w:t>
            </w:r>
            <w:r>
              <w:rPr>
                <w:rFonts w:ascii="Arial" w:cs="Arial" w:eastAsia="Arial" w:hAnsi="Arial"/>
                <w:sz w:val="18"/>
                <w:szCs w:val="18"/>
                <w:color w:val="auto"/>
              </w:rPr>
              <w:t>10.8</w:t>
            </w:r>
          </w:p>
        </w:tc>
        <w:tc>
          <w:tcPr>
            <w:tcW w:w="9280" w:type="dxa"/>
            <w:vAlign w:val="bottom"/>
          </w:tcPr>
          <w:p>
            <w:pPr>
              <w:ind w:left="220"/>
              <w:spacing w:after="0"/>
              <w:rPr>
                <w:sz w:val="20"/>
                <w:szCs w:val="20"/>
                <w:color w:val="auto"/>
              </w:rPr>
            </w:pPr>
            <w:r>
              <w:rPr>
                <w:rFonts w:ascii="Arial" w:cs="Arial" w:eastAsia="Arial" w:hAnsi="Arial"/>
                <w:sz w:val="18"/>
                <w:szCs w:val="18"/>
                <w:color w:val="auto"/>
              </w:rPr>
              <w:t>2016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(v)</w:t>
            </w:r>
            <w:r>
              <w:rPr>
                <w:rFonts w:ascii="Arial" w:cs="Arial" w:eastAsia="Arial" w:hAnsi="Arial"/>
                <w:sz w:val="18"/>
                <w:szCs w:val="18"/>
                <w:color w:val="auto"/>
              </w:rPr>
              <w:t>10.9</w:t>
            </w:r>
          </w:p>
        </w:tc>
        <w:tc>
          <w:tcPr>
            <w:tcW w:w="9280" w:type="dxa"/>
            <w:vAlign w:val="bottom"/>
          </w:tcPr>
          <w:p>
            <w:pPr>
              <w:ind w:left="220"/>
              <w:spacing w:after="0"/>
              <w:rPr>
                <w:sz w:val="20"/>
                <w:szCs w:val="20"/>
                <w:color w:val="auto"/>
              </w:rPr>
            </w:pPr>
            <w:r>
              <w:rPr>
                <w:rFonts w:ascii="Arial" w:cs="Arial" w:eastAsia="Arial" w:hAnsi="Arial"/>
                <w:sz w:val="18"/>
                <w:szCs w:val="18"/>
                <w:color w:val="auto"/>
              </w:rPr>
              <w:t>Amendment No. 1 to the 2016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(w)</w:t>
            </w:r>
            <w:r>
              <w:rPr>
                <w:rFonts w:ascii="Arial" w:cs="Arial" w:eastAsia="Arial" w:hAnsi="Arial"/>
                <w:sz w:val="18"/>
                <w:szCs w:val="18"/>
                <w:color w:val="auto"/>
              </w:rPr>
              <w:t>10.10</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Non-Statutory Stock Option Agreement, under the 2016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(x)</w:t>
            </w:r>
            <w:r>
              <w:rPr>
                <w:rFonts w:ascii="Arial" w:cs="Arial" w:eastAsia="Arial" w:hAnsi="Arial"/>
                <w:sz w:val="18"/>
                <w:szCs w:val="18"/>
                <w:color w:val="auto"/>
              </w:rPr>
              <w:t>10.11</w:t>
            </w:r>
          </w:p>
        </w:tc>
        <w:tc>
          <w:tcPr>
            <w:tcW w:w="9280" w:type="dxa"/>
            <w:vAlign w:val="bottom"/>
          </w:tcPr>
          <w:p>
            <w:pPr>
              <w:ind w:left="220"/>
              <w:spacing w:after="0"/>
              <w:rPr>
                <w:sz w:val="20"/>
                <w:szCs w:val="20"/>
                <w:color w:val="auto"/>
              </w:rPr>
            </w:pPr>
            <w:r>
              <w:rPr>
                <w:rFonts w:ascii="Arial" w:cs="Arial" w:eastAsia="Arial" w:hAnsi="Arial"/>
                <w:sz w:val="18"/>
                <w:szCs w:val="18"/>
                <w:color w:val="auto"/>
              </w:rPr>
              <w:t>Offer Letter to Neil Hunn.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(y)</w:t>
            </w:r>
            <w:r>
              <w:rPr>
                <w:rFonts w:ascii="Arial" w:cs="Arial" w:eastAsia="Arial" w:hAnsi="Arial"/>
                <w:sz w:val="18"/>
                <w:szCs w:val="18"/>
                <w:color w:val="auto"/>
              </w:rPr>
              <w:t>10.12</w:t>
            </w:r>
          </w:p>
        </w:tc>
        <w:tc>
          <w:tcPr>
            <w:tcW w:w="9280" w:type="dxa"/>
            <w:vAlign w:val="bottom"/>
          </w:tcPr>
          <w:p>
            <w:pPr>
              <w:ind w:left="220"/>
              <w:spacing w:after="0"/>
              <w:rPr>
                <w:sz w:val="20"/>
                <w:szCs w:val="20"/>
                <w:color w:val="auto"/>
              </w:rPr>
            </w:pPr>
            <w:r>
              <w:rPr>
                <w:rFonts w:ascii="Arial" w:cs="Arial" w:eastAsia="Arial" w:hAnsi="Arial"/>
                <w:sz w:val="18"/>
                <w:szCs w:val="18"/>
                <w:color w:val="auto"/>
              </w:rPr>
              <w:t>Long-Term Incentive Opportunity Agreement for Neil Hunn.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(z)</w:t>
            </w:r>
            <w:r>
              <w:rPr>
                <w:rFonts w:ascii="Arial" w:cs="Arial" w:eastAsia="Arial" w:hAnsi="Arial"/>
                <w:sz w:val="18"/>
                <w:szCs w:val="18"/>
                <w:color w:val="auto"/>
              </w:rPr>
              <w:t>10.13</w:t>
            </w:r>
          </w:p>
        </w:tc>
        <w:tc>
          <w:tcPr>
            <w:tcW w:w="9280" w:type="dxa"/>
            <w:vAlign w:val="bottom"/>
          </w:tcPr>
          <w:p>
            <w:pPr>
              <w:ind w:left="220"/>
              <w:spacing w:after="0"/>
              <w:rPr>
                <w:sz w:val="20"/>
                <w:szCs w:val="20"/>
                <w:color w:val="auto"/>
              </w:rPr>
            </w:pPr>
            <w:r>
              <w:rPr>
                <w:rFonts w:ascii="Arial" w:cs="Arial" w:eastAsia="Arial" w:hAnsi="Arial"/>
                <w:sz w:val="18"/>
                <w:szCs w:val="18"/>
                <w:color w:val="auto"/>
              </w:rPr>
              <w:t>2021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(z)</w:t>
            </w:r>
            <w:r>
              <w:rPr>
                <w:rFonts w:ascii="Arial" w:cs="Arial" w:eastAsia="Arial" w:hAnsi="Arial"/>
                <w:sz w:val="18"/>
                <w:szCs w:val="18"/>
                <w:color w:val="auto"/>
              </w:rPr>
              <w:t>10.14</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Performance-Based Restricted Stock Award Agreement, under the 2021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(z)</w:t>
            </w:r>
            <w:r>
              <w:rPr>
                <w:rFonts w:ascii="Arial" w:cs="Arial" w:eastAsia="Arial" w:hAnsi="Arial"/>
                <w:sz w:val="18"/>
                <w:szCs w:val="18"/>
                <w:color w:val="auto"/>
              </w:rPr>
              <w:t>10.15</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Non-Statutory Stock Option Award Agreement, under the 2021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(z)</w:t>
            </w:r>
            <w:r>
              <w:rPr>
                <w:rFonts w:ascii="Arial" w:cs="Arial" w:eastAsia="Arial" w:hAnsi="Arial"/>
                <w:sz w:val="18"/>
                <w:szCs w:val="18"/>
                <w:color w:val="auto"/>
              </w:rPr>
              <w:t>10.16</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Time-Based Restricted Stock Award Agreement, under the 2021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(aa)</w:t>
            </w:r>
            <w:r>
              <w:rPr>
                <w:rFonts w:ascii="Arial" w:cs="Arial" w:eastAsia="Arial" w:hAnsi="Arial"/>
                <w:sz w:val="18"/>
                <w:szCs w:val="18"/>
                <w:color w:val="auto"/>
              </w:rPr>
              <w:t>10.17</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Performance Share Unit Award Agreement, under the 2021 Incentive Plan. †</w:t>
            </w:r>
          </w:p>
        </w:tc>
      </w:tr>
      <w:tr>
        <w:trPr>
          <w:trHeight w:val="288"/>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(bb)</w:t>
            </w:r>
            <w:r>
              <w:rPr>
                <w:rFonts w:ascii="Arial" w:cs="Arial" w:eastAsia="Arial" w:hAnsi="Arial"/>
                <w:sz w:val="18"/>
                <w:szCs w:val="18"/>
                <w:color w:val="auto"/>
              </w:rPr>
              <w:t>10.18</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Time-Based Restricted Stock Unit Award Agreement, for use commencing in 2024 under the</w:t>
            </w:r>
          </w:p>
        </w:tc>
      </w:tr>
      <w:tr>
        <w:trPr>
          <w:trHeight w:val="262"/>
        </w:trPr>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rPr>
              <w:t>2021 Incentive Plan. †</w:t>
            </w:r>
          </w:p>
        </w:tc>
      </w:tr>
      <w:tr>
        <w:trPr>
          <w:trHeight w:val="288"/>
        </w:trPr>
        <w:tc>
          <w:tcPr>
            <w:tcW w:w="120" w:type="dxa"/>
            <w:vAlign w:val="bottom"/>
          </w:tcPr>
          <w:p>
            <w:pPr>
              <w:spacing w:after="0"/>
              <w:rPr>
                <w:sz w:val="24"/>
                <w:szCs w:val="24"/>
                <w:color w:val="auto"/>
              </w:rPr>
            </w:pPr>
          </w:p>
        </w:tc>
        <w:tc>
          <w:tcPr>
            <w:tcW w:w="980" w:type="dxa"/>
            <w:vAlign w:val="bottom"/>
          </w:tcPr>
          <w:p>
            <w:pPr>
              <w:jc w:val="right"/>
              <w:ind w:right="165"/>
              <w:spacing w:after="0" w:line="219" w:lineRule="exact"/>
              <w:rPr>
                <w:sz w:val="20"/>
                <w:szCs w:val="20"/>
                <w:color w:val="auto"/>
              </w:rPr>
            </w:pPr>
            <w:r>
              <w:rPr>
                <w:rFonts w:ascii="Arial" w:cs="Arial" w:eastAsia="Arial" w:hAnsi="Arial"/>
                <w:sz w:val="10"/>
                <w:szCs w:val="10"/>
                <w:color w:val="auto"/>
              </w:rPr>
              <w:t>(bb)</w:t>
            </w:r>
            <w:r>
              <w:rPr>
                <w:rFonts w:ascii="Arial" w:cs="Arial" w:eastAsia="Arial" w:hAnsi="Arial"/>
                <w:sz w:val="18"/>
                <w:szCs w:val="18"/>
                <w:color w:val="auto"/>
              </w:rPr>
              <w:t>іѕӝіў</w:t>
            </w:r>
            <w:r>
              <w:rPr>
                <w:rFonts w:ascii="PMingLiU" w:cs="PMingLiU" w:eastAsia="PMingLiU" w:hAnsi="PMingLiU"/>
                <w:sz w:val="18"/>
                <w:szCs w:val="18"/>
                <w:color w:val="auto"/>
              </w:rPr>
              <w:t/>
            </w:r>
          </w:p>
        </w:tc>
        <w:tc>
          <w:tcPr>
            <w:tcW w:w="9280" w:type="dxa"/>
            <w:vAlign w:val="bottom"/>
          </w:tcPr>
          <w:p>
            <w:pPr>
              <w:ind w:left="220"/>
              <w:spacing w:after="0" w:line="219" w:lineRule="exact"/>
              <w:rPr>
                <w:sz w:val="20"/>
                <w:szCs w:val="20"/>
                <w:color w:val="auto"/>
              </w:rPr>
            </w:pP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KʯǉƺʍɽȈʤǉ</w:t>
            </w:r>
            <w:r>
              <w:rPr>
                <w:rFonts w:ascii="PMingLiU" w:cs="PMingLiU" w:eastAsia="PMingLiU" w:hAnsi="PMingLiU"/>
                <w:sz w:val="18"/>
                <w:szCs w:val="18"/>
                <w:color w:val="auto"/>
              </w:rPr>
              <w:t/>
            </w:r>
            <w:r>
              <w:rPr>
                <w:rFonts w:ascii="Arial" w:cs="Arial" w:eastAsia="Arial" w:hAnsi="Arial"/>
                <w:sz w:val="18"/>
                <w:szCs w:val="18"/>
                <w:color w:val="auto"/>
              </w:rPr>
              <w:t xml:space="preserve"> Ýǹˎƺǉɨ</w:t>
            </w:r>
            <w:r>
              <w:rPr>
                <w:rFonts w:ascii="PMingLiU" w:cs="PMingLiU" w:eastAsia="PMingLiU" w:hAnsi="PMingLiU"/>
                <w:sz w:val="18"/>
                <w:szCs w:val="18"/>
                <w:color w:val="auto"/>
              </w:rPr>
              <w:t/>
            </w:r>
            <w:r>
              <w:rPr>
                <w:rFonts w:ascii="Arial" w:cs="Arial" w:eastAsia="Arial" w:hAnsi="Arial"/>
                <w:sz w:val="18"/>
                <w:szCs w:val="18"/>
                <w:color w:val="auto"/>
              </w:rPr>
              <w:t xml:space="preserve"> ĀǉɨǹɁɨȴƃȶƺǉ</w:t>
            </w:r>
            <w:r>
              <w:rPr>
                <w:rFonts w:ascii="PMingLiU" w:cs="PMingLiU" w:eastAsia="PMingLiU" w:hAnsi="PMingLiU"/>
                <w:sz w:val="18"/>
                <w:szCs w:val="18"/>
                <w:color w:val="auto"/>
              </w:rPr>
              <w:t/>
            </w:r>
            <w:r>
              <w:rPr>
                <w:rFonts w:ascii="Arial" w:cs="Arial" w:eastAsia="Arial" w:hAnsi="Arial"/>
                <w:sz w:val="18"/>
                <w:szCs w:val="18"/>
                <w:color w:val="auto"/>
              </w:rPr>
              <w:t xml:space="preserve"> Čȃƃɨǉ</w:t>
            </w:r>
            <w:r>
              <w:rPr>
                <w:rFonts w:ascii="PMingLiU" w:cs="PMingLiU" w:eastAsia="PMingLiU" w:hAnsi="PMingLiU"/>
                <w:sz w:val="18"/>
                <w:szCs w:val="18"/>
                <w:color w:val="auto"/>
              </w:rPr>
              <w:t/>
            </w:r>
            <w:r>
              <w:rPr>
                <w:rFonts w:ascii="Arial" w:cs="Arial" w:eastAsia="Arial" w:hAnsi="Arial"/>
                <w:sz w:val="18"/>
                <w:szCs w:val="18"/>
                <w:color w:val="auto"/>
              </w:rPr>
              <w:t xml:space="preserve"> ĩȶȈɽ</w:t>
            </w:r>
            <w:r>
              <w:rPr>
                <w:rFonts w:ascii="PMingLiU" w:cs="PMingLiU" w:eastAsia="PMingLiU" w:hAnsi="PMingLiU"/>
                <w:sz w:val="18"/>
                <w:szCs w:val="18"/>
                <w:color w:val="auto"/>
              </w:rPr>
              <w:t> </w:t>
            </w:r>
            <w:r>
              <w:rPr>
                <w:rFonts w:ascii="Arial" w:cs="Arial" w:eastAsia="Arial" w:hAnsi="Arial"/>
                <w:sz w:val="18"/>
                <w:szCs w:val="18"/>
                <w:color w:val="auto"/>
              </w:rPr>
              <w:t>ʥƃɨǁ</w:t>
            </w:r>
            <w:r>
              <w:rPr>
                <w:rFonts w:ascii="PMingLiU" w:cs="PMingLiU" w:eastAsia="PMingLiU" w:hAnsi="PMingLiU"/>
                <w:sz w:val="18"/>
                <w:szCs w:val="18"/>
                <w:color w:val="auto"/>
              </w:rPr>
              <w:t> </w:t>
            </w:r>
            <w:r>
              <w:rPr>
                <w:rFonts w:ascii="Arial" w:cs="Arial" w:eastAsia="Arial" w:hAnsi="Arial"/>
                <w:sz w:val="18"/>
                <w:szCs w:val="18"/>
                <w:color w:val="auto"/>
              </w:rPr>
              <w:t>Ǽɨǉǉȴǉȶɽ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 xml:space="preserve"> ʍɰǉ</w:t>
            </w:r>
            <w:r>
              <w:rPr>
                <w:rFonts w:ascii="PMingLiU" w:cs="PMingLiU" w:eastAsia="PMingLiU" w:hAnsi="PMingLiU"/>
                <w:sz w:val="18"/>
                <w:szCs w:val="18"/>
                <w:color w:val="auto"/>
              </w:rPr>
              <w:t/>
            </w:r>
            <w:r>
              <w:rPr>
                <w:rFonts w:ascii="Arial" w:cs="Arial" w:eastAsia="Arial" w:hAnsi="Arial"/>
                <w:sz w:val="18"/>
                <w:szCs w:val="18"/>
                <w:color w:val="auto"/>
              </w:rPr>
              <w:t xml:space="preserve"> ƺɁȴȴǉȶƺȈȶǼ</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їѕїљ</w:t>
            </w:r>
            <w:r>
              <w:rPr>
                <w:rFonts w:ascii="PMingLiU" w:cs="PMingLiU" w:eastAsia="PMingLiU" w:hAnsi="PMingLiU"/>
                <w:sz w:val="18"/>
                <w:szCs w:val="18"/>
                <w:color w:val="auto"/>
              </w:rPr>
              <w:t/>
            </w:r>
          </w:p>
        </w:tc>
      </w:tr>
      <w:tr>
        <w:trPr>
          <w:trHeight w:val="262"/>
        </w:trPr>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rPr>
              <w:t>under the 2021 Incentive Plan. †</w:t>
            </w:r>
          </w:p>
        </w:tc>
      </w:tr>
      <w:tr>
        <w:trPr>
          <w:trHeight w:val="288"/>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(bb)</w:t>
            </w:r>
            <w:r>
              <w:rPr>
                <w:rFonts w:ascii="Arial" w:cs="Arial" w:eastAsia="Arial" w:hAnsi="Arial"/>
                <w:sz w:val="18"/>
                <w:szCs w:val="18"/>
                <w:color w:val="auto"/>
              </w:rPr>
              <w:t>10.20</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Senior Management Performance Share Unit Award Agreement, for use commencing in 2024</w:t>
            </w:r>
          </w:p>
        </w:tc>
      </w:tr>
      <w:tr>
        <w:trPr>
          <w:trHeight w:val="262"/>
        </w:trPr>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rPr>
              <w:t>under the 2021 Incentive Plan. †</w:t>
            </w:r>
          </w:p>
        </w:tc>
      </w:tr>
      <w:tr>
        <w:trPr>
          <w:trHeight w:val="288"/>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(cc)</w:t>
            </w:r>
            <w:r>
              <w:rPr>
                <w:rFonts w:ascii="Arial" w:cs="Arial" w:eastAsia="Arial" w:hAnsi="Arial"/>
                <w:sz w:val="18"/>
                <w:szCs w:val="18"/>
                <w:color w:val="auto"/>
              </w:rPr>
              <w:t>10.21</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Non-Statutory Stock Option Award Agreement, for use commencing in 2025 under the 2021</w:t>
            </w:r>
          </w:p>
        </w:tc>
      </w:tr>
      <w:tr>
        <w:trPr>
          <w:trHeight w:val="262"/>
        </w:trPr>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rPr>
              <w:t>Incentive Plan. †</w:t>
            </w:r>
          </w:p>
        </w:tc>
      </w:tr>
      <w:tr>
        <w:trPr>
          <w:trHeight w:val="288"/>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(cc)</w:t>
            </w:r>
            <w:r>
              <w:rPr>
                <w:rFonts w:ascii="Arial" w:cs="Arial" w:eastAsia="Arial" w:hAnsi="Arial"/>
                <w:sz w:val="18"/>
                <w:szCs w:val="18"/>
                <w:color w:val="auto"/>
              </w:rPr>
              <w:t>10.22</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Time-Based Restricted Stock Unit Award Agreement, for use commencing in 2025 under the</w:t>
            </w:r>
          </w:p>
        </w:tc>
      </w:tr>
      <w:tr>
        <w:trPr>
          <w:trHeight w:val="262"/>
        </w:trPr>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rPr>
              <w:t>2021 Incentive Plan. †</w:t>
            </w:r>
          </w:p>
        </w:tc>
      </w:tr>
      <w:tr>
        <w:trPr>
          <w:trHeight w:val="288"/>
        </w:trPr>
        <w:tc>
          <w:tcPr>
            <w:tcW w:w="120" w:type="dxa"/>
            <w:vAlign w:val="bottom"/>
          </w:tcPr>
          <w:p>
            <w:pPr>
              <w:spacing w:after="0"/>
              <w:rPr>
                <w:sz w:val="24"/>
                <w:szCs w:val="24"/>
                <w:color w:val="auto"/>
              </w:rPr>
            </w:pPr>
          </w:p>
        </w:tc>
        <w:tc>
          <w:tcPr>
            <w:tcW w:w="980" w:type="dxa"/>
            <w:vAlign w:val="bottom"/>
          </w:tcPr>
          <w:p>
            <w:pPr>
              <w:jc w:val="right"/>
              <w:ind w:right="165"/>
              <w:spacing w:after="0" w:line="219" w:lineRule="exact"/>
              <w:rPr>
                <w:sz w:val="20"/>
                <w:szCs w:val="20"/>
                <w:color w:val="auto"/>
              </w:rPr>
            </w:pPr>
            <w:r>
              <w:rPr>
                <w:rFonts w:ascii="Arial" w:cs="Arial" w:eastAsia="Arial" w:hAnsi="Arial"/>
                <w:sz w:val="10"/>
                <w:szCs w:val="10"/>
                <w:color w:val="auto"/>
              </w:rPr>
              <w:t>(cc)</w:t>
            </w:r>
            <w:r>
              <w:rPr>
                <w:rFonts w:ascii="Arial" w:cs="Arial" w:eastAsia="Arial" w:hAnsi="Arial"/>
                <w:sz w:val="18"/>
                <w:szCs w:val="18"/>
                <w:color w:val="auto"/>
              </w:rPr>
              <w:t>іѕӝїј</w:t>
            </w:r>
            <w:r>
              <w:rPr>
                <w:rFonts w:ascii="PMingLiU" w:cs="PMingLiU" w:eastAsia="PMingLiU" w:hAnsi="PMingLiU"/>
                <w:sz w:val="18"/>
                <w:szCs w:val="18"/>
                <w:color w:val="auto"/>
              </w:rPr>
              <w:t/>
            </w:r>
          </w:p>
        </w:tc>
        <w:tc>
          <w:tcPr>
            <w:tcW w:w="9280" w:type="dxa"/>
            <w:vAlign w:val="bottom"/>
          </w:tcPr>
          <w:p>
            <w:pPr>
              <w:ind w:left="220"/>
              <w:spacing w:after="0" w:line="219" w:lineRule="exact"/>
              <w:rPr>
                <w:sz w:val="20"/>
                <w:szCs w:val="20"/>
                <w:color w:val="auto"/>
              </w:rPr>
            </w:pP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 xml:space="preserve"> Ɂǹ</w:t>
            </w:r>
            <w:r>
              <w:rPr>
                <w:rFonts w:ascii="PMingLiU" w:cs="PMingLiU" w:eastAsia="PMingLiU" w:hAnsi="PMingLiU"/>
                <w:sz w:val="18"/>
                <w:szCs w:val="18"/>
                <w:color w:val="auto"/>
              </w:rPr>
              <w:t/>
            </w:r>
            <w:r>
              <w:rPr>
                <w:rFonts w:ascii="Arial" w:cs="Arial" w:eastAsia="Arial" w:hAnsi="Arial"/>
                <w:sz w:val="18"/>
                <w:szCs w:val="18"/>
                <w:color w:val="auto"/>
              </w:rPr>
              <w:t xml:space="preserve"> KʯǉƺʍɽȈʤǉ</w:t>
            </w:r>
            <w:r>
              <w:rPr>
                <w:rFonts w:ascii="PMingLiU" w:cs="PMingLiU" w:eastAsia="PMingLiU" w:hAnsi="PMingLiU"/>
                <w:sz w:val="18"/>
                <w:szCs w:val="18"/>
                <w:color w:val="auto"/>
              </w:rPr>
              <w:t/>
            </w:r>
            <w:r>
              <w:rPr>
                <w:rFonts w:ascii="Arial" w:cs="Arial" w:eastAsia="Arial" w:hAnsi="Arial"/>
                <w:sz w:val="18"/>
                <w:szCs w:val="18"/>
                <w:color w:val="auto"/>
              </w:rPr>
              <w:t xml:space="preserve"> Ýǹˎƺǉɨ</w:t>
            </w:r>
            <w:r>
              <w:rPr>
                <w:rFonts w:ascii="PMingLiU" w:cs="PMingLiU" w:eastAsia="PMingLiU" w:hAnsi="PMingLiU"/>
                <w:sz w:val="18"/>
                <w:szCs w:val="18"/>
                <w:color w:val="auto"/>
              </w:rPr>
              <w:t/>
            </w:r>
            <w:r>
              <w:rPr>
                <w:rFonts w:ascii="Arial" w:cs="Arial" w:eastAsia="Arial" w:hAnsi="Arial"/>
                <w:sz w:val="18"/>
                <w:szCs w:val="18"/>
                <w:color w:val="auto"/>
              </w:rPr>
              <w:t xml:space="preserve"> ĀǉɨǹɁɨȴƃȶƺǉ</w:t>
            </w:r>
            <w:r>
              <w:rPr>
                <w:rFonts w:ascii="PMingLiU" w:cs="PMingLiU" w:eastAsia="PMingLiU" w:hAnsi="PMingLiU"/>
                <w:sz w:val="18"/>
                <w:szCs w:val="18"/>
                <w:color w:val="auto"/>
              </w:rPr>
              <w:t/>
            </w:r>
            <w:r>
              <w:rPr>
                <w:rFonts w:ascii="Arial" w:cs="Arial" w:eastAsia="Arial" w:hAnsi="Arial"/>
                <w:sz w:val="18"/>
                <w:szCs w:val="18"/>
                <w:color w:val="auto"/>
              </w:rPr>
              <w:t xml:space="preserve"> Čȃƃɨǉ</w:t>
            </w:r>
            <w:r>
              <w:rPr>
                <w:rFonts w:ascii="PMingLiU" w:cs="PMingLiU" w:eastAsia="PMingLiU" w:hAnsi="PMingLiU"/>
                <w:sz w:val="18"/>
                <w:szCs w:val="18"/>
                <w:color w:val="auto"/>
              </w:rPr>
              <w:t/>
            </w:r>
            <w:r>
              <w:rPr>
                <w:rFonts w:ascii="Arial" w:cs="Arial" w:eastAsia="Arial" w:hAnsi="Arial"/>
                <w:sz w:val="18"/>
                <w:szCs w:val="18"/>
                <w:color w:val="auto"/>
              </w:rPr>
              <w:t xml:space="preserve"> ĩȶȈɽ</w:t>
            </w:r>
            <w:r>
              <w:rPr>
                <w:rFonts w:ascii="PMingLiU" w:cs="PMingLiU" w:eastAsia="PMingLiU" w:hAnsi="PMingLiU"/>
                <w:sz w:val="18"/>
                <w:szCs w:val="18"/>
                <w:color w:val="auto"/>
              </w:rPr>
              <w:t> </w:t>
            </w:r>
            <w:r>
              <w:rPr>
                <w:rFonts w:ascii="Arial" w:cs="Arial" w:eastAsia="Arial" w:hAnsi="Arial"/>
                <w:sz w:val="18"/>
                <w:szCs w:val="18"/>
                <w:color w:val="auto"/>
              </w:rPr>
              <w:t>ʥƃɨǁ</w:t>
            </w:r>
            <w:r>
              <w:rPr>
                <w:rFonts w:ascii="PMingLiU" w:cs="PMingLiU" w:eastAsia="PMingLiU" w:hAnsi="PMingLiU"/>
                <w:sz w:val="18"/>
                <w:szCs w:val="18"/>
                <w:color w:val="auto"/>
              </w:rPr>
              <w:t> </w:t>
            </w:r>
            <w:r>
              <w:rPr>
                <w:rFonts w:ascii="Arial" w:cs="Arial" w:eastAsia="Arial" w:hAnsi="Arial"/>
                <w:sz w:val="18"/>
                <w:szCs w:val="18"/>
                <w:color w:val="auto"/>
              </w:rPr>
              <w:t>Ǽɨǉǉȴǉȶɽ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 xml:space="preserve"> ǹɁɨ</w:t>
            </w:r>
            <w:r>
              <w:rPr>
                <w:rFonts w:ascii="PMingLiU" w:cs="PMingLiU" w:eastAsia="PMingLiU" w:hAnsi="PMingLiU"/>
                <w:sz w:val="18"/>
                <w:szCs w:val="18"/>
                <w:color w:val="auto"/>
              </w:rPr>
              <w:t/>
            </w:r>
            <w:r>
              <w:rPr>
                <w:rFonts w:ascii="Arial" w:cs="Arial" w:eastAsia="Arial" w:hAnsi="Arial"/>
                <w:sz w:val="18"/>
                <w:szCs w:val="18"/>
                <w:color w:val="auto"/>
              </w:rPr>
              <w:t xml:space="preserve"> ʍɰǉ</w:t>
            </w:r>
            <w:r>
              <w:rPr>
                <w:rFonts w:ascii="PMingLiU" w:cs="PMingLiU" w:eastAsia="PMingLiU" w:hAnsi="PMingLiU"/>
                <w:sz w:val="18"/>
                <w:szCs w:val="18"/>
                <w:color w:val="auto"/>
              </w:rPr>
              <w:t/>
            </w:r>
            <w:r>
              <w:rPr>
                <w:rFonts w:ascii="Arial" w:cs="Arial" w:eastAsia="Arial" w:hAnsi="Arial"/>
                <w:sz w:val="18"/>
                <w:szCs w:val="18"/>
                <w:color w:val="auto"/>
              </w:rPr>
              <w:t xml:space="preserve"> ƺɁȴȴǉȶƺȈȶǼ</w:t>
            </w:r>
            <w:r>
              <w:rPr>
                <w:rFonts w:ascii="PMingLiU" w:cs="PMingLiU" w:eastAsia="PMingLiU" w:hAnsi="PMingLiU"/>
                <w:sz w:val="18"/>
                <w:szCs w:val="18"/>
                <w:color w:val="auto"/>
              </w:rPr>
              <w:t/>
            </w:r>
            <w:r>
              <w:rPr>
                <w:rFonts w:ascii="Arial" w:cs="Arial" w:eastAsia="Arial" w:hAnsi="Arial"/>
                <w:sz w:val="18"/>
                <w:szCs w:val="18"/>
                <w:color w:val="auto"/>
              </w:rPr>
              <w:t xml:space="preserve"> Ȉȶ</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їѕїњ</w:t>
            </w:r>
            <w:r>
              <w:rPr>
                <w:rFonts w:ascii="PMingLiU" w:cs="PMingLiU" w:eastAsia="PMingLiU" w:hAnsi="PMingLiU"/>
                <w:sz w:val="18"/>
                <w:szCs w:val="18"/>
                <w:color w:val="auto"/>
              </w:rPr>
              <w:t/>
            </w:r>
          </w:p>
        </w:tc>
      </w:tr>
      <w:tr>
        <w:trPr>
          <w:trHeight w:val="262"/>
        </w:trPr>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rPr>
              <w:t>under the 2021 Incentive Plan. †</w:t>
            </w:r>
          </w:p>
        </w:tc>
      </w:tr>
      <w:tr>
        <w:trPr>
          <w:trHeight w:val="288"/>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(cc)</w:t>
            </w:r>
            <w:r>
              <w:rPr>
                <w:rFonts w:ascii="Arial" w:cs="Arial" w:eastAsia="Arial" w:hAnsi="Arial"/>
                <w:sz w:val="18"/>
                <w:szCs w:val="18"/>
                <w:color w:val="auto"/>
              </w:rPr>
              <w:t>10.24</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Senior Management Performance Share Unit Award Agreement, for use commencing in 2025</w:t>
            </w:r>
          </w:p>
        </w:tc>
      </w:tr>
      <w:tr>
        <w:trPr>
          <w:trHeight w:val="262"/>
        </w:trPr>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rPr>
              <w:t>under the 2021 Incentive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(dd)</w:t>
            </w:r>
            <w:r>
              <w:rPr>
                <w:rFonts w:ascii="Arial" w:cs="Arial" w:eastAsia="Arial" w:hAnsi="Arial"/>
                <w:sz w:val="18"/>
                <w:szCs w:val="18"/>
                <w:color w:val="auto"/>
              </w:rPr>
              <w:t>10.25</w:t>
            </w:r>
          </w:p>
        </w:tc>
        <w:tc>
          <w:tcPr>
            <w:tcW w:w="9280" w:type="dxa"/>
            <w:vAlign w:val="bottom"/>
          </w:tcPr>
          <w:p>
            <w:pPr>
              <w:ind w:left="220"/>
              <w:spacing w:after="0"/>
              <w:rPr>
                <w:sz w:val="20"/>
                <w:szCs w:val="20"/>
                <w:color w:val="auto"/>
              </w:rPr>
            </w:pPr>
            <w:r>
              <w:rPr>
                <w:rFonts w:ascii="Arial" w:cs="Arial" w:eastAsia="Arial" w:hAnsi="Arial"/>
                <w:sz w:val="18"/>
                <w:szCs w:val="18"/>
                <w:color w:val="auto"/>
              </w:rPr>
              <w:t>Roper Technologies, Inc. Director Compensation Plan. †</w:t>
            </w:r>
          </w:p>
        </w:tc>
      </w:tr>
      <w:tr>
        <w:trPr>
          <w:trHeight w:val="288"/>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(dd)</w:t>
            </w:r>
            <w:r>
              <w:rPr>
                <w:rFonts w:ascii="Arial" w:cs="Arial" w:eastAsia="Arial" w:hAnsi="Arial"/>
                <w:sz w:val="18"/>
                <w:szCs w:val="18"/>
                <w:color w:val="auto"/>
              </w:rPr>
              <w:t>10.26</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Non-Employee Director Restricted Stock Unit Award Agreement, under the 2021 Incentive</w:t>
            </w:r>
          </w:p>
        </w:tc>
      </w:tr>
      <w:tr>
        <w:trPr>
          <w:trHeight w:val="262"/>
        </w:trPr>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rPr>
              <w:t>Plan (included in Exhibit 10.25). †</w:t>
            </w:r>
          </w:p>
        </w:tc>
      </w:tr>
      <w:tr>
        <w:trPr>
          <w:trHeight w:val="288"/>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(dd)</w:t>
            </w:r>
            <w:r>
              <w:rPr>
                <w:rFonts w:ascii="Arial" w:cs="Arial" w:eastAsia="Arial" w:hAnsi="Arial"/>
                <w:sz w:val="18"/>
                <w:szCs w:val="18"/>
                <w:color w:val="auto"/>
              </w:rPr>
              <w:t>10.27</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Non-Employee Director Restricted Stock Award Agreement, under the 2021 Incentive Plan</w:t>
            </w:r>
          </w:p>
        </w:tc>
      </w:tr>
      <w:tr>
        <w:trPr>
          <w:trHeight w:val="262"/>
        </w:trPr>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80" w:type="dxa"/>
            <w:vAlign w:val="bottom"/>
          </w:tcPr>
          <w:p>
            <w:pPr>
              <w:ind w:left="220"/>
              <w:spacing w:after="0"/>
              <w:rPr>
                <w:sz w:val="20"/>
                <w:szCs w:val="20"/>
                <w:color w:val="auto"/>
              </w:rPr>
            </w:pPr>
            <w:r>
              <w:rPr>
                <w:rFonts w:ascii="Arial" w:cs="Arial" w:eastAsia="Arial" w:hAnsi="Arial"/>
                <w:sz w:val="18"/>
                <w:szCs w:val="18"/>
                <w:color w:val="auto"/>
              </w:rPr>
              <w:t>(included in Exhibit 10.25).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(ee)</w:t>
            </w:r>
            <w:r>
              <w:rPr>
                <w:rFonts w:ascii="Arial" w:cs="Arial" w:eastAsia="Arial" w:hAnsi="Arial"/>
                <w:sz w:val="18"/>
                <w:szCs w:val="18"/>
                <w:color w:val="auto"/>
              </w:rPr>
              <w:t>10.28</w:t>
            </w:r>
          </w:p>
        </w:tc>
        <w:tc>
          <w:tcPr>
            <w:tcW w:w="9280" w:type="dxa"/>
            <w:vAlign w:val="bottom"/>
          </w:tcPr>
          <w:p>
            <w:pPr>
              <w:ind w:left="220"/>
              <w:spacing w:after="0"/>
              <w:rPr>
                <w:sz w:val="20"/>
                <w:szCs w:val="20"/>
                <w:color w:val="auto"/>
              </w:rPr>
            </w:pPr>
            <w:r>
              <w:rPr>
                <w:rFonts w:ascii="Arial" w:cs="Arial" w:eastAsia="Arial" w:hAnsi="Arial"/>
                <w:sz w:val="18"/>
                <w:szCs w:val="18"/>
                <w:color w:val="auto"/>
              </w:rPr>
              <w:t>First Amendment to Roper Technologies, Inc. Director Compensation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(ee)</w:t>
            </w:r>
            <w:r>
              <w:rPr>
                <w:rFonts w:ascii="Arial" w:cs="Arial" w:eastAsia="Arial" w:hAnsi="Arial"/>
                <w:sz w:val="18"/>
                <w:szCs w:val="18"/>
                <w:color w:val="auto"/>
              </w:rPr>
              <w:t>10.29</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Non-Employee Director Unrestricted Stock Unit Award Agreement.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(ff)</w:t>
            </w:r>
            <w:r>
              <w:rPr>
                <w:rFonts w:ascii="Arial" w:cs="Arial" w:eastAsia="Arial" w:hAnsi="Arial"/>
                <w:sz w:val="18"/>
                <w:szCs w:val="18"/>
                <w:color w:val="auto"/>
              </w:rPr>
              <w:t>10.30</w:t>
            </w:r>
          </w:p>
        </w:tc>
        <w:tc>
          <w:tcPr>
            <w:tcW w:w="9280" w:type="dxa"/>
            <w:vAlign w:val="bottom"/>
          </w:tcPr>
          <w:p>
            <w:pPr>
              <w:ind w:left="220"/>
              <w:spacing w:after="0"/>
              <w:rPr>
                <w:sz w:val="20"/>
                <w:szCs w:val="20"/>
                <w:color w:val="auto"/>
              </w:rPr>
            </w:pPr>
            <w:r>
              <w:rPr>
                <w:rFonts w:ascii="Arial" w:cs="Arial" w:eastAsia="Arial" w:hAnsi="Arial"/>
                <w:sz w:val="18"/>
                <w:szCs w:val="18"/>
                <w:color w:val="auto"/>
              </w:rPr>
              <w:t>Second Amendment to Roper Technologies, Inc. Director Compensation Plan. †</w:t>
            </w:r>
          </w:p>
        </w:tc>
      </w:tr>
      <w:tr>
        <w:trPr>
          <w:trHeight w:val="330"/>
        </w:trPr>
        <w:tc>
          <w:tcPr>
            <w:tcW w:w="120" w:type="dxa"/>
            <w:vAlign w:val="bottom"/>
          </w:tcPr>
          <w:p>
            <w:pPr>
              <w:spacing w:after="0"/>
              <w:rPr>
                <w:sz w:val="24"/>
                <w:szCs w:val="24"/>
                <w:color w:val="auto"/>
              </w:rPr>
            </w:pPr>
          </w:p>
        </w:tc>
        <w:tc>
          <w:tcPr>
            <w:tcW w:w="980" w:type="dxa"/>
            <w:vAlign w:val="bottom"/>
          </w:tcPr>
          <w:p>
            <w:pPr>
              <w:jc w:val="right"/>
              <w:ind w:right="205"/>
              <w:spacing w:after="0"/>
              <w:rPr>
                <w:sz w:val="20"/>
                <w:szCs w:val="20"/>
                <w:color w:val="auto"/>
              </w:rPr>
            </w:pPr>
            <w:r>
              <w:rPr>
                <w:rFonts w:ascii="Arial" w:cs="Arial" w:eastAsia="Arial" w:hAnsi="Arial"/>
                <w:sz w:val="10"/>
                <w:szCs w:val="10"/>
                <w:color w:val="auto"/>
              </w:rPr>
              <w:t>(ff)</w:t>
            </w:r>
            <w:r>
              <w:rPr>
                <w:rFonts w:ascii="Arial" w:cs="Arial" w:eastAsia="Arial" w:hAnsi="Arial"/>
                <w:sz w:val="18"/>
                <w:szCs w:val="18"/>
                <w:color w:val="auto"/>
              </w:rPr>
              <w:t>10.31</w:t>
            </w:r>
          </w:p>
        </w:tc>
        <w:tc>
          <w:tcPr>
            <w:tcW w:w="9280" w:type="dxa"/>
            <w:vAlign w:val="bottom"/>
          </w:tcPr>
          <w:p>
            <w:pPr>
              <w:ind w:left="220"/>
              <w:spacing w:after="0"/>
              <w:rPr>
                <w:sz w:val="20"/>
                <w:szCs w:val="20"/>
                <w:color w:val="auto"/>
              </w:rPr>
            </w:pPr>
            <w:r>
              <w:rPr>
                <w:rFonts w:ascii="Arial" w:cs="Arial" w:eastAsia="Arial" w:hAnsi="Arial"/>
                <w:sz w:val="18"/>
                <w:szCs w:val="18"/>
                <w:color w:val="auto"/>
              </w:rPr>
              <w:t>Form of Non-Employee Director Deferred Restricted Stock Unit Award Agreement. †</w:t>
            </w:r>
          </w:p>
        </w:tc>
      </w:tr>
      <w:tr>
        <w:trPr>
          <w:trHeight w:val="330"/>
        </w:trPr>
        <w:tc>
          <w:tcPr>
            <w:tcW w:w="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ind w:right="165"/>
              <w:spacing w:after="0" w:line="219" w:lineRule="exact"/>
              <w:rPr>
                <w:sz w:val="20"/>
                <w:szCs w:val="20"/>
                <w:color w:val="auto"/>
              </w:rPr>
            </w:pPr>
            <w:r>
              <w:rPr>
                <w:rFonts w:ascii="Arial" w:cs="Arial" w:eastAsia="Arial" w:hAnsi="Arial"/>
                <w:sz w:val="18"/>
                <w:szCs w:val="18"/>
                <w:color w:val="auto"/>
              </w:rPr>
              <w:t>іўӝі</w:t>
            </w:r>
            <w:r>
              <w:rPr>
                <w:rFonts w:ascii="PMingLiU" w:cs="PMingLiU" w:eastAsia="PMingLiU" w:hAnsi="PMingLiU"/>
                <w:sz w:val="18"/>
                <w:szCs w:val="18"/>
                <w:color w:val="auto"/>
              </w:rPr>
              <w:t/>
            </w:r>
          </w:p>
        </w:tc>
        <w:tc>
          <w:tcPr>
            <w:tcW w:w="9280" w:type="dxa"/>
            <w:vAlign w:val="bottom"/>
          </w:tcPr>
          <w:p>
            <w:pPr>
              <w:ind w:left="220"/>
              <w:spacing w:after="0" w:line="219" w:lineRule="exact"/>
              <w:rPr>
                <w:sz w:val="20"/>
                <w:szCs w:val="20"/>
                <w:color w:val="auto"/>
              </w:rPr>
            </w:pPr>
            <w:r>
              <w:rPr>
                <w:rFonts w:ascii="Arial" w:cs="Arial" w:eastAsia="Arial" w:hAnsi="Arial"/>
                <w:sz w:val="18"/>
                <w:szCs w:val="18"/>
                <w:color w:val="auto"/>
              </w:rPr>
              <w:t>ĄɁɥǉɨ</w:t>
            </w:r>
            <w:r>
              <w:rPr>
                <w:rFonts w:ascii="PMingLiU" w:cs="PMingLiU" w:eastAsia="PMingLiU" w:hAnsi="PMingLiU"/>
                <w:sz w:val="18"/>
                <w:szCs w:val="18"/>
                <w:color w:val="auto"/>
              </w:rPr>
              <w:t/>
            </w:r>
            <w:r>
              <w:rPr>
                <w:rFonts w:ascii="Arial" w:cs="Arial" w:eastAsia="Arial" w:hAnsi="Arial"/>
                <w:sz w:val="18"/>
                <w:szCs w:val="18"/>
                <w:color w:val="auto"/>
              </w:rPr>
              <w:t>ěǉƺȃȶɁȢɁǼȈǉɰ</w:t>
            </w:r>
            <w:r>
              <w:rPr>
                <w:rFonts w:ascii="Arial" w:cs="Arial" w:eastAsia="Arial" w:hAnsi="Arial"/>
                <w:sz w:val="18"/>
                <w:szCs w:val="18"/>
                <w:color w:val="auto"/>
              </w:rPr>
              <w:t>ӗ</w:t>
            </w:r>
            <w:r>
              <w:rPr>
                <w:rFonts w:ascii="PMingLiU" w:cs="PMingLiU" w:eastAsia="PMingLiU" w:hAnsi="PMingLiU"/>
                <w:sz w:val="18"/>
                <w:szCs w:val="18"/>
                <w:color w:val="auto"/>
              </w:rPr>
              <w:t></w:t>
            </w:r>
            <w:r>
              <w:rPr>
                <w:rFonts w:ascii="Arial" w:cs="Arial" w:eastAsia="Arial" w:hAnsi="Arial"/>
                <w:sz w:val="18"/>
                <w:szCs w:val="18"/>
                <w:color w:val="auto"/>
              </w:rPr>
              <w:t>ȶƺ</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ČǉƺʍɨȈɽȈǉɰ</w:t>
            </w:r>
            <w:r>
              <w:rPr>
                <w:rFonts w:ascii="PMingLiU" w:cs="PMingLiU" w:eastAsia="PMingLiU" w:hAnsi="PMingLiU"/>
                <w:sz w:val="18"/>
                <w:szCs w:val="18"/>
                <w:color w:val="auto"/>
              </w:rPr>
              <w:t/>
            </w:r>
            <w:r>
              <w:rPr>
                <w:rFonts w:ascii="Arial" w:cs="Arial" w:eastAsia="Arial" w:hAnsi="Arial"/>
                <w:sz w:val="18"/>
                <w:szCs w:val="18"/>
                <w:color w:val="auto"/>
              </w:rPr>
              <w:t>ěɨƃȶɰƃƺɽȈɁȶ</w:t>
            </w:r>
            <w:r>
              <w:rPr>
                <w:rFonts w:ascii="PMingLiU" w:cs="PMingLiU" w:eastAsia="PMingLiU" w:hAnsi="PMingLiU"/>
                <w:sz w:val="18"/>
                <w:szCs w:val="18"/>
                <w:color w:val="auto"/>
              </w:rPr>
              <w:t/>
            </w:r>
            <w:r>
              <w:rPr>
                <w:rFonts w:ascii="Arial" w:cs="Arial" w:eastAsia="Arial" w:hAnsi="Arial"/>
                <w:sz w:val="18"/>
                <w:szCs w:val="18"/>
                <w:color w:val="auto"/>
              </w:rPr>
              <w:t>:ɁȴɥȢȈƃȶƺǉ</w:t>
            </w:r>
            <w:r>
              <w:rPr>
                <w:rFonts w:ascii="PMingLiU" w:cs="PMingLiU" w:eastAsia="PMingLiU" w:hAnsi="PMingLiU"/>
                <w:sz w:val="18"/>
                <w:szCs w:val="18"/>
                <w:color w:val="auto"/>
              </w:rPr>
              <w:t/>
            </w:r>
            <w:r>
              <w:rPr>
                <w:rFonts w:ascii="Arial" w:cs="Arial" w:eastAsia="Arial" w:hAnsi="Arial"/>
                <w:sz w:val="18"/>
                <w:szCs w:val="18"/>
                <w:color w:val="auto"/>
              </w:rPr>
              <w:t>ĀɨɁǼɨƃȴ</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ȃǉɨǉʥȈɽȃ</w:t>
            </w:r>
            <w:r>
              <w:rPr>
                <w:rFonts w:ascii="Arial" w:cs="Arial" w:eastAsia="Arial" w:hAnsi="Arial"/>
                <w:sz w:val="18"/>
                <w:szCs w:val="18"/>
                <w:color w:val="auto"/>
              </w:rPr>
              <w:t>ӝ</w:t>
            </w:r>
          </w:p>
        </w:tc>
      </w:tr>
      <w:tr>
        <w:trPr>
          <w:trHeight w:val="330"/>
        </w:trPr>
        <w:tc>
          <w:tcPr>
            <w:tcW w:w="1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tcPr>
          <w:p>
            <w:pPr>
              <w:jc w:val="right"/>
              <w:ind w:right="165"/>
              <w:spacing w:after="0" w:line="219" w:lineRule="exact"/>
              <w:rPr>
                <w:sz w:val="20"/>
                <w:szCs w:val="20"/>
                <w:color w:val="auto"/>
              </w:rPr>
            </w:pPr>
            <w:r>
              <w:rPr>
                <w:rFonts w:ascii="Arial" w:cs="Arial" w:eastAsia="Arial" w:hAnsi="Arial"/>
                <w:sz w:val="18"/>
                <w:szCs w:val="18"/>
                <w:color w:val="auto"/>
              </w:rPr>
              <w:t>їіӝі</w:t>
            </w:r>
            <w:r>
              <w:rPr>
                <w:rFonts w:ascii="PMingLiU" w:cs="PMingLiU" w:eastAsia="PMingLiU" w:hAnsi="PMingLiU"/>
                <w:sz w:val="18"/>
                <w:szCs w:val="18"/>
                <w:color w:val="auto"/>
              </w:rPr>
              <w:t/>
            </w:r>
          </w:p>
        </w:tc>
        <w:tc>
          <w:tcPr>
            <w:tcW w:w="9280" w:type="dxa"/>
            <w:vAlign w:val="bottom"/>
          </w:tcPr>
          <w:p>
            <w:pPr>
              <w:ind w:left="220"/>
              <w:spacing w:after="0" w:line="219" w:lineRule="exact"/>
              <w:rPr>
                <w:sz w:val="20"/>
                <w:szCs w:val="20"/>
                <w:color w:val="auto"/>
              </w:rPr>
            </w:pPr>
            <w:r>
              <w:rPr>
                <w:rFonts w:ascii="Arial" w:cs="Arial" w:eastAsia="Arial" w:hAnsi="Arial"/>
                <w:sz w:val="18"/>
                <w:szCs w:val="18"/>
                <w:color w:val="auto"/>
              </w:rPr>
              <w:t>¸Ȉɰɽ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ČʍƹɰȈǁȈƃɨȈǉɰ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ȃǉɨǉʥȈɽȃ</w:t>
            </w:r>
            <w:r>
              <w:rPr>
                <w:rFonts w:ascii="Arial" w:cs="Arial" w:eastAsia="Arial" w:hAnsi="Arial"/>
                <w:sz w:val="18"/>
                <w:szCs w:val="18"/>
                <w:color w:val="auto"/>
              </w:rPr>
              <w:t>ӝ</w:t>
            </w:r>
          </w:p>
        </w:tc>
      </w:tr>
    </w:tbl>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left="540" w:hanging="540"/>
        <w:spacing w:after="0" w:line="219" w:lineRule="exact"/>
        <w:tabs>
          <w:tab w:leader="none" w:pos="540" w:val="left"/>
        </w:tabs>
        <w:numPr>
          <w:ilvl w:val="0"/>
          <w:numId w:val="23"/>
        </w:numPr>
        <w:rPr>
          <w:rFonts w:ascii="PMingLiU" w:cs="PMingLiU" w:eastAsia="PMingLiU" w:hAnsi="PMingLiU"/>
          <w:sz w:val="18"/>
          <w:szCs w:val="18"/>
          <w:color w:val="auto"/>
        </w:rPr>
      </w:pPr>
      <w:r>
        <w:rPr>
          <w:rFonts w:ascii="Arial" w:cs="Arial" w:eastAsia="Arial" w:hAnsi="Arial"/>
          <w:sz w:val="18"/>
          <w:szCs w:val="18"/>
          <w:color w:val="auto"/>
        </w:rPr>
        <w:t>їјӝі</w:t>
      </w:r>
      <w:r>
        <w:rPr>
          <w:rFonts w:ascii="PMingLiU" w:cs="PMingLiU" w:eastAsia="PMingLiU" w:hAnsi="PMingLiU"/>
          <w:sz w:val="18"/>
          <w:szCs w:val="18"/>
          <w:color w:val="auto"/>
        </w:rPr>
        <w:t/>
      </w:r>
      <w:r>
        <w:rPr>
          <w:rFonts w:ascii="Arial" w:cs="Arial" w:eastAsia="Arial" w:hAnsi="Arial"/>
          <w:sz w:val="18"/>
          <w:szCs w:val="18"/>
          <w:color w:val="auto"/>
        </w:rPr>
        <w:t>:Ɂȶɰǉȶɽ</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w:t>
      </w:r>
      <w:r>
        <w:rPr>
          <w:rFonts w:ascii="Arial" w:cs="Arial" w:eastAsia="Arial" w:hAnsi="Arial"/>
          <w:sz w:val="18"/>
          <w:szCs w:val="18"/>
          <w:color w:val="auto"/>
        </w:rPr>
        <w:t>ȶǁǉɥǉȶǁǉȶɽ</w:t>
      </w:r>
      <w:r>
        <w:rPr>
          <w:rFonts w:ascii="PMingLiU" w:cs="PMingLiU" w:eastAsia="PMingLiU" w:hAnsi="PMingLiU"/>
          <w:sz w:val="18"/>
          <w:szCs w:val="18"/>
          <w:color w:val="auto"/>
        </w:rPr>
        <w:t/>
      </w:r>
      <w:r>
        <w:rPr>
          <w:rFonts w:ascii="Arial" w:cs="Arial" w:eastAsia="Arial" w:hAnsi="Arial"/>
          <w:sz w:val="18"/>
          <w:szCs w:val="18"/>
          <w:color w:val="auto"/>
        </w:rPr>
        <w:t>ĄǉǼȈɰɽǉɨǉǁ</w:t>
      </w:r>
      <w:r>
        <w:rPr>
          <w:rFonts w:ascii="PMingLiU" w:cs="PMingLiU" w:eastAsia="PMingLiU" w:hAnsi="PMingLiU"/>
          <w:sz w:val="18"/>
          <w:szCs w:val="18"/>
          <w:color w:val="auto"/>
        </w:rPr>
        <w:t/>
      </w:r>
      <w:r>
        <w:rPr>
          <w:rFonts w:ascii="Arial" w:cs="Arial" w:eastAsia="Arial" w:hAnsi="Arial"/>
          <w:sz w:val="18"/>
          <w:szCs w:val="18"/>
          <w:color w:val="auto"/>
        </w:rPr>
        <w:t>ĀʍƹȢȈƺ</w:t>
      </w:r>
      <w:r>
        <w:rPr>
          <w:rFonts w:ascii="PMingLiU" w:cs="PMingLiU" w:eastAsia="PMingLiU" w:hAnsi="PMingLiU"/>
          <w:sz w:val="18"/>
          <w:szCs w:val="18"/>
          <w:color w:val="auto"/>
        </w:rPr>
        <w:t/>
      </w:r>
      <w:r>
        <w:rPr>
          <w:rFonts w:ascii="Arial" w:cs="Arial" w:eastAsia="Arial" w:hAnsi="Arial"/>
          <w:sz w:val="18"/>
          <w:szCs w:val="18"/>
          <w:color w:val="auto"/>
        </w:rPr>
        <w:t>ƺƺɁʍȶɽƃȶɽɰ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ȃǉɨǉʥȈɽȃ</w:t>
      </w:r>
      <w:r>
        <w:rPr>
          <w:rFonts w:ascii="Arial" w:cs="Arial" w:eastAsia="Arial" w:hAnsi="Arial"/>
          <w:sz w:val="18"/>
          <w:szCs w:val="18"/>
          <w:color w:val="auto"/>
        </w:rPr>
        <w:t>ӝ</w:t>
      </w:r>
    </w:p>
    <w:p>
      <w:pPr>
        <w:spacing w:after="0" w:line="112" w:lineRule="exact"/>
        <w:rPr>
          <w:sz w:val="20"/>
          <w:szCs w:val="20"/>
          <w:color w:val="auto"/>
        </w:rPr>
      </w:pPr>
    </w:p>
    <w:p>
      <w:pPr>
        <w:ind w:left="580"/>
        <w:spacing w:after="0" w:line="219" w:lineRule="exact"/>
        <w:tabs>
          <w:tab w:leader="none" w:pos="13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ĄʍȢǉ</w:t>
      </w:r>
      <w:r>
        <w:rPr>
          <w:rFonts w:ascii="PMingLiU" w:cs="PMingLiU" w:eastAsia="PMingLiU" w:hAnsi="PMingLiU"/>
          <w:sz w:val="18"/>
          <w:szCs w:val="18"/>
          <w:color w:val="auto"/>
        </w:rPr>
        <w:t/>
      </w:r>
      <w:r>
        <w:rPr>
          <w:rFonts w:ascii="Arial" w:cs="Arial" w:eastAsia="Arial" w:hAnsi="Arial"/>
          <w:sz w:val="18"/>
          <w:szCs w:val="18"/>
          <w:color w:val="auto"/>
        </w:rPr>
        <w:t>іј</w:t>
      </w:r>
      <w:r>
        <w:rPr>
          <w:rFonts w:ascii="Arial" w:cs="Arial" w:eastAsia="Arial" w:hAnsi="Arial"/>
          <w:sz w:val="18"/>
          <w:szCs w:val="18"/>
          <w:color w:val="auto"/>
        </w:rPr>
        <w:t>ƃ</w:t>
      </w:r>
      <w:r>
        <w:rPr>
          <w:rFonts w:ascii="Arial" w:cs="Arial" w:eastAsia="Arial" w:hAnsi="Arial"/>
          <w:sz w:val="18"/>
          <w:szCs w:val="18"/>
          <w:color w:val="auto"/>
        </w:rPr>
        <w:t>Ӹіљӯ</w:t>
      </w:r>
      <w:r>
        <w:rPr>
          <w:rFonts w:ascii="Arial" w:cs="Arial" w:eastAsia="Arial" w:hAnsi="Arial"/>
          <w:sz w:val="18"/>
          <w:szCs w:val="18"/>
          <w:color w:val="auto"/>
        </w:rPr>
        <w:t>ƃ</w:t>
      </w:r>
      <w:r>
        <w:rPr>
          <w:rFonts w:ascii="Arial" w:cs="Arial" w:eastAsia="Arial" w:hAnsi="Arial"/>
          <w:sz w:val="18"/>
          <w:szCs w:val="18"/>
          <w:color w:val="auto"/>
        </w:rPr>
        <w:t>Ӱӣіњ</w:t>
      </w:r>
      <w:r>
        <w:rPr>
          <w:rFonts w:ascii="Arial" w:cs="Arial" w:eastAsia="Arial" w:hAnsi="Arial"/>
          <w:sz w:val="18"/>
          <w:szCs w:val="18"/>
          <w:color w:val="auto"/>
        </w:rPr>
        <w:t>ǁ</w:t>
      </w:r>
      <w:r>
        <w:rPr>
          <w:rFonts w:ascii="Arial" w:cs="Arial" w:eastAsia="Arial" w:hAnsi="Arial"/>
          <w:sz w:val="18"/>
          <w:szCs w:val="18"/>
          <w:color w:val="auto"/>
        </w:rPr>
        <w:t>Ӹіљӯ</w:t>
      </w:r>
      <w:r>
        <w:rPr>
          <w:rFonts w:ascii="Arial" w:cs="Arial" w:eastAsia="Arial" w:hAnsi="Arial"/>
          <w:sz w:val="18"/>
          <w:szCs w:val="18"/>
          <w:color w:val="auto"/>
        </w:rPr>
        <w:t>ƃ</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:ǉɨɽȈˎƺƃɽȈɁȶ</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:ȃȈǉǹ</w:t>
      </w:r>
      <w:r>
        <w:rPr>
          <w:rFonts w:ascii="PMingLiU" w:cs="PMingLiU" w:eastAsia="PMingLiU" w:hAnsi="PMingLiU"/>
          <w:sz w:val="18"/>
          <w:szCs w:val="18"/>
          <w:color w:val="auto"/>
        </w:rPr>
        <w:t/>
      </w:r>
      <w:r>
        <w:rPr>
          <w:rFonts w:ascii="Arial" w:cs="Arial" w:eastAsia="Arial" w:hAnsi="Arial"/>
          <w:sz w:val="18"/>
          <w:szCs w:val="18"/>
          <w:color w:val="auto"/>
        </w:rPr>
        <w:t>KʯǉƺʍɽȈʤǉ</w:t>
      </w:r>
      <w:r>
        <w:rPr>
          <w:rFonts w:ascii="PMingLiU" w:cs="PMingLiU" w:eastAsia="PMingLiU" w:hAnsi="PMingLiU"/>
          <w:sz w:val="18"/>
          <w:szCs w:val="18"/>
          <w:color w:val="auto"/>
        </w:rPr>
        <w:t/>
      </w:r>
      <w:r>
        <w:rPr>
          <w:rFonts w:ascii="Arial" w:cs="Arial" w:eastAsia="Arial" w:hAnsi="Arial"/>
          <w:sz w:val="18"/>
          <w:szCs w:val="18"/>
          <w:color w:val="auto"/>
        </w:rPr>
        <w:t>Ýǹˎƺǉɨ</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ȃǉɨǉʥȈɽȃ</w:t>
      </w:r>
      <w:r>
        <w:rPr>
          <w:rFonts w:ascii="Arial" w:cs="Arial" w:eastAsia="Arial" w:hAnsi="Arial"/>
          <w:sz w:val="18"/>
          <w:szCs w:val="18"/>
          <w:color w:val="auto"/>
        </w:rPr>
        <w:t>ӝ</w:t>
      </w:r>
    </w:p>
    <w:p>
      <w:pPr>
        <w:spacing w:after="0" w:line="112" w:lineRule="exact"/>
        <w:rPr>
          <w:sz w:val="20"/>
          <w:szCs w:val="20"/>
          <w:color w:val="auto"/>
        </w:rPr>
      </w:pPr>
    </w:p>
    <w:p>
      <w:pPr>
        <w:spacing w:after="0" w:line="219" w:lineRule="exact"/>
        <w:tabs>
          <w:tab w:leader="none" w:pos="520" w:val="left"/>
          <w:tab w:leader="none" w:pos="13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Arial" w:cs="Arial" w:eastAsia="Arial" w:hAnsi="Arial"/>
          <w:sz w:val="18"/>
          <w:szCs w:val="18"/>
          <w:color w:val="auto"/>
        </w:rPr>
        <w:t>јіӝї</w:t>
      </w:r>
      <w:r>
        <w:rPr>
          <w:rFonts w:ascii="PMingLiU" w:cs="PMingLiU" w:eastAsia="PMingLiU" w:hAnsi="PMingLiU"/>
          <w:sz w:val="18"/>
          <w:szCs w:val="18"/>
          <w:color w:val="auto"/>
        </w:rPr>
        <w:t/>
      </w:r>
      <w:r>
        <w:rPr>
          <w:sz w:val="20"/>
          <w:szCs w:val="20"/>
          <w:color w:val="auto"/>
        </w:rPr>
        <w:tab/>
      </w:r>
      <w:r>
        <w:rPr>
          <w:rFonts w:ascii="Arial" w:cs="Arial" w:eastAsia="Arial" w:hAnsi="Arial"/>
          <w:sz w:val="18"/>
          <w:szCs w:val="18"/>
          <w:color w:val="auto"/>
        </w:rPr>
        <w:t>ĄʍȢǉ</w:t>
      </w:r>
      <w:r>
        <w:rPr>
          <w:rFonts w:ascii="PMingLiU" w:cs="PMingLiU" w:eastAsia="PMingLiU" w:hAnsi="PMingLiU"/>
          <w:sz w:val="18"/>
          <w:szCs w:val="18"/>
          <w:color w:val="auto"/>
        </w:rPr>
        <w:t/>
      </w:r>
      <w:r>
        <w:rPr>
          <w:rFonts w:ascii="Arial" w:cs="Arial" w:eastAsia="Arial" w:hAnsi="Arial"/>
          <w:sz w:val="18"/>
          <w:szCs w:val="18"/>
          <w:color w:val="auto"/>
        </w:rPr>
        <w:t>іј</w:t>
      </w:r>
      <w:r>
        <w:rPr>
          <w:rFonts w:ascii="Arial" w:cs="Arial" w:eastAsia="Arial" w:hAnsi="Arial"/>
          <w:sz w:val="18"/>
          <w:szCs w:val="18"/>
          <w:color w:val="auto"/>
        </w:rPr>
        <w:t>ƃ</w:t>
      </w:r>
      <w:r>
        <w:rPr>
          <w:rFonts w:ascii="Arial" w:cs="Arial" w:eastAsia="Arial" w:hAnsi="Arial"/>
          <w:sz w:val="18"/>
          <w:szCs w:val="18"/>
          <w:color w:val="auto"/>
        </w:rPr>
        <w:t>Ӹіљӯ</w:t>
      </w:r>
      <w:r>
        <w:rPr>
          <w:rFonts w:ascii="Arial" w:cs="Arial" w:eastAsia="Arial" w:hAnsi="Arial"/>
          <w:sz w:val="18"/>
          <w:szCs w:val="18"/>
          <w:color w:val="auto"/>
        </w:rPr>
        <w:t>ƃ</w:t>
      </w:r>
      <w:r>
        <w:rPr>
          <w:rFonts w:ascii="Arial" w:cs="Arial" w:eastAsia="Arial" w:hAnsi="Arial"/>
          <w:sz w:val="18"/>
          <w:szCs w:val="18"/>
          <w:color w:val="auto"/>
        </w:rPr>
        <w:t>Ӱӣіњ</w:t>
      </w:r>
      <w:r>
        <w:rPr>
          <w:rFonts w:ascii="Arial" w:cs="Arial" w:eastAsia="Arial" w:hAnsi="Arial"/>
          <w:sz w:val="18"/>
          <w:szCs w:val="18"/>
          <w:color w:val="auto"/>
        </w:rPr>
        <w:t>ǁ</w:t>
      </w:r>
      <w:r>
        <w:rPr>
          <w:rFonts w:ascii="Arial" w:cs="Arial" w:eastAsia="Arial" w:hAnsi="Arial"/>
          <w:sz w:val="18"/>
          <w:szCs w:val="18"/>
          <w:color w:val="auto"/>
        </w:rPr>
        <w:t>Ӹіљӯ</w:t>
      </w:r>
      <w:r>
        <w:rPr>
          <w:rFonts w:ascii="Arial" w:cs="Arial" w:eastAsia="Arial" w:hAnsi="Arial"/>
          <w:sz w:val="18"/>
          <w:szCs w:val="18"/>
          <w:color w:val="auto"/>
        </w:rPr>
        <w:t>ƃ</w:t>
      </w:r>
      <w:r>
        <w:rPr>
          <w:rFonts w:ascii="Arial" w:cs="Arial" w:eastAsia="Arial" w:hAnsi="Arial"/>
          <w:sz w:val="18"/>
          <w:szCs w:val="18"/>
          <w:color w:val="auto"/>
        </w:rPr>
        <w:t>Ӱ</w:t>
      </w:r>
      <w:r>
        <w:rPr>
          <w:rFonts w:ascii="PMingLiU" w:cs="PMingLiU" w:eastAsia="PMingLiU" w:hAnsi="PMingLiU"/>
          <w:sz w:val="18"/>
          <w:szCs w:val="18"/>
          <w:color w:val="auto"/>
        </w:rPr>
        <w:t/>
      </w:r>
      <w:r>
        <w:rPr>
          <w:rFonts w:ascii="Arial" w:cs="Arial" w:eastAsia="Arial" w:hAnsi="Arial"/>
          <w:sz w:val="18"/>
          <w:szCs w:val="18"/>
          <w:color w:val="auto"/>
        </w:rPr>
        <w:t>:ǉɨɽȈˎƺƃɽȈɁȶ</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:ȃȈǉǹ</w:t>
      </w:r>
      <w:r>
        <w:rPr>
          <w:rFonts w:ascii="PMingLiU" w:cs="PMingLiU" w:eastAsia="PMingLiU" w:hAnsi="PMingLiU"/>
          <w:sz w:val="18"/>
          <w:szCs w:val="18"/>
          <w:color w:val="auto"/>
        </w:rPr>
        <w:t/>
      </w:r>
      <w:r>
        <w:rPr>
          <w:rFonts w:ascii="Arial" w:cs="Arial" w:eastAsia="Arial" w:hAnsi="Arial"/>
          <w:sz w:val="18"/>
          <w:szCs w:val="18"/>
          <w:color w:val="auto"/>
        </w:rPr>
        <w:t>yȈȶƃȶƺȈƃȢ</w:t>
      </w:r>
      <w:r>
        <w:rPr>
          <w:rFonts w:ascii="PMingLiU" w:cs="PMingLiU" w:eastAsia="PMingLiU" w:hAnsi="PMingLiU"/>
          <w:sz w:val="18"/>
          <w:szCs w:val="18"/>
          <w:color w:val="auto"/>
        </w:rPr>
        <w:t/>
      </w:r>
      <w:r>
        <w:rPr>
          <w:rFonts w:ascii="Arial" w:cs="Arial" w:eastAsia="Arial" w:hAnsi="Arial"/>
          <w:sz w:val="18"/>
          <w:szCs w:val="18"/>
          <w:color w:val="auto"/>
        </w:rPr>
        <w:t>Ýǹˎƺǉɨ</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ȃǉɨǉʥȈɽȃ</w:t>
      </w:r>
      <w:r>
        <w:rPr>
          <w:rFonts w:ascii="Arial" w:cs="Arial" w:eastAsia="Arial" w:hAnsi="Arial"/>
          <w:sz w:val="18"/>
          <w:szCs w:val="18"/>
          <w:color w:val="auto"/>
        </w:rPr>
        <w:t>ӝ</w:t>
      </w:r>
    </w:p>
    <w:p>
      <w:pPr>
        <w:spacing w:after="0" w:line="112" w:lineRule="exact"/>
        <w:rPr>
          <w:sz w:val="20"/>
          <w:szCs w:val="20"/>
          <w:color w:val="auto"/>
        </w:rPr>
      </w:pPr>
    </w:p>
    <w:p>
      <w:pPr>
        <w:ind w:left="540" w:hanging="539"/>
        <w:spacing w:after="0" w:line="219" w:lineRule="exact"/>
        <w:tabs>
          <w:tab w:leader="none" w:pos="540" w:val="left"/>
        </w:tabs>
        <w:numPr>
          <w:ilvl w:val="0"/>
          <w:numId w:val="24"/>
        </w:numPr>
        <w:rPr>
          <w:rFonts w:ascii="PMingLiU" w:cs="PMingLiU" w:eastAsia="PMingLiU" w:hAnsi="PMingLiU"/>
          <w:sz w:val="18"/>
          <w:szCs w:val="18"/>
          <w:color w:val="auto"/>
        </w:rPr>
      </w:pPr>
      <w:r>
        <w:rPr>
          <w:rFonts w:ascii="Arial" w:cs="Arial" w:eastAsia="Arial" w:hAnsi="Arial"/>
          <w:sz w:val="18"/>
          <w:szCs w:val="18"/>
          <w:color w:val="auto"/>
        </w:rPr>
        <w:t>јїӝі</w:t>
      </w:r>
      <w:r>
        <w:rPr>
          <w:rFonts w:ascii="PMingLiU" w:cs="PMingLiU" w:eastAsia="PMingLiU" w:hAnsi="PMingLiU"/>
          <w:sz w:val="18"/>
          <w:szCs w:val="18"/>
          <w:color w:val="auto"/>
        </w:rPr>
        <w:t/>
      </w:r>
      <w:r>
        <w:rPr>
          <w:rFonts w:ascii="Arial" w:cs="Arial" w:eastAsia="Arial" w:hAnsi="Arial"/>
          <w:sz w:val="18"/>
          <w:szCs w:val="18"/>
          <w:color w:val="auto"/>
        </w:rPr>
        <w:t>ČǉƺɽȈɁȶ</w:t>
      </w:r>
      <w:r>
        <w:rPr>
          <w:rFonts w:ascii="PMingLiU" w:cs="PMingLiU" w:eastAsia="PMingLiU" w:hAnsi="PMingLiU"/>
          <w:sz w:val="18"/>
          <w:szCs w:val="18"/>
          <w:color w:val="auto"/>
        </w:rPr>
        <w:t/>
      </w:r>
      <w:r>
        <w:rPr>
          <w:rFonts w:ascii="Arial" w:cs="Arial" w:eastAsia="Arial" w:hAnsi="Arial"/>
          <w:sz w:val="18"/>
          <w:szCs w:val="18"/>
          <w:color w:val="auto"/>
        </w:rPr>
        <w:t>іјњѕ</w:t>
      </w:r>
      <w:r>
        <w:rPr>
          <w:rFonts w:ascii="PMingLiU" w:cs="PMingLiU" w:eastAsia="PMingLiU" w:hAnsi="PMingLiU"/>
          <w:sz w:val="18"/>
          <w:szCs w:val="18"/>
          <w:color w:val="auto"/>
        </w:rPr>
        <w:t/>
      </w:r>
      <w:r>
        <w:rPr>
          <w:rFonts w:ascii="Arial" w:cs="Arial" w:eastAsia="Arial" w:hAnsi="Arial"/>
          <w:sz w:val="18"/>
          <w:szCs w:val="18"/>
          <w:color w:val="auto"/>
        </w:rPr>
        <w:t>:ǉɨɽȈˎƺƃɽȈɁȶ</w:t>
      </w:r>
      <w:r>
        <w:rPr>
          <w:rFonts w:ascii="PMingLiU" w:cs="PMingLiU" w:eastAsia="PMingLiU" w:hAnsi="PMingLiU"/>
          <w:sz w:val="18"/>
          <w:szCs w:val="18"/>
          <w:color w:val="auto"/>
        </w:rPr>
        <w:t/>
      </w:r>
      <w:r>
        <w:rPr>
          <w:rFonts w:ascii="Arial" w:cs="Arial" w:eastAsia="Arial" w:hAnsi="Arial"/>
          <w:sz w:val="18"/>
          <w:szCs w:val="18"/>
          <w:color w:val="auto"/>
        </w:rPr>
        <w:t>Ɂǹ</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:ȃȈǉǹ</w:t>
      </w:r>
      <w:r>
        <w:rPr>
          <w:rFonts w:ascii="PMingLiU" w:cs="PMingLiU" w:eastAsia="PMingLiU" w:hAnsi="PMingLiU"/>
          <w:sz w:val="18"/>
          <w:szCs w:val="18"/>
          <w:color w:val="auto"/>
        </w:rPr>
        <w:t/>
      </w:r>
      <w:r>
        <w:rPr>
          <w:rFonts w:ascii="Arial" w:cs="Arial" w:eastAsia="Arial" w:hAnsi="Arial"/>
          <w:sz w:val="18"/>
          <w:szCs w:val="18"/>
          <w:color w:val="auto"/>
        </w:rPr>
        <w:t>KʯǉƺʍɽȈʤǉ</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:ȃȈǉǹ</w:t>
      </w:r>
      <w:r>
        <w:rPr>
          <w:rFonts w:ascii="PMingLiU" w:cs="PMingLiU" w:eastAsia="PMingLiU" w:hAnsi="PMingLiU"/>
          <w:sz w:val="18"/>
          <w:szCs w:val="18"/>
          <w:color w:val="auto"/>
        </w:rPr>
        <w:t/>
      </w:r>
      <w:r>
        <w:rPr>
          <w:rFonts w:ascii="Arial" w:cs="Arial" w:eastAsia="Arial" w:hAnsi="Arial"/>
          <w:sz w:val="18"/>
          <w:szCs w:val="18"/>
          <w:color w:val="auto"/>
        </w:rPr>
        <w:t>yȈȶƃȶƺȈƃȢ</w:t>
      </w:r>
      <w:r>
        <w:rPr>
          <w:rFonts w:ascii="PMingLiU" w:cs="PMingLiU" w:eastAsia="PMingLiU" w:hAnsi="PMingLiU"/>
          <w:sz w:val="18"/>
          <w:szCs w:val="18"/>
          <w:color w:val="auto"/>
        </w:rPr>
        <w:t/>
      </w:r>
      <w:r>
        <w:rPr>
          <w:rFonts w:ascii="Arial" w:cs="Arial" w:eastAsia="Arial" w:hAnsi="Arial"/>
          <w:sz w:val="18"/>
          <w:szCs w:val="18"/>
          <w:color w:val="auto"/>
        </w:rPr>
        <w:t>Ýǹˎƺǉɨɰ</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ǹʍɨȶȈɰȃǉǁ</w:t>
      </w:r>
      <w:r>
        <w:rPr>
          <w:rFonts w:ascii="PMingLiU" w:cs="PMingLiU" w:eastAsia="PMingLiU" w:hAnsi="PMingLiU"/>
          <w:sz w:val="18"/>
          <w:szCs w:val="18"/>
          <w:color w:val="auto"/>
        </w:rPr>
        <w:t/>
      </w:r>
      <w:r>
        <w:rPr>
          <w:rFonts w:ascii="Arial" w:cs="Arial" w:eastAsia="Arial" w:hAnsi="Arial"/>
          <w:sz w:val="18"/>
          <w:szCs w:val="18"/>
          <w:color w:val="auto"/>
        </w:rPr>
        <w:t>ȃǉɨǉʥȈɽȃ</w:t>
      </w:r>
      <w:r>
        <w:rPr>
          <w:rFonts w:ascii="Arial" w:cs="Arial" w:eastAsia="Arial" w:hAnsi="Arial"/>
          <w:sz w:val="18"/>
          <w:szCs w:val="18"/>
          <w:color w:val="auto"/>
        </w:rPr>
        <w:t>ӝ</w:t>
      </w:r>
    </w:p>
    <w:p>
      <w:pPr>
        <w:spacing w:after="0" w:line="112" w:lineRule="exact"/>
        <w:rPr>
          <w:sz w:val="20"/>
          <w:szCs w:val="20"/>
          <w:color w:val="auto"/>
        </w:rPr>
      </w:pPr>
    </w:p>
    <w:tbl>
      <w:tblPr>
        <w:tblLayout w:type="fixed"/>
        <w:tblInd w:w="240" w:type="dxa"/>
        <w:tblCellMar>
          <w:top w:w="0" w:type="dxa"/>
          <w:left w:w="0" w:type="dxa"/>
          <w:bottom w:w="0" w:type="dxa"/>
          <w:right w:w="0" w:type="dxa"/>
        </w:tblCellMar>
      </w:tblPr>
      <w:tr>
        <w:trPr>
          <w:trHeight w:val="262"/>
        </w:trPr>
        <w:tc>
          <w:tcPr>
            <w:tcW w:w="840" w:type="dxa"/>
            <w:vAlign w:val="bottom"/>
          </w:tcPr>
          <w:p>
            <w:pPr>
              <w:jc w:val="right"/>
              <w:ind w:right="169"/>
              <w:spacing w:after="0"/>
              <w:rPr>
                <w:sz w:val="20"/>
                <w:szCs w:val="20"/>
                <w:color w:val="auto"/>
              </w:rPr>
            </w:pPr>
            <w:r>
              <w:rPr>
                <w:rFonts w:ascii="Arial" w:cs="Arial" w:eastAsia="Arial" w:hAnsi="Arial"/>
                <w:sz w:val="10"/>
                <w:szCs w:val="10"/>
                <w:color w:val="auto"/>
              </w:rPr>
              <w:t>(gg)</w:t>
            </w:r>
            <w:r>
              <w:rPr>
                <w:rFonts w:ascii="Arial" w:cs="Arial" w:eastAsia="Arial" w:hAnsi="Arial"/>
                <w:sz w:val="18"/>
                <w:szCs w:val="18"/>
                <w:color w:val="auto"/>
              </w:rPr>
              <w:t>97.1</w:t>
            </w:r>
          </w:p>
        </w:tc>
        <w:tc>
          <w:tcPr>
            <w:tcW w:w="5380" w:type="dxa"/>
            <w:vAlign w:val="bottom"/>
          </w:tcPr>
          <w:p>
            <w:pPr>
              <w:ind w:left="240"/>
              <w:spacing w:after="0"/>
              <w:rPr>
                <w:sz w:val="20"/>
                <w:szCs w:val="20"/>
                <w:color w:val="auto"/>
              </w:rPr>
            </w:pPr>
            <w:r>
              <w:rPr>
                <w:rFonts w:ascii="Arial" w:cs="Arial" w:eastAsia="Arial" w:hAnsi="Arial"/>
                <w:sz w:val="18"/>
                <w:szCs w:val="18"/>
                <w:color w:val="auto"/>
              </w:rPr>
              <w:t>Roper Technologies, Inc. Compensation Clawback Policy. †</w:t>
            </w:r>
          </w:p>
        </w:tc>
      </w:tr>
      <w:tr>
        <w:trPr>
          <w:trHeight w:val="330"/>
        </w:trPr>
        <w:tc>
          <w:tcPr>
            <w:tcW w:w="840" w:type="dxa"/>
            <w:vAlign w:val="bottom"/>
          </w:tcPr>
          <w:p>
            <w:pPr>
              <w:jc w:val="right"/>
              <w:ind w:right="169"/>
              <w:spacing w:after="0"/>
              <w:rPr>
                <w:sz w:val="20"/>
                <w:szCs w:val="20"/>
                <w:color w:val="auto"/>
              </w:rPr>
            </w:pPr>
            <w:r>
              <w:rPr>
                <w:rFonts w:ascii="Arial" w:cs="Arial" w:eastAsia="Arial" w:hAnsi="Arial"/>
                <w:sz w:val="18"/>
                <w:szCs w:val="18"/>
                <w:color w:val="auto"/>
                <w:w w:val="89"/>
              </w:rPr>
              <w:t>101.INS</w:t>
            </w:r>
          </w:p>
        </w:tc>
        <w:tc>
          <w:tcPr>
            <w:tcW w:w="5380" w:type="dxa"/>
            <w:vAlign w:val="bottom"/>
          </w:tcPr>
          <w:p>
            <w:pPr>
              <w:ind w:left="240"/>
              <w:spacing w:after="0"/>
              <w:rPr>
                <w:sz w:val="20"/>
                <w:szCs w:val="20"/>
                <w:color w:val="auto"/>
              </w:rPr>
            </w:pPr>
            <w:r>
              <w:rPr>
                <w:rFonts w:ascii="Arial" w:cs="Arial" w:eastAsia="Arial" w:hAnsi="Arial"/>
                <w:sz w:val="18"/>
                <w:szCs w:val="18"/>
                <w:color w:val="auto"/>
              </w:rPr>
              <w:t>Inline XBRL Instance Document, furnished herewith.</w:t>
            </w:r>
          </w:p>
        </w:tc>
      </w:tr>
    </w:tbl>
    <w:p>
      <w:pPr>
        <w:spacing w:after="0" w:line="200" w:lineRule="exact"/>
        <w:rPr>
          <w:sz w:val="20"/>
          <w:szCs w:val="20"/>
          <w:color w:val="auto"/>
        </w:rPr>
      </w:pPr>
    </w:p>
    <w:p>
      <w:pPr>
        <w:sectPr>
          <w:pgSz w:w="12240" w:h="15840" w:orient="portrait"/>
          <w:cols w:equalWidth="0" w:num="1">
            <w:col w:w="10380"/>
          </w:cols>
          <w:pgMar w:left="960" w:top="935" w:right="900" w:bottom="90" w:gutter="0" w:footer="0" w:header="0"/>
        </w:sectPr>
      </w:pPr>
    </w:p>
    <w:p>
      <w:pPr>
        <w:spacing w:after="0" w:line="112"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67</w:t>
      </w:r>
    </w:p>
    <w:p>
      <w:pPr>
        <w:sectPr>
          <w:pgSz w:w="12240" w:h="15840" w:orient="portrait"/>
          <w:cols w:equalWidth="0" w:num="1">
            <w:col w:w="10380"/>
          </w:cols>
          <w:pgMar w:left="960" w:top="935" w:right="900" w:bottom="90" w:gutter="0" w:footer="0" w:header="0"/>
          <w:type w:val="continuous"/>
        </w:sectPr>
      </w:pPr>
    </w:p>
    <w:bookmarkStart w:id="69" w:name="page70"/>
    <w:bookmarkEnd w:id="69"/>
    <w:tbl>
      <w:tblPr>
        <w:tblLayout w:type="fixed"/>
        <w:tblInd w:w="160" w:type="dxa"/>
        <w:tblCellMar>
          <w:top w:w="0" w:type="dxa"/>
          <w:left w:w="0" w:type="dxa"/>
          <w:bottom w:w="0" w:type="dxa"/>
          <w:right w:w="0" w:type="dxa"/>
        </w:tblCellMar>
      </w:tblPr>
      <w:tr>
        <w:trPr>
          <w:trHeight w:val="262"/>
        </w:trPr>
        <w:tc>
          <w:tcPr>
            <w:tcW w:w="980" w:type="dxa"/>
            <w:vAlign w:val="bottom"/>
          </w:tcPr>
          <w:p>
            <w:pPr>
              <w:jc w:val="right"/>
              <w:ind w:right="210"/>
              <w:spacing w:after="0"/>
              <w:rPr>
                <w:sz w:val="20"/>
                <w:szCs w:val="20"/>
                <w:color w:val="auto"/>
              </w:rPr>
            </w:pPr>
            <w:r>
              <w:rPr>
                <w:rFonts w:ascii="Arial" w:cs="Arial" w:eastAsia="Arial" w:hAnsi="Arial"/>
                <w:sz w:val="18"/>
                <w:szCs w:val="18"/>
                <w:color w:val="auto"/>
                <w:w w:val="90"/>
              </w:rPr>
              <w:t>101.SCH</w:t>
            </w:r>
          </w:p>
        </w:tc>
        <w:tc>
          <w:tcPr>
            <w:tcW w:w="786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 furnished herewith.</w:t>
            </w:r>
          </w:p>
        </w:tc>
      </w:tr>
      <w:tr>
        <w:trPr>
          <w:trHeight w:val="330"/>
        </w:trPr>
        <w:tc>
          <w:tcPr>
            <w:tcW w:w="980" w:type="dxa"/>
            <w:vAlign w:val="bottom"/>
          </w:tcPr>
          <w:p>
            <w:pPr>
              <w:jc w:val="right"/>
              <w:ind w:right="210"/>
              <w:spacing w:after="0"/>
              <w:rPr>
                <w:sz w:val="20"/>
                <w:szCs w:val="20"/>
                <w:color w:val="auto"/>
              </w:rPr>
            </w:pPr>
            <w:r>
              <w:rPr>
                <w:rFonts w:ascii="Arial" w:cs="Arial" w:eastAsia="Arial" w:hAnsi="Arial"/>
                <w:sz w:val="18"/>
                <w:szCs w:val="18"/>
                <w:color w:val="auto"/>
                <w:w w:val="94"/>
              </w:rPr>
              <w:t>101.CAL</w:t>
            </w:r>
          </w:p>
        </w:tc>
        <w:tc>
          <w:tcPr>
            <w:tcW w:w="786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 Linkbase Document, furnished herewith.</w:t>
            </w:r>
          </w:p>
        </w:tc>
      </w:tr>
    </w:tbl>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left="180" w:hanging="180"/>
        <w:spacing w:after="0" w:line="219" w:lineRule="exact"/>
        <w:tabs>
          <w:tab w:leader="none" w:pos="180" w:val="left"/>
        </w:tabs>
        <w:numPr>
          <w:ilvl w:val="0"/>
          <w:numId w:val="25"/>
        </w:numPr>
        <w:rPr>
          <w:rFonts w:ascii="PMingLiU" w:cs="PMingLiU" w:eastAsia="PMingLiU" w:hAnsi="PMingLiU"/>
          <w:sz w:val="18"/>
          <w:szCs w:val="18"/>
          <w:color w:val="auto"/>
        </w:rPr>
      </w:pPr>
      <w:r>
        <w:rPr>
          <w:rFonts w:ascii="Arial" w:cs="Arial" w:eastAsia="Arial" w:hAnsi="Arial"/>
          <w:sz w:val="18"/>
          <w:szCs w:val="18"/>
          <w:color w:val="auto"/>
        </w:rPr>
        <w:t>іѕіӝ</w:t>
      </w:r>
      <w:r>
        <w:rPr>
          <w:rFonts w:ascii="Arial" w:cs="Arial" w:eastAsia="Arial" w:hAnsi="Arial"/>
          <w:sz w:val="18"/>
          <w:szCs w:val="18"/>
          <w:color w:val="auto"/>
        </w:rPr>
        <w:t>AKy</w:t>
      </w:r>
      <w:r>
        <w:rPr>
          <w:rFonts w:ascii="PMingLiU" w:cs="PMingLiU" w:eastAsia="PMingLiU" w:hAnsi="PMingLiU"/>
          <w:sz w:val="18"/>
          <w:szCs w:val="18"/>
          <w:color w:val="auto"/>
        </w:rPr>
        <w:t> </w:t>
      </w:r>
      <w:r>
        <w:rPr>
          <w:rFonts w:ascii="Arial" w:cs="Arial" w:eastAsia="Arial" w:hAnsi="Arial"/>
          <w:sz w:val="18"/>
          <w:szCs w:val="18"/>
          <w:color w:val="auto"/>
        </w:rPr>
        <w:t>ȶȢȈȶǉ</w:t>
      </w:r>
      <w:r>
        <w:rPr>
          <w:rFonts w:ascii="PMingLiU" w:cs="PMingLiU" w:eastAsia="PMingLiU" w:hAnsi="PMingLiU"/>
          <w:sz w:val="18"/>
          <w:szCs w:val="18"/>
          <w:color w:val="auto"/>
        </w:rPr>
        <w:t/>
      </w:r>
      <w:r>
        <w:rPr>
          <w:rFonts w:ascii="Arial" w:cs="Arial" w:eastAsia="Arial" w:hAnsi="Arial"/>
          <w:sz w:val="18"/>
          <w:szCs w:val="18"/>
          <w:color w:val="auto"/>
        </w:rPr>
        <w:t>Ť9Ą¸</w:t>
      </w:r>
      <w:r>
        <w:rPr>
          <w:rFonts w:ascii="PMingLiU" w:cs="PMingLiU" w:eastAsia="PMingLiU" w:hAnsi="PMingLiU"/>
          <w:sz w:val="18"/>
          <w:szCs w:val="18"/>
          <w:color w:val="auto"/>
        </w:rPr>
        <w:t/>
      </w:r>
      <w:r>
        <w:rPr>
          <w:rFonts w:ascii="Arial" w:cs="Arial" w:eastAsia="Arial" w:hAnsi="Arial"/>
          <w:sz w:val="18"/>
          <w:szCs w:val="18"/>
          <w:color w:val="auto"/>
        </w:rPr>
        <w:t>ěƃʯɁȶɁȴʰ</w:t>
      </w:r>
      <w:r>
        <w:rPr>
          <w:rFonts w:ascii="PMingLiU" w:cs="PMingLiU" w:eastAsia="PMingLiU" w:hAnsi="PMingLiU"/>
          <w:sz w:val="18"/>
          <w:szCs w:val="18"/>
          <w:color w:val="auto"/>
        </w:rPr>
        <w:t/>
      </w:r>
      <w:r>
        <w:rPr>
          <w:rFonts w:ascii="Arial" w:cs="Arial" w:eastAsia="Arial" w:hAnsi="Arial"/>
          <w:sz w:val="18"/>
          <w:szCs w:val="18"/>
          <w:color w:val="auto"/>
        </w:rPr>
        <w:t>KʯɽǉȶɰȈɁȶ</w:t>
      </w:r>
      <w:r>
        <w:rPr>
          <w:rFonts w:ascii="PMingLiU" w:cs="PMingLiU" w:eastAsia="PMingLiU" w:hAnsi="PMingLiU"/>
          <w:sz w:val="18"/>
          <w:szCs w:val="18"/>
          <w:color w:val="auto"/>
        </w:rPr>
        <w:t/>
      </w:r>
      <w:r>
        <w:rPr>
          <w:rFonts w:ascii="Arial" w:cs="Arial" w:eastAsia="Arial" w:hAnsi="Arial"/>
          <w:sz w:val="18"/>
          <w:szCs w:val="18"/>
          <w:color w:val="auto"/>
        </w:rPr>
        <w:t>AǉˎȶȈɽȈɁȶ</w:t>
      </w:r>
      <w:r>
        <w:rPr>
          <w:rFonts w:ascii="PMingLiU" w:cs="PMingLiU" w:eastAsia="PMingLiU" w:hAnsi="PMingLiU"/>
          <w:sz w:val="18"/>
          <w:szCs w:val="18"/>
          <w:color w:val="auto"/>
        </w:rPr>
        <w:t/>
      </w:r>
      <w:r>
        <w:rPr>
          <w:rFonts w:ascii="Arial" w:cs="Arial" w:eastAsia="Arial" w:hAnsi="Arial"/>
          <w:sz w:val="18"/>
          <w:szCs w:val="18"/>
          <w:color w:val="auto"/>
        </w:rPr>
        <w:t>¸Ȉȶȟƹƃɰǉ</w:t>
      </w:r>
      <w:r>
        <w:rPr>
          <w:rFonts w:ascii="PMingLiU" w:cs="PMingLiU" w:eastAsia="PMingLiU" w:hAnsi="PMingLiU"/>
          <w:sz w:val="18"/>
          <w:szCs w:val="18"/>
          <w:color w:val="auto"/>
        </w:rPr>
        <w:t/>
      </w:r>
      <w:r>
        <w:rPr>
          <w:rFonts w:ascii="Arial" w:cs="Arial" w:eastAsia="Arial" w:hAnsi="Arial"/>
          <w:sz w:val="18"/>
          <w:szCs w:val="18"/>
          <w:color w:val="auto"/>
        </w:rPr>
        <w:t>AɁƺʍȴǉȶɽ</w:t>
      </w:r>
      <w:r>
        <w:rPr>
          <w:rFonts w:ascii="Arial" w:cs="Arial" w:eastAsia="Arial" w:hAnsi="Arial"/>
          <w:sz w:val="18"/>
          <w:szCs w:val="18"/>
          <w:color w:val="auto"/>
        </w:rPr>
        <w:t>ӗ</w:t>
      </w:r>
      <w:r>
        <w:rPr>
          <w:rFonts w:ascii="PMingLiU" w:cs="PMingLiU" w:eastAsia="PMingLiU" w:hAnsi="PMingLiU"/>
          <w:sz w:val="18"/>
          <w:szCs w:val="18"/>
          <w:color w:val="auto"/>
        </w:rPr>
        <w:t/>
      </w:r>
      <w:r>
        <w:rPr>
          <w:rFonts w:ascii="Arial" w:cs="Arial" w:eastAsia="Arial" w:hAnsi="Arial"/>
          <w:sz w:val="18"/>
          <w:szCs w:val="18"/>
          <w:color w:val="auto"/>
        </w:rPr>
        <w:t>ǹʍɨȶȈɰȃǉǁ</w:t>
      </w:r>
      <w:r>
        <w:rPr>
          <w:rFonts w:ascii="PMingLiU" w:cs="PMingLiU" w:eastAsia="PMingLiU" w:hAnsi="PMingLiU"/>
          <w:sz w:val="18"/>
          <w:szCs w:val="18"/>
          <w:color w:val="auto"/>
        </w:rPr>
        <w:t/>
      </w:r>
      <w:r>
        <w:rPr>
          <w:rFonts w:ascii="Arial" w:cs="Arial" w:eastAsia="Arial" w:hAnsi="Arial"/>
          <w:sz w:val="18"/>
          <w:szCs w:val="18"/>
          <w:color w:val="auto"/>
        </w:rPr>
        <w:t>ȃǉɨǉʥȈɽȃ</w:t>
      </w:r>
      <w:r>
        <w:rPr>
          <w:rFonts w:ascii="Arial" w:cs="Arial" w:eastAsia="Arial" w:hAnsi="Arial"/>
          <w:sz w:val="18"/>
          <w:szCs w:val="18"/>
          <w:color w:val="auto"/>
        </w:rPr>
        <w:t>ӝ</w:t>
      </w:r>
    </w:p>
    <w:p>
      <w:pPr>
        <w:spacing w:after="0" w:line="112" w:lineRule="exact"/>
        <w:rPr>
          <w:sz w:val="20"/>
          <w:szCs w:val="20"/>
          <w:color w:val="auto"/>
        </w:rPr>
      </w:pPr>
    </w:p>
    <w:tbl>
      <w:tblPr>
        <w:tblLayout w:type="fixed"/>
        <w:tblInd w:w="180" w:type="dxa"/>
        <w:tblCellMar>
          <w:top w:w="0" w:type="dxa"/>
          <w:left w:w="0" w:type="dxa"/>
          <w:bottom w:w="0" w:type="dxa"/>
          <w:right w:w="0" w:type="dxa"/>
        </w:tblCellMar>
      </w:tblPr>
      <w:tr>
        <w:trPr>
          <w:trHeight w:val="262"/>
        </w:trPr>
        <w:tc>
          <w:tcPr>
            <w:tcW w:w="960" w:type="dxa"/>
            <w:vAlign w:val="bottom"/>
          </w:tcPr>
          <w:p>
            <w:pPr>
              <w:jc w:val="right"/>
              <w:ind w:right="210"/>
              <w:spacing w:after="0"/>
              <w:rPr>
                <w:sz w:val="20"/>
                <w:szCs w:val="20"/>
                <w:color w:val="auto"/>
              </w:rPr>
            </w:pPr>
            <w:r>
              <w:rPr>
                <w:rFonts w:ascii="Arial" w:cs="Arial" w:eastAsia="Arial" w:hAnsi="Arial"/>
                <w:sz w:val="18"/>
                <w:szCs w:val="18"/>
                <w:color w:val="auto"/>
                <w:w w:val="92"/>
              </w:rPr>
              <w:t>101.LAB</w:t>
            </w:r>
          </w:p>
        </w:tc>
        <w:tc>
          <w:tcPr>
            <w:tcW w:w="798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 furnished herewith.</w:t>
            </w:r>
          </w:p>
        </w:tc>
      </w:tr>
      <w:tr>
        <w:trPr>
          <w:trHeight w:val="330"/>
        </w:trPr>
        <w:tc>
          <w:tcPr>
            <w:tcW w:w="960" w:type="dxa"/>
            <w:vAlign w:val="bottom"/>
          </w:tcPr>
          <w:p>
            <w:pPr>
              <w:jc w:val="right"/>
              <w:ind w:right="210"/>
              <w:spacing w:after="0"/>
              <w:rPr>
                <w:sz w:val="20"/>
                <w:szCs w:val="20"/>
                <w:color w:val="auto"/>
              </w:rPr>
            </w:pPr>
            <w:r>
              <w:rPr>
                <w:rFonts w:ascii="Arial" w:cs="Arial" w:eastAsia="Arial" w:hAnsi="Arial"/>
                <w:sz w:val="18"/>
                <w:szCs w:val="18"/>
                <w:color w:val="auto"/>
                <w:w w:val="88"/>
              </w:rPr>
              <w:t>101.PRE</w:t>
            </w:r>
          </w:p>
        </w:tc>
        <w:tc>
          <w:tcPr>
            <w:tcW w:w="798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 furnished herewith.</w:t>
            </w:r>
          </w:p>
        </w:tc>
      </w:tr>
    </w:tbl>
    <w:p>
      <w:pPr>
        <w:spacing w:after="0" w:line="68" w:lineRule="exact"/>
        <w:rPr>
          <w:sz w:val="20"/>
          <w:szCs w:val="20"/>
          <w:color w:val="auto"/>
        </w:rPr>
      </w:pPr>
    </w:p>
    <w:p>
      <w:pPr>
        <w:ind w:left="1440" w:hanging="899"/>
        <w:spacing w:after="0"/>
        <w:tabs>
          <w:tab w:leader="none" w:pos="1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23" w:lineRule="exact"/>
        <w:rPr>
          <w:rFonts w:ascii="Arial" w:cs="Arial" w:eastAsia="Arial" w:hAnsi="Arial"/>
          <w:sz w:val="18"/>
          <w:szCs w:val="18"/>
          <w:color w:val="auto"/>
        </w:rPr>
      </w:pPr>
    </w:p>
    <w:p>
      <w:pPr>
        <w:ind w:left="200" w:hanging="200"/>
        <w:spacing w:after="0"/>
        <w:tabs>
          <w:tab w:leader="none" w:pos="200" w:val="left"/>
        </w:tabs>
        <w:numPr>
          <w:ilvl w:val="0"/>
          <w:numId w:val="26"/>
        </w:numPr>
        <w:rPr>
          <w:rFonts w:ascii="Arial" w:cs="Arial" w:eastAsia="Arial" w:hAnsi="Arial"/>
          <w:sz w:val="10"/>
          <w:szCs w:val="10"/>
          <w:color w:val="auto"/>
        </w:rPr>
      </w:pPr>
      <w:r>
        <w:rPr>
          <w:rFonts w:ascii="Arial" w:cs="Arial" w:eastAsia="Arial" w:hAnsi="Arial"/>
          <w:sz w:val="18"/>
          <w:szCs w:val="18"/>
          <w:color w:val="auto"/>
        </w:rPr>
        <w:t>Management contract or compensatory plan or arrangement.</w:t>
      </w:r>
    </w:p>
    <w:p>
      <w:pPr>
        <w:spacing w:after="0" w:line="123" w:lineRule="exact"/>
        <w:rPr>
          <w:sz w:val="20"/>
          <w:szCs w:val="20"/>
          <w:color w:val="auto"/>
        </w:rPr>
      </w:pPr>
    </w:p>
    <w:p>
      <w:pPr>
        <w:ind w:left="200" w:right="20" w:hanging="199"/>
        <w:spacing w:after="0" w:line="241" w:lineRule="exact"/>
        <w:tabs>
          <w:tab w:leader="none" w:pos="180" w:val="left"/>
        </w:tabs>
        <w:rPr>
          <w:sz w:val="20"/>
          <w:szCs w:val="20"/>
          <w:color w:val="auto"/>
        </w:rPr>
      </w:pPr>
      <w:r>
        <w:rPr>
          <w:rFonts w:ascii="Arial" w:cs="Arial" w:eastAsia="Arial" w:hAnsi="Arial"/>
          <w:sz w:val="10"/>
          <w:szCs w:val="10"/>
          <w:color w:val="auto"/>
        </w:rPr>
        <w:t>*</w:t>
      </w:r>
      <w:r>
        <w:rPr>
          <w:rFonts w:ascii="PMingLiU" w:cs="PMingLiU" w:eastAsia="PMingLiU" w:hAnsi="PMingLiU"/>
          <w:sz w:val="18"/>
          <w:szCs w:val="18"/>
          <w:color w:val="auto"/>
        </w:rPr>
        <w:t/>
      </w:r>
      <w:r>
        <w:rPr>
          <w:sz w:val="20"/>
          <w:szCs w:val="20"/>
          <w:color w:val="auto"/>
        </w:rPr>
        <w:tab/>
      </w: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ɨǉȢƃɽǉǁ</w:t>
      </w:r>
      <w:r>
        <w:rPr>
          <w:rFonts w:ascii="PMingLiU" w:cs="PMingLiU" w:eastAsia="PMingLiU" w:hAnsi="PMingLiU"/>
          <w:sz w:val="18"/>
          <w:szCs w:val="18"/>
          <w:color w:val="auto"/>
        </w:rPr>
        <w:t/>
      </w:r>
      <w:r>
        <w:rPr>
          <w:rFonts w:ascii="Arial" w:cs="Arial" w:eastAsia="Arial" w:hAnsi="Arial"/>
          <w:sz w:val="18"/>
          <w:szCs w:val="18"/>
          <w:color w:val="auto"/>
        </w:rPr>
        <w:t xml:space="preserve"> ǉʯȃȈƹȈɽɰ</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 xml:space="preserve"> ɰƺȃǉǁʍȢǉɰ</w:t>
      </w:r>
      <w:r>
        <w:rPr>
          <w:rFonts w:ascii="PMingLiU" w:cs="PMingLiU" w:eastAsia="PMingLiU" w:hAnsi="PMingLiU"/>
          <w:sz w:val="18"/>
          <w:szCs w:val="18"/>
          <w:color w:val="auto"/>
        </w:rPr>
        <w:t/>
      </w:r>
      <w:r>
        <w:rPr>
          <w:rFonts w:ascii="Arial" w:cs="Arial" w:eastAsia="Arial" w:hAnsi="Arial"/>
          <w:sz w:val="18"/>
          <w:szCs w:val="18"/>
          <w:color w:val="auto"/>
        </w:rPr>
        <w:t>ƃɨǉ</w:t>
      </w:r>
      <w:r>
        <w:rPr>
          <w:rFonts w:ascii="PMingLiU" w:cs="PMingLiU" w:eastAsia="PMingLiU" w:hAnsi="PMingLiU"/>
          <w:sz w:val="18"/>
          <w:szCs w:val="18"/>
          <w:color w:val="auto"/>
        </w:rPr>
        <w:t/>
      </w:r>
      <w:r>
        <w:rPr>
          <w:rFonts w:ascii="Arial" w:cs="Arial" w:eastAsia="Arial" w:hAnsi="Arial"/>
          <w:sz w:val="18"/>
          <w:szCs w:val="18"/>
          <w:color w:val="auto"/>
        </w:rPr>
        <w:t>ȶɁɽ</w:t>
      </w:r>
      <w:r>
        <w:rPr>
          <w:rFonts w:ascii="PMingLiU" w:cs="PMingLiU" w:eastAsia="PMingLiU" w:hAnsi="PMingLiU"/>
          <w:sz w:val="18"/>
          <w:szCs w:val="18"/>
          <w:color w:val="auto"/>
        </w:rPr>
        <w:t/>
      </w:r>
      <w:r>
        <w:rPr>
          <w:rFonts w:ascii="Arial" w:cs="Arial" w:eastAsia="Arial" w:hAnsi="Arial"/>
          <w:sz w:val="18"/>
          <w:szCs w:val="18"/>
          <w:color w:val="auto"/>
        </w:rPr>
        <w:t>ƹǉȈȶǼ</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ȃǉɨǉʥȈɽȃ</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ěȃǉ</w:t>
      </w:r>
      <w:r>
        <w:rPr>
          <w:rFonts w:ascii="PMingLiU" w:cs="PMingLiU" w:eastAsia="PMingLiU" w:hAnsi="PMingLiU"/>
          <w:sz w:val="18"/>
          <w:szCs w:val="18"/>
          <w:color w:val="auto"/>
        </w:rPr>
        <w:t/>
      </w:r>
      <w:r>
        <w:rPr>
          <w:rFonts w:ascii="Arial" w:cs="Arial" w:eastAsia="Arial" w:hAnsi="Arial"/>
          <w:sz w:val="18"/>
          <w:szCs w:val="18"/>
          <w:color w:val="auto"/>
        </w:rPr>
        <w:t>:Ɂȴɥƃȶʰ</w:t>
      </w:r>
      <w:r>
        <w:rPr>
          <w:rFonts w:ascii="PMingLiU" w:cs="PMingLiU" w:eastAsia="PMingLiU" w:hAnsi="PMingLiU"/>
          <w:sz w:val="18"/>
          <w:szCs w:val="18"/>
          <w:color w:val="auto"/>
        </w:rPr>
        <w:t/>
      </w:r>
      <w:r>
        <w:rPr>
          <w:rFonts w:ascii="Arial" w:cs="Arial" w:eastAsia="Arial" w:hAnsi="Arial"/>
          <w:sz w:val="18"/>
          <w:szCs w:val="18"/>
          <w:color w:val="auto"/>
        </w:rPr>
        <w:t>ƃǼɨǉǉɰ</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ǹʍɨȶȈɰȃ</w:t>
      </w:r>
      <w:r>
        <w:rPr>
          <w:rFonts w:ascii="PMingLiU" w:cs="PMingLiU" w:eastAsia="PMingLiU" w:hAnsi="PMingLiU"/>
          <w:sz w:val="18"/>
          <w:szCs w:val="18"/>
          <w:color w:val="auto"/>
        </w:rPr>
        <w:t/>
      </w:r>
      <w:r>
        <w:rPr>
          <w:rFonts w:ascii="Arial" w:cs="Arial" w:eastAsia="Arial" w:hAnsi="Arial"/>
          <w:sz w:val="18"/>
          <w:szCs w:val="18"/>
          <w:color w:val="auto"/>
        </w:rPr>
        <w:t>ɰʍɥɥȢǉȴǉȶɽƃȢȢʰ</w:t>
      </w:r>
      <w:r>
        <w:rPr>
          <w:rFonts w:ascii="PMingLiU" w:cs="PMingLiU" w:eastAsia="PMingLiU" w:hAnsi="PMingLiU"/>
          <w:sz w:val="18"/>
          <w:szCs w:val="18"/>
          <w:color w:val="auto"/>
        </w:rPr>
        <w:t/>
      </w:r>
      <w:r>
        <w:rPr>
          <w:rFonts w:ascii="Arial" w:cs="Arial" w:eastAsia="Arial" w:hAnsi="Arial"/>
          <w:sz w:val="18"/>
          <w:szCs w:val="18"/>
          <w:color w:val="auto"/>
        </w:rPr>
        <w:t>ƃ</w:t>
      </w:r>
      <w:r>
        <w:rPr>
          <w:rFonts w:ascii="PMingLiU" w:cs="PMingLiU" w:eastAsia="PMingLiU" w:hAnsi="PMingLiU"/>
          <w:sz w:val="18"/>
          <w:szCs w:val="18"/>
          <w:color w:val="auto"/>
        </w:rPr>
        <w:t/>
      </w:r>
      <w:r>
        <w:rPr>
          <w:rFonts w:ascii="Arial" w:cs="Arial" w:eastAsia="Arial" w:hAnsi="Arial"/>
          <w:sz w:val="18"/>
          <w:szCs w:val="18"/>
          <w:color w:val="auto"/>
        </w:rPr>
        <w:t xml:space="preserve"> </w:t>
      </w:r>
      <w:r>
        <w:rPr>
          <w:rFonts w:ascii="Arial" w:cs="Arial" w:eastAsia="Arial" w:hAnsi="Arial"/>
          <w:sz w:val="18"/>
          <w:szCs w:val="18"/>
          <w:color w:val="auto"/>
        </w:rPr>
        <w:t>copy of any such exhibits and schedules to the Securities and Exchange Commission upon request.</w:t>
      </w:r>
    </w:p>
    <w:p>
      <w:pPr>
        <w:spacing w:after="0" w:line="68"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a)</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їӝі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ĂʍƃɨɽǉɨȢʰ</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Ă</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ʍǼʍɰɽ</w:t>
      </w:r>
      <w:r>
        <w:rPr>
          <w:rFonts w:ascii="PMingLiU" w:cs="PMingLiU" w:eastAsia="PMingLiU" w:hAnsi="PMingLiU"/>
          <w:sz w:val="18"/>
          <w:szCs w:val="18"/>
          <w:color w:val="auto"/>
        </w:rPr>
        <w:t/>
      </w:r>
      <w:r>
        <w:rPr>
          <w:rFonts w:ascii="Arial" w:cs="Arial" w:eastAsia="Arial" w:hAnsi="Arial"/>
          <w:sz w:val="18"/>
          <w:szCs w:val="18"/>
          <w:color w:val="auto"/>
        </w:rPr>
        <w:t>јӗ</w:t>
      </w:r>
      <w:r>
        <w:rPr>
          <w:rFonts w:ascii="PMingLiU" w:cs="PMingLiU" w:eastAsia="PMingLiU" w:hAnsi="PMingLiU"/>
          <w:sz w:val="18"/>
          <w:szCs w:val="18"/>
          <w:color w:val="auto"/>
        </w:rPr>
        <w:t/>
      </w:r>
      <w:r>
        <w:rPr>
          <w:rFonts w:ascii="Arial" w:cs="Arial" w:eastAsia="Arial" w:hAnsi="Arial"/>
          <w:sz w:val="18"/>
          <w:szCs w:val="18"/>
          <w:color w:val="auto"/>
        </w:rPr>
        <w:t>їѕїї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b)</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јӝі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°ʍȶǉ</w:t>
      </w:r>
      <w:r>
        <w:rPr>
          <w:rFonts w:ascii="PMingLiU" w:cs="PMingLiU" w:eastAsia="PMingLiU" w:hAnsi="PMingLiU"/>
          <w:sz w:val="18"/>
          <w:szCs w:val="18"/>
          <w:color w:val="auto"/>
        </w:rPr>
        <w:t/>
      </w:r>
      <w:r>
        <w:rPr>
          <w:rFonts w:ascii="Arial" w:cs="Arial" w:eastAsia="Arial" w:hAnsi="Arial"/>
          <w:sz w:val="18"/>
          <w:szCs w:val="18"/>
          <w:color w:val="auto"/>
        </w:rPr>
        <w:t>іљӗ</w:t>
      </w:r>
      <w:r>
        <w:rPr>
          <w:rFonts w:ascii="PMingLiU" w:cs="PMingLiU" w:eastAsia="PMingLiU" w:hAnsi="PMingLiU"/>
          <w:sz w:val="18"/>
          <w:szCs w:val="18"/>
          <w:color w:val="auto"/>
        </w:rPr>
        <w:t/>
      </w:r>
      <w:r>
        <w:rPr>
          <w:rFonts w:ascii="Arial" w:cs="Arial" w:eastAsia="Arial" w:hAnsi="Arial"/>
          <w:sz w:val="18"/>
          <w:szCs w:val="18"/>
          <w:color w:val="auto"/>
        </w:rPr>
        <w:t>їѕїј</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no. 1-12273).</w:t>
      </w:r>
    </w:p>
    <w:p>
      <w:pPr>
        <w:spacing w:after="0" w:line="309"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c)</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јӝі</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ÇɁʤǉȴƹǉɨ</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ќӗ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hanging="200"/>
        <w:spacing w:after="0" w:line="219" w:lineRule="exact"/>
        <w:tabs>
          <w:tab w:leader="none" w:pos="200" w:val="left"/>
        </w:tabs>
        <w:numPr>
          <w:ilvl w:val="0"/>
          <w:numId w:val="27"/>
        </w:numPr>
        <w:rPr>
          <w:rFonts w:ascii="Arial" w:cs="Arial" w:eastAsia="Arial" w:hAnsi="Arial"/>
          <w:sz w:val="10"/>
          <w:szCs w:val="10"/>
          <w:color w:val="auto"/>
        </w:rPr>
      </w:pP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љӝї</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ĂʍƃɨɽǉɨȢʰ</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Ă</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ÇɁʤǉȴƹǉɨ</w:t>
      </w:r>
      <w:r>
        <w:rPr>
          <w:rFonts w:ascii="PMingLiU" w:cs="PMingLiU" w:eastAsia="PMingLiU" w:hAnsi="PMingLiU"/>
          <w:sz w:val="18"/>
          <w:szCs w:val="18"/>
          <w:color w:val="auto"/>
        </w:rPr>
        <w:t/>
      </w:r>
      <w:r>
        <w:rPr>
          <w:rFonts w:ascii="Arial" w:cs="Arial" w:eastAsia="Arial" w:hAnsi="Arial"/>
          <w:sz w:val="18"/>
          <w:szCs w:val="18"/>
          <w:color w:val="auto"/>
        </w:rPr>
        <w:t>ќӗ</w:t>
      </w:r>
      <w:r>
        <w:rPr>
          <w:rFonts w:ascii="PMingLiU" w:cs="PMingLiU" w:eastAsia="PMingLiU" w:hAnsi="PMingLiU"/>
          <w:sz w:val="18"/>
          <w:szCs w:val="18"/>
          <w:color w:val="auto"/>
        </w:rPr>
        <w:t/>
      </w:r>
    </w:p>
    <w:p>
      <w:pPr>
        <w:spacing w:after="0" w:line="25"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їѕѕѝ</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88"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e)</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љӝі</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ĄǉǼȈɰɽɨƃɽȈɁȶ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Čɽƃɽǉȴǉȶɽ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Č</w:t>
      </w:r>
      <w:r>
        <w:rPr>
          <w:rFonts w:ascii="Arial" w:cs="Arial" w:eastAsia="Arial" w:hAnsi="Arial"/>
          <w:sz w:val="18"/>
          <w:szCs w:val="18"/>
          <w:color w:val="auto"/>
        </w:rPr>
        <w:t>Ӹј</w:t>
      </w:r>
      <w:r>
        <w:rPr>
          <w:rFonts w:ascii="PMingLiU" w:cs="PMingLiU" w:eastAsia="PMingLiU" w:hAnsi="PMingLiU"/>
          <w:sz w:val="18"/>
          <w:szCs w:val="18"/>
          <w:color w:val="auto"/>
        </w:rPr>
        <w:t/>
      </w:r>
      <w:r>
        <w:rPr>
          <w:rFonts w:ascii="Arial" w:cs="Arial" w:eastAsia="Arial" w:hAnsi="Arial"/>
          <w:sz w:val="18"/>
          <w:szCs w:val="18"/>
          <w:color w:val="auto"/>
        </w:rPr>
        <w:t>ČĄ</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ÇɁʤǉȴƹǉɨ</w:t>
      </w:r>
      <w:r>
        <w:rPr>
          <w:rFonts w:ascii="PMingLiU" w:cs="PMingLiU" w:eastAsia="PMingLiU" w:hAnsi="PMingLiU"/>
          <w:sz w:val="18"/>
          <w:szCs w:val="18"/>
          <w:color w:val="auto"/>
        </w:rPr>
        <w:t/>
      </w:r>
      <w:r>
        <w:rPr>
          <w:rFonts w:ascii="Arial" w:cs="Arial" w:eastAsia="Arial" w:hAnsi="Arial"/>
          <w:sz w:val="18"/>
          <w:szCs w:val="18"/>
          <w:color w:val="auto"/>
        </w:rPr>
        <w:t>їћӗ</w:t>
      </w:r>
      <w:r>
        <w:rPr>
          <w:rFonts w:ascii="PMingLiU" w:cs="PMingLiU" w:eastAsia="PMingLiU" w:hAnsi="PMingLiU"/>
          <w:sz w:val="18"/>
          <w:szCs w:val="18"/>
          <w:color w:val="auto"/>
        </w:rPr>
        <w:t/>
      </w:r>
      <w:r>
        <w:rPr>
          <w:rFonts w:ascii="Arial" w:cs="Arial" w:eastAsia="Arial" w:hAnsi="Arial"/>
          <w:sz w:val="18"/>
          <w:szCs w:val="18"/>
          <w:color w:val="auto"/>
        </w:rPr>
        <w:t>їѕіѝ</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јјјӸїїѝњјїӰӝ</w:t>
      </w:r>
    </w:p>
    <w:p>
      <w:pPr>
        <w:spacing w:after="0" w:line="68" w:lineRule="exact"/>
        <w:rPr>
          <w:sz w:val="20"/>
          <w:szCs w:val="20"/>
          <w:color w:val="auto"/>
        </w:rPr>
      </w:pPr>
    </w:p>
    <w:p>
      <w:pPr>
        <w:ind w:left="200" w:hanging="199"/>
        <w:spacing w:after="0" w:line="241" w:lineRule="exact"/>
        <w:rPr>
          <w:sz w:val="20"/>
          <w:szCs w:val="20"/>
          <w:color w:val="auto"/>
        </w:rPr>
      </w:pPr>
      <w:r>
        <w:rPr>
          <w:rFonts w:ascii="Arial" w:cs="Arial" w:eastAsia="Arial" w:hAnsi="Arial"/>
          <w:sz w:val="10"/>
          <w:szCs w:val="10"/>
          <w:color w:val="auto"/>
        </w:rPr>
        <w:t>f)</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љӝї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ĄǉǼȈɰɽɨƃɽȈɁȶ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Čɽƃɽǉȴǉȶɽ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Č</w:t>
      </w:r>
      <w:r>
        <w:rPr>
          <w:rFonts w:ascii="Arial" w:cs="Arial" w:eastAsia="Arial" w:hAnsi="Arial"/>
          <w:sz w:val="18"/>
          <w:szCs w:val="18"/>
          <w:color w:val="auto"/>
        </w:rPr>
        <w:t>Ӹј</w:t>
      </w:r>
      <w:r>
        <w:rPr>
          <w:rFonts w:ascii="PMingLiU" w:cs="PMingLiU" w:eastAsia="PMingLiU" w:hAnsi="PMingLiU"/>
          <w:sz w:val="18"/>
          <w:szCs w:val="18"/>
          <w:color w:val="auto"/>
        </w:rPr>
        <w:t/>
      </w:r>
      <w:r>
        <w:rPr>
          <w:rFonts w:ascii="Arial" w:cs="Arial" w:eastAsia="Arial" w:hAnsi="Arial"/>
          <w:sz w:val="18"/>
          <w:szCs w:val="18"/>
          <w:color w:val="auto"/>
        </w:rPr>
        <w:t>ČĄ</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ÇɁʤǉȴƹǉɨ</w:t>
      </w:r>
      <w:r>
        <w:rPr>
          <w:rFonts w:ascii="PMingLiU" w:cs="PMingLiU" w:eastAsia="PMingLiU" w:hAnsi="PMingLiU"/>
          <w:sz w:val="18"/>
          <w:szCs w:val="18"/>
          <w:color w:val="auto"/>
        </w:rPr>
        <w:t/>
      </w:r>
      <w:r>
        <w:rPr>
          <w:rFonts w:ascii="Arial" w:cs="Arial" w:eastAsia="Arial" w:hAnsi="Arial"/>
          <w:sz w:val="18"/>
          <w:szCs w:val="18"/>
          <w:color w:val="auto"/>
        </w:rPr>
        <w:t>їњӗ</w:t>
      </w:r>
      <w:r>
        <w:rPr>
          <w:rFonts w:ascii="PMingLiU" w:cs="PMingLiU" w:eastAsia="PMingLiU" w:hAnsi="PMingLiU"/>
          <w:sz w:val="18"/>
          <w:szCs w:val="18"/>
          <w:color w:val="auto"/>
        </w:rPr>
        <w:t/>
      </w:r>
      <w:r>
        <w:rPr>
          <w:rFonts w:ascii="Arial" w:cs="Arial" w:eastAsia="Arial" w:hAnsi="Arial"/>
          <w:sz w:val="18"/>
          <w:szCs w:val="18"/>
          <w:color w:val="auto"/>
        </w:rPr>
        <w:t>їѕіњ</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јјјӸїѕѝїѕѕӰӝ</w:t>
      </w:r>
    </w:p>
    <w:p>
      <w:pPr>
        <w:spacing w:after="0" w:line="68"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g)</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љӝі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ʍǼʍɰɽ</w:t>
      </w:r>
      <w:r>
        <w:rPr>
          <w:rFonts w:ascii="PMingLiU" w:cs="PMingLiU" w:eastAsia="PMingLiU" w:hAnsi="PMingLiU"/>
          <w:sz w:val="18"/>
          <w:szCs w:val="18"/>
          <w:color w:val="auto"/>
        </w:rPr>
        <w:t/>
      </w:r>
      <w:r>
        <w:rPr>
          <w:rFonts w:ascii="Arial" w:cs="Arial" w:eastAsia="Arial" w:hAnsi="Arial"/>
          <w:sz w:val="18"/>
          <w:szCs w:val="18"/>
          <w:color w:val="auto"/>
        </w:rPr>
        <w:t>їѝӗ</w:t>
      </w:r>
      <w:r>
        <w:rPr>
          <w:rFonts w:ascii="PMingLiU" w:cs="PMingLiU" w:eastAsia="PMingLiU" w:hAnsi="PMingLiU"/>
          <w:sz w:val="18"/>
          <w:szCs w:val="18"/>
          <w:color w:val="auto"/>
        </w:rPr>
        <w:t/>
      </w:r>
      <w:r>
        <w:rPr>
          <w:rFonts w:ascii="Arial" w:cs="Arial" w:eastAsia="Arial" w:hAnsi="Arial"/>
          <w:sz w:val="18"/>
          <w:szCs w:val="18"/>
          <w:color w:val="auto"/>
        </w:rPr>
        <w:t>їѕіѝ</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h)</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љӝі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Aǉƺǉȴƹǉɨ</w:t>
      </w:r>
      <w:r>
        <w:rPr>
          <w:rFonts w:ascii="PMingLiU" w:cs="PMingLiU" w:eastAsia="PMingLiU" w:hAnsi="PMingLiU"/>
          <w:sz w:val="18"/>
          <w:szCs w:val="18"/>
          <w:color w:val="auto"/>
        </w:rPr>
        <w:t/>
      </w:r>
      <w:r>
        <w:rPr>
          <w:rFonts w:ascii="Arial" w:cs="Arial" w:eastAsia="Arial" w:hAnsi="Arial"/>
          <w:sz w:val="18"/>
          <w:szCs w:val="18"/>
          <w:color w:val="auto"/>
        </w:rPr>
        <w:t>іўӗ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їѕіћ</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hanging="200"/>
        <w:spacing w:after="0" w:line="219" w:lineRule="exact"/>
        <w:tabs>
          <w:tab w:leader="none" w:pos="200" w:val="left"/>
        </w:tabs>
        <w:numPr>
          <w:ilvl w:val="0"/>
          <w:numId w:val="28"/>
        </w:numPr>
        <w:rPr>
          <w:rFonts w:ascii="Arial" w:cs="Arial" w:eastAsia="Arial" w:hAnsi="Arial"/>
          <w:sz w:val="10"/>
          <w:szCs w:val="10"/>
          <w:color w:val="auto"/>
        </w:rPr>
      </w:pP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љӝі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ʍǼʍɰɽ</w:t>
      </w:r>
      <w:r>
        <w:rPr>
          <w:rFonts w:ascii="PMingLiU" w:cs="PMingLiU" w:eastAsia="PMingLiU" w:hAnsi="PMingLiU"/>
          <w:sz w:val="18"/>
          <w:szCs w:val="18"/>
          <w:color w:val="auto"/>
        </w:rPr>
        <w:t/>
      </w:r>
      <w:r>
        <w:rPr>
          <w:rFonts w:ascii="Arial" w:cs="Arial" w:eastAsia="Arial" w:hAnsi="Arial"/>
          <w:sz w:val="18"/>
          <w:szCs w:val="18"/>
          <w:color w:val="auto"/>
        </w:rPr>
        <w:t>їћӗ</w:t>
      </w:r>
      <w:r>
        <w:rPr>
          <w:rFonts w:ascii="PMingLiU" w:cs="PMingLiU" w:eastAsia="PMingLiU" w:hAnsi="PMingLiU"/>
          <w:sz w:val="18"/>
          <w:szCs w:val="18"/>
          <w:color w:val="auto"/>
        </w:rPr>
        <w:t/>
      </w:r>
      <w:r>
        <w:rPr>
          <w:rFonts w:ascii="Arial" w:cs="Arial" w:eastAsia="Arial" w:hAnsi="Arial"/>
          <w:sz w:val="18"/>
          <w:szCs w:val="18"/>
          <w:color w:val="auto"/>
        </w:rPr>
        <w:t>їѕіў</w:t>
      </w:r>
      <w:r>
        <w:rPr>
          <w:rFonts w:ascii="PMingLiU" w:cs="PMingLiU" w:eastAsia="PMingLiU" w:hAnsi="PMingLiU"/>
          <w:sz w:val="18"/>
          <w:szCs w:val="18"/>
          <w:color w:val="auto"/>
        </w:rPr>
        <w:t/>
      </w:r>
    </w:p>
    <w:p>
      <w:pPr>
        <w:spacing w:after="0" w:line="25"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88" w:lineRule="exact"/>
        <w:rPr>
          <w:sz w:val="20"/>
          <w:szCs w:val="20"/>
          <w:color w:val="auto"/>
        </w:rPr>
      </w:pPr>
    </w:p>
    <w:p>
      <w:pPr>
        <w:ind w:left="200" w:right="20" w:hanging="199"/>
        <w:spacing w:after="0" w:line="263" w:lineRule="exact"/>
        <w:tabs>
          <w:tab w:leader="none" w:pos="180" w:val="left"/>
        </w:tabs>
        <w:rPr>
          <w:sz w:val="20"/>
          <w:szCs w:val="20"/>
          <w:color w:val="auto"/>
        </w:rPr>
      </w:pPr>
      <w:r>
        <w:rPr>
          <w:rFonts w:ascii="Arial" w:cs="Arial" w:eastAsia="Arial" w:hAnsi="Arial"/>
          <w:sz w:val="10"/>
          <w:szCs w:val="10"/>
          <w:color w:val="auto"/>
        </w:rPr>
        <w:t>j)</w:t>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љӝі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°ʍȶǉ</w:t>
      </w:r>
      <w:r>
        <w:rPr>
          <w:rFonts w:ascii="PMingLiU" w:cs="PMingLiU" w:eastAsia="PMingLiU" w:hAnsi="PMingLiU"/>
          <w:sz w:val="18"/>
          <w:szCs w:val="18"/>
          <w:color w:val="auto"/>
        </w:rPr>
        <w:t/>
      </w:r>
      <w:r>
        <w:rPr>
          <w:rFonts w:ascii="Arial" w:cs="Arial" w:eastAsia="Arial" w:hAnsi="Arial"/>
          <w:sz w:val="18"/>
          <w:szCs w:val="18"/>
          <w:color w:val="auto"/>
        </w:rPr>
        <w:t>їїӗ</w:t>
      </w:r>
      <w:r>
        <w:rPr>
          <w:rFonts w:ascii="PMingLiU" w:cs="PMingLiU" w:eastAsia="PMingLiU" w:hAnsi="PMingLiU"/>
          <w:sz w:val="18"/>
          <w:szCs w:val="18"/>
          <w:color w:val="auto"/>
        </w:rPr>
        <w:t/>
      </w:r>
      <w:r>
        <w:rPr>
          <w:rFonts w:ascii="Arial" w:cs="Arial" w:eastAsia="Arial" w:hAnsi="Arial"/>
          <w:sz w:val="18"/>
          <w:szCs w:val="18"/>
          <w:color w:val="auto"/>
        </w:rPr>
        <w:t>їѕїѕ</w:t>
      </w:r>
      <w:r>
        <w:rPr>
          <w:rFonts w:ascii="PMingLiU" w:cs="PMingLiU" w:eastAsia="PMingLiU" w:hAnsi="PMingLiU"/>
          <w:sz w:val="18"/>
          <w:szCs w:val="18"/>
          <w:color w:val="auto"/>
        </w:rPr>
        <w:t xml:space="preserve">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288"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k)</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љӝі</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Čǉɥɽǉȴƹǉɨ</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їѕїѕ</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right="20" w:hanging="199"/>
        <w:spacing w:after="0" w:line="263" w:lineRule="exact"/>
        <w:tabs>
          <w:tab w:leader="none" w:pos="180" w:val="left"/>
        </w:tabs>
        <w:rPr>
          <w:sz w:val="20"/>
          <w:szCs w:val="20"/>
          <w:color w:val="auto"/>
        </w:rPr>
      </w:pPr>
      <w:r>
        <w:rPr>
          <w:rFonts w:ascii="Arial" w:cs="Arial" w:eastAsia="Arial" w:hAnsi="Arial"/>
          <w:sz w:val="10"/>
          <w:szCs w:val="10"/>
          <w:color w:val="auto"/>
        </w:rPr>
        <w:t>l)</w:t>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љӝі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ʍǼʍɰɽ</w:t>
      </w:r>
      <w:r>
        <w:rPr>
          <w:rFonts w:ascii="PMingLiU" w:cs="PMingLiU" w:eastAsia="PMingLiU" w:hAnsi="PMingLiU"/>
          <w:sz w:val="18"/>
          <w:szCs w:val="18"/>
          <w:color w:val="auto"/>
        </w:rPr>
        <w:t/>
      </w:r>
      <w:r>
        <w:rPr>
          <w:rFonts w:ascii="Arial" w:cs="Arial" w:eastAsia="Arial" w:hAnsi="Arial"/>
          <w:sz w:val="18"/>
          <w:szCs w:val="18"/>
          <w:color w:val="auto"/>
        </w:rPr>
        <w:t>їіӗ</w:t>
      </w:r>
      <w:r>
        <w:rPr>
          <w:rFonts w:ascii="PMingLiU" w:cs="PMingLiU" w:eastAsia="PMingLiU" w:hAnsi="PMingLiU"/>
          <w:sz w:val="18"/>
          <w:szCs w:val="18"/>
          <w:color w:val="auto"/>
        </w:rPr>
        <w:t/>
      </w:r>
      <w:r>
        <w:rPr>
          <w:rFonts w:ascii="Arial" w:cs="Arial" w:eastAsia="Arial" w:hAnsi="Arial"/>
          <w:sz w:val="18"/>
          <w:szCs w:val="18"/>
          <w:color w:val="auto"/>
        </w:rPr>
        <w:t>їѕїљ</w:t>
      </w:r>
      <w:r>
        <w:rPr>
          <w:rFonts w:ascii="PMingLiU" w:cs="PMingLiU" w:eastAsia="PMingLiU" w:hAnsi="PMingLiU"/>
          <w:sz w:val="18"/>
          <w:szCs w:val="18"/>
          <w:color w:val="auto"/>
        </w:rPr>
        <w:t xml:space="preserve">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288"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m)</w:t>
      </w: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љӝі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ʍǼʍɰɽ</w:t>
      </w:r>
      <w:r>
        <w:rPr>
          <w:rFonts w:ascii="PMingLiU" w:cs="PMingLiU" w:eastAsia="PMingLiU" w:hAnsi="PMingLiU"/>
          <w:sz w:val="18"/>
          <w:szCs w:val="18"/>
          <w:color w:val="auto"/>
        </w:rPr>
        <w:t/>
      </w:r>
      <w:r>
        <w:rPr>
          <w:rFonts w:ascii="Arial" w:cs="Arial" w:eastAsia="Arial" w:hAnsi="Arial"/>
          <w:sz w:val="18"/>
          <w:szCs w:val="18"/>
          <w:color w:val="auto"/>
        </w:rPr>
        <w:t>іїӗ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hanging="200"/>
        <w:spacing w:after="0" w:line="219" w:lineRule="exact"/>
        <w:tabs>
          <w:tab w:leader="none" w:pos="200" w:val="left"/>
        </w:tabs>
        <w:numPr>
          <w:ilvl w:val="0"/>
          <w:numId w:val="29"/>
        </w:numPr>
        <w:rPr>
          <w:rFonts w:ascii="Arial" w:cs="Arial" w:eastAsia="Arial" w:hAnsi="Arial"/>
          <w:sz w:val="10"/>
          <w:szCs w:val="10"/>
          <w:color w:val="auto"/>
        </w:rPr>
      </w:pP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љӝіњ</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ȶȶʍƃȢ</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yǉƹɨʍƃɨʰ</w:t>
      </w:r>
      <w:r>
        <w:rPr>
          <w:rFonts w:ascii="PMingLiU" w:cs="PMingLiU" w:eastAsia="PMingLiU" w:hAnsi="PMingLiU"/>
          <w:sz w:val="18"/>
          <w:szCs w:val="18"/>
          <w:color w:val="auto"/>
        </w:rPr>
        <w:t/>
      </w:r>
      <w:r>
        <w:rPr>
          <w:rFonts w:ascii="Arial" w:cs="Arial" w:eastAsia="Arial" w:hAnsi="Arial"/>
          <w:sz w:val="18"/>
          <w:szCs w:val="18"/>
          <w:color w:val="auto"/>
        </w:rPr>
        <w:t>їљӗ</w:t>
      </w:r>
      <w:r>
        <w:rPr>
          <w:rFonts w:ascii="PMingLiU" w:cs="PMingLiU" w:eastAsia="PMingLiU" w:hAnsi="PMingLiU"/>
          <w:sz w:val="18"/>
          <w:szCs w:val="18"/>
          <w:color w:val="auto"/>
        </w:rPr>
        <w:t/>
      </w:r>
    </w:p>
    <w:p>
      <w:pPr>
        <w:spacing w:after="0" w:line="25"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88"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o)</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іѕӝі</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ĂʍƃɨɽǉɨȢʰ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іѕӸ</w:t>
      </w:r>
      <w:r>
        <w:rPr>
          <w:rFonts w:ascii="Arial" w:cs="Arial" w:eastAsia="Arial" w:hAnsi="Arial"/>
          <w:sz w:val="18"/>
          <w:szCs w:val="18"/>
          <w:color w:val="auto"/>
        </w:rPr>
        <w:t>Ă</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ʍǼʍɰɽ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p)</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іѕӝі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°ʍȢʰ</w:t>
      </w:r>
      <w:r>
        <w:rPr>
          <w:rFonts w:ascii="PMingLiU" w:cs="PMingLiU" w:eastAsia="PMingLiU" w:hAnsi="PMingLiU"/>
          <w:sz w:val="18"/>
          <w:szCs w:val="18"/>
          <w:color w:val="auto"/>
        </w:rPr>
        <w:t/>
      </w:r>
      <w:r>
        <w:rPr>
          <w:rFonts w:ascii="Arial" w:cs="Arial" w:eastAsia="Arial" w:hAnsi="Arial"/>
          <w:sz w:val="18"/>
          <w:szCs w:val="18"/>
          <w:color w:val="auto"/>
        </w:rPr>
        <w:t>їїӗ</w:t>
      </w:r>
      <w:r>
        <w:rPr>
          <w:rFonts w:ascii="PMingLiU" w:cs="PMingLiU" w:eastAsia="PMingLiU" w:hAnsi="PMingLiU"/>
          <w:sz w:val="18"/>
          <w:szCs w:val="18"/>
          <w:color w:val="auto"/>
        </w:rPr>
        <w:t/>
      </w:r>
      <w:r>
        <w:rPr>
          <w:rFonts w:ascii="Arial" w:cs="Arial" w:eastAsia="Arial" w:hAnsi="Arial"/>
          <w:sz w:val="18"/>
          <w:szCs w:val="18"/>
          <w:color w:val="auto"/>
        </w:rPr>
        <w:t>їѕїї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q)</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ɥɥǉȶǁȈʯ</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AǉˎȶȈɽȈʤǉ</w:t>
      </w:r>
      <w:r>
        <w:rPr>
          <w:rFonts w:ascii="PMingLiU" w:cs="PMingLiU" w:eastAsia="PMingLiU" w:hAnsi="PMingLiU"/>
          <w:sz w:val="18"/>
          <w:szCs w:val="18"/>
          <w:color w:val="auto"/>
        </w:rPr>
        <w:t/>
      </w:r>
      <w:r>
        <w:rPr>
          <w:rFonts w:ascii="Arial" w:cs="Arial" w:eastAsia="Arial" w:hAnsi="Arial"/>
          <w:sz w:val="18"/>
          <w:szCs w:val="18"/>
          <w:color w:val="auto"/>
        </w:rPr>
        <w:t>ĀɨɁʯʰ</w:t>
      </w:r>
      <w:r>
        <w:rPr>
          <w:rFonts w:ascii="PMingLiU" w:cs="PMingLiU" w:eastAsia="PMingLiU" w:hAnsi="PMingLiU"/>
          <w:sz w:val="18"/>
          <w:szCs w:val="18"/>
          <w:color w:val="auto"/>
        </w:rPr>
        <w:t/>
      </w:r>
      <w:r>
        <w:rPr>
          <w:rFonts w:ascii="Arial" w:cs="Arial" w:eastAsia="Arial" w:hAnsi="Arial"/>
          <w:sz w:val="18"/>
          <w:szCs w:val="18"/>
          <w:color w:val="auto"/>
        </w:rPr>
        <w:t>Čɽƃɽǉȴǉȶɽ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ČƺȃǉǁʍȢǉ</w:t>
      </w:r>
      <w:r>
        <w:rPr>
          <w:rFonts w:ascii="PMingLiU" w:cs="PMingLiU" w:eastAsia="PMingLiU" w:hAnsi="PMingLiU"/>
          <w:sz w:val="18"/>
          <w:szCs w:val="18"/>
          <w:color w:val="auto"/>
        </w:rPr>
        <w:t/>
      </w:r>
      <w:r>
        <w:rPr>
          <w:rFonts w:ascii="Arial" w:cs="Arial" w:eastAsia="Arial" w:hAnsi="Arial"/>
          <w:sz w:val="18"/>
          <w:szCs w:val="18"/>
          <w:color w:val="auto"/>
        </w:rPr>
        <w:t>іљ</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ɥɨȈȢ</w:t>
      </w:r>
      <w:r>
        <w:rPr>
          <w:rFonts w:ascii="PMingLiU" w:cs="PMingLiU" w:eastAsia="PMingLiU" w:hAnsi="PMingLiU"/>
          <w:sz w:val="18"/>
          <w:szCs w:val="18"/>
          <w:color w:val="auto"/>
        </w:rPr>
        <w:t/>
      </w:r>
      <w:r>
        <w:rPr>
          <w:rFonts w:ascii="Arial" w:cs="Arial" w:eastAsia="Arial" w:hAnsi="Arial"/>
          <w:sz w:val="18"/>
          <w:szCs w:val="18"/>
          <w:color w:val="auto"/>
        </w:rPr>
        <w:t>јѕӗ</w:t>
      </w:r>
      <w:r>
        <w:rPr>
          <w:rFonts w:ascii="PMingLiU" w:cs="PMingLiU" w:eastAsia="PMingLiU" w:hAnsi="PMingLiU"/>
          <w:sz w:val="18"/>
          <w:szCs w:val="18"/>
          <w:color w:val="auto"/>
        </w:rPr>
        <w:t/>
      </w:r>
      <w:r>
        <w:rPr>
          <w:rFonts w:ascii="Arial" w:cs="Arial" w:eastAsia="Arial" w:hAnsi="Arial"/>
          <w:sz w:val="18"/>
          <w:szCs w:val="18"/>
          <w:color w:val="auto"/>
        </w:rPr>
        <w:t>їѕії</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r)</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іѕӝњ</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Aǉƺǉȴƹǉɨ</w:t>
      </w:r>
      <w:r>
        <w:rPr>
          <w:rFonts w:ascii="PMingLiU" w:cs="PMingLiU" w:eastAsia="PMingLiU" w:hAnsi="PMingLiU"/>
          <w:sz w:val="18"/>
          <w:szCs w:val="18"/>
          <w:color w:val="auto"/>
        </w:rPr>
        <w:t/>
      </w:r>
      <w:r>
        <w:rPr>
          <w:rFonts w:ascii="Arial" w:cs="Arial" w:eastAsia="Arial" w:hAnsi="Arial"/>
          <w:sz w:val="18"/>
          <w:szCs w:val="18"/>
          <w:color w:val="auto"/>
        </w:rPr>
        <w:t>ћӗ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їѕѕћ</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hanging="200"/>
        <w:spacing w:after="0" w:line="219" w:lineRule="exact"/>
        <w:tabs>
          <w:tab w:leader="none" w:pos="200" w:val="left"/>
        </w:tabs>
        <w:numPr>
          <w:ilvl w:val="0"/>
          <w:numId w:val="30"/>
        </w:numPr>
        <w:rPr>
          <w:rFonts w:ascii="Arial" w:cs="Arial" w:eastAsia="Arial" w:hAnsi="Arial"/>
          <w:sz w:val="10"/>
          <w:szCs w:val="10"/>
          <w:color w:val="auto"/>
        </w:rPr>
      </w:pP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іѕӝіќ</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ȶȶʍƃȢ</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yǉƹɨʍƃɨʰ</w:t>
      </w:r>
      <w:r>
        <w:rPr>
          <w:rFonts w:ascii="PMingLiU" w:cs="PMingLiU" w:eastAsia="PMingLiU" w:hAnsi="PMingLiU"/>
          <w:sz w:val="18"/>
          <w:szCs w:val="18"/>
          <w:color w:val="auto"/>
        </w:rPr>
        <w:t/>
      </w:r>
      <w:r>
        <w:rPr>
          <w:rFonts w:ascii="Arial" w:cs="Arial" w:eastAsia="Arial" w:hAnsi="Arial"/>
          <w:sz w:val="18"/>
          <w:szCs w:val="18"/>
          <w:color w:val="auto"/>
        </w:rPr>
        <w:t>їќӗ</w:t>
      </w:r>
      <w:r>
        <w:rPr>
          <w:rFonts w:ascii="PMingLiU" w:cs="PMingLiU" w:eastAsia="PMingLiU" w:hAnsi="PMingLiU"/>
          <w:sz w:val="18"/>
          <w:szCs w:val="18"/>
          <w:color w:val="auto"/>
        </w:rPr>
        <w:t/>
      </w:r>
    </w:p>
    <w:p>
      <w:pPr>
        <w:spacing w:after="0" w:line="25"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їѕіќ</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88" w:lineRule="exact"/>
        <w:rPr>
          <w:sz w:val="20"/>
          <w:szCs w:val="20"/>
          <w:color w:val="auto"/>
        </w:rPr>
      </w:pPr>
    </w:p>
    <w:p>
      <w:pPr>
        <w:ind w:left="200" w:right="20" w:hanging="199"/>
        <w:spacing w:after="0" w:line="241" w:lineRule="exact"/>
        <w:rPr>
          <w:sz w:val="20"/>
          <w:szCs w:val="20"/>
          <w:color w:val="auto"/>
        </w:rPr>
      </w:pPr>
      <w:r>
        <w:rPr>
          <w:rFonts w:ascii="Arial" w:cs="Arial" w:eastAsia="Arial" w:hAnsi="Arial"/>
          <w:sz w:val="10"/>
          <w:szCs w:val="10"/>
          <w:color w:val="auto"/>
        </w:rPr>
        <w:t>t)</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іѕӝі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ĂʍƃɨɽǉɨȢʰ</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Ă</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ÇɁʤǉȴƹǉɨ</w:t>
      </w:r>
      <w:r>
        <w:rPr>
          <w:rFonts w:ascii="PMingLiU" w:cs="PMingLiU" w:eastAsia="PMingLiU" w:hAnsi="PMingLiU"/>
          <w:sz w:val="18"/>
          <w:szCs w:val="18"/>
          <w:color w:val="auto"/>
        </w:rPr>
        <w:t/>
      </w:r>
      <w:r>
        <w:rPr>
          <w:rFonts w:ascii="Arial" w:cs="Arial" w:eastAsia="Arial" w:hAnsi="Arial"/>
          <w:sz w:val="18"/>
          <w:szCs w:val="18"/>
          <w:color w:val="auto"/>
        </w:rPr>
        <w:t>њӗ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їѕіѝ</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ectPr>
          <w:pgSz w:w="12240" w:h="15840" w:orient="portrait"/>
          <w:cols w:equalWidth="0" w:num="1">
            <w:col w:w="10380"/>
          </w:cols>
          <w:pgMar w:left="960" w:top="935" w:right="900" w:bottom="9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68</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80"/>
          </w:cols>
          <w:pgMar w:left="960" w:top="935" w:right="900" w:bottom="90" w:gutter="0" w:footer="0" w:header="0"/>
          <w:type w:val="continuous"/>
        </w:sectPr>
      </w:pPr>
    </w:p>
    <w:bookmarkStart w:id="70" w:name="page71"/>
    <w:bookmarkEnd w:id="70"/>
    <w:p>
      <w:pPr>
        <w:ind w:left="200" w:hanging="199"/>
        <w:spacing w:after="0" w:line="241" w:lineRule="exact"/>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u)</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ɥɥǉȶǁȈʯ</w:t>
      </w:r>
      <w:r>
        <w:rPr>
          <w:rFonts w:ascii="PMingLiU" w:cs="PMingLiU" w:eastAsia="PMingLiU" w:hAnsi="PMingLiU"/>
          <w:sz w:val="18"/>
          <w:szCs w:val="18"/>
          <w:color w:val="auto"/>
        </w:rPr>
        <w:t/>
      </w:r>
      <w:r>
        <w:rPr>
          <w:rFonts w:ascii="Arial" w:cs="Arial" w:eastAsia="Arial" w:hAnsi="Arial"/>
          <w:sz w:val="18"/>
          <w:szCs w:val="18"/>
          <w:color w:val="auto"/>
        </w:rPr>
        <w:t>9</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AǉˎȶȈɽȈʤǉ</w:t>
      </w:r>
      <w:r>
        <w:rPr>
          <w:rFonts w:ascii="PMingLiU" w:cs="PMingLiU" w:eastAsia="PMingLiU" w:hAnsi="PMingLiU"/>
          <w:sz w:val="18"/>
          <w:szCs w:val="18"/>
          <w:color w:val="auto"/>
        </w:rPr>
        <w:t/>
      </w:r>
      <w:r>
        <w:rPr>
          <w:rFonts w:ascii="Arial" w:cs="Arial" w:eastAsia="Arial" w:hAnsi="Arial"/>
          <w:sz w:val="18"/>
          <w:szCs w:val="18"/>
          <w:color w:val="auto"/>
        </w:rPr>
        <w:t>ĀɨɁʯʰ</w:t>
      </w:r>
      <w:r>
        <w:rPr>
          <w:rFonts w:ascii="PMingLiU" w:cs="PMingLiU" w:eastAsia="PMingLiU" w:hAnsi="PMingLiU"/>
          <w:sz w:val="18"/>
          <w:szCs w:val="18"/>
          <w:color w:val="auto"/>
        </w:rPr>
        <w:t/>
      </w:r>
      <w:r>
        <w:rPr>
          <w:rFonts w:ascii="Arial" w:cs="Arial" w:eastAsia="Arial" w:hAnsi="Arial"/>
          <w:sz w:val="18"/>
          <w:szCs w:val="18"/>
          <w:color w:val="auto"/>
        </w:rPr>
        <w:t>Čɽƃɽǉȴǉȶɽ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ČƺȃǉǁʍȢǉ</w:t>
      </w:r>
      <w:r>
        <w:rPr>
          <w:rFonts w:ascii="PMingLiU" w:cs="PMingLiU" w:eastAsia="PMingLiU" w:hAnsi="PMingLiU"/>
          <w:sz w:val="18"/>
          <w:szCs w:val="18"/>
          <w:color w:val="auto"/>
        </w:rPr>
        <w:t/>
      </w:r>
      <w:r>
        <w:rPr>
          <w:rFonts w:ascii="Arial" w:cs="Arial" w:eastAsia="Arial" w:hAnsi="Arial"/>
          <w:sz w:val="18"/>
          <w:szCs w:val="18"/>
          <w:color w:val="auto"/>
        </w:rPr>
        <w:t>іљ</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ɥɨȈȢ</w:t>
      </w:r>
      <w:r>
        <w:rPr>
          <w:rFonts w:ascii="PMingLiU" w:cs="PMingLiU" w:eastAsia="PMingLiU" w:hAnsi="PMingLiU"/>
          <w:sz w:val="18"/>
          <w:szCs w:val="18"/>
          <w:color w:val="auto"/>
        </w:rPr>
        <w:t/>
      </w:r>
      <w:r>
        <w:rPr>
          <w:rFonts w:ascii="Arial" w:cs="Arial" w:eastAsia="Arial" w:hAnsi="Arial"/>
          <w:sz w:val="18"/>
          <w:szCs w:val="18"/>
          <w:color w:val="auto"/>
        </w:rPr>
        <w:t>їћӗ</w:t>
      </w:r>
      <w:r>
        <w:rPr>
          <w:rFonts w:ascii="PMingLiU" w:cs="PMingLiU" w:eastAsia="PMingLiU" w:hAnsi="PMingLiU"/>
          <w:sz w:val="18"/>
          <w:szCs w:val="18"/>
          <w:color w:val="auto"/>
        </w:rPr>
        <w:t/>
      </w:r>
      <w:r>
        <w:rPr>
          <w:rFonts w:ascii="Arial" w:cs="Arial" w:eastAsia="Arial" w:hAnsi="Arial"/>
          <w:sz w:val="18"/>
          <w:szCs w:val="18"/>
          <w:color w:val="auto"/>
        </w:rPr>
        <w:t>їѕіћ</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hanging="199"/>
        <w:spacing w:after="0" w:line="241" w:lineRule="exact"/>
        <w:rPr>
          <w:sz w:val="20"/>
          <w:szCs w:val="20"/>
          <w:color w:val="auto"/>
        </w:rPr>
      </w:pPr>
      <w:r>
        <w:rPr>
          <w:rFonts w:ascii="Arial" w:cs="Arial" w:eastAsia="Arial" w:hAnsi="Arial"/>
          <w:sz w:val="10"/>
          <w:szCs w:val="10"/>
          <w:color w:val="auto"/>
        </w:rPr>
        <w:t>v)</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іѕӝїѕ</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ȶȶʍƃȢ</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yǉƹɨʍƃɨʰ</w:t>
      </w:r>
      <w:r>
        <w:rPr>
          <w:rFonts w:ascii="PMingLiU" w:cs="PMingLiU" w:eastAsia="PMingLiU" w:hAnsi="PMingLiU"/>
          <w:sz w:val="18"/>
          <w:szCs w:val="18"/>
          <w:color w:val="auto"/>
        </w:rPr>
        <w:t/>
      </w:r>
      <w:r>
        <w:rPr>
          <w:rFonts w:ascii="Arial" w:cs="Arial" w:eastAsia="Arial" w:hAnsi="Arial"/>
          <w:sz w:val="18"/>
          <w:szCs w:val="18"/>
          <w:color w:val="auto"/>
        </w:rPr>
        <w:t>їќӗ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їѕіќ</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hanging="199"/>
        <w:spacing w:after="0" w:line="241" w:lineRule="exact"/>
        <w:rPr>
          <w:sz w:val="20"/>
          <w:szCs w:val="20"/>
          <w:color w:val="auto"/>
        </w:rPr>
      </w:pPr>
      <w:r>
        <w:rPr>
          <w:rFonts w:ascii="Arial" w:cs="Arial" w:eastAsia="Arial" w:hAnsi="Arial"/>
          <w:sz w:val="10"/>
          <w:szCs w:val="10"/>
          <w:color w:val="auto"/>
        </w:rPr>
        <w:t>w)</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іѕӝіћ</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ȶȶʍƃȢ</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yǉƹɨʍƃɨʰ</w:t>
      </w:r>
      <w:r>
        <w:rPr>
          <w:rFonts w:ascii="PMingLiU" w:cs="PMingLiU" w:eastAsia="PMingLiU" w:hAnsi="PMingLiU"/>
          <w:sz w:val="18"/>
          <w:szCs w:val="18"/>
          <w:color w:val="auto"/>
        </w:rPr>
        <w:t/>
      </w:r>
      <w:r>
        <w:rPr>
          <w:rFonts w:ascii="Arial" w:cs="Arial" w:eastAsia="Arial" w:hAnsi="Arial"/>
          <w:sz w:val="18"/>
          <w:szCs w:val="18"/>
          <w:color w:val="auto"/>
        </w:rPr>
        <w:t>їњӗ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їѕіў</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hanging="200"/>
        <w:spacing w:after="0" w:line="219" w:lineRule="exact"/>
        <w:tabs>
          <w:tab w:leader="none" w:pos="200" w:val="left"/>
        </w:tabs>
        <w:numPr>
          <w:ilvl w:val="0"/>
          <w:numId w:val="31"/>
        </w:numPr>
        <w:rPr>
          <w:rFonts w:ascii="Arial" w:cs="Arial" w:eastAsia="Arial" w:hAnsi="Arial"/>
          <w:sz w:val="10"/>
          <w:szCs w:val="10"/>
          <w:color w:val="auto"/>
        </w:rPr>
      </w:pP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іѕӝїї</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ȶȶʍƃȢ</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yǉƹɨʍƃɨʰ</w:t>
      </w:r>
      <w:r>
        <w:rPr>
          <w:rFonts w:ascii="PMingLiU" w:cs="PMingLiU" w:eastAsia="PMingLiU" w:hAnsi="PMingLiU"/>
          <w:sz w:val="18"/>
          <w:szCs w:val="18"/>
          <w:color w:val="auto"/>
        </w:rPr>
        <w:t/>
      </w:r>
      <w:r>
        <w:rPr>
          <w:rFonts w:ascii="Arial" w:cs="Arial" w:eastAsia="Arial" w:hAnsi="Arial"/>
          <w:sz w:val="18"/>
          <w:szCs w:val="18"/>
          <w:color w:val="auto"/>
        </w:rPr>
        <w:t>їјӗ</w:t>
      </w:r>
      <w:r>
        <w:rPr>
          <w:rFonts w:ascii="PMingLiU" w:cs="PMingLiU" w:eastAsia="PMingLiU" w:hAnsi="PMingLiU"/>
          <w:sz w:val="18"/>
          <w:szCs w:val="18"/>
          <w:color w:val="auto"/>
        </w:rPr>
        <w:t/>
      </w:r>
    </w:p>
    <w:p>
      <w:pPr>
        <w:spacing w:after="0" w:line="25"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їѕіѝ</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88" w:lineRule="exact"/>
        <w:rPr>
          <w:sz w:val="20"/>
          <w:szCs w:val="20"/>
          <w:color w:val="auto"/>
        </w:rPr>
      </w:pPr>
    </w:p>
    <w:p>
      <w:pPr>
        <w:ind w:left="200" w:hanging="199"/>
        <w:spacing w:after="0" w:line="241" w:lineRule="exact"/>
        <w:rPr>
          <w:sz w:val="20"/>
          <w:szCs w:val="20"/>
          <w:color w:val="auto"/>
        </w:rPr>
      </w:pPr>
      <w:r>
        <w:rPr>
          <w:rFonts w:ascii="Arial" w:cs="Arial" w:eastAsia="Arial" w:hAnsi="Arial"/>
          <w:sz w:val="10"/>
          <w:szCs w:val="10"/>
          <w:color w:val="auto"/>
        </w:rPr>
        <w:t>y)</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іѕӝі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:ʍɨɨǉȶɽ</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ѝӸ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ÇɁʤǉȴƹǉɨ</w:t>
      </w:r>
      <w:r>
        <w:rPr>
          <w:rFonts w:ascii="PMingLiU" w:cs="PMingLiU" w:eastAsia="PMingLiU" w:hAnsi="PMingLiU"/>
          <w:sz w:val="18"/>
          <w:szCs w:val="18"/>
          <w:color w:val="auto"/>
        </w:rPr>
        <w:t/>
      </w:r>
      <w:r>
        <w:rPr>
          <w:rFonts w:ascii="Arial" w:cs="Arial" w:eastAsia="Arial" w:hAnsi="Arial"/>
          <w:sz w:val="18"/>
          <w:szCs w:val="18"/>
          <w:color w:val="auto"/>
        </w:rPr>
        <w:t>їћӗ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їѕіў</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hanging="200"/>
        <w:spacing w:after="0"/>
        <w:tabs>
          <w:tab w:leader="none" w:pos="200" w:val="left"/>
        </w:tabs>
        <w:numPr>
          <w:ilvl w:val="0"/>
          <w:numId w:val="32"/>
        </w:numPr>
        <w:rPr>
          <w:rFonts w:ascii="Arial" w:cs="Arial" w:eastAsia="Arial" w:hAnsi="Arial"/>
          <w:sz w:val="10"/>
          <w:szCs w:val="10"/>
          <w:color w:val="auto"/>
        </w:rPr>
      </w:pPr>
      <w:r>
        <w:rPr>
          <w:rFonts w:ascii="Arial" w:cs="Arial" w:eastAsia="Arial" w:hAnsi="Arial"/>
          <w:sz w:val="18"/>
          <w:szCs w:val="18"/>
          <w:color w:val="auto"/>
        </w:rPr>
        <w:t>Incorporated herein by reference to Exhibits 10.1, 10.2, 10.3, and 10.4 to the Company’s Current Report on Form 8-K</w:t>
      </w:r>
    </w:p>
    <w:p>
      <w:pPr>
        <w:spacing w:after="0" w:line="36"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°ʍȶǉ</w:t>
      </w:r>
      <w:r>
        <w:rPr>
          <w:rFonts w:ascii="PMingLiU" w:cs="PMingLiU" w:eastAsia="PMingLiU" w:hAnsi="PMingLiU"/>
          <w:sz w:val="18"/>
          <w:szCs w:val="18"/>
          <w:color w:val="auto"/>
        </w:rPr>
        <w:t/>
      </w:r>
      <w:r>
        <w:rPr>
          <w:rFonts w:ascii="Arial" w:cs="Arial" w:eastAsia="Arial" w:hAnsi="Arial"/>
          <w:sz w:val="18"/>
          <w:szCs w:val="18"/>
          <w:color w:val="auto"/>
        </w:rPr>
        <w:t>іљӗ</w:t>
      </w:r>
      <w:r>
        <w:rPr>
          <w:rFonts w:ascii="PMingLiU" w:cs="PMingLiU" w:eastAsia="PMingLiU" w:hAnsi="PMingLiU"/>
          <w:sz w:val="18"/>
          <w:szCs w:val="18"/>
          <w:color w:val="auto"/>
        </w:rPr>
        <w:t/>
      </w:r>
      <w:r>
        <w:rPr>
          <w:rFonts w:ascii="Arial" w:cs="Arial" w:eastAsia="Arial" w:hAnsi="Arial"/>
          <w:sz w:val="18"/>
          <w:szCs w:val="18"/>
          <w:color w:val="auto"/>
        </w:rPr>
        <w:t>їѕїі</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88" w:lineRule="exact"/>
        <w:rPr>
          <w:sz w:val="20"/>
          <w:szCs w:val="20"/>
          <w:color w:val="auto"/>
        </w:rPr>
      </w:pPr>
    </w:p>
    <w:p>
      <w:pPr>
        <w:ind w:left="200" w:hanging="199"/>
        <w:spacing w:after="0" w:line="241" w:lineRule="exact"/>
        <w:rPr>
          <w:sz w:val="20"/>
          <w:szCs w:val="20"/>
          <w:color w:val="auto"/>
        </w:rPr>
      </w:pPr>
      <w:r>
        <w:rPr>
          <w:rFonts w:ascii="Arial" w:cs="Arial" w:eastAsia="Arial" w:hAnsi="Arial"/>
          <w:sz w:val="10"/>
          <w:szCs w:val="10"/>
          <w:color w:val="auto"/>
        </w:rPr>
        <w:t>aa)</w:t>
      </w: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іѕӝїї</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ȶȶʍƃȢ</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yǉƹɨʍƃɨʰ</w:t>
      </w:r>
      <w:r>
        <w:rPr>
          <w:rFonts w:ascii="PMingLiU" w:cs="PMingLiU" w:eastAsia="PMingLiU" w:hAnsi="PMingLiU"/>
          <w:sz w:val="18"/>
          <w:szCs w:val="18"/>
          <w:color w:val="auto"/>
        </w:rPr>
        <w:t/>
      </w:r>
      <w:r>
        <w:rPr>
          <w:rFonts w:ascii="Arial" w:cs="Arial" w:eastAsia="Arial" w:hAnsi="Arial"/>
          <w:sz w:val="18"/>
          <w:szCs w:val="18"/>
          <w:color w:val="auto"/>
        </w:rPr>
        <w:t>їїӗ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309" w:lineRule="exact"/>
        <w:rPr>
          <w:sz w:val="20"/>
          <w:szCs w:val="20"/>
          <w:color w:val="auto"/>
        </w:rPr>
      </w:pPr>
    </w:p>
    <w:p>
      <w:pPr>
        <w:ind w:left="200" w:hanging="200"/>
        <w:spacing w:after="0"/>
        <w:tabs>
          <w:tab w:leader="none" w:pos="200" w:val="left"/>
        </w:tabs>
        <w:numPr>
          <w:ilvl w:val="0"/>
          <w:numId w:val="33"/>
        </w:numPr>
        <w:rPr>
          <w:rFonts w:ascii="Arial" w:cs="Arial" w:eastAsia="Arial" w:hAnsi="Arial"/>
          <w:sz w:val="10"/>
          <w:szCs w:val="10"/>
          <w:color w:val="auto"/>
        </w:rPr>
      </w:pPr>
      <w:r>
        <w:rPr>
          <w:rFonts w:ascii="Arial" w:cs="Arial" w:eastAsia="Arial" w:hAnsi="Arial"/>
          <w:sz w:val="18"/>
          <w:szCs w:val="18"/>
          <w:color w:val="auto"/>
        </w:rPr>
        <w:t>Incorporated herein by reference to Exhibits 10.1, 10.2, and 10.3 to the Company’s Quarterly Report on Form 10-Q</w:t>
      </w:r>
    </w:p>
    <w:p>
      <w:pPr>
        <w:spacing w:after="0" w:line="36"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Ãƃʰ</w:t>
      </w:r>
      <w:r>
        <w:rPr>
          <w:rFonts w:ascii="PMingLiU" w:cs="PMingLiU" w:eastAsia="PMingLiU" w:hAnsi="PMingLiU"/>
          <w:sz w:val="18"/>
          <w:szCs w:val="18"/>
          <w:color w:val="auto"/>
        </w:rPr>
        <w:t/>
      </w:r>
      <w:r>
        <w:rPr>
          <w:rFonts w:ascii="Arial" w:cs="Arial" w:eastAsia="Arial" w:hAnsi="Arial"/>
          <w:sz w:val="18"/>
          <w:szCs w:val="18"/>
          <w:color w:val="auto"/>
        </w:rPr>
        <w:t>јӗ</w:t>
      </w:r>
      <w:r>
        <w:rPr>
          <w:rFonts w:ascii="PMingLiU" w:cs="PMingLiU" w:eastAsia="PMingLiU" w:hAnsi="PMingLiU"/>
          <w:sz w:val="18"/>
          <w:szCs w:val="18"/>
          <w:color w:val="auto"/>
        </w:rPr>
        <w:t/>
      </w: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87" w:lineRule="exact"/>
        <w:rPr>
          <w:rFonts w:ascii="Arial" w:cs="Arial" w:eastAsia="Arial" w:hAnsi="Arial"/>
          <w:sz w:val="10"/>
          <w:szCs w:val="10"/>
          <w:color w:val="auto"/>
        </w:rPr>
      </w:pPr>
    </w:p>
    <w:p>
      <w:pPr>
        <w:ind w:left="200" w:hanging="200"/>
        <w:spacing w:after="0"/>
        <w:tabs>
          <w:tab w:leader="none" w:pos="200" w:val="left"/>
        </w:tabs>
        <w:numPr>
          <w:ilvl w:val="0"/>
          <w:numId w:val="33"/>
        </w:numPr>
        <w:rPr>
          <w:rFonts w:ascii="Arial" w:cs="Arial" w:eastAsia="Arial" w:hAnsi="Arial"/>
          <w:sz w:val="10"/>
          <w:szCs w:val="10"/>
          <w:color w:val="auto"/>
        </w:rPr>
      </w:pPr>
      <w:r>
        <w:rPr>
          <w:rFonts w:ascii="Arial" w:cs="Arial" w:eastAsia="Arial" w:hAnsi="Arial"/>
          <w:sz w:val="18"/>
          <w:szCs w:val="18"/>
          <w:color w:val="auto"/>
        </w:rPr>
        <w:t>Incorporated herein by reference to Exhibits 10.1, 10.2, 10.3, and 10.4 to the Company’s Quarterly Report on Form</w:t>
      </w:r>
    </w:p>
    <w:p>
      <w:pPr>
        <w:spacing w:after="0" w:line="36"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іѕӸ</w:t>
      </w:r>
      <w:r>
        <w:rPr>
          <w:rFonts w:ascii="Arial" w:cs="Arial" w:eastAsia="Arial" w:hAnsi="Arial"/>
          <w:sz w:val="18"/>
          <w:szCs w:val="18"/>
          <w:color w:val="auto"/>
        </w:rPr>
        <w:t>Ă</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Ãƃʰ</w:t>
      </w:r>
      <w:r>
        <w:rPr>
          <w:rFonts w:ascii="PMingLiU" w:cs="PMingLiU" w:eastAsia="PMingLiU" w:hAnsi="PMingLiU"/>
          <w:sz w:val="18"/>
          <w:szCs w:val="18"/>
          <w:color w:val="auto"/>
        </w:rPr>
        <w:t/>
      </w:r>
      <w:r>
        <w:rPr>
          <w:rFonts w:ascii="Arial" w:cs="Arial" w:eastAsia="Arial" w:hAnsi="Arial"/>
          <w:sz w:val="18"/>
          <w:szCs w:val="18"/>
          <w:color w:val="auto"/>
        </w:rPr>
        <w:t>їӗ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87" w:lineRule="exact"/>
        <w:rPr>
          <w:rFonts w:ascii="Arial" w:cs="Arial" w:eastAsia="Arial" w:hAnsi="Arial"/>
          <w:sz w:val="10"/>
          <w:szCs w:val="10"/>
          <w:color w:val="auto"/>
        </w:rPr>
      </w:pPr>
    </w:p>
    <w:p>
      <w:pPr>
        <w:ind w:left="200" w:hanging="200"/>
        <w:spacing w:after="0"/>
        <w:tabs>
          <w:tab w:leader="none" w:pos="200" w:val="left"/>
        </w:tabs>
        <w:numPr>
          <w:ilvl w:val="0"/>
          <w:numId w:val="33"/>
        </w:numPr>
        <w:rPr>
          <w:rFonts w:ascii="Arial" w:cs="Arial" w:eastAsia="Arial" w:hAnsi="Arial"/>
          <w:sz w:val="10"/>
          <w:szCs w:val="10"/>
          <w:color w:val="auto"/>
        </w:rPr>
      </w:pPr>
      <w:r>
        <w:rPr>
          <w:rFonts w:ascii="Arial" w:cs="Arial" w:eastAsia="Arial" w:hAnsi="Arial"/>
          <w:sz w:val="18"/>
          <w:szCs w:val="18"/>
          <w:color w:val="auto"/>
        </w:rPr>
        <w:t>Incorporated herein by reference to Exhibits 10.5, 10.6, and 10.7 to the Company’s Quarterly Report on Form 10-Q</w:t>
      </w:r>
    </w:p>
    <w:p>
      <w:pPr>
        <w:spacing w:after="0" w:line="36"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ʍǼʍɰɽ</w:t>
      </w:r>
      <w:r>
        <w:rPr>
          <w:rFonts w:ascii="PMingLiU" w:cs="PMingLiU" w:eastAsia="PMingLiU" w:hAnsi="PMingLiU"/>
          <w:sz w:val="18"/>
          <w:szCs w:val="18"/>
          <w:color w:val="auto"/>
        </w:rPr>
        <w:t/>
      </w:r>
      <w:r>
        <w:rPr>
          <w:rFonts w:ascii="Arial" w:cs="Arial" w:eastAsia="Arial" w:hAnsi="Arial"/>
          <w:sz w:val="18"/>
          <w:szCs w:val="18"/>
          <w:color w:val="auto"/>
        </w:rPr>
        <w:t>њӗ</w:t>
      </w:r>
      <w:r>
        <w:rPr>
          <w:rFonts w:ascii="PMingLiU" w:cs="PMingLiU" w:eastAsia="PMingLiU" w:hAnsi="PMingLiU"/>
          <w:sz w:val="18"/>
          <w:szCs w:val="18"/>
          <w:color w:val="auto"/>
        </w:rPr>
        <w:t/>
      </w:r>
      <w:r>
        <w:rPr>
          <w:rFonts w:ascii="Arial" w:cs="Arial" w:eastAsia="Arial" w:hAnsi="Arial"/>
          <w:sz w:val="18"/>
          <w:szCs w:val="18"/>
          <w:color w:val="auto"/>
        </w:rPr>
        <w:t>їѕїі</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88" w:lineRule="exact"/>
        <w:rPr>
          <w:sz w:val="20"/>
          <w:szCs w:val="20"/>
          <w:color w:val="auto"/>
        </w:rPr>
      </w:pPr>
    </w:p>
    <w:p>
      <w:pPr>
        <w:ind w:left="200" w:hanging="199"/>
        <w:spacing w:after="0" w:line="241" w:lineRule="exact"/>
        <w:rPr>
          <w:sz w:val="20"/>
          <w:szCs w:val="20"/>
          <w:color w:val="auto"/>
        </w:rPr>
      </w:pPr>
      <w:r>
        <w:rPr>
          <w:rFonts w:ascii="Arial" w:cs="Arial" w:eastAsia="Arial" w:hAnsi="Arial"/>
          <w:sz w:val="10"/>
          <w:szCs w:val="10"/>
          <w:color w:val="auto"/>
        </w:rPr>
        <w:t>ee)</w:t>
      </w: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KʯȃȈƹȈɽɰ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іѕӝі</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іѕӝї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ĂʍƃɨɽǉɨȢʰ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іѕӸ</w:t>
      </w:r>
      <w:r>
        <w:rPr>
          <w:rFonts w:ascii="Arial" w:cs="Arial" w:eastAsia="Arial" w:hAnsi="Arial"/>
          <w:sz w:val="18"/>
          <w:szCs w:val="18"/>
          <w:color w:val="auto"/>
        </w:rPr>
        <w:t>Ă</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PMingLiU" w:cs="PMingLiU" w:eastAsia="PMingLiU" w:hAnsi="PMingLiU"/>
          <w:sz w:val="18"/>
          <w:szCs w:val="18"/>
          <w:color w:val="auto"/>
        </w:rPr>
        <w:t/>
      </w:r>
      <w:r>
        <w:rPr>
          <w:rFonts w:ascii="Arial" w:cs="Arial" w:eastAsia="Arial" w:hAnsi="Arial"/>
          <w:sz w:val="18"/>
          <w:szCs w:val="18"/>
          <w:color w:val="auto"/>
        </w:rPr>
        <w:t>ʍǼʍɰɽ</w:t>
      </w:r>
      <w:r>
        <w:rPr>
          <w:rFonts w:ascii="PMingLiU" w:cs="PMingLiU" w:eastAsia="PMingLiU" w:hAnsi="PMingLiU"/>
          <w:sz w:val="18"/>
          <w:szCs w:val="18"/>
          <w:color w:val="auto"/>
        </w:rPr>
        <w:t/>
      </w:r>
      <w:r>
        <w:rPr>
          <w:rFonts w:ascii="Arial" w:cs="Arial" w:eastAsia="Arial" w:hAnsi="Arial"/>
          <w:sz w:val="18"/>
          <w:szCs w:val="18"/>
          <w:color w:val="auto"/>
        </w:rPr>
        <w:t>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68" w:lineRule="exact"/>
        <w:rPr>
          <w:sz w:val="20"/>
          <w:szCs w:val="20"/>
          <w:color w:val="auto"/>
        </w:rPr>
      </w:pPr>
    </w:p>
    <w:p>
      <w:pPr>
        <w:ind w:left="200" w:hanging="199"/>
        <w:spacing w:after="0" w:line="241" w:lineRule="exact"/>
        <w:rPr>
          <w:sz w:val="20"/>
          <w:szCs w:val="20"/>
          <w:color w:val="auto"/>
        </w:rPr>
      </w:pPr>
      <w:r>
        <w:rPr>
          <w:rFonts w:ascii="Arial" w:cs="Arial" w:eastAsia="Arial" w:hAnsi="Arial"/>
          <w:sz w:val="10"/>
          <w:szCs w:val="10"/>
          <w:color w:val="auto"/>
        </w:rPr>
        <w:t>ff)</w:t>
      </w:r>
      <w:r>
        <w:rPr>
          <w:rFonts w:ascii="PMingLiU" w:cs="PMingLiU" w:eastAsia="PMingLiU" w:hAnsi="PMingLiU"/>
          <w:sz w:val="18"/>
          <w:szCs w:val="18"/>
          <w:color w:val="auto"/>
        </w:rPr>
        <w:t> </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KʯȃȈƹȈɽɰ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іѕӝі</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іѕӝї</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ĂʍƃɨɽǉɨȢʰ</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іѕӸ</w:t>
      </w:r>
      <w:r>
        <w:rPr>
          <w:rFonts w:ascii="Arial" w:cs="Arial" w:eastAsia="Arial" w:hAnsi="Arial"/>
          <w:sz w:val="18"/>
          <w:szCs w:val="18"/>
          <w:color w:val="auto"/>
        </w:rPr>
        <w:t>Ă</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0"/>
          <w:szCs w:val="10"/>
          <w:color w:val="auto"/>
        </w:rPr>
        <w:t xml:space="preserve"> </w:t>
      </w:r>
      <w:r>
        <w:rPr>
          <w:rFonts w:ascii="Arial" w:cs="Arial" w:eastAsia="Arial" w:hAnsi="Arial"/>
          <w:sz w:val="18"/>
          <w:szCs w:val="18"/>
          <w:color w:val="auto"/>
        </w:rPr>
        <w:t>ÝƺɽɁƹǉɨ</w:t>
      </w:r>
      <w:r>
        <w:rPr>
          <w:rFonts w:ascii="PMingLiU" w:cs="PMingLiU" w:eastAsia="PMingLiU" w:hAnsi="PMingLiU"/>
          <w:sz w:val="18"/>
          <w:szCs w:val="18"/>
          <w:color w:val="auto"/>
        </w:rPr>
        <w:t/>
      </w:r>
      <w:r>
        <w:rPr>
          <w:rFonts w:ascii="Arial" w:cs="Arial" w:eastAsia="Arial" w:hAnsi="Arial"/>
          <w:sz w:val="18"/>
          <w:szCs w:val="18"/>
          <w:color w:val="auto"/>
        </w:rPr>
        <w:t>јіӗ</w:t>
      </w:r>
      <w:r>
        <w:rPr>
          <w:rFonts w:ascii="PMingLiU" w:cs="PMingLiU" w:eastAsia="PMingLiU" w:hAnsi="PMingLiU"/>
          <w:sz w:val="18"/>
          <w:szCs w:val="18"/>
          <w:color w:val="auto"/>
        </w:rPr>
        <w:t/>
      </w:r>
      <w:r>
        <w:rPr>
          <w:rFonts w:ascii="Arial" w:cs="Arial" w:eastAsia="Arial" w:hAnsi="Arial"/>
          <w:sz w:val="18"/>
          <w:szCs w:val="18"/>
          <w:color w:val="auto"/>
        </w:rPr>
        <w:t>їѕїњ</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68" w:lineRule="exact"/>
        <w:rPr>
          <w:sz w:val="20"/>
          <w:szCs w:val="20"/>
          <w:color w:val="auto"/>
        </w:rPr>
      </w:pPr>
    </w:p>
    <w:p>
      <w:pPr>
        <w:ind w:left="200" w:hanging="200"/>
        <w:spacing w:after="0" w:line="219" w:lineRule="exact"/>
        <w:tabs>
          <w:tab w:leader="none" w:pos="200" w:val="left"/>
        </w:tabs>
        <w:numPr>
          <w:ilvl w:val="0"/>
          <w:numId w:val="34"/>
        </w:numPr>
        <w:rPr>
          <w:rFonts w:ascii="Arial" w:cs="Arial" w:eastAsia="Arial" w:hAnsi="Arial"/>
          <w:sz w:val="10"/>
          <w:szCs w:val="10"/>
          <w:color w:val="auto"/>
        </w:rPr>
      </w:pPr>
      <w:r>
        <w:rPr>
          <w:rFonts w:ascii="PMingLiU" w:cs="PMingLiU" w:eastAsia="PMingLiU" w:hAnsi="PMingLiU"/>
          <w:sz w:val="18"/>
          <w:szCs w:val="18"/>
          <w:color w:val="auto"/>
        </w:rPr>
        <w:t></w:t>
      </w:r>
      <w:r>
        <w:rPr>
          <w:rFonts w:ascii="Arial" w:cs="Arial" w:eastAsia="Arial" w:hAnsi="Arial"/>
          <w:sz w:val="18"/>
          <w:szCs w:val="18"/>
          <w:color w:val="auto"/>
        </w:rPr>
        <w:t>ȶƺɁɨɥɁɨƃɽǉǁ</w:t>
      </w:r>
      <w:r>
        <w:rPr>
          <w:rFonts w:ascii="PMingLiU" w:cs="PMingLiU" w:eastAsia="PMingLiU" w:hAnsi="PMingLiU"/>
          <w:sz w:val="18"/>
          <w:szCs w:val="18"/>
          <w:color w:val="auto"/>
        </w:rPr>
        <w:t/>
      </w:r>
      <w:r>
        <w:rPr>
          <w:rFonts w:ascii="Arial" w:cs="Arial" w:eastAsia="Arial" w:hAnsi="Arial"/>
          <w:sz w:val="18"/>
          <w:szCs w:val="18"/>
          <w:color w:val="auto"/>
        </w:rPr>
        <w:t>ȃǉɨǉȈȶ</w:t>
      </w:r>
      <w:r>
        <w:rPr>
          <w:rFonts w:ascii="PMingLiU" w:cs="PMingLiU" w:eastAsia="PMingLiU" w:hAnsi="PMingLiU"/>
          <w:sz w:val="18"/>
          <w:szCs w:val="18"/>
          <w:color w:val="auto"/>
        </w:rPr>
        <w:t/>
      </w:r>
      <w:r>
        <w:rPr>
          <w:rFonts w:ascii="Arial" w:cs="Arial" w:eastAsia="Arial" w:hAnsi="Arial"/>
          <w:sz w:val="18"/>
          <w:szCs w:val="18"/>
          <w:color w:val="auto"/>
        </w:rPr>
        <w:t>ƹʰ</w:t>
      </w:r>
      <w:r>
        <w:rPr>
          <w:rFonts w:ascii="PMingLiU" w:cs="PMingLiU" w:eastAsia="PMingLiU" w:hAnsi="PMingLiU"/>
          <w:sz w:val="18"/>
          <w:szCs w:val="18"/>
          <w:color w:val="auto"/>
        </w:rPr>
        <w:t/>
      </w:r>
      <w:r>
        <w:rPr>
          <w:rFonts w:ascii="Arial" w:cs="Arial" w:eastAsia="Arial" w:hAnsi="Arial"/>
          <w:sz w:val="18"/>
          <w:szCs w:val="18"/>
          <w:color w:val="auto"/>
        </w:rPr>
        <w:t>ɨǉǹǉɨǉȶƺǉ</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KʯȃȈƹȈɽ</w:t>
      </w:r>
      <w:r>
        <w:rPr>
          <w:rFonts w:ascii="PMingLiU" w:cs="PMingLiU" w:eastAsia="PMingLiU" w:hAnsi="PMingLiU"/>
          <w:sz w:val="18"/>
          <w:szCs w:val="18"/>
          <w:color w:val="auto"/>
        </w:rPr>
        <w:t/>
      </w:r>
      <w:r>
        <w:rPr>
          <w:rFonts w:ascii="Arial" w:cs="Arial" w:eastAsia="Arial" w:hAnsi="Arial"/>
          <w:sz w:val="18"/>
          <w:szCs w:val="18"/>
          <w:color w:val="auto"/>
        </w:rPr>
        <w:t>ўќӝі</w:t>
      </w:r>
      <w:r>
        <w:rPr>
          <w:rFonts w:ascii="PMingLiU" w:cs="PMingLiU" w:eastAsia="PMingLiU" w:hAnsi="PMingLiU"/>
          <w:sz w:val="18"/>
          <w:szCs w:val="18"/>
          <w:color w:val="auto"/>
        </w:rPr>
        <w:t/>
      </w:r>
      <w:r>
        <w:rPr>
          <w:rFonts w:ascii="Arial" w:cs="Arial" w:eastAsia="Arial" w:hAnsi="Arial"/>
          <w:sz w:val="18"/>
          <w:szCs w:val="18"/>
          <w:color w:val="auto"/>
        </w:rPr>
        <w:t>ɽɁ</w:t>
      </w:r>
      <w:r>
        <w:rPr>
          <w:rFonts w:ascii="PMingLiU" w:cs="PMingLiU" w:eastAsia="PMingLiU" w:hAnsi="PMingLiU"/>
          <w:sz w:val="18"/>
          <w:szCs w:val="18"/>
          <w:color w:val="auto"/>
        </w:rPr>
        <w:t/>
      </w:r>
      <w:r>
        <w:rPr>
          <w:rFonts w:ascii="Arial" w:cs="Arial" w:eastAsia="Arial" w:hAnsi="Arial"/>
          <w:sz w:val="18"/>
          <w:szCs w:val="18"/>
          <w:color w:val="auto"/>
        </w:rPr>
        <w:t>ɽȃǉ</w:t>
      </w:r>
      <w:r>
        <w:rPr>
          <w:rFonts w:ascii="PMingLiU" w:cs="PMingLiU" w:eastAsia="PMingLiU" w:hAnsi="PMingLiU"/>
          <w:sz w:val="18"/>
          <w:szCs w:val="18"/>
          <w:color w:val="auto"/>
        </w:rPr>
        <w:t/>
      </w:r>
      <w:r>
        <w:rPr>
          <w:rFonts w:ascii="Arial" w:cs="Arial" w:eastAsia="Arial" w:hAnsi="Arial"/>
          <w:sz w:val="18"/>
          <w:szCs w:val="18"/>
          <w:color w:val="auto"/>
        </w:rPr>
        <w:t>:Ɂȴɥƃȶʰԇɰ</w:t>
      </w:r>
      <w:r>
        <w:rPr>
          <w:rFonts w:ascii="PMingLiU" w:cs="PMingLiU" w:eastAsia="PMingLiU" w:hAnsi="PMingLiU"/>
          <w:sz w:val="18"/>
          <w:szCs w:val="18"/>
          <w:color w:val="auto"/>
        </w:rPr>
        <w:t/>
      </w:r>
      <w:r>
        <w:rPr>
          <w:rFonts w:ascii="Arial" w:cs="Arial" w:eastAsia="Arial" w:hAnsi="Arial"/>
          <w:sz w:val="18"/>
          <w:szCs w:val="18"/>
          <w:color w:val="auto"/>
        </w:rPr>
        <w:t>ȶȶʍƃȢ</w:t>
      </w:r>
      <w:r>
        <w:rPr>
          <w:rFonts w:ascii="PMingLiU" w:cs="PMingLiU" w:eastAsia="PMingLiU" w:hAnsi="PMingLiU"/>
          <w:sz w:val="18"/>
          <w:szCs w:val="18"/>
          <w:color w:val="auto"/>
        </w:rPr>
        <w:t/>
      </w:r>
      <w:r>
        <w:rPr>
          <w:rFonts w:ascii="Arial" w:cs="Arial" w:eastAsia="Arial" w:hAnsi="Arial"/>
          <w:sz w:val="18"/>
          <w:szCs w:val="18"/>
          <w:color w:val="auto"/>
        </w:rPr>
        <w:t>ĄǉɥɁɨɽ</w:t>
      </w:r>
      <w:r>
        <w:rPr>
          <w:rFonts w:ascii="PMingLiU" w:cs="PMingLiU" w:eastAsia="PMingLiU" w:hAnsi="PMingLiU"/>
          <w:sz w:val="18"/>
          <w:szCs w:val="18"/>
          <w:color w:val="auto"/>
        </w:rPr>
        <w:t/>
      </w:r>
      <w:r>
        <w:rPr>
          <w:rFonts w:ascii="Arial" w:cs="Arial" w:eastAsia="Arial" w:hAnsi="Arial"/>
          <w:sz w:val="18"/>
          <w:szCs w:val="18"/>
          <w:color w:val="auto"/>
        </w:rPr>
        <w:t>Ɂȶ</w:t>
      </w:r>
      <w:r>
        <w:rPr>
          <w:rFonts w:ascii="PMingLiU" w:cs="PMingLiU" w:eastAsia="PMingLiU" w:hAnsi="PMingLiU"/>
          <w:sz w:val="18"/>
          <w:szCs w:val="18"/>
          <w:color w:val="auto"/>
        </w:rPr>
        <w:t/>
      </w:r>
      <w:r>
        <w:rPr>
          <w:rFonts w:ascii="Arial" w:cs="Arial" w:eastAsia="Arial" w:hAnsi="Arial"/>
          <w:sz w:val="18"/>
          <w:szCs w:val="18"/>
          <w:color w:val="auto"/>
        </w:rPr>
        <w:t>yɁɨȴ</w:t>
      </w:r>
      <w:r>
        <w:rPr>
          <w:rFonts w:ascii="PMingLiU" w:cs="PMingLiU" w:eastAsia="PMingLiU" w:hAnsi="PMingLiU"/>
          <w:sz w:val="18"/>
          <w:szCs w:val="18"/>
          <w:color w:val="auto"/>
        </w:rPr>
        <w:t/>
      </w:r>
      <w:r>
        <w:rPr>
          <w:rFonts w:ascii="Arial" w:cs="Arial" w:eastAsia="Arial" w:hAnsi="Arial"/>
          <w:sz w:val="18"/>
          <w:szCs w:val="18"/>
          <w:color w:val="auto"/>
        </w:rPr>
        <w:t>іѕӸ</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ˎȢǉǁ</w:t>
      </w:r>
      <w:r>
        <w:rPr>
          <w:rFonts w:ascii="PMingLiU" w:cs="PMingLiU" w:eastAsia="PMingLiU" w:hAnsi="PMingLiU"/>
          <w:sz w:val="18"/>
          <w:szCs w:val="18"/>
          <w:color w:val="auto"/>
        </w:rPr>
        <w:t/>
      </w:r>
      <w:r>
        <w:rPr>
          <w:rFonts w:ascii="Arial" w:cs="Arial" w:eastAsia="Arial" w:hAnsi="Arial"/>
          <w:sz w:val="18"/>
          <w:szCs w:val="18"/>
          <w:color w:val="auto"/>
        </w:rPr>
        <w:t>yǉƹɨʍƃɨʰ</w:t>
      </w:r>
      <w:r>
        <w:rPr>
          <w:rFonts w:ascii="PMingLiU" w:cs="PMingLiU" w:eastAsia="PMingLiU" w:hAnsi="PMingLiU"/>
          <w:sz w:val="18"/>
          <w:szCs w:val="18"/>
          <w:color w:val="auto"/>
        </w:rPr>
        <w:t/>
      </w:r>
      <w:r>
        <w:rPr>
          <w:rFonts w:ascii="Arial" w:cs="Arial" w:eastAsia="Arial" w:hAnsi="Arial"/>
          <w:sz w:val="18"/>
          <w:szCs w:val="18"/>
          <w:color w:val="auto"/>
        </w:rPr>
        <w:t>їїӗ</w:t>
      </w:r>
      <w:r>
        <w:rPr>
          <w:rFonts w:ascii="PMingLiU" w:cs="PMingLiU" w:eastAsia="PMingLiU" w:hAnsi="PMingLiU"/>
          <w:sz w:val="18"/>
          <w:szCs w:val="18"/>
          <w:color w:val="auto"/>
        </w:rPr>
        <w:t/>
      </w:r>
    </w:p>
    <w:p>
      <w:pPr>
        <w:spacing w:after="0" w:line="25" w:lineRule="exact"/>
        <w:rPr>
          <w:rFonts w:ascii="Arial" w:cs="Arial" w:eastAsia="Arial" w:hAnsi="Arial"/>
          <w:sz w:val="10"/>
          <w:szCs w:val="10"/>
          <w:color w:val="auto"/>
        </w:rPr>
      </w:pPr>
    </w:p>
    <w:p>
      <w:pPr>
        <w:ind w:left="200"/>
        <w:spacing w:after="0" w:line="219" w:lineRule="exact"/>
        <w:rPr>
          <w:rFonts w:ascii="Arial" w:cs="Arial" w:eastAsia="Arial" w:hAnsi="Arial"/>
          <w:sz w:val="10"/>
          <w:szCs w:val="10"/>
          <w:color w:val="auto"/>
        </w:rPr>
      </w:pPr>
      <w:r>
        <w:rPr>
          <w:rFonts w:ascii="Arial" w:cs="Arial" w:eastAsia="Arial" w:hAnsi="Arial"/>
          <w:sz w:val="18"/>
          <w:szCs w:val="18"/>
          <w:color w:val="auto"/>
        </w:rPr>
        <w:t>їѕїљ</w:t>
      </w:r>
      <w:r>
        <w:rPr>
          <w:rFonts w:ascii="PMingLiU" w:cs="PMingLiU" w:eastAsia="PMingLiU" w:hAnsi="PMingLiU"/>
          <w:sz w:val="18"/>
          <w:szCs w:val="18"/>
          <w:color w:val="auto"/>
        </w:rPr>
        <w:t/>
      </w:r>
      <w:r>
        <w:rPr>
          <w:rFonts w:ascii="Arial" w:cs="Arial" w:eastAsia="Arial" w:hAnsi="Arial"/>
          <w:sz w:val="18"/>
          <w:szCs w:val="18"/>
          <w:color w:val="auto"/>
        </w:rPr>
        <w:t>ӯ</w:t>
      </w:r>
      <w:r>
        <w:rPr>
          <w:rFonts w:ascii="Arial" w:cs="Arial" w:eastAsia="Arial" w:hAnsi="Arial"/>
          <w:sz w:val="18"/>
          <w:szCs w:val="18"/>
          <w:color w:val="auto"/>
        </w:rPr>
        <w:t>ˎȢǉ</w:t>
      </w:r>
      <w:r>
        <w:rPr>
          <w:rFonts w:ascii="PMingLiU" w:cs="PMingLiU" w:eastAsia="PMingLiU" w:hAnsi="PMingLiU"/>
          <w:sz w:val="18"/>
          <w:szCs w:val="18"/>
          <w:color w:val="auto"/>
        </w:rPr>
        <w:t/>
      </w:r>
      <w:r>
        <w:rPr>
          <w:rFonts w:ascii="Arial" w:cs="Arial" w:eastAsia="Arial" w:hAnsi="Arial"/>
          <w:sz w:val="18"/>
          <w:szCs w:val="18"/>
          <w:color w:val="auto"/>
        </w:rPr>
        <w:t>ȶɁ</w:t>
      </w:r>
      <w:r>
        <w:rPr>
          <w:rFonts w:ascii="Arial" w:cs="Arial" w:eastAsia="Arial" w:hAnsi="Arial"/>
          <w:sz w:val="18"/>
          <w:szCs w:val="18"/>
          <w:color w:val="auto"/>
        </w:rPr>
        <w:t>ӝ</w:t>
      </w:r>
      <w:r>
        <w:rPr>
          <w:rFonts w:ascii="PMingLiU" w:cs="PMingLiU" w:eastAsia="PMingLiU" w:hAnsi="PMingLiU"/>
          <w:sz w:val="18"/>
          <w:szCs w:val="18"/>
          <w:color w:val="auto"/>
        </w:rPr>
        <w:t/>
      </w:r>
      <w:r>
        <w:rPr>
          <w:rFonts w:ascii="Arial" w:cs="Arial" w:eastAsia="Arial" w:hAnsi="Arial"/>
          <w:sz w:val="18"/>
          <w:szCs w:val="18"/>
          <w:color w:val="auto"/>
        </w:rPr>
        <w:t>іӸіїїќјӰӝ</w:t>
      </w:r>
    </w:p>
    <w:p>
      <w:pPr>
        <w:spacing w:after="0" w:line="204" w:lineRule="exact"/>
        <w:rPr>
          <w:sz w:val="20"/>
          <w:szCs w:val="20"/>
          <w:color w:val="auto"/>
        </w:rPr>
      </w:pPr>
    </w:p>
    <w:p>
      <w:pPr>
        <w:spacing w:after="0" w:line="291" w:lineRule="exact"/>
        <w:rPr>
          <w:sz w:val="20"/>
          <w:szCs w:val="20"/>
          <w:color w:val="auto"/>
        </w:rPr>
      </w:pPr>
      <w:r>
        <w:rPr>
          <w:rFonts w:ascii="PMingLiU" w:cs="PMingLiU" w:eastAsia="PMingLiU" w:hAnsi="PMingLiU"/>
          <w:sz w:val="24"/>
          <w:szCs w:val="24"/>
          <w:color w:val="000041"/>
        </w:rPr>
        <w:t></w:t>
      </w:r>
      <w:r>
        <w:rPr>
          <w:rFonts w:ascii="Arial" w:cs="Arial" w:eastAsia="Arial" w:hAnsi="Arial"/>
          <w:sz w:val="24"/>
          <w:szCs w:val="24"/>
          <w:color w:val="000041"/>
        </w:rPr>
        <w:t>ěKÃ</w:t>
      </w:r>
      <w:r>
        <w:rPr>
          <w:rFonts w:ascii="PMingLiU" w:cs="PMingLiU" w:eastAsia="PMingLiU" w:hAnsi="PMingLiU"/>
          <w:sz w:val="24"/>
          <w:szCs w:val="24"/>
          <w:color w:val="000041"/>
        </w:rPr>
        <w:t/>
      </w:r>
      <w:r>
        <w:rPr>
          <w:rFonts w:ascii="Arial" w:cs="Arial" w:eastAsia="Arial" w:hAnsi="Arial"/>
          <w:sz w:val="24"/>
          <w:szCs w:val="24"/>
          <w:color w:val="000041"/>
        </w:rPr>
        <w:t>іћ</w:t>
      </w:r>
      <w:r>
        <w:rPr>
          <w:rFonts w:ascii="PMingLiU" w:cs="PMingLiU" w:eastAsia="PMingLiU" w:hAnsi="PMingLiU"/>
          <w:sz w:val="24"/>
          <w:szCs w:val="24"/>
          <w:color w:val="000041"/>
        </w:rPr>
        <w:t/>
      </w:r>
      <w:r>
        <w:rPr>
          <w:rFonts w:ascii="Arial" w:cs="Arial" w:eastAsia="Arial" w:hAnsi="Arial"/>
          <w:sz w:val="24"/>
          <w:szCs w:val="24"/>
          <w:color w:val="000041"/>
        </w:rPr>
        <w:t>յ</w:t>
      </w:r>
      <w:r>
        <w:rPr>
          <w:rFonts w:ascii="PMingLiU" w:cs="PMingLiU" w:eastAsia="PMingLiU" w:hAnsi="PMingLiU"/>
          <w:sz w:val="24"/>
          <w:szCs w:val="24"/>
          <w:color w:val="000041"/>
        </w:rPr>
        <w:t/>
      </w:r>
      <w:r>
        <w:rPr>
          <w:rFonts w:ascii="Arial" w:cs="Arial" w:eastAsia="Arial" w:hAnsi="Arial"/>
          <w:sz w:val="24"/>
          <w:szCs w:val="24"/>
          <w:color w:val="000041"/>
        </w:rPr>
        <w:t>yÝĄÃ</w:t>
      </w:r>
      <w:r>
        <w:rPr>
          <w:rFonts w:ascii="PMingLiU" w:cs="PMingLiU" w:eastAsia="PMingLiU" w:hAnsi="PMingLiU"/>
          <w:sz w:val="24"/>
          <w:szCs w:val="24"/>
          <w:color w:val="000041"/>
        </w:rPr>
        <w:t/>
      </w:r>
      <w:r>
        <w:rPr>
          <w:rFonts w:ascii="Arial" w:cs="Arial" w:eastAsia="Arial" w:hAnsi="Arial"/>
          <w:sz w:val="24"/>
          <w:szCs w:val="24"/>
          <w:color w:val="000041"/>
        </w:rPr>
        <w:t>іѕӳ</w:t>
      </w:r>
      <w:r>
        <w:rPr>
          <w:rFonts w:ascii="Arial" w:cs="Arial" w:eastAsia="Arial" w:hAnsi="Arial"/>
          <w:sz w:val="24"/>
          <w:szCs w:val="24"/>
          <w:color w:val="000041"/>
        </w:rPr>
        <w:t>¶</w:t>
      </w:r>
      <w:r>
        <w:rPr>
          <w:rFonts w:ascii="PMingLiU" w:cs="PMingLiU" w:eastAsia="PMingLiU" w:hAnsi="PMingLiU"/>
          <w:sz w:val="24"/>
          <w:szCs w:val="24"/>
          <w:color w:val="000041"/>
        </w:rPr>
        <w:t/>
      </w:r>
      <w:r>
        <w:rPr>
          <w:rFonts w:ascii="Arial" w:cs="Arial" w:eastAsia="Arial" w:hAnsi="Arial"/>
          <w:sz w:val="24"/>
          <w:szCs w:val="24"/>
          <w:color w:val="000041"/>
        </w:rPr>
        <w:t>ČĩÃÃ</w:t>
      </w:r>
      <w:r>
        <w:rPr>
          <w:rFonts w:ascii="PMingLiU" w:cs="PMingLiU" w:eastAsia="PMingLiU" w:hAnsi="PMingLiU"/>
          <w:sz w:val="24"/>
          <w:szCs w:val="24"/>
          <w:color w:val="000041"/>
        </w:rPr>
        <w:t/>
      </w:r>
      <w:r>
        <w:rPr>
          <w:rFonts w:ascii="Arial" w:cs="Arial" w:eastAsia="Arial" w:hAnsi="Arial"/>
          <w:sz w:val="24"/>
          <w:szCs w:val="24"/>
          <w:color w:val="000041"/>
        </w:rPr>
        <w:t>Ąť</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2240" w:h="15840" w:orient="portrait"/>
          <w:cols w:equalWidth="0" w:num="1">
            <w:col w:w="10360"/>
          </w:cols>
          <w:pgMar w:left="960" w:top="935" w:right="92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500"/>
        <w:spacing w:after="0" w:line="146" w:lineRule="exact"/>
        <w:tabs>
          <w:tab w:leader="none" w:pos="1014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2"/>
          <w:szCs w:val="12"/>
          <w:color w:val="auto"/>
        </w:rPr>
        <w:t>69</w:t>
      </w:r>
    </w:p>
    <w:p>
      <w:pPr>
        <w:sectPr>
          <w:pgSz w:w="12240" w:h="15840" w:orient="portrait"/>
          <w:cols w:equalWidth="0" w:num="1">
            <w:col w:w="10360"/>
          </w:cols>
          <w:pgMar w:left="960" w:top="935" w:right="920" w:bottom="90" w:gutter="0" w:footer="0" w:header="0"/>
          <w:type w:val="continuous"/>
        </w:sectPr>
      </w:pPr>
    </w:p>
    <w:bookmarkStart w:id="71" w:name="page72"/>
    <w:bookmarkEnd w:id="71"/>
    <w:p>
      <w:pPr>
        <w:spacing w:after="0"/>
        <w:rPr>
          <w:sz w:val="20"/>
          <w:szCs w:val="20"/>
          <w:color w:val="auto"/>
        </w:rPr>
      </w:pPr>
      <w:r>
        <w:rPr>
          <w:rFonts w:ascii="Arial" w:cs="Arial" w:eastAsia="Arial" w:hAnsi="Arial"/>
          <w:sz w:val="24"/>
          <w:szCs w:val="24"/>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SIGNATURES</w:t>
      </w:r>
    </w:p>
    <w:p>
      <w:pPr>
        <w:spacing w:after="0" w:line="128" w:lineRule="exact"/>
        <w:rPr>
          <w:sz w:val="20"/>
          <w:szCs w:val="20"/>
          <w:color w:val="auto"/>
        </w:rPr>
      </w:pPr>
    </w:p>
    <w:p>
      <w:pPr>
        <w:ind w:right="20"/>
        <w:spacing w:after="0" w:line="31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ROPER TECHNOLOGIES,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By: /s/ L. Neil Hunn</w:t>
      </w:r>
    </w:p>
    <w:p>
      <w:pPr>
        <w:spacing w:after="0" w:line="55" w:lineRule="exact"/>
        <w:rPr>
          <w:sz w:val="20"/>
          <w:szCs w:val="20"/>
          <w:color w:val="auto"/>
        </w:rPr>
      </w:pPr>
    </w:p>
    <w:p>
      <w:pPr>
        <w:ind w:left="340"/>
        <w:spacing w:after="0"/>
        <w:tabs>
          <w:tab w:leader="none" w:pos="8740" w:val="left"/>
        </w:tabs>
        <w:rPr>
          <w:sz w:val="20"/>
          <w:szCs w:val="20"/>
          <w:color w:val="auto"/>
        </w:rPr>
      </w:pPr>
      <w:r>
        <w:rPr>
          <w:rFonts w:ascii="Arial" w:cs="Arial" w:eastAsia="Arial" w:hAnsi="Arial"/>
          <w:sz w:val="18"/>
          <w:szCs w:val="18"/>
          <w:color w:val="auto"/>
        </w:rPr>
        <w:t>L. Neil Hunn, President and Chief Executive Officer</w:t>
      </w:r>
      <w:r>
        <w:rPr>
          <w:sz w:val="20"/>
          <w:szCs w:val="20"/>
          <w:color w:val="auto"/>
        </w:rPr>
        <w:tab/>
      </w:r>
      <w:r>
        <w:rPr>
          <w:rFonts w:ascii="Arial" w:cs="Arial" w:eastAsia="Arial" w:hAnsi="Arial"/>
          <w:sz w:val="18"/>
          <w:szCs w:val="18"/>
          <w:color w:val="auto"/>
        </w:rPr>
        <w:t>February 24, 2026</w:t>
      </w:r>
    </w:p>
    <w:p>
      <w:pPr>
        <w:spacing w:after="0" w:line="120" w:lineRule="exact"/>
        <w:rPr>
          <w:sz w:val="20"/>
          <w:szCs w:val="20"/>
          <w:color w:val="auto"/>
        </w:rPr>
      </w:pPr>
    </w:p>
    <w:p>
      <w:pPr>
        <w:ind w:right="20"/>
        <w:spacing w:after="0" w:line="31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L. NEIL HUNN</w:t>
            </w:r>
          </w:p>
        </w:tc>
        <w:tc>
          <w:tcPr>
            <w:tcW w:w="1200" w:type="dxa"/>
            <w:vAlign w:val="bottom"/>
            <w:tcBorders>
              <w:bottom w:val="single" w:sz="8" w:color="000041"/>
            </w:tcBorders>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Borders>
              <w:bottom w:val="single" w:sz="8" w:color="000041"/>
            </w:tcBorders>
          </w:tcPr>
          <w:p>
            <w:pPr>
              <w:spacing w:after="0"/>
              <w:rPr>
                <w:sz w:val="23"/>
                <w:szCs w:val="23"/>
                <w:color w:val="auto"/>
              </w:rPr>
            </w:pPr>
          </w:p>
        </w:tc>
        <w:tc>
          <w:tcPr>
            <w:tcW w:w="1880" w:type="dxa"/>
            <w:vAlign w:val="bottom"/>
            <w:tcBorders>
              <w:bottom w:val="single" w:sz="8" w:color="000041"/>
            </w:tcBorders>
          </w:tcPr>
          <w:p>
            <w:pPr>
              <w:spacing w:after="0"/>
              <w:rPr>
                <w:sz w:val="23"/>
                <w:szCs w:val="23"/>
                <w:color w:val="auto"/>
              </w:rPr>
            </w:pPr>
          </w:p>
        </w:tc>
      </w:tr>
      <w:tr>
        <w:trPr>
          <w:trHeight w:val="247"/>
        </w:trPr>
        <w:tc>
          <w:tcPr>
            <w:tcW w:w="3500" w:type="dxa"/>
            <w:vAlign w:val="bottom"/>
          </w:tcPr>
          <w:p>
            <w:pPr>
              <w:spacing w:after="0"/>
              <w:rPr>
                <w:sz w:val="20"/>
                <w:szCs w:val="20"/>
                <w:color w:val="auto"/>
              </w:rPr>
            </w:pPr>
            <w:r>
              <w:rPr>
                <w:rFonts w:ascii="Arial" w:cs="Arial" w:eastAsia="Arial" w:hAnsi="Arial"/>
                <w:sz w:val="18"/>
                <w:szCs w:val="18"/>
                <w:color w:val="auto"/>
              </w:rPr>
              <w:t>L. Neil Hunn</w:t>
            </w:r>
          </w:p>
        </w:tc>
        <w:tc>
          <w:tcPr>
            <w:tcW w:w="1200" w:type="dxa"/>
            <w:vAlign w:val="bottom"/>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Pr>
          <w:p>
            <w:pPr>
              <w:ind w:left="240"/>
              <w:spacing w:after="0" w:line="219" w:lineRule="exact"/>
              <w:rPr>
                <w:sz w:val="20"/>
                <w:szCs w:val="20"/>
                <w:color w:val="auto"/>
              </w:rPr>
            </w:pPr>
            <w:r>
              <w:rPr>
                <w:rFonts w:ascii="Arial" w:cs="Arial" w:eastAsia="Arial" w:hAnsi="Arial"/>
                <w:sz w:val="18"/>
                <w:szCs w:val="18"/>
                <w:color w:val="auto"/>
              </w:rPr>
              <w:t>ĀɨǉɰȈǁǉȶɽ</w:t>
            </w:r>
            <w:r>
              <w:rPr>
                <w:rFonts w:ascii="PMingLiU" w:cs="PMingLiU" w:eastAsia="PMingLiU" w:hAnsi="PMingLiU"/>
                <w:sz w:val="18"/>
                <w:szCs w:val="18"/>
                <w:color w:val="auto"/>
              </w:rPr>
              <w:t/>
            </w:r>
            <w:r>
              <w:rPr>
                <w:rFonts w:ascii="Arial" w:cs="Arial" w:eastAsia="Arial" w:hAnsi="Arial"/>
                <w:sz w:val="18"/>
                <w:szCs w:val="18"/>
                <w:color w:val="auto"/>
              </w:rPr>
              <w:t>ƃȶǁ</w:t>
            </w:r>
            <w:r>
              <w:rPr>
                <w:rFonts w:ascii="PMingLiU" w:cs="PMingLiU" w:eastAsia="PMingLiU" w:hAnsi="PMingLiU"/>
                <w:sz w:val="18"/>
                <w:szCs w:val="18"/>
                <w:color w:val="auto"/>
              </w:rPr>
              <w:t/>
            </w:r>
            <w:r>
              <w:rPr>
                <w:rFonts w:ascii="Arial" w:cs="Arial" w:eastAsia="Arial" w:hAnsi="Arial"/>
                <w:sz w:val="18"/>
                <w:szCs w:val="18"/>
                <w:color w:val="auto"/>
              </w:rPr>
              <w:t>:ȃȈǉǹ</w:t>
            </w:r>
            <w:r>
              <w:rPr>
                <w:rFonts w:ascii="PMingLiU" w:cs="PMingLiU" w:eastAsia="PMingLiU" w:hAnsi="PMingLiU"/>
                <w:sz w:val="18"/>
                <w:szCs w:val="18"/>
                <w:color w:val="auto"/>
              </w:rPr>
              <w:t/>
            </w:r>
            <w:r>
              <w:rPr>
                <w:rFonts w:ascii="Arial" w:cs="Arial" w:eastAsia="Arial" w:hAnsi="Arial"/>
                <w:sz w:val="18"/>
                <w:szCs w:val="18"/>
                <w:color w:val="auto"/>
              </w:rPr>
              <w:t>KʯǉƺʍɽȈʤǉ</w:t>
            </w:r>
            <w:r>
              <w:rPr>
                <w:rFonts w:ascii="PMingLiU" w:cs="PMingLiU" w:eastAsia="PMingLiU" w:hAnsi="PMingLiU"/>
                <w:sz w:val="18"/>
                <w:szCs w:val="18"/>
                <w:color w:val="auto"/>
              </w:rPr>
              <w:t/>
            </w:r>
            <w:r>
              <w:rPr>
                <w:rFonts w:ascii="Arial" w:cs="Arial" w:eastAsia="Arial" w:hAnsi="Arial"/>
                <w:sz w:val="18"/>
                <w:szCs w:val="18"/>
                <w:color w:val="auto"/>
              </w:rPr>
              <w:t>Ýǹˎƺǉɨ</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262"/>
        </w:trPr>
        <w:tc>
          <w:tcPr>
            <w:tcW w:w="3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760" w:type="dxa"/>
            <w:vAlign w:val="bottom"/>
          </w:tcPr>
          <w:p>
            <w:pPr>
              <w:ind w:left="240"/>
              <w:spacing w:after="0" w:line="219" w:lineRule="exact"/>
              <w:rPr>
                <w:sz w:val="20"/>
                <w:szCs w:val="20"/>
                <w:color w:val="auto"/>
              </w:rPr>
            </w:pPr>
            <w:r>
              <w:rPr>
                <w:rFonts w:ascii="Arial" w:cs="Arial" w:eastAsia="Arial" w:hAnsi="Arial"/>
                <w:sz w:val="18"/>
                <w:szCs w:val="18"/>
                <w:color w:val="auto"/>
              </w:rPr>
              <w:t>ӯ</w:t>
            </w:r>
            <w:r>
              <w:rPr>
                <w:rFonts w:ascii="Arial" w:cs="Arial" w:eastAsia="Arial" w:hAnsi="Arial"/>
                <w:sz w:val="18"/>
                <w:szCs w:val="18"/>
                <w:color w:val="auto"/>
              </w:rPr>
              <w:t>ĀɨȈȶƺȈɥƃȢ</w:t>
            </w:r>
            <w:r>
              <w:rPr>
                <w:rFonts w:ascii="PMingLiU" w:cs="PMingLiU" w:eastAsia="PMingLiU" w:hAnsi="PMingLiU"/>
                <w:sz w:val="18"/>
                <w:szCs w:val="18"/>
                <w:color w:val="auto"/>
              </w:rPr>
              <w:t/>
            </w:r>
            <w:r>
              <w:rPr>
                <w:rFonts w:ascii="Arial" w:cs="Arial" w:eastAsia="Arial" w:hAnsi="Arial"/>
                <w:sz w:val="18"/>
                <w:szCs w:val="18"/>
                <w:color w:val="auto"/>
              </w:rPr>
              <w:t>KʯǉƺʍɽȈʤǉ</w:t>
            </w:r>
            <w:r>
              <w:rPr>
                <w:rFonts w:ascii="PMingLiU" w:cs="PMingLiU" w:eastAsia="PMingLiU" w:hAnsi="PMingLiU"/>
                <w:sz w:val="18"/>
                <w:szCs w:val="18"/>
                <w:color w:val="auto"/>
              </w:rPr>
              <w:t/>
            </w:r>
            <w:r>
              <w:rPr>
                <w:rFonts w:ascii="Arial" w:cs="Arial" w:eastAsia="Arial" w:hAnsi="Arial"/>
                <w:sz w:val="18"/>
                <w:szCs w:val="18"/>
                <w:color w:val="auto"/>
              </w:rPr>
              <w:t>Ýǹˎƺǉɨ</w:t>
            </w:r>
            <w:r>
              <w:rPr>
                <w:rFonts w:ascii="Arial" w:cs="Arial" w:eastAsia="Arial" w:hAnsi="Arial"/>
                <w:sz w:val="18"/>
                <w:szCs w:val="18"/>
                <w:color w:val="auto"/>
              </w:rPr>
              <w:t>Ӱ</w:t>
            </w:r>
          </w:p>
        </w:tc>
        <w:tc>
          <w:tcPr>
            <w:tcW w:w="1880" w:type="dxa"/>
            <w:vAlign w:val="bottom"/>
          </w:tcPr>
          <w:p>
            <w:pPr>
              <w:spacing w:after="0"/>
              <w:rPr>
                <w:sz w:val="22"/>
                <w:szCs w:val="22"/>
                <w:color w:val="auto"/>
              </w:rPr>
            </w:pP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JASON P. CONLEY</w:t>
            </w:r>
          </w:p>
        </w:tc>
        <w:tc>
          <w:tcPr>
            <w:tcW w:w="1200" w:type="dxa"/>
            <w:vAlign w:val="bottom"/>
            <w:tcBorders>
              <w:bottom w:val="single" w:sz="8" w:color="000041"/>
            </w:tcBorders>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46"/>
        </w:trPr>
        <w:tc>
          <w:tcPr>
            <w:tcW w:w="3500" w:type="dxa"/>
            <w:vAlign w:val="bottom"/>
          </w:tcPr>
          <w:p>
            <w:pPr>
              <w:spacing w:after="0"/>
              <w:rPr>
                <w:sz w:val="20"/>
                <w:szCs w:val="20"/>
                <w:color w:val="auto"/>
              </w:rPr>
            </w:pPr>
            <w:r>
              <w:rPr>
                <w:rFonts w:ascii="Arial" w:cs="Arial" w:eastAsia="Arial" w:hAnsi="Arial"/>
                <w:sz w:val="18"/>
                <w:szCs w:val="18"/>
                <w:color w:val="auto"/>
              </w:rPr>
              <w:t>Jason P. Conley</w:t>
            </w:r>
          </w:p>
        </w:tc>
        <w:tc>
          <w:tcPr>
            <w:tcW w:w="1200" w:type="dxa"/>
            <w:vAlign w:val="bottom"/>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Pr>
          <w:p>
            <w:pPr>
              <w:ind w:left="240"/>
              <w:spacing w:after="0"/>
              <w:rPr>
                <w:sz w:val="20"/>
                <w:szCs w:val="20"/>
                <w:color w:val="auto"/>
              </w:rPr>
            </w:pPr>
            <w:r>
              <w:rPr>
                <w:rFonts w:ascii="Arial" w:cs="Arial" w:eastAsia="Arial" w:hAnsi="Arial"/>
                <w:sz w:val="18"/>
                <w:szCs w:val="18"/>
                <w:color w:val="auto"/>
              </w:rPr>
              <w:t>Executive Vice President and</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220"/>
        </w:trPr>
        <w:tc>
          <w:tcPr>
            <w:tcW w:w="3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760" w:type="dxa"/>
            <w:vAlign w:val="bottom"/>
          </w:tcPr>
          <w:p>
            <w:pPr>
              <w:ind w:left="240"/>
              <w:spacing w:after="0" w:line="219" w:lineRule="exact"/>
              <w:rPr>
                <w:sz w:val="20"/>
                <w:szCs w:val="20"/>
                <w:color w:val="auto"/>
              </w:rPr>
            </w:pPr>
            <w:r>
              <w:rPr>
                <w:rFonts w:ascii="Arial" w:cs="Arial" w:eastAsia="Arial" w:hAnsi="Arial"/>
                <w:sz w:val="18"/>
                <w:szCs w:val="18"/>
                <w:color w:val="auto"/>
              </w:rPr>
              <w:t>:ȃȈǉǹ</w:t>
            </w:r>
            <w:r>
              <w:rPr>
                <w:rFonts w:ascii="PMingLiU" w:cs="PMingLiU" w:eastAsia="PMingLiU" w:hAnsi="PMingLiU"/>
                <w:sz w:val="18"/>
                <w:szCs w:val="18"/>
                <w:color w:val="auto"/>
              </w:rPr>
              <w:t/>
            </w:r>
            <w:r>
              <w:rPr>
                <w:rFonts w:ascii="Arial" w:cs="Arial" w:eastAsia="Arial" w:hAnsi="Arial"/>
                <w:sz w:val="18"/>
                <w:szCs w:val="18"/>
                <w:color w:val="auto"/>
              </w:rPr>
              <w:t>yȈȶƃȶƺȈƃȢ</w:t>
            </w:r>
            <w:r>
              <w:rPr>
                <w:rFonts w:ascii="PMingLiU" w:cs="PMingLiU" w:eastAsia="PMingLiU" w:hAnsi="PMingLiU"/>
                <w:sz w:val="18"/>
                <w:szCs w:val="18"/>
                <w:color w:val="auto"/>
              </w:rPr>
              <w:t/>
            </w:r>
            <w:r>
              <w:rPr>
                <w:rFonts w:ascii="Arial" w:cs="Arial" w:eastAsia="Arial" w:hAnsi="Arial"/>
                <w:sz w:val="18"/>
                <w:szCs w:val="18"/>
                <w:color w:val="auto"/>
              </w:rPr>
              <w:t>Ýǹˎƺǉɨ</w:t>
            </w:r>
          </w:p>
        </w:tc>
        <w:tc>
          <w:tcPr>
            <w:tcW w:w="1880" w:type="dxa"/>
            <w:vAlign w:val="bottom"/>
          </w:tcPr>
          <w:p>
            <w:pPr>
              <w:spacing w:after="0"/>
              <w:rPr>
                <w:sz w:val="19"/>
                <w:szCs w:val="19"/>
                <w:color w:val="auto"/>
              </w:rPr>
            </w:pPr>
          </w:p>
        </w:tc>
      </w:tr>
      <w:tr>
        <w:trPr>
          <w:trHeight w:val="262"/>
        </w:trPr>
        <w:tc>
          <w:tcPr>
            <w:tcW w:w="3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760" w:type="dxa"/>
            <w:vAlign w:val="bottom"/>
          </w:tcPr>
          <w:p>
            <w:pPr>
              <w:ind w:left="240"/>
              <w:spacing w:after="0" w:line="219" w:lineRule="exact"/>
              <w:rPr>
                <w:sz w:val="20"/>
                <w:szCs w:val="20"/>
                <w:color w:val="auto"/>
              </w:rPr>
            </w:pPr>
            <w:r>
              <w:rPr>
                <w:rFonts w:ascii="Arial" w:cs="Arial" w:eastAsia="Arial" w:hAnsi="Arial"/>
                <w:sz w:val="18"/>
                <w:szCs w:val="18"/>
                <w:color w:val="auto"/>
              </w:rPr>
              <w:t>ӯ</w:t>
            </w:r>
            <w:r>
              <w:rPr>
                <w:rFonts w:ascii="Arial" w:cs="Arial" w:eastAsia="Arial" w:hAnsi="Arial"/>
                <w:sz w:val="18"/>
                <w:szCs w:val="18"/>
                <w:color w:val="auto"/>
              </w:rPr>
              <w:t>ĀɨȈȶƺȈɥƃȢ</w:t>
            </w:r>
            <w:r>
              <w:rPr>
                <w:rFonts w:ascii="PMingLiU" w:cs="PMingLiU" w:eastAsia="PMingLiU" w:hAnsi="PMingLiU"/>
                <w:sz w:val="18"/>
                <w:szCs w:val="18"/>
                <w:color w:val="auto"/>
              </w:rPr>
              <w:t/>
            </w:r>
            <w:r>
              <w:rPr>
                <w:rFonts w:ascii="Arial" w:cs="Arial" w:eastAsia="Arial" w:hAnsi="Arial"/>
                <w:sz w:val="18"/>
                <w:szCs w:val="18"/>
                <w:color w:val="auto"/>
              </w:rPr>
              <w:t>yȈȶƃȶƺȈƃȢ</w:t>
            </w:r>
            <w:r>
              <w:rPr>
                <w:rFonts w:ascii="PMingLiU" w:cs="PMingLiU" w:eastAsia="PMingLiU" w:hAnsi="PMingLiU"/>
                <w:sz w:val="18"/>
                <w:szCs w:val="18"/>
                <w:color w:val="auto"/>
              </w:rPr>
              <w:t/>
            </w:r>
            <w:r>
              <w:rPr>
                <w:rFonts w:ascii="Arial" w:cs="Arial" w:eastAsia="Arial" w:hAnsi="Arial"/>
                <w:sz w:val="18"/>
                <w:szCs w:val="18"/>
                <w:color w:val="auto"/>
              </w:rPr>
              <w:t>Ýǹˎƺǉɨ</w:t>
            </w:r>
            <w:r>
              <w:rPr>
                <w:rFonts w:ascii="Arial" w:cs="Arial" w:eastAsia="Arial" w:hAnsi="Arial"/>
                <w:sz w:val="18"/>
                <w:szCs w:val="18"/>
                <w:color w:val="auto"/>
              </w:rPr>
              <w:t>Ӱ</w:t>
            </w:r>
          </w:p>
        </w:tc>
        <w:tc>
          <w:tcPr>
            <w:tcW w:w="1880" w:type="dxa"/>
            <w:vAlign w:val="bottom"/>
          </w:tcPr>
          <w:p>
            <w:pPr>
              <w:spacing w:after="0"/>
              <w:rPr>
                <w:sz w:val="22"/>
                <w:szCs w:val="22"/>
                <w:color w:val="auto"/>
              </w:rPr>
            </w:pP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BRANDON CROSS</w:t>
            </w:r>
          </w:p>
        </w:tc>
        <w:tc>
          <w:tcPr>
            <w:tcW w:w="1200" w:type="dxa"/>
            <w:vAlign w:val="bottom"/>
            <w:tcBorders>
              <w:bottom w:val="single" w:sz="8" w:color="000041"/>
            </w:tcBorders>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47"/>
        </w:trPr>
        <w:tc>
          <w:tcPr>
            <w:tcW w:w="3500" w:type="dxa"/>
            <w:vAlign w:val="bottom"/>
          </w:tcPr>
          <w:p>
            <w:pPr>
              <w:spacing w:after="0"/>
              <w:rPr>
                <w:sz w:val="20"/>
                <w:szCs w:val="20"/>
                <w:color w:val="auto"/>
              </w:rPr>
            </w:pPr>
            <w:r>
              <w:rPr>
                <w:rFonts w:ascii="Arial" w:cs="Arial" w:eastAsia="Arial" w:hAnsi="Arial"/>
                <w:sz w:val="18"/>
                <w:szCs w:val="18"/>
                <w:color w:val="auto"/>
              </w:rPr>
              <w:t>Brandon Cross</w:t>
            </w:r>
          </w:p>
        </w:tc>
        <w:tc>
          <w:tcPr>
            <w:tcW w:w="1200" w:type="dxa"/>
            <w:vAlign w:val="bottom"/>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Pr>
          <w:p>
            <w:pPr>
              <w:ind w:left="240"/>
              <w:spacing w:after="0"/>
              <w:rPr>
                <w:sz w:val="20"/>
                <w:szCs w:val="20"/>
                <w:color w:val="auto"/>
              </w:rPr>
            </w:pPr>
            <w:r>
              <w:rPr>
                <w:rFonts w:ascii="Arial" w:cs="Arial" w:eastAsia="Arial" w:hAnsi="Arial"/>
                <w:sz w:val="18"/>
                <w:szCs w:val="18"/>
                <w:color w:val="auto"/>
              </w:rPr>
              <w:t>Vice President and</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220"/>
        </w:trPr>
        <w:tc>
          <w:tcPr>
            <w:tcW w:w="3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Corporate Controller</w:t>
            </w:r>
          </w:p>
        </w:tc>
        <w:tc>
          <w:tcPr>
            <w:tcW w:w="1880" w:type="dxa"/>
            <w:vAlign w:val="bottom"/>
          </w:tcPr>
          <w:p>
            <w:pPr>
              <w:spacing w:after="0"/>
              <w:rPr>
                <w:sz w:val="19"/>
                <w:szCs w:val="19"/>
                <w:color w:val="auto"/>
              </w:rPr>
            </w:pPr>
          </w:p>
        </w:tc>
      </w:tr>
      <w:tr>
        <w:trPr>
          <w:trHeight w:val="262"/>
        </w:trPr>
        <w:tc>
          <w:tcPr>
            <w:tcW w:w="3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760" w:type="dxa"/>
            <w:vAlign w:val="bottom"/>
          </w:tcPr>
          <w:p>
            <w:pPr>
              <w:ind w:left="240"/>
              <w:spacing w:after="0" w:line="219" w:lineRule="exact"/>
              <w:rPr>
                <w:sz w:val="20"/>
                <w:szCs w:val="20"/>
                <w:color w:val="auto"/>
              </w:rPr>
            </w:pPr>
            <w:r>
              <w:rPr>
                <w:rFonts w:ascii="Arial" w:cs="Arial" w:eastAsia="Arial" w:hAnsi="Arial"/>
                <w:sz w:val="18"/>
                <w:szCs w:val="18"/>
                <w:color w:val="auto"/>
              </w:rPr>
              <w:t>ӯ</w:t>
            </w:r>
            <w:r>
              <w:rPr>
                <w:rFonts w:ascii="Arial" w:cs="Arial" w:eastAsia="Arial" w:hAnsi="Arial"/>
                <w:sz w:val="18"/>
                <w:szCs w:val="18"/>
                <w:color w:val="auto"/>
              </w:rPr>
              <w:t>ĀɨȈȶƺȈɥƃȢ</w:t>
            </w:r>
            <w:r>
              <w:rPr>
                <w:rFonts w:ascii="PMingLiU" w:cs="PMingLiU" w:eastAsia="PMingLiU" w:hAnsi="PMingLiU"/>
                <w:sz w:val="18"/>
                <w:szCs w:val="18"/>
                <w:color w:val="auto"/>
              </w:rPr>
              <w:t/>
            </w:r>
            <w:r>
              <w:rPr>
                <w:rFonts w:ascii="Arial" w:cs="Arial" w:eastAsia="Arial" w:hAnsi="Arial"/>
                <w:sz w:val="18"/>
                <w:szCs w:val="18"/>
                <w:color w:val="auto"/>
              </w:rPr>
              <w:t>ƺƺɁʍȶɽȈȶǼ</w:t>
            </w:r>
            <w:r>
              <w:rPr>
                <w:rFonts w:ascii="PMingLiU" w:cs="PMingLiU" w:eastAsia="PMingLiU" w:hAnsi="PMingLiU"/>
                <w:sz w:val="18"/>
                <w:szCs w:val="18"/>
                <w:color w:val="auto"/>
              </w:rPr>
              <w:t/>
            </w:r>
            <w:r>
              <w:rPr>
                <w:rFonts w:ascii="Arial" w:cs="Arial" w:eastAsia="Arial" w:hAnsi="Arial"/>
                <w:sz w:val="18"/>
                <w:szCs w:val="18"/>
                <w:color w:val="auto"/>
              </w:rPr>
              <w:t>Ýǹˎƺǉɨ</w:t>
            </w:r>
            <w:r>
              <w:rPr>
                <w:rFonts w:ascii="Arial" w:cs="Arial" w:eastAsia="Arial" w:hAnsi="Arial"/>
                <w:sz w:val="18"/>
                <w:szCs w:val="18"/>
                <w:color w:val="auto"/>
              </w:rPr>
              <w:t>Ӱ</w:t>
            </w:r>
          </w:p>
        </w:tc>
        <w:tc>
          <w:tcPr>
            <w:tcW w:w="1880" w:type="dxa"/>
            <w:vAlign w:val="bottom"/>
          </w:tcPr>
          <w:p>
            <w:pPr>
              <w:spacing w:after="0"/>
              <w:rPr>
                <w:sz w:val="22"/>
                <w:szCs w:val="22"/>
                <w:color w:val="auto"/>
              </w:rPr>
            </w:pP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AMY WOODS BRINKLEY</w:t>
            </w:r>
          </w:p>
        </w:tc>
        <w:tc>
          <w:tcPr>
            <w:tcW w:w="1200" w:type="dxa"/>
            <w:vAlign w:val="bottom"/>
            <w:tcBorders>
              <w:bottom w:val="single" w:sz="8" w:color="000041"/>
            </w:tcBorders>
          </w:tcPr>
          <w:p>
            <w:pPr>
              <w:spacing w:after="0"/>
              <w:rPr>
                <w:sz w:val="24"/>
                <w:szCs w:val="24"/>
                <w:color w:val="auto"/>
              </w:rPr>
            </w:pP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89"/>
        </w:trPr>
        <w:tc>
          <w:tcPr>
            <w:tcW w:w="3500" w:type="dxa"/>
            <w:vAlign w:val="bottom"/>
          </w:tcPr>
          <w:p>
            <w:pPr>
              <w:spacing w:after="0"/>
              <w:rPr>
                <w:sz w:val="20"/>
                <w:szCs w:val="20"/>
                <w:color w:val="auto"/>
              </w:rPr>
            </w:pPr>
            <w:r>
              <w:rPr>
                <w:rFonts w:ascii="Arial" w:cs="Arial" w:eastAsia="Arial" w:hAnsi="Arial"/>
                <w:sz w:val="18"/>
                <w:szCs w:val="18"/>
                <w:color w:val="auto"/>
              </w:rPr>
              <w:t>Amy Woods Brinkley</w:t>
            </w:r>
          </w:p>
        </w:tc>
        <w:tc>
          <w:tcPr>
            <w:tcW w:w="120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Chair of the Board of Directors</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SHELLYE L. ARCHAMBEAU</w:t>
            </w:r>
          </w:p>
        </w:tc>
        <w:tc>
          <w:tcPr>
            <w:tcW w:w="1200" w:type="dxa"/>
            <w:vAlign w:val="bottom"/>
            <w:tcBorders>
              <w:bottom w:val="single" w:sz="8" w:color="000041"/>
            </w:tcBorders>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89"/>
        </w:trPr>
        <w:tc>
          <w:tcPr>
            <w:tcW w:w="3500" w:type="dxa"/>
            <w:vAlign w:val="bottom"/>
          </w:tcPr>
          <w:p>
            <w:pPr>
              <w:spacing w:after="0"/>
              <w:rPr>
                <w:sz w:val="20"/>
                <w:szCs w:val="20"/>
                <w:color w:val="auto"/>
              </w:rPr>
            </w:pPr>
            <w:r>
              <w:rPr>
                <w:rFonts w:ascii="Arial" w:cs="Arial" w:eastAsia="Arial" w:hAnsi="Arial"/>
                <w:sz w:val="18"/>
                <w:szCs w:val="18"/>
                <w:color w:val="auto"/>
              </w:rPr>
              <w:t>Shellye L. Archambeau</w:t>
            </w:r>
          </w:p>
        </w:tc>
        <w:tc>
          <w:tcPr>
            <w:tcW w:w="1200" w:type="dxa"/>
            <w:vAlign w:val="bottom"/>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IRENE M. ESTEVES</w:t>
            </w:r>
          </w:p>
        </w:tc>
        <w:tc>
          <w:tcPr>
            <w:tcW w:w="1200" w:type="dxa"/>
            <w:vAlign w:val="bottom"/>
            <w:tcBorders>
              <w:bottom w:val="single" w:sz="8" w:color="000041"/>
            </w:tcBorders>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89"/>
        </w:trPr>
        <w:tc>
          <w:tcPr>
            <w:tcW w:w="3500" w:type="dxa"/>
            <w:vAlign w:val="bottom"/>
          </w:tcPr>
          <w:p>
            <w:pPr>
              <w:spacing w:after="0"/>
              <w:rPr>
                <w:sz w:val="20"/>
                <w:szCs w:val="20"/>
                <w:color w:val="auto"/>
              </w:rPr>
            </w:pPr>
            <w:r>
              <w:rPr>
                <w:rFonts w:ascii="Arial" w:cs="Arial" w:eastAsia="Arial" w:hAnsi="Arial"/>
                <w:sz w:val="18"/>
                <w:szCs w:val="18"/>
                <w:color w:val="auto"/>
              </w:rPr>
              <w:t>Irene M. Esteves</w:t>
            </w:r>
          </w:p>
        </w:tc>
        <w:tc>
          <w:tcPr>
            <w:tcW w:w="1200" w:type="dxa"/>
            <w:vAlign w:val="bottom"/>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ROBERT D. JOHNSON</w:t>
            </w:r>
          </w:p>
        </w:tc>
        <w:tc>
          <w:tcPr>
            <w:tcW w:w="1200" w:type="dxa"/>
            <w:vAlign w:val="bottom"/>
            <w:tcBorders>
              <w:bottom w:val="single" w:sz="8" w:color="000041"/>
            </w:tcBorders>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89"/>
        </w:trPr>
        <w:tc>
          <w:tcPr>
            <w:tcW w:w="3500" w:type="dxa"/>
            <w:vAlign w:val="bottom"/>
          </w:tcPr>
          <w:p>
            <w:pPr>
              <w:spacing w:after="0"/>
              <w:rPr>
                <w:sz w:val="20"/>
                <w:szCs w:val="20"/>
                <w:color w:val="auto"/>
              </w:rPr>
            </w:pPr>
            <w:r>
              <w:rPr>
                <w:rFonts w:ascii="Arial" w:cs="Arial" w:eastAsia="Arial" w:hAnsi="Arial"/>
                <w:sz w:val="18"/>
                <w:szCs w:val="18"/>
                <w:color w:val="auto"/>
              </w:rPr>
              <w:t>Robert D. Johnson</w:t>
            </w:r>
          </w:p>
        </w:tc>
        <w:tc>
          <w:tcPr>
            <w:tcW w:w="1200" w:type="dxa"/>
            <w:vAlign w:val="bottom"/>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THOMAS P. JOYCE, JR.</w:t>
            </w:r>
          </w:p>
        </w:tc>
        <w:tc>
          <w:tcPr>
            <w:tcW w:w="1200" w:type="dxa"/>
            <w:vAlign w:val="bottom"/>
            <w:tcBorders>
              <w:bottom w:val="single" w:sz="8" w:color="000041"/>
            </w:tcBorders>
          </w:tcPr>
          <w:p>
            <w:pPr>
              <w:spacing w:after="0"/>
              <w:rPr>
                <w:sz w:val="24"/>
                <w:szCs w:val="24"/>
                <w:color w:val="auto"/>
              </w:rPr>
            </w:pP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89"/>
        </w:trPr>
        <w:tc>
          <w:tcPr>
            <w:tcW w:w="3500" w:type="dxa"/>
            <w:vAlign w:val="bottom"/>
          </w:tcPr>
          <w:p>
            <w:pPr>
              <w:spacing w:after="0"/>
              <w:rPr>
                <w:sz w:val="20"/>
                <w:szCs w:val="20"/>
                <w:color w:val="auto"/>
              </w:rPr>
            </w:pPr>
            <w:r>
              <w:rPr>
                <w:rFonts w:ascii="Arial" w:cs="Arial" w:eastAsia="Arial" w:hAnsi="Arial"/>
                <w:sz w:val="18"/>
                <w:szCs w:val="18"/>
                <w:color w:val="auto"/>
              </w:rPr>
              <w:t>Thomas P. Joyce, Jr.</w:t>
            </w:r>
          </w:p>
        </w:tc>
        <w:tc>
          <w:tcPr>
            <w:tcW w:w="120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JOHN F. MURPHY</w:t>
            </w:r>
          </w:p>
        </w:tc>
        <w:tc>
          <w:tcPr>
            <w:tcW w:w="1200" w:type="dxa"/>
            <w:vAlign w:val="bottom"/>
            <w:tcBorders>
              <w:bottom w:val="single" w:sz="8" w:color="000041"/>
            </w:tcBorders>
          </w:tcPr>
          <w:p>
            <w:pPr>
              <w:spacing w:after="0"/>
              <w:rPr>
                <w:sz w:val="24"/>
                <w:szCs w:val="24"/>
                <w:color w:val="auto"/>
              </w:rPr>
            </w:pP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89"/>
        </w:trPr>
        <w:tc>
          <w:tcPr>
            <w:tcW w:w="3500" w:type="dxa"/>
            <w:vAlign w:val="bottom"/>
          </w:tcPr>
          <w:p>
            <w:pPr>
              <w:spacing w:after="0"/>
              <w:rPr>
                <w:sz w:val="20"/>
                <w:szCs w:val="20"/>
                <w:color w:val="auto"/>
              </w:rPr>
            </w:pPr>
            <w:r>
              <w:rPr>
                <w:rFonts w:ascii="Arial" w:cs="Arial" w:eastAsia="Arial" w:hAnsi="Arial"/>
                <w:sz w:val="18"/>
                <w:szCs w:val="18"/>
                <w:color w:val="auto"/>
              </w:rPr>
              <w:t>John F. Murphy</w:t>
            </w:r>
          </w:p>
        </w:tc>
        <w:tc>
          <w:tcPr>
            <w:tcW w:w="120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LAURA G. THATCHER</w:t>
            </w:r>
          </w:p>
        </w:tc>
        <w:tc>
          <w:tcPr>
            <w:tcW w:w="1200" w:type="dxa"/>
            <w:vAlign w:val="bottom"/>
            <w:tcBorders>
              <w:bottom w:val="single" w:sz="8" w:color="000041"/>
            </w:tcBorders>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89"/>
        </w:trPr>
        <w:tc>
          <w:tcPr>
            <w:tcW w:w="3500" w:type="dxa"/>
            <w:vAlign w:val="bottom"/>
          </w:tcPr>
          <w:p>
            <w:pPr>
              <w:spacing w:after="0"/>
              <w:rPr>
                <w:sz w:val="20"/>
                <w:szCs w:val="20"/>
                <w:color w:val="auto"/>
              </w:rPr>
            </w:pPr>
            <w:r>
              <w:rPr>
                <w:rFonts w:ascii="Arial" w:cs="Arial" w:eastAsia="Arial" w:hAnsi="Arial"/>
                <w:sz w:val="18"/>
                <w:szCs w:val="18"/>
                <w:color w:val="auto"/>
              </w:rPr>
              <w:t>Laura G. Thatcher</w:t>
            </w:r>
          </w:p>
        </w:tc>
        <w:tc>
          <w:tcPr>
            <w:tcW w:w="1200" w:type="dxa"/>
            <w:vAlign w:val="bottom"/>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r>
        <w:trPr>
          <w:trHeight w:val="400"/>
        </w:trPr>
        <w:tc>
          <w:tcPr>
            <w:tcW w:w="350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/s/ RICHARD F. WALLMAN</w:t>
            </w:r>
          </w:p>
        </w:tc>
        <w:tc>
          <w:tcPr>
            <w:tcW w:w="1200" w:type="dxa"/>
            <w:vAlign w:val="bottom"/>
            <w:tcBorders>
              <w:bottom w:val="single" w:sz="8" w:color="000041"/>
            </w:tcBorders>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Borders>
              <w:bottom w:val="single" w:sz="8" w:color="000041"/>
            </w:tcBorders>
          </w:tcPr>
          <w:p>
            <w:pPr>
              <w:spacing w:after="0"/>
              <w:rPr>
                <w:sz w:val="24"/>
                <w:szCs w:val="24"/>
                <w:color w:val="auto"/>
              </w:rPr>
            </w:pPr>
          </w:p>
        </w:tc>
        <w:tc>
          <w:tcPr>
            <w:tcW w:w="1880" w:type="dxa"/>
            <w:vAlign w:val="bottom"/>
            <w:tcBorders>
              <w:bottom w:val="single" w:sz="8" w:color="000041"/>
            </w:tcBorders>
          </w:tcPr>
          <w:p>
            <w:pPr>
              <w:spacing w:after="0"/>
              <w:rPr>
                <w:sz w:val="24"/>
                <w:szCs w:val="24"/>
                <w:color w:val="auto"/>
              </w:rPr>
            </w:pPr>
          </w:p>
        </w:tc>
      </w:tr>
      <w:tr>
        <w:trPr>
          <w:trHeight w:val="289"/>
        </w:trPr>
        <w:tc>
          <w:tcPr>
            <w:tcW w:w="3500" w:type="dxa"/>
            <w:vAlign w:val="bottom"/>
          </w:tcPr>
          <w:p>
            <w:pPr>
              <w:spacing w:after="0"/>
              <w:rPr>
                <w:sz w:val="20"/>
                <w:szCs w:val="20"/>
                <w:color w:val="auto"/>
              </w:rPr>
            </w:pPr>
            <w:r>
              <w:rPr>
                <w:rFonts w:ascii="Arial" w:cs="Arial" w:eastAsia="Arial" w:hAnsi="Arial"/>
                <w:sz w:val="18"/>
                <w:szCs w:val="18"/>
                <w:color w:val="auto"/>
              </w:rPr>
              <w:t>Richard F. Wallman</w:t>
            </w:r>
          </w:p>
        </w:tc>
        <w:tc>
          <w:tcPr>
            <w:tcW w:w="1200" w:type="dxa"/>
            <w:vAlign w:val="bottom"/>
          </w:tcPr>
          <w:p>
            <w:pPr>
              <w:ind w:left="920"/>
              <w:spacing w:after="0"/>
              <w:rPr>
                <w:sz w:val="20"/>
                <w:szCs w:val="20"/>
                <w:color w:val="auto"/>
              </w:rPr>
            </w:pPr>
            <w:r>
              <w:rPr>
                <w:rFonts w:ascii="Arial" w:cs="Arial" w:eastAsia="Arial" w:hAnsi="Arial"/>
                <w:sz w:val="18"/>
                <w:szCs w:val="18"/>
                <w:color w:val="auto"/>
              </w:rPr>
              <w:t>ԝ</w:t>
            </w:r>
          </w:p>
        </w:tc>
        <w:tc>
          <w:tcPr>
            <w:tcW w:w="3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280"/>
              <w:spacing w:after="0"/>
              <w:rPr>
                <w:sz w:val="20"/>
                <w:szCs w:val="20"/>
                <w:color w:val="auto"/>
              </w:rPr>
            </w:pPr>
            <w:r>
              <w:rPr>
                <w:rFonts w:ascii="Arial" w:cs="Arial" w:eastAsia="Arial" w:hAnsi="Arial"/>
                <w:sz w:val="18"/>
                <w:szCs w:val="18"/>
                <w:color w:val="auto"/>
              </w:rPr>
              <w:t>February 24, 2026</w:t>
            </w:r>
          </w:p>
        </w:tc>
      </w:tr>
    </w:tbl>
    <w:p>
      <w:pPr>
        <w:spacing w:after="0" w:line="200" w:lineRule="exact"/>
        <w:rPr>
          <w:sz w:val="20"/>
          <w:szCs w:val="20"/>
          <w:color w:val="auto"/>
        </w:rPr>
      </w:pPr>
    </w:p>
    <w:p>
      <w:pPr>
        <w:sectPr>
          <w:pgSz w:w="12240" w:h="15840" w:orient="portrait"/>
          <w:cols w:equalWidth="0" w:num="1">
            <w:col w:w="10340"/>
          </w:cols>
          <w:pgMar w:left="960" w:top="920" w:right="94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146" w:lineRule="exact"/>
        <w:tabs>
          <w:tab w:leader="none" w:pos="3480" w:val="left"/>
        </w:tabs>
        <w:rPr>
          <w:sz w:val="20"/>
          <w:szCs w:val="20"/>
          <w:color w:val="auto"/>
        </w:rPr>
      </w:pPr>
      <w:r>
        <w:rPr>
          <w:rFonts w:ascii="Arial" w:cs="Arial" w:eastAsia="Arial" w:hAnsi="Arial"/>
          <w:sz w:val="12"/>
          <w:szCs w:val="12"/>
          <w:color w:val="auto"/>
        </w:rPr>
        <w:t>70</w:t>
      </w:r>
      <w:r>
        <w:rPr>
          <w:sz w:val="20"/>
          <w:szCs w:val="20"/>
          <w:color w:val="auto"/>
        </w:rPr>
        <w:tab/>
      </w: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p>
    <w:p>
      <w:pPr>
        <w:sectPr>
          <w:pgSz w:w="12240" w:h="15840" w:orient="portrait"/>
          <w:cols w:equalWidth="0" w:num="1">
            <w:col w:w="10340"/>
          </w:cols>
          <w:pgMar w:left="960" w:top="920" w:right="940" w:bottom="90" w:gutter="0" w:footer="0" w:header="0"/>
          <w:type w:val="continuous"/>
        </w:sectPr>
      </w:pPr>
    </w:p>
    <w:bookmarkStart w:id="72" w:name="page73"/>
    <w:bookmarkEnd w:id="72"/>
    <w:p>
      <w:pPr>
        <w:spacing w:after="0" w:line="291" w:lineRule="exact"/>
        <w:rPr>
          <w:sz w:val="20"/>
          <w:szCs w:val="20"/>
          <w:color w:val="auto"/>
        </w:rPr>
      </w:pPr>
      <w:r>
        <w:rPr>
          <w:rFonts w:ascii="PMingLiU" w:cs="PMingLiU" w:eastAsia="PMingLiU" w:hAnsi="PMingLiU"/>
          <w:sz w:val="24"/>
          <w:szCs w:val="24"/>
          <w:color w:val="00004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
      </w:r>
      <w:r>
        <w:rPr>
          <w:rFonts w:ascii="Arial" w:cs="Arial" w:eastAsia="Arial" w:hAnsi="Arial"/>
          <w:sz w:val="24"/>
          <w:szCs w:val="24"/>
          <w:color w:val="000041"/>
        </w:rPr>
        <w:t>ĀĀKÇA</w:t>
      </w:r>
      <w:r>
        <w:rPr>
          <w:rFonts w:ascii="PMingLiU" w:cs="PMingLiU" w:eastAsia="PMingLiU" w:hAnsi="PMingLiU"/>
          <w:sz w:val="24"/>
          <w:szCs w:val="24"/>
          <w:color w:val="000041"/>
        </w:rPr>
        <w:t></w:t>
      </w:r>
      <w:r>
        <w:rPr>
          <w:rFonts w:ascii="Arial" w:cs="Arial" w:eastAsia="Arial" w:hAnsi="Arial"/>
          <w:sz w:val="24"/>
          <w:szCs w:val="24"/>
          <w:color w:val="000041"/>
        </w:rPr>
        <w:t>Ť</w:t>
      </w:r>
      <w:r>
        <w:rPr>
          <w:rFonts w:ascii="PMingLiU" w:cs="PMingLiU" w:eastAsia="PMingLiU" w:hAnsi="PMingLiU"/>
          <w:sz w:val="24"/>
          <w:szCs w:val="24"/>
          <w:color w:val="000041"/>
        </w:rPr>
        <w:t/>
      </w:r>
      <w:r>
        <w:rPr>
          <w:rFonts w:ascii="Arial" w:cs="Arial" w:eastAsia="Arial" w:hAnsi="Arial"/>
          <w:sz w:val="24"/>
          <w:szCs w:val="24"/>
          <w:color w:val="000041"/>
        </w:rPr>
        <w:t>ӱ</w:t>
      </w:r>
      <w:r>
        <w:rPr>
          <w:rFonts w:ascii="PMingLiU" w:cs="PMingLiU" w:eastAsia="PMingLiU" w:hAnsi="PMingLiU"/>
          <w:sz w:val="24"/>
          <w:szCs w:val="24"/>
          <w:color w:val="000041"/>
        </w:rPr>
        <w:t/>
      </w:r>
      <w:r>
        <w:rPr>
          <w:rFonts w:ascii="Arial" w:cs="Arial" w:eastAsia="Arial" w:hAnsi="Arial"/>
          <w:sz w:val="24"/>
          <w:szCs w:val="24"/>
          <w:b w:val="1"/>
          <w:bCs w:val="1"/>
          <w:color w:val="000041"/>
        </w:rPr>
        <w:t>RECONCILIATIONS</w:t>
      </w:r>
    </w:p>
    <w:p>
      <w:pPr>
        <w:spacing w:after="0" w:line="107" w:lineRule="exact"/>
        <w:rPr>
          <w:sz w:val="20"/>
          <w:szCs w:val="20"/>
          <w:color w:val="auto"/>
        </w:rPr>
      </w:pPr>
    </w:p>
    <w:p>
      <w:pPr>
        <w:ind w:right="5020"/>
        <w:spacing w:after="0" w:line="250" w:lineRule="exact"/>
        <w:rPr>
          <w:sz w:val="20"/>
          <w:szCs w:val="20"/>
          <w:color w:val="auto"/>
        </w:rPr>
      </w:pP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A°ĩČěKA</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ĄKřKÇĩK</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ÇA</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K9</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ěA</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ĄK:ÝÇ:</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ě</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ÝÇ</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ӭ</w:t>
      </w:r>
      <w:r>
        <w:rPr>
          <w:rFonts w:ascii="Arial" w:cs="Arial" w:eastAsia="Arial" w:hAnsi="Arial"/>
          <w:sz w:val="18"/>
          <w:szCs w:val="18"/>
          <w:b w:val="1"/>
          <w:bCs w:val="1"/>
          <w:color w:val="000041"/>
        </w:rPr>
        <w:t>ԤÃ</w:t>
      </w:r>
      <w:r>
        <w:rPr>
          <w:rFonts w:ascii="Arial" w:cs="Arial" w:eastAsia="Arial" w:hAnsi="Arial"/>
          <w:sz w:val="18"/>
          <w:szCs w:val="18"/>
          <w:b w:val="1"/>
          <w:bCs w:val="1"/>
          <w:color w:val="000041"/>
        </w:rPr>
        <w:t>Ӯ</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 xml:space="preserve"> </w:t>
      </w:r>
      <w:r>
        <w:rPr>
          <w:rFonts w:ascii="Arial" w:cs="Arial" w:eastAsia="Arial" w:hAnsi="Arial"/>
          <w:sz w:val="18"/>
          <w:szCs w:val="18"/>
          <w:b w:val="1"/>
          <w:bCs w:val="1"/>
          <w:color w:val="000041"/>
        </w:rPr>
        <w:t>ӭ</w:t>
      </w:r>
      <w:r>
        <w:rPr>
          <w:rFonts w:ascii="Arial" w:cs="Arial" w:eastAsia="Arial" w:hAnsi="Arial"/>
          <w:sz w:val="18"/>
          <w:szCs w:val="18"/>
          <w:b w:val="1"/>
          <w:bCs w:val="1"/>
          <w:color w:val="000041"/>
        </w:rPr>
        <w:t>yĄÝÃ</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:ÝÇě</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Çĩ</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Ç{</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ÝĀKĄ</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ě</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ÝÇČ</w:t>
      </w:r>
      <w:r>
        <w:rPr>
          <w:rFonts w:ascii="Arial" w:cs="Arial" w:eastAsia="Arial" w:hAnsi="Arial"/>
          <w:sz w:val="18"/>
          <w:szCs w:val="18"/>
          <w:b w:val="1"/>
          <w:bCs w:val="1"/>
          <w:color w:val="000041"/>
        </w:rPr>
        <w:t>Ӯ</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FY</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FY</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FY</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V% to</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5yr</w:t>
            </w:r>
          </w:p>
        </w:tc>
      </w:tr>
      <w:tr>
        <w:trPr>
          <w:trHeight w:val="259"/>
        </w:trPr>
        <w:tc>
          <w:tcPr>
            <w:tcW w:w="5860" w:type="dxa"/>
            <w:vAlign w:val="bottom"/>
            <w:tcBorders>
              <w:bottom w:val="single" w:sz="8" w:color="000041"/>
            </w:tcBorders>
          </w:tcPr>
          <w:p>
            <w:pPr>
              <w:spacing w:after="0"/>
              <w:rPr>
                <w:sz w:val="22"/>
                <w:szCs w:val="22"/>
                <w:color w:val="auto"/>
              </w:rPr>
            </w:pPr>
          </w:p>
        </w:tc>
        <w:tc>
          <w:tcPr>
            <w:tcW w:w="160" w:type="dxa"/>
            <w:vAlign w:val="bottom"/>
            <w:tcBorders>
              <w:bottom w:val="single" w:sz="8" w:color="000041"/>
            </w:tcBorders>
          </w:tcPr>
          <w:p>
            <w:pPr>
              <w:spacing w:after="0"/>
              <w:rPr>
                <w:sz w:val="22"/>
                <w:szCs w:val="22"/>
                <w:color w:val="auto"/>
              </w:rPr>
            </w:pP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2024</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2025</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'24</w:t>
            </w:r>
          </w:p>
        </w:tc>
        <w:tc>
          <w:tcPr>
            <w:tcW w:w="78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CAGR</w:t>
            </w:r>
          </w:p>
        </w:tc>
      </w:tr>
      <w:tr>
        <w:trPr>
          <w:trHeight w:val="290"/>
        </w:trPr>
        <w:tc>
          <w:tcPr>
            <w:tcW w:w="5860" w:type="dxa"/>
            <w:vAlign w:val="bottom"/>
          </w:tcPr>
          <w:p>
            <w:pPr>
              <w:spacing w:after="0"/>
              <w:rPr>
                <w:sz w:val="20"/>
                <w:szCs w:val="20"/>
                <w:color w:val="auto"/>
              </w:rPr>
            </w:pPr>
            <w:r>
              <w:rPr>
                <w:rFonts w:ascii="Arial" w:cs="Arial" w:eastAsia="Arial" w:hAnsi="Arial"/>
                <w:sz w:val="18"/>
                <w:szCs w:val="18"/>
                <w:b w:val="1"/>
                <w:bCs w:val="1"/>
                <w:color w:val="auto"/>
              </w:rPr>
              <w:t>Adjusted revenue reconciliation</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GAAP revenue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4,022</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$ 7,039</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$ 7,902</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0"/>
        </w:trPr>
        <w:tc>
          <w:tcPr>
            <w:tcW w:w="5860" w:type="dxa"/>
            <w:vAlign w:val="bottom"/>
          </w:tcPr>
          <w:p>
            <w:pPr>
              <w:ind w:left="180"/>
              <w:spacing w:after="0"/>
              <w:rPr>
                <w:sz w:val="20"/>
                <w:szCs w:val="20"/>
                <w:color w:val="auto"/>
              </w:rPr>
            </w:pPr>
            <w:r>
              <w:rPr>
                <w:rFonts w:ascii="Arial" w:cs="Arial" w:eastAsia="Arial" w:hAnsi="Arial"/>
                <w:sz w:val="18"/>
                <w:szCs w:val="18"/>
                <w:color w:val="auto"/>
              </w:rPr>
              <w:t>Purchase accounting adjustment to acquired deferred</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3"/>
        </w:trPr>
        <w:tc>
          <w:tcPr>
            <w:tcW w:w="5860" w:type="dxa"/>
            <w:vAlign w:val="bottom"/>
            <w:tcBorders>
              <w:bottom w:val="single" w:sz="8" w:color="000041"/>
            </w:tcBorders>
          </w:tcPr>
          <w:p>
            <w:pPr>
              <w:ind w:left="36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000041"/>
            </w:tcBorders>
          </w:tcPr>
          <w:p>
            <w:pPr>
              <w:spacing w:after="0"/>
              <w:rPr>
                <w:sz w:val="22"/>
                <w:szCs w:val="22"/>
                <w:color w:val="auto"/>
              </w:rPr>
            </w:pP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00041"/>
            </w:tcBorders>
          </w:tcPr>
          <w:p>
            <w:pPr>
              <w:spacing w:after="0"/>
              <w:rPr>
                <w:sz w:val="22"/>
                <w:szCs w:val="22"/>
                <w:color w:val="auto"/>
              </w:rPr>
            </w:pPr>
          </w:p>
        </w:tc>
        <w:tc>
          <w:tcPr>
            <w:tcW w:w="780" w:type="dxa"/>
            <w:vAlign w:val="bottom"/>
            <w:tcBorders>
              <w:bottom w:val="single" w:sz="8" w:color="000041"/>
            </w:tcBorders>
          </w:tcPr>
          <w:p>
            <w:pPr>
              <w:spacing w:after="0"/>
              <w:rPr>
                <w:sz w:val="22"/>
                <w:szCs w:val="22"/>
                <w:color w:val="auto"/>
              </w:rPr>
            </w:pPr>
          </w:p>
        </w:tc>
      </w:tr>
      <w:tr>
        <w:trPr>
          <w:trHeight w:val="260"/>
        </w:trPr>
        <w:tc>
          <w:tcPr>
            <w:tcW w:w="5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Adjusted revenue</w:t>
            </w:r>
          </w:p>
        </w:tc>
        <w:tc>
          <w:tcPr>
            <w:tcW w:w="1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4,034</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$ 7,039</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$ 7,902</w:t>
            </w:r>
          </w:p>
        </w:tc>
        <w:tc>
          <w:tcPr>
            <w:tcW w:w="9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12%</w:t>
            </w: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14%</w:t>
            </w:r>
          </w:p>
        </w:tc>
      </w:tr>
      <w:tr>
        <w:trPr>
          <w:trHeight w:val="520"/>
        </w:trPr>
        <w:tc>
          <w:tcPr>
            <w:tcW w:w="5860" w:type="dxa"/>
            <w:vAlign w:val="bottom"/>
          </w:tcPr>
          <w:p>
            <w:pPr>
              <w:spacing w:after="0"/>
              <w:rPr>
                <w:sz w:val="20"/>
                <w:szCs w:val="20"/>
                <w:color w:val="auto"/>
              </w:rPr>
            </w:pPr>
            <w:r>
              <w:rPr>
                <w:rFonts w:ascii="Arial" w:cs="Arial" w:eastAsia="Arial" w:hAnsi="Arial"/>
                <w:sz w:val="18"/>
                <w:szCs w:val="18"/>
                <w:b w:val="1"/>
                <w:bCs w:val="1"/>
                <w:color w:val="auto"/>
              </w:rPr>
              <w:t>Components of revenue growth</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5860" w:type="dxa"/>
            <w:vAlign w:val="bottom"/>
          </w:tcPr>
          <w:p>
            <w:pPr>
              <w:ind w:left="180"/>
              <w:spacing w:after="0"/>
              <w:rPr>
                <w:sz w:val="20"/>
                <w:szCs w:val="20"/>
                <w:color w:val="auto"/>
              </w:rPr>
            </w:pPr>
            <w:r>
              <w:rPr>
                <w:rFonts w:ascii="Arial" w:cs="Arial" w:eastAsia="Arial" w:hAnsi="Arial"/>
                <w:sz w:val="18"/>
                <w:szCs w:val="18"/>
                <w:color w:val="auto"/>
              </w:rPr>
              <w:t>Organic</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9"/>
                <w:szCs w:val="19"/>
                <w:color w:val="auto"/>
              </w:rPr>
            </w:pPr>
          </w:p>
        </w:tc>
      </w:tr>
      <w:tr>
        <w:trPr>
          <w:trHeight w:val="220"/>
        </w:trPr>
        <w:tc>
          <w:tcPr>
            <w:tcW w:w="5860" w:type="dxa"/>
            <w:vAlign w:val="bottom"/>
          </w:tcPr>
          <w:p>
            <w:pPr>
              <w:ind w:left="180"/>
              <w:spacing w:after="0"/>
              <w:rPr>
                <w:sz w:val="20"/>
                <w:szCs w:val="20"/>
                <w:color w:val="auto"/>
              </w:rPr>
            </w:pPr>
            <w:r>
              <w:rPr>
                <w:rFonts w:ascii="Arial" w:cs="Arial" w:eastAsia="Arial" w:hAnsi="Arial"/>
                <w:sz w:val="18"/>
                <w:szCs w:val="18"/>
                <w:color w:val="auto"/>
              </w:rPr>
              <w:t>Acquisitions/divestitures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19"/>
                <w:szCs w:val="19"/>
                <w:color w:val="auto"/>
              </w:rPr>
            </w:pPr>
          </w:p>
        </w:tc>
      </w:tr>
      <w:tr>
        <w:trPr>
          <w:trHeight w:val="253"/>
        </w:trPr>
        <w:tc>
          <w:tcPr>
            <w:tcW w:w="58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Foreign exchange</w:t>
            </w:r>
          </w:p>
        </w:tc>
        <w:tc>
          <w:tcPr>
            <w:tcW w:w="160" w:type="dxa"/>
            <w:vAlign w:val="bottom"/>
            <w:tcBorders>
              <w:bottom w:val="single" w:sz="8" w:color="000041"/>
            </w:tcBorders>
          </w:tcPr>
          <w:p>
            <w:pPr>
              <w:spacing w:after="0"/>
              <w:rPr>
                <w:sz w:val="22"/>
                <w:szCs w:val="22"/>
                <w:color w:val="auto"/>
              </w:rPr>
            </w:pPr>
          </w:p>
        </w:tc>
        <w:tc>
          <w:tcPr>
            <w:tcW w:w="720" w:type="dxa"/>
            <w:vAlign w:val="bottom"/>
            <w:tcBorders>
              <w:bottom w:val="single" w:sz="8" w:color="000041"/>
            </w:tcBorders>
          </w:tcPr>
          <w:p>
            <w:pPr>
              <w:spacing w:after="0"/>
              <w:rPr>
                <w:sz w:val="22"/>
                <w:szCs w:val="22"/>
                <w:color w:val="auto"/>
              </w:rPr>
            </w:pPr>
          </w:p>
        </w:tc>
        <w:tc>
          <w:tcPr>
            <w:tcW w:w="920" w:type="dxa"/>
            <w:vAlign w:val="bottom"/>
            <w:tcBorders>
              <w:bottom w:val="single" w:sz="8" w:color="000041"/>
            </w:tcBorders>
          </w:tcPr>
          <w:p>
            <w:pPr>
              <w:spacing w:after="0"/>
              <w:rPr>
                <w:sz w:val="22"/>
                <w:szCs w:val="22"/>
                <w:color w:val="auto"/>
              </w:rPr>
            </w:pPr>
          </w:p>
        </w:tc>
        <w:tc>
          <w:tcPr>
            <w:tcW w:w="960" w:type="dxa"/>
            <w:vAlign w:val="bottom"/>
            <w:tcBorders>
              <w:bottom w:val="single" w:sz="8" w:color="000041"/>
            </w:tcBorders>
          </w:tcPr>
          <w:p>
            <w:pPr>
              <w:spacing w:after="0"/>
              <w:rPr>
                <w:sz w:val="22"/>
                <w:szCs w:val="22"/>
                <w:color w:val="auto"/>
              </w:rPr>
            </w:pP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00041"/>
            </w:tcBorders>
          </w:tcPr>
          <w:p>
            <w:pPr>
              <w:spacing w:after="0"/>
              <w:rPr>
                <w:sz w:val="22"/>
                <w:szCs w:val="22"/>
                <w:color w:val="auto"/>
              </w:rPr>
            </w:pPr>
          </w:p>
        </w:tc>
      </w:tr>
      <w:tr>
        <w:trPr>
          <w:trHeight w:val="260"/>
        </w:trPr>
        <w:tc>
          <w:tcPr>
            <w:tcW w:w="5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Total revenue growth</w:t>
            </w:r>
          </w:p>
        </w:tc>
        <w:tc>
          <w:tcPr>
            <w:tcW w:w="160" w:type="dxa"/>
            <w:vAlign w:val="bottom"/>
            <w:tcBorders>
              <w:bottom w:val="single" w:sz="8" w:color="000041"/>
            </w:tcBorders>
          </w:tcPr>
          <w:p>
            <w:pPr>
              <w:spacing w:after="0"/>
              <w:rPr>
                <w:sz w:val="22"/>
                <w:szCs w:val="22"/>
                <w:color w:val="auto"/>
              </w:rPr>
            </w:pPr>
          </w:p>
        </w:tc>
        <w:tc>
          <w:tcPr>
            <w:tcW w:w="720" w:type="dxa"/>
            <w:vAlign w:val="bottom"/>
            <w:tcBorders>
              <w:bottom w:val="single" w:sz="8" w:color="000041"/>
            </w:tcBorders>
          </w:tcPr>
          <w:p>
            <w:pPr>
              <w:spacing w:after="0"/>
              <w:rPr>
                <w:sz w:val="22"/>
                <w:szCs w:val="22"/>
                <w:color w:val="auto"/>
              </w:rPr>
            </w:pPr>
          </w:p>
        </w:tc>
        <w:tc>
          <w:tcPr>
            <w:tcW w:w="920" w:type="dxa"/>
            <w:vAlign w:val="bottom"/>
            <w:tcBorders>
              <w:bottom w:val="single" w:sz="8" w:color="000041"/>
            </w:tcBorders>
          </w:tcPr>
          <w:p>
            <w:pPr>
              <w:spacing w:after="0"/>
              <w:rPr>
                <w:sz w:val="22"/>
                <w:szCs w:val="22"/>
                <w:color w:val="auto"/>
              </w:rPr>
            </w:pPr>
          </w:p>
        </w:tc>
        <w:tc>
          <w:tcPr>
            <w:tcW w:w="960" w:type="dxa"/>
            <w:vAlign w:val="bottom"/>
            <w:tcBorders>
              <w:bottom w:val="single" w:sz="8" w:color="000041"/>
            </w:tcBorders>
          </w:tcPr>
          <w:p>
            <w:pPr>
              <w:spacing w:after="0"/>
              <w:rPr>
                <w:sz w:val="22"/>
                <w:szCs w:val="22"/>
                <w:color w:val="auto"/>
              </w:rPr>
            </w:pPr>
          </w:p>
        </w:tc>
        <w:tc>
          <w:tcPr>
            <w:tcW w:w="9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12%</w:t>
            </w:r>
          </w:p>
        </w:tc>
        <w:tc>
          <w:tcPr>
            <w:tcW w:w="780" w:type="dxa"/>
            <w:vAlign w:val="bottom"/>
            <w:tcBorders>
              <w:bottom w:val="single" w:sz="8" w:color="000041"/>
            </w:tcBorders>
          </w:tcPr>
          <w:p>
            <w:pPr>
              <w:spacing w:after="0"/>
              <w:rPr>
                <w:sz w:val="22"/>
                <w:szCs w:val="22"/>
                <w:color w:val="auto"/>
              </w:rPr>
            </w:pPr>
          </w:p>
        </w:tc>
      </w:tr>
      <w:tr>
        <w:trPr>
          <w:trHeight w:val="480"/>
        </w:trPr>
        <w:tc>
          <w:tcPr>
            <w:tcW w:w="586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GAAP net earnings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674</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$ 1,549</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$ 1,536</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5860" w:type="dxa"/>
            <w:vAlign w:val="bottom"/>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188</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418</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400</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58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219</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259</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325</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58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40</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4"/>
        </w:trPr>
        <w:tc>
          <w:tcPr>
            <w:tcW w:w="58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000041"/>
            </w:tcBorders>
          </w:tcPr>
          <w:p>
            <w:pPr>
              <w:spacing w:after="0"/>
              <w:rPr>
                <w:sz w:val="22"/>
                <w:szCs w:val="22"/>
                <w:color w:val="auto"/>
              </w:rPr>
            </w:pP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451</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776</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858</w:t>
            </w:r>
          </w:p>
        </w:tc>
        <w:tc>
          <w:tcPr>
            <w:tcW w:w="920" w:type="dxa"/>
            <w:vAlign w:val="bottom"/>
            <w:tcBorders>
              <w:bottom w:val="single" w:sz="8" w:color="000041"/>
            </w:tcBorders>
          </w:tcPr>
          <w:p>
            <w:pPr>
              <w:spacing w:after="0"/>
              <w:rPr>
                <w:sz w:val="22"/>
                <w:szCs w:val="22"/>
                <w:color w:val="auto"/>
              </w:rPr>
            </w:pPr>
          </w:p>
        </w:tc>
        <w:tc>
          <w:tcPr>
            <w:tcW w:w="780" w:type="dxa"/>
            <w:vAlign w:val="bottom"/>
            <w:tcBorders>
              <w:bottom w:val="single" w:sz="8" w:color="000041"/>
            </w:tcBorders>
          </w:tcPr>
          <w:p>
            <w:pPr>
              <w:spacing w:after="0"/>
              <w:rPr>
                <w:sz w:val="22"/>
                <w:szCs w:val="22"/>
                <w:color w:val="auto"/>
              </w:rPr>
            </w:pPr>
          </w:p>
        </w:tc>
      </w:tr>
      <w:tr>
        <w:trPr>
          <w:trHeight w:val="260"/>
        </w:trPr>
        <w:tc>
          <w:tcPr>
            <w:tcW w:w="5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1,572</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$3,039</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$ 3,159</w:t>
            </w:r>
          </w:p>
        </w:tc>
        <w:tc>
          <w:tcPr>
            <w:tcW w:w="9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15%</w:t>
            </w:r>
          </w:p>
        </w:tc>
      </w:tr>
      <w:tr>
        <w:trPr>
          <w:trHeight w:val="241"/>
        </w:trPr>
        <w:tc>
          <w:tcPr>
            <w:tcW w:w="5860" w:type="dxa"/>
            <w:vAlign w:val="bottom"/>
          </w:tcPr>
          <w:p>
            <w:pPr>
              <w:ind w:left="180"/>
              <w:spacing w:after="0"/>
              <w:rPr>
                <w:sz w:val="20"/>
                <w:szCs w:val="20"/>
                <w:color w:val="auto"/>
              </w:rPr>
            </w:pPr>
            <w:r>
              <w:rPr>
                <w:rFonts w:ascii="Arial" w:cs="Arial" w:eastAsia="Arial" w:hAnsi="Arial"/>
                <w:sz w:val="18"/>
                <w:szCs w:val="18"/>
                <w:color w:val="auto"/>
              </w:rPr>
              <w:t>Purchase accounting adjustment to acquired deferred</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0"/>
        </w:trPr>
        <w:tc>
          <w:tcPr>
            <w:tcW w:w="5860" w:type="dxa"/>
            <w:vAlign w:val="bottom"/>
          </w:tcPr>
          <w:p>
            <w:pPr>
              <w:ind w:left="360"/>
              <w:spacing w:after="0"/>
              <w:rPr>
                <w:sz w:val="20"/>
                <w:szCs w:val="20"/>
                <w:color w:val="auto"/>
              </w:rPr>
            </w:pPr>
            <w:r>
              <w:rPr>
                <w:rFonts w:ascii="Arial" w:cs="Arial" w:eastAsia="Arial" w:hAnsi="Arial"/>
                <w:sz w:val="18"/>
                <w:szCs w:val="18"/>
                <w:color w:val="auto"/>
              </w:rPr>
              <w:t>revenue and commission expense</w:t>
            </w: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5860" w:type="dxa"/>
            <w:vAlign w:val="bottom"/>
          </w:tcPr>
          <w:p>
            <w:pPr>
              <w:ind w:left="180"/>
              <w:spacing w:after="0"/>
              <w:rPr>
                <w:sz w:val="20"/>
                <w:szCs w:val="20"/>
                <w:color w:val="auto"/>
              </w:rPr>
            </w:pPr>
            <w:r>
              <w:rPr>
                <w:rFonts w:ascii="Arial" w:cs="Arial" w:eastAsia="Arial" w:hAnsi="Arial"/>
                <w:sz w:val="18"/>
                <w:szCs w:val="18"/>
                <w:color w:val="auto"/>
              </w:rPr>
              <w:t>Restructuring-related expenses associated with the</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5860" w:type="dxa"/>
            <w:vAlign w:val="bottom"/>
          </w:tcPr>
          <w:p>
            <w:pPr>
              <w:ind w:left="360"/>
              <w:spacing w:after="0"/>
              <w:rPr>
                <w:sz w:val="20"/>
                <w:szCs w:val="20"/>
                <w:color w:val="auto"/>
              </w:rPr>
            </w:pPr>
            <w:r>
              <w:rPr>
                <w:rFonts w:ascii="Arial" w:cs="Arial" w:eastAsia="Arial" w:hAnsi="Arial"/>
                <w:sz w:val="18"/>
                <w:szCs w:val="18"/>
                <w:color w:val="auto"/>
              </w:rPr>
              <w:t>Transact acquisition</w:t>
            </w: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5860" w:type="dxa"/>
            <w:vAlign w:val="bottom"/>
          </w:tcPr>
          <w:p>
            <w:pPr>
              <w:ind w:left="180"/>
              <w:spacing w:after="0"/>
              <w:rPr>
                <w:sz w:val="20"/>
                <w:szCs w:val="20"/>
                <w:color w:val="auto"/>
              </w:rPr>
            </w:pPr>
            <w:r>
              <w:rPr>
                <w:rFonts w:ascii="Arial" w:cs="Arial" w:eastAsia="Arial" w:hAnsi="Arial"/>
                <w:sz w:val="18"/>
                <w:szCs w:val="18"/>
                <w:color w:val="auto"/>
              </w:rPr>
              <w:t>Transaction-related expenses for completed acquisitions</w:t>
            </w: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5860" w:type="dxa"/>
            <w:vAlign w:val="bottom"/>
          </w:tcPr>
          <w:p>
            <w:pPr>
              <w:ind w:left="180"/>
              <w:spacing w:after="0"/>
              <w:rPr>
                <w:sz w:val="20"/>
                <w:szCs w:val="20"/>
                <w:color w:val="auto"/>
              </w:rPr>
            </w:pPr>
            <w:r>
              <w:rPr>
                <w:rFonts w:ascii="Arial" w:cs="Arial" w:eastAsia="Arial" w:hAnsi="Arial"/>
                <w:sz w:val="18"/>
                <w:szCs w:val="18"/>
                <w:color w:val="auto"/>
              </w:rPr>
              <w:t>Financial impacts associated with minority investments</w:t>
            </w: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(235)</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4"/>
        </w:trPr>
        <w:tc>
          <w:tcPr>
            <w:tcW w:w="58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Legal settlement charge</w:t>
            </w:r>
          </w:p>
        </w:tc>
        <w:tc>
          <w:tcPr>
            <w:tcW w:w="160" w:type="dxa"/>
            <w:vAlign w:val="bottom"/>
            <w:tcBorders>
              <w:bottom w:val="single" w:sz="8" w:color="000041"/>
            </w:tcBorders>
          </w:tcPr>
          <w:p>
            <w:pPr>
              <w:spacing w:after="0"/>
              <w:rPr>
                <w:sz w:val="22"/>
                <w:szCs w:val="22"/>
                <w:color w:val="auto"/>
              </w:rPr>
            </w:pP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11</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00041"/>
            </w:tcBorders>
          </w:tcPr>
          <w:p>
            <w:pPr>
              <w:spacing w:after="0"/>
              <w:rPr>
                <w:sz w:val="22"/>
                <w:szCs w:val="22"/>
                <w:color w:val="auto"/>
              </w:rPr>
            </w:pPr>
          </w:p>
        </w:tc>
        <w:tc>
          <w:tcPr>
            <w:tcW w:w="780" w:type="dxa"/>
            <w:vAlign w:val="bottom"/>
            <w:tcBorders>
              <w:bottom w:val="single" w:sz="8" w:color="000041"/>
            </w:tcBorders>
          </w:tcPr>
          <w:p>
            <w:pPr>
              <w:spacing w:after="0"/>
              <w:rPr>
                <w:sz w:val="22"/>
                <w:szCs w:val="22"/>
                <w:color w:val="auto"/>
              </w:rPr>
            </w:pPr>
          </w:p>
        </w:tc>
      </w:tr>
      <w:tr>
        <w:trPr>
          <w:trHeight w:val="260"/>
        </w:trPr>
        <w:tc>
          <w:tcPr>
            <w:tcW w:w="5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1,590</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$ 2,832</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$ 3,143</w:t>
            </w:r>
          </w:p>
        </w:tc>
        <w:tc>
          <w:tcPr>
            <w:tcW w:w="9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11%</w:t>
            </w: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15%</w:t>
            </w:r>
          </w:p>
        </w:tc>
      </w:tr>
      <w:tr>
        <w:trPr>
          <w:trHeight w:val="283"/>
        </w:trPr>
        <w:tc>
          <w:tcPr>
            <w:tcW w:w="5860" w:type="dxa"/>
            <w:vAlign w:val="bottom"/>
          </w:tcPr>
          <w:p>
            <w:pPr>
              <w:ind w:left="180"/>
              <w:spacing w:after="0"/>
              <w:rPr>
                <w:sz w:val="20"/>
                <w:szCs w:val="20"/>
                <w:color w:val="auto"/>
              </w:rPr>
            </w:pPr>
            <w:r>
              <w:rPr>
                <w:rFonts w:ascii="Arial" w:cs="Arial" w:eastAsia="Arial" w:hAnsi="Arial"/>
                <w:sz w:val="18"/>
                <w:szCs w:val="18"/>
                <w:color w:val="auto"/>
              </w:rPr>
              <w:t>% of adjusted revenue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w:t>
            </w:r>
          </w:p>
        </w:tc>
        <w:tc>
          <w:tcPr>
            <w:tcW w:w="920" w:type="dxa"/>
            <w:vAlign w:val="bottom"/>
          </w:tcPr>
          <w:p>
            <w:pPr>
              <w:jc w:val="right"/>
              <w:spacing w:after="0"/>
              <w:rPr>
                <w:sz w:val="20"/>
                <w:szCs w:val="20"/>
                <w:color w:val="auto"/>
              </w:rPr>
            </w:pPr>
            <w:r>
              <w:rPr>
                <w:rFonts w:ascii="Arial" w:cs="Arial" w:eastAsia="Arial" w:hAnsi="Arial"/>
                <w:sz w:val="18"/>
                <w:szCs w:val="18"/>
                <w:color w:val="auto"/>
              </w:rPr>
              <w:t>40.2%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8"/>
        </w:trPr>
        <w:tc>
          <w:tcPr>
            <w:tcW w:w="5860" w:type="dxa"/>
            <w:vAlign w:val="bottom"/>
          </w:tcPr>
          <w:p>
            <w:pPr>
              <w:spacing w:after="0" w:line="219" w:lineRule="exact"/>
              <w:rPr>
                <w:sz w:val="20"/>
                <w:szCs w:val="20"/>
                <w:color w:val="auto"/>
              </w:rPr>
            </w:pP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A°ĩČěKA</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Č</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y¸ÝŚ</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ĄK:ÝÇ:</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ě</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ÝÇ</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ӭ</w:t>
            </w:r>
            <w:r>
              <w:rPr>
                <w:rFonts w:ascii="Arial" w:cs="Arial" w:eastAsia="Arial" w:hAnsi="Arial"/>
                <w:sz w:val="18"/>
                <w:szCs w:val="18"/>
                <w:b w:val="1"/>
                <w:bCs w:val="1"/>
                <w:color w:val="000041"/>
              </w:rPr>
              <w:t>ԤÃ</w:t>
            </w:r>
            <w:r>
              <w:rPr>
                <w:rFonts w:ascii="Arial" w:cs="Arial" w:eastAsia="Arial" w:hAnsi="Arial"/>
                <w:sz w:val="18"/>
                <w:szCs w:val="18"/>
                <w:b w:val="1"/>
                <w:bCs w:val="1"/>
                <w:color w:val="000041"/>
              </w:rPr>
              <w:t>Ӯ</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5860" w:type="dxa"/>
            <w:vAlign w:val="bottom"/>
          </w:tcPr>
          <w:p>
            <w:pPr>
              <w:spacing w:after="0" w:line="219" w:lineRule="exact"/>
              <w:rPr>
                <w:sz w:val="20"/>
                <w:szCs w:val="20"/>
                <w:color w:val="auto"/>
              </w:rPr>
            </w:pPr>
            <w:r>
              <w:rPr>
                <w:rFonts w:ascii="Arial" w:cs="Arial" w:eastAsia="Arial" w:hAnsi="Arial"/>
                <w:sz w:val="18"/>
                <w:szCs w:val="18"/>
                <w:b w:val="1"/>
                <w:bCs w:val="1"/>
                <w:color w:val="000041"/>
              </w:rPr>
              <w:t>ӭ</w:t>
            </w:r>
            <w:r>
              <w:rPr>
                <w:rFonts w:ascii="Arial" w:cs="Arial" w:eastAsia="Arial" w:hAnsi="Arial"/>
                <w:sz w:val="18"/>
                <w:szCs w:val="18"/>
                <w:b w:val="1"/>
                <w:bCs w:val="1"/>
                <w:color w:val="000041"/>
              </w:rPr>
              <w:t>yĄÝÃ</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:ÝÇě</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Çĩ</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Ç{</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ÝĀKĄ</w:t>
            </w:r>
            <w:r>
              <w:rPr>
                <w:rFonts w:ascii="PMingLiU" w:cs="PMingLiU" w:eastAsia="PMingLiU" w:hAnsi="PMingLiU"/>
                <w:sz w:val="18"/>
                <w:szCs w:val="18"/>
                <w:b w:val="1"/>
                <w:bCs w:val="1"/>
                <w:color w:val="000041"/>
              </w:rPr>
              <w:t/>
            </w:r>
            <w:r>
              <w:rPr>
                <w:rFonts w:ascii="Arial" w:cs="Arial" w:eastAsia="Arial" w:hAnsi="Arial"/>
                <w:sz w:val="18"/>
                <w:szCs w:val="18"/>
                <w:b w:val="1"/>
                <w:bCs w:val="1"/>
                <w:color w:val="000041"/>
              </w:rPr>
              <w:t>ě</w:t>
            </w:r>
            <w:r>
              <w:rPr>
                <w:rFonts w:ascii="PMingLiU" w:cs="PMingLiU" w:eastAsia="PMingLiU" w:hAnsi="PMingLiU"/>
                <w:sz w:val="18"/>
                <w:szCs w:val="18"/>
                <w:b w:val="1"/>
                <w:bCs w:val="1"/>
                <w:color w:val="000041"/>
              </w:rPr>
              <w:t></w:t>
            </w:r>
            <w:r>
              <w:rPr>
                <w:rFonts w:ascii="Arial" w:cs="Arial" w:eastAsia="Arial" w:hAnsi="Arial"/>
                <w:sz w:val="18"/>
                <w:szCs w:val="18"/>
                <w:b w:val="1"/>
                <w:bCs w:val="1"/>
                <w:color w:val="000041"/>
              </w:rPr>
              <w:t>ÝÇČ</w:t>
            </w:r>
            <w:r>
              <w:rPr>
                <w:rFonts w:ascii="Arial" w:cs="Arial" w:eastAsia="Arial" w:hAnsi="Arial"/>
                <w:sz w:val="18"/>
                <w:szCs w:val="18"/>
                <w:b w:val="1"/>
                <w:bCs w:val="1"/>
                <w:color w:val="000041"/>
              </w:rPr>
              <w:t>Ӯ</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FY</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FY</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FY</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V% to</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5yr</w:t>
            </w:r>
          </w:p>
        </w:tc>
      </w:tr>
      <w:tr>
        <w:trPr>
          <w:trHeight w:val="260"/>
        </w:trPr>
        <w:tc>
          <w:tcPr>
            <w:tcW w:w="5860" w:type="dxa"/>
            <w:vAlign w:val="bottom"/>
          </w:tcPr>
          <w:p>
            <w:pPr>
              <w:spacing w:after="0"/>
              <w:rPr>
                <w:sz w:val="22"/>
                <w:szCs w:val="22"/>
                <w:color w:val="auto"/>
              </w:rPr>
            </w:pPr>
          </w:p>
        </w:tc>
        <w:tc>
          <w:tcPr>
            <w:tcW w:w="160" w:type="dxa"/>
            <w:vAlign w:val="bottom"/>
            <w:tcBorders>
              <w:bottom w:val="single" w:sz="8" w:color="000041"/>
            </w:tcBorders>
          </w:tcPr>
          <w:p>
            <w:pPr>
              <w:spacing w:after="0"/>
              <w:rPr>
                <w:sz w:val="22"/>
                <w:szCs w:val="22"/>
                <w:color w:val="auto"/>
              </w:rPr>
            </w:pP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2024</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2025</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'24</w:t>
            </w:r>
          </w:p>
        </w:tc>
        <w:tc>
          <w:tcPr>
            <w:tcW w:w="78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CAGR</w:t>
            </w:r>
          </w:p>
        </w:tc>
      </w:tr>
      <w:tr>
        <w:trPr>
          <w:trHeight w:val="231"/>
        </w:trPr>
        <w:tc>
          <w:tcPr>
            <w:tcW w:w="5860" w:type="dxa"/>
            <w:vAlign w:val="bottom"/>
          </w:tcPr>
          <w:p>
            <w:pPr>
              <w:spacing w:after="0"/>
              <w:rPr>
                <w:sz w:val="20"/>
                <w:szCs w:val="20"/>
                <w:color w:val="auto"/>
              </w:rPr>
            </w:pPr>
            <w:r>
              <w:rPr>
                <w:rFonts w:ascii="Arial" w:cs="Arial" w:eastAsia="Arial" w:hAnsi="Arial"/>
                <w:sz w:val="18"/>
                <w:szCs w:val="18"/>
                <w:color w:val="auto"/>
              </w:rPr>
              <w:t>Operating cash flow</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1,123</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$ 2,393</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$2,540</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58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Taxes paid in period related to divestitures</w:t>
            </w:r>
          </w:p>
        </w:tc>
        <w:tc>
          <w:tcPr>
            <w:tcW w:w="160" w:type="dxa"/>
            <w:vAlign w:val="bottom"/>
            <w:tcBorders>
              <w:bottom w:val="single" w:sz="8" w:color="000041"/>
            </w:tcBorders>
          </w:tcPr>
          <w:p>
            <w:pPr>
              <w:spacing w:after="0"/>
              <w:rPr>
                <w:sz w:val="22"/>
                <w:szCs w:val="22"/>
                <w:color w:val="auto"/>
              </w:rPr>
            </w:pP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192</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30</w:t>
            </w:r>
          </w:p>
        </w:tc>
        <w:tc>
          <w:tcPr>
            <w:tcW w:w="920" w:type="dxa"/>
            <w:vAlign w:val="bottom"/>
            <w:tcBorders>
              <w:bottom w:val="single" w:sz="8" w:color="000041"/>
            </w:tcBorders>
          </w:tcPr>
          <w:p>
            <w:pPr>
              <w:spacing w:after="0"/>
              <w:rPr>
                <w:sz w:val="22"/>
                <w:szCs w:val="22"/>
                <w:color w:val="auto"/>
              </w:rPr>
            </w:pPr>
          </w:p>
        </w:tc>
        <w:tc>
          <w:tcPr>
            <w:tcW w:w="780" w:type="dxa"/>
            <w:vAlign w:val="bottom"/>
            <w:tcBorders>
              <w:bottom w:val="single" w:sz="8" w:color="000041"/>
            </w:tcBorders>
          </w:tcPr>
          <w:p>
            <w:pPr>
              <w:spacing w:after="0"/>
              <w:rPr>
                <w:sz w:val="22"/>
                <w:szCs w:val="22"/>
                <w:color w:val="auto"/>
              </w:rPr>
            </w:pPr>
          </w:p>
        </w:tc>
      </w:tr>
      <w:tr>
        <w:trPr>
          <w:trHeight w:val="232"/>
        </w:trPr>
        <w:tc>
          <w:tcPr>
            <w:tcW w:w="5860" w:type="dxa"/>
            <w:vAlign w:val="bottom"/>
          </w:tcPr>
          <w:p>
            <w:pPr>
              <w:spacing w:after="0"/>
              <w:rPr>
                <w:sz w:val="20"/>
                <w:szCs w:val="20"/>
                <w:color w:val="auto"/>
              </w:rPr>
            </w:pPr>
            <w:r>
              <w:rPr>
                <w:rFonts w:ascii="Arial" w:cs="Arial" w:eastAsia="Arial" w:hAnsi="Arial"/>
                <w:sz w:val="18"/>
                <w:szCs w:val="18"/>
                <w:color w:val="auto"/>
              </w:rPr>
              <w:t>Adjusted operating cash flow</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1,315</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$ 2,393</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$ 2,570</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0"/>
        </w:trPr>
        <w:tc>
          <w:tcPr>
            <w:tcW w:w="58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4"/>
        </w:trPr>
        <w:tc>
          <w:tcPr>
            <w:tcW w:w="5860" w:type="dxa"/>
            <w:vAlign w:val="bottom"/>
            <w:tcBorders>
              <w:bottom w:val="single" w:sz="8" w:color="000041"/>
            </w:tcBorders>
          </w:tcPr>
          <w:p>
            <w:pPr>
              <w:ind w:left="180"/>
              <w:spacing w:after="0"/>
              <w:rPr>
                <w:sz w:val="20"/>
                <w:szCs w:val="20"/>
                <w:color w:val="auto"/>
              </w:rPr>
            </w:pPr>
            <w:r>
              <w:rPr>
                <w:rFonts w:ascii="Arial" w:cs="Arial" w:eastAsia="Arial" w:hAnsi="Arial"/>
                <w:sz w:val="18"/>
                <w:szCs w:val="18"/>
                <w:color w:val="auto"/>
              </w:rPr>
              <w:t>Capitalized software expenditures</w:t>
            </w:r>
          </w:p>
        </w:tc>
        <w:tc>
          <w:tcPr>
            <w:tcW w:w="160" w:type="dxa"/>
            <w:vAlign w:val="bottom"/>
            <w:tcBorders>
              <w:bottom w:val="single" w:sz="8" w:color="000041"/>
            </w:tcBorders>
          </w:tcPr>
          <w:p>
            <w:pPr>
              <w:spacing w:after="0"/>
              <w:rPr>
                <w:sz w:val="22"/>
                <w:szCs w:val="22"/>
                <w:color w:val="auto"/>
              </w:rPr>
            </w:pPr>
          </w:p>
        </w:tc>
        <w:tc>
          <w:tcPr>
            <w:tcW w:w="720" w:type="dxa"/>
            <w:vAlign w:val="bottom"/>
            <w:tcBorders>
              <w:bottom w:val="single" w:sz="8" w:color="000041"/>
            </w:tcBorders>
          </w:tcPr>
          <w:p>
            <w:pPr>
              <w:jc w:val="right"/>
              <w:ind w:right="9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000041"/>
            </w:tcBorders>
          </w:tcPr>
          <w:p>
            <w:pPr>
              <w:jc w:val="right"/>
              <w:ind w:right="110"/>
              <w:spacing w:after="0"/>
              <w:rPr>
                <w:sz w:val="20"/>
                <w:szCs w:val="20"/>
                <w:color w:val="auto"/>
              </w:rPr>
            </w:pPr>
            <w:r>
              <w:rPr>
                <w:rFonts w:ascii="Arial" w:cs="Arial" w:eastAsia="Arial" w:hAnsi="Arial"/>
                <w:sz w:val="18"/>
                <w:szCs w:val="18"/>
                <w:color w:val="auto"/>
              </w:rPr>
              <w:t>(45)</w:t>
            </w:r>
          </w:p>
        </w:tc>
        <w:tc>
          <w:tcPr>
            <w:tcW w:w="960" w:type="dxa"/>
            <w:vAlign w:val="bottom"/>
            <w:tcBorders>
              <w:bottom w:val="single" w:sz="8" w:color="000041"/>
            </w:tcBorders>
          </w:tcPr>
          <w:p>
            <w:pPr>
              <w:jc w:val="right"/>
              <w:ind w:right="130"/>
              <w:spacing w:after="0"/>
              <w:rPr>
                <w:sz w:val="20"/>
                <w:szCs w:val="20"/>
                <w:color w:val="auto"/>
              </w:rPr>
            </w:pPr>
            <w:r>
              <w:rPr>
                <w:rFonts w:ascii="Arial" w:cs="Arial" w:eastAsia="Arial" w:hAnsi="Arial"/>
                <w:sz w:val="18"/>
                <w:szCs w:val="18"/>
                <w:color w:val="auto"/>
              </w:rPr>
              <w:t>(57)</w:t>
            </w:r>
          </w:p>
        </w:tc>
        <w:tc>
          <w:tcPr>
            <w:tcW w:w="920" w:type="dxa"/>
            <w:vAlign w:val="bottom"/>
            <w:tcBorders>
              <w:bottom w:val="single" w:sz="8" w:color="000041"/>
            </w:tcBorders>
          </w:tcPr>
          <w:p>
            <w:pPr>
              <w:spacing w:after="0"/>
              <w:rPr>
                <w:sz w:val="22"/>
                <w:szCs w:val="22"/>
                <w:color w:val="auto"/>
              </w:rPr>
            </w:pPr>
          </w:p>
        </w:tc>
        <w:tc>
          <w:tcPr>
            <w:tcW w:w="780" w:type="dxa"/>
            <w:vAlign w:val="bottom"/>
            <w:tcBorders>
              <w:bottom w:val="single" w:sz="8" w:color="000041"/>
            </w:tcBorders>
          </w:tcPr>
          <w:p>
            <w:pPr>
              <w:spacing w:after="0"/>
              <w:rPr>
                <w:sz w:val="22"/>
                <w:szCs w:val="22"/>
                <w:color w:val="auto"/>
              </w:rPr>
            </w:pPr>
          </w:p>
        </w:tc>
      </w:tr>
      <w:tr>
        <w:trPr>
          <w:trHeight w:val="260"/>
        </w:trPr>
        <w:tc>
          <w:tcPr>
            <w:tcW w:w="5860" w:type="dxa"/>
            <w:vAlign w:val="bottom"/>
            <w:tcBorders>
              <w:bottom w:val="single" w:sz="8" w:color="000041"/>
            </w:tcBorders>
          </w:tcPr>
          <w:p>
            <w:pPr>
              <w:spacing w:after="0"/>
              <w:rPr>
                <w:sz w:val="20"/>
                <w:szCs w:val="20"/>
                <w:color w:val="auto"/>
              </w:rPr>
            </w:pPr>
            <w:r>
              <w:rPr>
                <w:rFonts w:ascii="Arial" w:cs="Arial" w:eastAsia="Arial" w:hAnsi="Arial"/>
                <w:sz w:val="18"/>
                <w:szCs w:val="18"/>
                <w:color w:val="auto"/>
              </w:rPr>
              <w:t>Adjusted free cash flow</w:t>
            </w:r>
          </w:p>
        </w:tc>
        <w:tc>
          <w:tcPr>
            <w:tcW w:w="16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00041"/>
            </w:tcBorders>
          </w:tcPr>
          <w:p>
            <w:pPr>
              <w:jc w:val="right"/>
              <w:ind w:right="150"/>
              <w:spacing w:after="0"/>
              <w:rPr>
                <w:sz w:val="20"/>
                <w:szCs w:val="20"/>
                <w:color w:val="auto"/>
              </w:rPr>
            </w:pPr>
            <w:r>
              <w:rPr>
                <w:rFonts w:ascii="Arial" w:cs="Arial" w:eastAsia="Arial" w:hAnsi="Arial"/>
                <w:sz w:val="18"/>
                <w:szCs w:val="18"/>
                <w:color w:val="auto"/>
              </w:rPr>
              <w:t>1,273</w:t>
            </w:r>
          </w:p>
        </w:tc>
        <w:tc>
          <w:tcPr>
            <w:tcW w:w="920" w:type="dxa"/>
            <w:vAlign w:val="bottom"/>
            <w:tcBorders>
              <w:bottom w:val="single" w:sz="8" w:color="000041"/>
            </w:tcBorders>
          </w:tcPr>
          <w:p>
            <w:pPr>
              <w:jc w:val="right"/>
              <w:ind w:right="170"/>
              <w:spacing w:after="0"/>
              <w:rPr>
                <w:sz w:val="20"/>
                <w:szCs w:val="20"/>
                <w:color w:val="auto"/>
              </w:rPr>
            </w:pPr>
            <w:r>
              <w:rPr>
                <w:rFonts w:ascii="Arial" w:cs="Arial" w:eastAsia="Arial" w:hAnsi="Arial"/>
                <w:sz w:val="18"/>
                <w:szCs w:val="18"/>
                <w:color w:val="auto"/>
              </w:rPr>
              <w:t>$ 2,282</w:t>
            </w:r>
          </w:p>
        </w:tc>
        <w:tc>
          <w:tcPr>
            <w:tcW w:w="960" w:type="dxa"/>
            <w:vAlign w:val="bottom"/>
            <w:tcBorders>
              <w:bottom w:val="single" w:sz="8" w:color="000041"/>
            </w:tcBorders>
          </w:tcPr>
          <w:p>
            <w:pPr>
              <w:jc w:val="right"/>
              <w:ind w:right="190"/>
              <w:spacing w:after="0"/>
              <w:rPr>
                <w:sz w:val="20"/>
                <w:szCs w:val="20"/>
                <w:color w:val="auto"/>
              </w:rPr>
            </w:pPr>
            <w:r>
              <w:rPr>
                <w:rFonts w:ascii="Arial" w:cs="Arial" w:eastAsia="Arial" w:hAnsi="Arial"/>
                <w:sz w:val="18"/>
                <w:szCs w:val="18"/>
                <w:color w:val="auto"/>
              </w:rPr>
              <w:t>$ 2,466</w:t>
            </w:r>
          </w:p>
        </w:tc>
        <w:tc>
          <w:tcPr>
            <w:tcW w:w="92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8%</w:t>
            </w:r>
          </w:p>
        </w:tc>
        <w:tc>
          <w:tcPr>
            <w:tcW w:w="780" w:type="dxa"/>
            <w:vAlign w:val="bottom"/>
            <w:tcBorders>
              <w:bottom w:val="single" w:sz="8" w:color="000041"/>
            </w:tcBorders>
          </w:tcPr>
          <w:p>
            <w:pPr>
              <w:jc w:val="right"/>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ectPr>
          <w:pgSz w:w="12240" w:h="15840" w:orient="portrait"/>
          <w:cols w:equalWidth="0" w:num="1">
            <w:col w:w="10320"/>
          </w:cols>
          <w:pgMar w:left="960" w:top="863" w:right="960" w:bottom="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00"/>
        <w:spacing w:after="0" w:line="146" w:lineRule="exact"/>
        <w:tabs>
          <w:tab w:leader="none" w:pos="10180" w:val="left"/>
        </w:tabs>
        <w:rPr>
          <w:sz w:val="20"/>
          <w:szCs w:val="20"/>
          <w:color w:val="auto"/>
        </w:rPr>
      </w:pPr>
      <w:r>
        <w:rPr>
          <w:rFonts w:ascii="Arial" w:cs="Arial" w:eastAsia="Arial" w:hAnsi="Arial"/>
          <w:sz w:val="12"/>
          <w:szCs w:val="12"/>
          <w:color w:val="auto"/>
        </w:rPr>
        <w:t>ĄÝĀKĄ</w:t>
      </w:r>
      <w:r>
        <w:rPr>
          <w:rFonts w:ascii="PMingLiU" w:cs="PMingLiU" w:eastAsia="PMingLiU" w:hAnsi="PMingLiU"/>
          <w:sz w:val="12"/>
          <w:szCs w:val="12"/>
          <w:color w:val="auto"/>
        </w:rPr>
        <w:t/>
      </w:r>
      <w:r>
        <w:rPr>
          <w:rFonts w:ascii="Arial" w:cs="Arial" w:eastAsia="Arial" w:hAnsi="Arial"/>
          <w:sz w:val="12"/>
          <w:szCs w:val="12"/>
          <w:color w:val="auto"/>
        </w:rPr>
        <w:t>ěK:</w:t>
      </w:r>
      <w:r>
        <w:rPr>
          <w:rFonts w:ascii="PMingLiU" w:cs="PMingLiU" w:eastAsia="PMingLiU" w:hAnsi="PMingLiU"/>
          <w:sz w:val="12"/>
          <w:szCs w:val="12"/>
          <w:color w:val="auto"/>
        </w:rPr>
        <w:t></w:t>
      </w:r>
      <w:r>
        <w:rPr>
          <w:rFonts w:ascii="Arial" w:cs="Arial" w:eastAsia="Arial" w:hAnsi="Arial"/>
          <w:sz w:val="12"/>
          <w:szCs w:val="12"/>
          <w:color w:val="auto"/>
        </w:rPr>
        <w:t>ÇÝ¸Ý{</w:t>
      </w:r>
      <w:r>
        <w:rPr>
          <w:rFonts w:ascii="PMingLiU" w:cs="PMingLiU" w:eastAsia="PMingLiU" w:hAnsi="PMingLiU"/>
          <w:sz w:val="12"/>
          <w:szCs w:val="12"/>
          <w:color w:val="auto"/>
        </w:rPr>
        <w:t></w:t>
      </w:r>
      <w:r>
        <w:rPr>
          <w:rFonts w:ascii="Arial" w:cs="Arial" w:eastAsia="Arial" w:hAnsi="Arial"/>
          <w:sz w:val="12"/>
          <w:szCs w:val="12"/>
          <w:color w:val="auto"/>
        </w:rPr>
        <w:t>KČ</w:t>
      </w:r>
      <w:r>
        <w:rPr>
          <w:rFonts w:ascii="PMingLiU" w:cs="PMingLiU" w:eastAsia="PMingLiU" w:hAnsi="PMingLiU"/>
          <w:sz w:val="12"/>
          <w:szCs w:val="12"/>
          <w:color w:val="auto"/>
        </w:rPr>
        <w:t/>
      </w:r>
      <w:r>
        <w:rPr>
          <w:rFonts w:ascii="Arial" w:cs="Arial" w:eastAsia="Arial" w:hAnsi="Arial"/>
          <w:sz w:val="12"/>
          <w:szCs w:val="12"/>
          <w:color w:val="auto"/>
        </w:rPr>
        <w:t>ӓ</w:t>
      </w:r>
      <w:r>
        <w:rPr>
          <w:rFonts w:ascii="PMingLiU" w:cs="PMingLiU" w:eastAsia="PMingLiU" w:hAnsi="PMingLiU"/>
          <w:sz w:val="12"/>
          <w:szCs w:val="12"/>
          <w:color w:val="auto"/>
        </w:rPr>
        <w:t/>
      </w:r>
      <w:r>
        <w:rPr>
          <w:rFonts w:ascii="Arial" w:cs="Arial" w:eastAsia="Arial" w:hAnsi="Arial"/>
          <w:sz w:val="12"/>
          <w:szCs w:val="12"/>
          <w:color w:val="auto"/>
        </w:rPr>
        <w:t>2025 ANNUAL REPORT</w:t>
      </w:r>
      <w:r>
        <w:rPr>
          <w:sz w:val="20"/>
          <w:szCs w:val="20"/>
          <w:color w:val="auto"/>
        </w:rPr>
        <w:tab/>
      </w:r>
      <w:r>
        <w:rPr>
          <w:rFonts w:ascii="Arial" w:cs="Arial" w:eastAsia="Arial" w:hAnsi="Arial"/>
          <w:sz w:val="10"/>
          <w:szCs w:val="10"/>
          <w:color w:val="auto"/>
        </w:rPr>
        <w:t>71</w:t>
      </w:r>
    </w:p>
    <w:p>
      <w:pPr>
        <w:sectPr>
          <w:pgSz w:w="12240" w:h="15840" w:orient="portrait"/>
          <w:cols w:equalWidth="0" w:num="1">
            <w:col w:w="10320"/>
          </w:cols>
          <w:pgMar w:left="960" w:top="863" w:right="960" w:bottom="90" w:gutter="0" w:footer="0" w:header="0"/>
          <w:type w:val="continuous"/>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(THIS PAGE INTENTIONALLY LEFT BLANK)</w:t>
      </w:r>
    </w:p>
    <w:p>
      <w:pPr>
        <w:sectPr>
          <w:pgSz w:w="12240" w:h="15840" w:orient="portrait"/>
          <w:cols w:equalWidth="0" w:num="1">
            <w:col w:w="9360"/>
          </w:cols>
          <w:pgMar w:left="1440" w:top="1440" w:right="1440" w:bottom="1440" w:gutter="0" w:footer="0" w:header="0"/>
        </w:sectPr>
      </w:pPr>
    </w:p>
    <w:bookmarkStart w:id="74" w:name="page75"/>
    <w:bookmarkEnd w:id="74"/>
    <w:p>
      <w:pPr>
        <w:spacing w:after="0"/>
        <w:rPr>
          <w:sz w:val="20"/>
          <w:szCs w:val="20"/>
          <w:color w:val="auto"/>
        </w:rPr>
      </w:pPr>
      <w:r>
        <w:rPr>
          <w:rFonts w:ascii="Arial" w:cs="Arial" w:eastAsia="Arial" w:hAnsi="Arial"/>
          <w:sz w:val="56"/>
          <w:szCs w:val="56"/>
          <w:color w:val="002672"/>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646971"/>
        </w:rPr>
        <w:t>Seated left to right: Shellye L. Archambeau, Former Chief Executive Officer, MetricStream, Inc.; Robert D. Johnson, Former Chairman, Spirit AeroSystems Holdings, Inc.; Amy Woods Brinkley, Retired Chief Risk Officer, Bank of America Corp.; John F. Murphy, Former Executive Vice President and Chief Financial Officer, Adobe, Inc.; Irene M. Esteves, Former Executive Vice President and Chief Financial Officer, Spirit AeroSystems Holdings, Inc</w:t>
      </w:r>
    </w:p>
    <w:p>
      <w:pPr>
        <w:spacing w:after="0" w:line="2"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646971"/>
        </w:rPr>
        <w:t>Standing left to right: Thomas P. Joyce, Jr., Retired President and Chief Executive Officer, Danaher Corporation; L. Neil Hunn, President and Chief Executive Officer, Roper Technologies, Inc.; Laura G. Thatcher, Retired Head of Executive Compensation Practice, Alston &amp; Bird LLP; Richard F. Wallman, Retired Chief Financial Officer and Senior Vice President, Honeywell International, Inc.</w:t>
      </w:r>
    </w:p>
    <w:p>
      <w:pPr>
        <w:sectPr>
          <w:pgSz w:w="12240" w:h="15840" w:orient="portrait"/>
          <w:cols w:equalWidth="0" w:num="1">
            <w:col w:w="10080"/>
          </w:cols>
          <w:pgMar w:left="1260" w:top="827" w:right="900" w:bottom="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color w:val="002672"/>
        </w:rPr>
        <w:t>Shareholder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646971"/>
        </w:rPr>
        <w:t>Ticker Symbol: ROP</w:t>
      </w:r>
    </w:p>
    <w:p>
      <w:pPr>
        <w:spacing w:after="0" w:line="62" w:lineRule="exact"/>
        <w:rPr>
          <w:sz w:val="20"/>
          <w:szCs w:val="20"/>
          <w:color w:val="auto"/>
        </w:rPr>
      </w:pPr>
    </w:p>
    <w:p>
      <w:pPr>
        <w:ind w:right="960"/>
        <w:spacing w:after="0" w:line="299" w:lineRule="auto"/>
        <w:rPr>
          <w:sz w:val="20"/>
          <w:szCs w:val="20"/>
          <w:color w:val="auto"/>
        </w:rPr>
      </w:pPr>
      <w:r>
        <w:rPr>
          <w:rFonts w:ascii="Arial" w:cs="Arial" w:eastAsia="Arial" w:hAnsi="Arial"/>
          <w:sz w:val="19"/>
          <w:szCs w:val="19"/>
          <w:color w:val="646971"/>
        </w:rPr>
        <w:t>Roper’s common stock is listed on the Nasdaq Stock Market with options trading conducted on the Chicago Board Options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color w:val="002672"/>
        </w:rPr>
        <w:t>Transfer agent</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646971"/>
        </w:rPr>
        <w:t>Computershare</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646971"/>
        </w:rPr>
        <w:t>462 South 4th Street, Suite 1600</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646971"/>
        </w:rPr>
        <w:t>Louisville, KY 40202</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646971"/>
        </w:rPr>
        <w:t>+1 800 736 3001</w:t>
      </w:r>
    </w:p>
    <w:p>
      <w:pPr>
        <w:spacing w:after="0" w:line="321" w:lineRule="exact"/>
        <w:rPr>
          <w:sz w:val="20"/>
          <w:szCs w:val="20"/>
          <w:color w:val="auto"/>
        </w:rPr>
      </w:pPr>
    </w:p>
    <w:p>
      <w:pPr>
        <w:sectPr>
          <w:pgSz w:w="12240" w:h="15840" w:orient="portrait"/>
          <w:cols w:equalWidth="0" w:num="2">
            <w:col w:w="4680" w:space="720"/>
            <w:col w:w="4680"/>
          </w:cols>
          <w:pgMar w:left="1260" w:top="827" w:right="900" w:bottom="0" w:gutter="0" w:footer="0" w:header="0"/>
          <w:type w:val="continuous"/>
        </w:sectPr>
      </w:pPr>
    </w:p>
    <w:p>
      <w:pPr>
        <w:ind w:left="5400"/>
        <w:spacing w:after="0"/>
        <w:rPr>
          <w:sz w:val="20"/>
          <w:szCs w:val="20"/>
          <w:color w:val="auto"/>
        </w:rPr>
      </w:pPr>
      <w:r>
        <w:rPr>
          <w:rFonts w:ascii="Arial" w:cs="Arial" w:eastAsia="Arial" w:hAnsi="Arial"/>
          <w:sz w:val="21"/>
          <w:szCs w:val="21"/>
          <w:color w:val="002672"/>
        </w:rPr>
        <w:t>Independent registered</w:t>
      </w:r>
    </w:p>
    <w:p>
      <w:pPr>
        <w:spacing w:after="0" w:line="38" w:lineRule="exact"/>
        <w:rPr>
          <w:sz w:val="20"/>
          <w:szCs w:val="20"/>
          <w:color w:val="auto"/>
        </w:rPr>
      </w:pPr>
    </w:p>
    <w:p>
      <w:pPr>
        <w:spacing w:after="0"/>
        <w:tabs>
          <w:tab w:leader="none" w:pos="5380" w:val="left"/>
        </w:tabs>
        <w:rPr>
          <w:sz w:val="20"/>
          <w:szCs w:val="20"/>
          <w:color w:val="auto"/>
        </w:rPr>
      </w:pPr>
      <w:r>
        <w:rPr>
          <w:rFonts w:ascii="Arial" w:cs="Arial" w:eastAsia="Arial" w:hAnsi="Arial"/>
          <w:sz w:val="21"/>
          <w:szCs w:val="21"/>
          <w:color w:val="002672"/>
        </w:rPr>
        <w:t>Investor Relations</w:t>
      </w:r>
      <w:r>
        <w:rPr>
          <w:sz w:val="20"/>
          <w:szCs w:val="20"/>
          <w:color w:val="auto"/>
        </w:rPr>
        <w:tab/>
      </w:r>
      <w:r>
        <w:rPr>
          <w:rFonts w:ascii="Arial" w:cs="Arial" w:eastAsia="Arial" w:hAnsi="Arial"/>
          <w:sz w:val="21"/>
          <w:szCs w:val="21"/>
          <w:color w:val="002672"/>
        </w:rPr>
        <w:t>public accounting firm</w:t>
      </w:r>
    </w:p>
    <w:p>
      <w:pPr>
        <w:spacing w:after="0" w:line="58" w:lineRule="exact"/>
        <w:rPr>
          <w:sz w:val="20"/>
          <w:szCs w:val="20"/>
          <w:color w:val="auto"/>
        </w:rPr>
      </w:pPr>
    </w:p>
    <w:p>
      <w:pPr>
        <w:spacing w:after="0"/>
        <w:tabs>
          <w:tab w:leader="none" w:pos="5380" w:val="left"/>
        </w:tabs>
        <w:rPr>
          <w:sz w:val="20"/>
          <w:szCs w:val="20"/>
          <w:color w:val="auto"/>
        </w:rPr>
      </w:pPr>
      <w:r>
        <w:rPr>
          <w:rFonts w:ascii="Arial" w:cs="Arial" w:eastAsia="Arial" w:hAnsi="Arial"/>
          <w:sz w:val="19"/>
          <w:szCs w:val="19"/>
          <w:color w:val="646971"/>
        </w:rPr>
        <w:t>Roper Technologies, Inc.</w:t>
      </w:r>
      <w:r>
        <w:rPr>
          <w:sz w:val="20"/>
          <w:szCs w:val="20"/>
          <w:color w:val="auto"/>
        </w:rPr>
        <w:tab/>
      </w:r>
      <w:r>
        <w:rPr>
          <w:rFonts w:ascii="Arial" w:cs="Arial" w:eastAsia="Arial" w:hAnsi="Arial"/>
          <w:sz w:val="19"/>
          <w:szCs w:val="19"/>
          <w:color w:val="646971"/>
        </w:rPr>
        <w:t>PricewaterhouseCoopers LLC</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646971"/>
        </w:rPr>
        <w:t>6496 University Parkway</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646971"/>
        </w:rPr>
        <w:t>Sarasota, FL 34240</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646971"/>
        </w:rPr>
        <w:t>+1 941 556 2601</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646971"/>
        </w:rPr>
        <w:t>Investor-relations@ropertech.com</w:t>
      </w:r>
    </w:p>
    <w:p>
      <w:pPr>
        <w:sectPr>
          <w:pgSz w:w="12240" w:h="15840" w:orient="portrait"/>
          <w:cols w:equalWidth="0" w:num="1">
            <w:col w:w="10080"/>
          </w:cols>
          <w:pgMar w:left="1260" w:top="827" w:right="900" w:bottom="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646971"/>
        </w:rPr>
        <w:t>Annual report design by Curran &amp; Connors, Inc. / www.curran-connors.com</w:t>
      </w:r>
    </w:p>
    <w:p>
      <w:pPr>
        <w:spacing w:after="0" w:line="20" w:lineRule="exact"/>
        <w:rPr>
          <w:sz w:val="20"/>
          <w:szCs w:val="20"/>
          <w:color w:val="auto"/>
        </w:rPr>
      </w:pPr>
    </w:p>
    <w:p>
      <w:pPr>
        <w:sectPr>
          <w:pgSz w:w="12240" w:h="15840" w:orient="portrait"/>
          <w:cols w:equalWidth="0" w:num="1">
            <w:col w:w="10080"/>
          </w:cols>
          <w:pgMar w:left="1260" w:top="827" w:right="900" w:bottom="0" w:gutter="0" w:footer="0" w:header="0"/>
          <w:type w:val="continuous"/>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4"/>
          <w:szCs w:val="24"/>
          <w:color w:val="FFFFFF"/>
        </w:rPr>
        <w:t>6496 University Parkway</w:t>
      </w:r>
    </w:p>
    <w:p>
      <w:pPr>
        <w:spacing w:after="0" w:line="4" w:lineRule="exact"/>
        <w:rPr>
          <w:sz w:val="20"/>
          <w:szCs w:val="20"/>
          <w:color w:val="auto"/>
        </w:rPr>
      </w:pPr>
    </w:p>
    <w:p>
      <w:pPr>
        <w:spacing w:after="0"/>
        <w:rPr>
          <w:sz w:val="20"/>
          <w:szCs w:val="20"/>
          <w:color w:val="auto"/>
        </w:rPr>
      </w:pPr>
      <w:r>
        <w:rPr>
          <w:rFonts w:ascii="Arial" w:cs="Arial" w:eastAsia="Arial" w:hAnsi="Arial"/>
          <w:sz w:val="24"/>
          <w:szCs w:val="24"/>
          <w:color w:val="FFFFFF"/>
        </w:rPr>
        <w:t>Sarasota, Florida 34240</w:t>
      </w:r>
    </w:p>
    <w:p>
      <w:pPr>
        <w:spacing w:after="0" w:line="4" w:lineRule="exact"/>
        <w:rPr>
          <w:sz w:val="20"/>
          <w:szCs w:val="20"/>
          <w:color w:val="auto"/>
        </w:rPr>
      </w:pPr>
    </w:p>
    <w:p>
      <w:pPr>
        <w:spacing w:after="0"/>
        <w:rPr>
          <w:sz w:val="20"/>
          <w:szCs w:val="20"/>
          <w:color w:val="auto"/>
        </w:rPr>
      </w:pPr>
      <w:r>
        <w:rPr>
          <w:rFonts w:ascii="Arial" w:cs="Arial" w:eastAsia="Arial" w:hAnsi="Arial"/>
          <w:sz w:val="24"/>
          <w:szCs w:val="24"/>
          <w:color w:val="FFFFFF"/>
        </w:rPr>
        <w:t>Tel +1 941 556 2601</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color w:val="FFFFFF"/>
        </w:rPr>
        <w:t>www.ropertech.com</w:t>
      </w:r>
    </w:p>
    <w:sectPr>
      <w:pgSz w:w="12240" w:h="15840" w:orient="portrait"/>
      <w:cols w:equalWidth="0" w:num="1">
        <w:col w:w="10080"/>
      </w:cols>
      <w:pgMar w:left="7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Roman"/>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lowerRoman"/>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4"/>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Ą"/>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lowerRoman"/>
      <w:start w:val="2"/>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lowerLetter"/>
      <w:start w:val="1"/>
    </w:lvl>
    <w:lvl w:ilvl="1">
      <w:lvlJc w:val="left"/>
      <w:lvlText w:val="(%2)"/>
      <w:numFmt w:val="decimal"/>
      <w:start w:val="1"/>
    </w:lvl>
  </w:abstractNum>
  <w:abstractNum w:abstractNumId="22">
    <w:nsid w:val="836C40E"/>
    <w:multiLevelType w:val="hybridMultilevel"/>
    <w:lvl w:ilvl="0">
      <w:lvlJc w:val="left"/>
      <w:lvlText w:val="%4"/>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4"/>
      <w:numFmt w:val="bullet"/>
      <w:start w:val="1"/>
    </w:lvl>
  </w:abstractNum>
  <w:abstractNum w:abstractNumId="25">
    <w:nsid w:val="8138641"/>
    <w:multiLevelType w:val="hybridMultilevel"/>
    <w:lvl w:ilvl="0">
      <w:lvlJc w:val="left"/>
      <w:lvlText w:val="†"/>
      <w:numFmt w:val="bullet"/>
      <w:start w:val="1"/>
    </w:lvl>
    <w:lvl w:ilvl="1">
      <w:lvlJc w:val="left"/>
      <w:lvlText w:val="%2"/>
      <w:numFmt w:val="decimal"/>
      <w:start w:val="104"/>
    </w:lvl>
  </w:abstractNum>
  <w:abstractNum w:abstractNumId="26">
    <w:nsid w:val="1E7FF521"/>
    <w:multiLevelType w:val="hybridMultilevel"/>
    <w:lvl w:ilvl="0">
      <w:lvlJc w:val="left"/>
      <w:lvlText w:val="%1)"/>
      <w:numFmt w:val="lowerLetter"/>
      <w:start w:val="4"/>
    </w:lvl>
  </w:abstractNum>
  <w:abstractNum w:abstractNumId="27">
    <w:nsid w:val="7C3DBD3D"/>
    <w:multiLevelType w:val="hybridMultilevel"/>
    <w:lvl w:ilvl="0">
      <w:lvlJc w:val="left"/>
      <w:lvlText w:val="%1)"/>
      <w:numFmt w:val="lowerRoman"/>
      <w:start w:val="1"/>
    </w:lvl>
  </w:abstractNum>
  <w:abstractNum w:abstractNumId="28">
    <w:nsid w:val="737B8DDC"/>
    <w:multiLevelType w:val="hybridMultilevel"/>
    <w:lvl w:ilvl="0">
      <w:lvlJc w:val="left"/>
      <w:lvlText w:val="%1)"/>
      <w:numFmt w:val="lowerLetter"/>
      <w:start w:val="14"/>
    </w:lvl>
  </w:abstractNum>
  <w:abstractNum w:abstractNumId="29">
    <w:nsid w:val="6CEAF087"/>
    <w:multiLevelType w:val="hybridMultilevel"/>
    <w:lvl w:ilvl="0">
      <w:lvlJc w:val="left"/>
      <w:lvlText w:val="%1)"/>
      <w:numFmt w:val="lowerLetter"/>
      <w:start w:val="19"/>
    </w:lvl>
  </w:abstractNum>
  <w:abstractNum w:abstractNumId="30">
    <w:nsid w:val="22221A70"/>
    <w:multiLevelType w:val="hybridMultilevel"/>
    <w:lvl w:ilvl="0">
      <w:lvlJc w:val="left"/>
      <w:lvlText w:val="%1)"/>
      <w:numFmt w:val="lowerRoman"/>
      <w:start w:val="10"/>
    </w:lvl>
  </w:abstractNum>
  <w:abstractNum w:abstractNumId="31">
    <w:nsid w:val="4516DDE9"/>
    <w:multiLevelType w:val="hybridMultilevel"/>
    <w:lvl w:ilvl="0">
      <w:lvlJc w:val="left"/>
      <w:lvlText w:val="%1)"/>
      <w:numFmt w:val="lowerLetter"/>
      <w:start w:val="26"/>
    </w:lvl>
  </w:abstractNum>
  <w:abstractNum w:abstractNumId="32">
    <w:nsid w:val="3006C83E"/>
    <w:multiLevelType w:val="hybridMultilevel"/>
    <w:lvl w:ilvl="0">
      <w:lvlJc w:val="left"/>
      <w:lvlText w:val="%1)"/>
      <w:numFmt w:val="lowerLetter"/>
      <w:start w:val="28"/>
    </w:lvl>
  </w:abstractNum>
  <w:abstractNum w:abstractNumId="33">
    <w:nsid w:val="614FD4A1"/>
    <w:multiLevelType w:val="hybridMultilevel"/>
    <w:lvl w:ilvl="0">
      <w:lvlJc w:val="left"/>
      <w:lvlText w:val="%1)"/>
      <w:numFmt w:val="lowerLetter"/>
      <w:start w:val="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2026-04-07T19:42:55Z</dcterms:created>
  <dcterms:modified xsi:type="dcterms:W3CDTF">2026-04-07T19:42:55Z</dcterms:modified>
</cp:coreProperties>
</file>