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cy2010.htm"/>
      <w:bookmarkStart w:id="1" w:name="kscy2010"/>
      <w:bookmarkStart w:id="2" w:name="cy2010.htm"/>
      <w:bookmarkStart w:id="3" w:name="kscy2010"/>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center"/>
        <w:rPr>
          <w:rFonts w:ascii="Times New Roman" w:hAnsi="Times New Roman"/>
          <w:sz w:val="20"/>
        </w:rPr>
      </w:pPr>
      <w:r>
        <w:rPr>
          <w:rFonts w:ascii="Times New Roman" w:hAnsi="Times New Roman"/>
          <w:sz w:val="20"/>
        </w:rPr>
        <w:t>----------------</w:t>
      </w:r>
    </w:p>
    <w:p>
      <w:pPr>
        <w:pStyle w:val="TextBody"/>
        <w:spacing w:before="0" w:after="0"/>
        <w:ind w:left="0" w:right="0" w:hanging="0"/>
        <w:jc w:val="center"/>
        <w:rPr>
          <w:rFonts w:ascii="Times New Roman" w:hAnsi="Times New Roman"/>
          <w:b/>
          <w:sz w:val="24"/>
        </w:rPr>
      </w:pPr>
      <w:r>
        <w:rPr>
          <w:rFonts w:ascii="Times New Roman" w:hAnsi="Times New Roman"/>
          <w:b/>
          <w:sz w:val="24"/>
        </w:rPr>
        <w:t>FORM 10-K</w:t>
      </w:r>
    </w:p>
    <w:p>
      <w:pPr>
        <w:pStyle w:val="TextBody"/>
        <w:spacing w:before="0" w:after="0"/>
        <w:ind w:left="0" w:right="0" w:hanging="0"/>
        <w:jc w:val="center"/>
        <w:rPr/>
      </w:pPr>
      <w:r>
        <w:rPr/>
        <w:t> </w:t>
      </w:r>
      <w:r>
        <w:rPr/>
        <w:br/>
        <w:t> </w:t>
      </w:r>
    </w:p>
    <w:p>
      <w:pPr>
        <w:pStyle w:val="Normal"/>
        <w:spacing w:before="0" w:after="0"/>
        <w:rPr>
          <w:sz w:val="4"/>
          <w:szCs w:val="4"/>
        </w:rPr>
      </w:pPr>
      <w:r>
        <w:rPr>
          <w:sz w:val="4"/>
          <w:szCs w:val="4"/>
        </w:rPr>
      </w:r>
      <w:bookmarkStart w:id="4" w:name="hangingindent"/>
      <w:bookmarkStart w:id="5" w:name="hangingindent"/>
      <w:bookmarkEnd w:id="5"/>
    </w:p>
    <w:tbl>
      <w:tblPr>
        <w:tblW w:w="5000" w:type="pct"/>
        <w:jc w:val="center"/>
        <w:tblInd w:w="0" w:type="dxa"/>
        <w:tblCellMar>
          <w:top w:w="0" w:type="dxa"/>
          <w:left w:w="0" w:type="dxa"/>
          <w:bottom w:w="0" w:type="dxa"/>
          <w:right w:w="0" w:type="dxa"/>
        </w:tblCellMar>
      </w:tblPr>
      <w:tblGrid>
        <w:gridCol w:w="123"/>
        <w:gridCol w:w="10082"/>
      </w:tblGrid>
      <w:tr>
        <w:trPr/>
        <w:tc>
          <w:tcPr>
            <w:tcW w:w="123" w:type="dxa"/>
            <w:tcBorders/>
            <w:shd w:fill="auto" w:val="clear"/>
          </w:tcPr>
          <w:p>
            <w:pPr>
              <w:pStyle w:val="TableContents"/>
              <w:spacing w:before="0" w:after="0"/>
              <w:rPr/>
            </w:pPr>
            <w:r>
              <w:rPr/>
              <w:t xml:space="preserve">  </w:t>
            </w:r>
          </w:p>
        </w:tc>
        <w:tc>
          <w:tcPr>
            <w:tcW w:w="10082" w:type="dxa"/>
            <w:tcBorders/>
            <w:shd w:fill="auto" w:val="clear"/>
          </w:tcPr>
          <w:p>
            <w:pPr>
              <w:pStyle w:val="TableContents"/>
              <w:spacing w:before="0" w:after="0"/>
              <w:jc w:val="left"/>
              <w:rPr/>
            </w:pPr>
            <w:r>
              <w:rPr/>
              <w:t>☑  </w:t>
            </w:r>
            <w:r>
              <w:rPr>
                <w:rFonts w:ascii="Times New Roman" w:hAnsi="Times New Roman"/>
                <w:b/>
                <w:sz w:val="20"/>
              </w:rPr>
              <w:t>ANNUAL REPORT PURSUANT TO SECTION 13 OR 15(d) OF THE SECURITIES EXCHANGE ACT OF 1934</w:t>
            </w:r>
          </w:p>
        </w:tc>
      </w:tr>
    </w:tbl>
    <w:p>
      <w:pPr>
        <w:pStyle w:val="TextBody"/>
        <w:spacing w:before="0" w:after="0"/>
        <w:ind w:left="0" w:right="0" w:hanging="0"/>
        <w:jc w:val="center"/>
        <w:rPr>
          <w:rFonts w:ascii="Times New Roman" w:hAnsi="Times New Roman"/>
          <w:b/>
          <w:sz w:val="20"/>
        </w:rPr>
      </w:pPr>
      <w:r>
        <w:rPr>
          <w:rFonts w:ascii="Times New Roman" w:hAnsi="Times New Roman"/>
          <w:b/>
          <w:sz w:val="20"/>
        </w:rPr>
        <w:t>For the fiscal year ended December 31, 2010</w:t>
      </w:r>
    </w:p>
    <w:p>
      <w:pPr>
        <w:pStyle w:val="TextBody"/>
        <w:spacing w:before="0" w:after="0"/>
        <w:ind w:left="0" w:right="0" w:hanging="0"/>
        <w:rPr/>
      </w:pPr>
      <w:r>
        <w:rPr/>
      </w:r>
    </w:p>
    <w:p>
      <w:pPr>
        <w:pStyle w:val="Normal"/>
        <w:spacing w:before="0" w:after="0"/>
        <w:rPr>
          <w:sz w:val="4"/>
          <w:szCs w:val="4"/>
        </w:rPr>
      </w:pPr>
      <w:r>
        <w:rPr>
          <w:sz w:val="4"/>
          <w:szCs w:val="4"/>
        </w:rPr>
      </w:r>
      <w:bookmarkStart w:id="6" w:name="hangingindent1"/>
      <w:bookmarkStart w:id="7" w:name="hangingindent1"/>
      <w:bookmarkEnd w:id="7"/>
    </w:p>
    <w:tbl>
      <w:tblPr>
        <w:tblW w:w="5000" w:type="pct"/>
        <w:jc w:val="center"/>
        <w:tblInd w:w="0" w:type="dxa"/>
        <w:tblCellMar>
          <w:top w:w="0" w:type="dxa"/>
          <w:left w:w="0" w:type="dxa"/>
          <w:bottom w:w="0" w:type="dxa"/>
          <w:right w:w="0" w:type="dxa"/>
        </w:tblCellMar>
      </w:tblPr>
      <w:tblGrid>
        <w:gridCol w:w="118"/>
        <w:gridCol w:w="10087"/>
      </w:tblGrid>
      <w:tr>
        <w:trPr/>
        <w:tc>
          <w:tcPr>
            <w:tcW w:w="118" w:type="dxa"/>
            <w:tcBorders/>
            <w:shd w:fill="auto" w:val="clear"/>
          </w:tcPr>
          <w:p>
            <w:pPr>
              <w:pStyle w:val="TableContents"/>
              <w:spacing w:before="0" w:after="0"/>
              <w:rPr/>
            </w:pPr>
            <w:r>
              <w:rPr/>
              <w:t xml:space="preserve">  </w:t>
            </w:r>
          </w:p>
        </w:tc>
        <w:tc>
          <w:tcPr>
            <w:tcW w:w="10087" w:type="dxa"/>
            <w:tcBorders/>
            <w:shd w:fill="auto" w:val="clear"/>
          </w:tcPr>
          <w:p>
            <w:pPr>
              <w:pStyle w:val="TableContents"/>
              <w:spacing w:before="0" w:after="0"/>
              <w:jc w:val="left"/>
              <w:rPr/>
            </w:pPr>
            <w:r>
              <w:rPr/>
              <w:t>☐  </w:t>
            </w:r>
            <w:r>
              <w:rPr>
                <w:rFonts w:ascii="Times New Roman" w:hAnsi="Times New Roman"/>
                <w:b/>
                <w:sz w:val="20"/>
              </w:rPr>
              <w:t>TRANSITION REPORT PURSUANT TO SECTION 13 OR 15(d) OF THE SECURITIES EXCHANGE ACT OF 1934</w:t>
            </w:r>
          </w:p>
        </w:tc>
      </w:tr>
    </w:tbl>
    <w:p>
      <w:pPr>
        <w:pStyle w:val="TextBody"/>
        <w:spacing w:before="0" w:after="0"/>
        <w:ind w:left="0" w:right="0" w:hanging="0"/>
        <w:jc w:val="center"/>
        <w:rPr>
          <w:rFonts w:ascii="Times New Roman" w:hAnsi="Times New Roman"/>
          <w:b/>
          <w:sz w:val="20"/>
        </w:rPr>
      </w:pPr>
      <w:r>
        <w:rPr>
          <w:rFonts w:ascii="Times New Roman" w:hAnsi="Times New Roman"/>
          <w:b/>
          <w:sz w:val="20"/>
        </w:rPr>
        <w:t>For the transition period from ___ to ___</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Commission File Number 1-12273</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ROPER INDUSTRIES,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jc w:val="center"/>
        <w:rPr>
          <w:rFonts w:ascii="Times New Roman" w:hAnsi="Times New Roman"/>
          <w:b/>
          <w:sz w:val="20"/>
        </w:rPr>
      </w:pPr>
      <w:r>
        <w:rPr>
          <w:rFonts w:ascii="Times New Roman" w:hAnsi="Times New Roman"/>
          <w:b/>
          <w:sz w:val="20"/>
        </w:rPr>
        <w:t>----------------</w:t>
      </w:r>
    </w:p>
    <w:tbl>
      <w:tblPr>
        <w:tblW w:w="5000" w:type="pct"/>
        <w:jc w:val="left"/>
        <w:tblInd w:w="0" w:type="dxa"/>
        <w:tblCellMar>
          <w:top w:w="0" w:type="dxa"/>
          <w:left w:w="0" w:type="dxa"/>
          <w:bottom w:w="0" w:type="dxa"/>
          <w:right w:w="0" w:type="dxa"/>
        </w:tblCellMar>
      </w:tblPr>
      <w:tblGrid>
        <w:gridCol w:w="4638"/>
        <w:gridCol w:w="928"/>
        <w:gridCol w:w="4639"/>
      </w:tblGrid>
      <w:tr>
        <w:trPr/>
        <w:tc>
          <w:tcPr>
            <w:tcW w:w="4638"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928" w:type="dxa"/>
            <w:tcBorders/>
            <w:shd w:fill="auto" w:val="clear"/>
          </w:tcPr>
          <w:p>
            <w:pPr>
              <w:pStyle w:val="TableContents"/>
              <w:spacing w:before="0" w:after="283"/>
              <w:rPr/>
            </w:pPr>
            <w:r>
              <w:rPr/>
              <w:t xml:space="preserve">  </w:t>
            </w:r>
          </w:p>
        </w:tc>
        <w:tc>
          <w:tcPr>
            <w:tcW w:w="4639"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51-0263969</w:t>
            </w:r>
          </w:p>
        </w:tc>
      </w:tr>
      <w:tr>
        <w:trPr/>
        <w:tc>
          <w:tcPr>
            <w:tcW w:w="4638"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w:t>
            </w:r>
          </w:p>
        </w:tc>
        <w:tc>
          <w:tcPr>
            <w:tcW w:w="928" w:type="dxa"/>
            <w:tcBorders/>
            <w:shd w:fill="auto" w:val="clear"/>
            <w:vAlign w:val="bottom"/>
          </w:tcPr>
          <w:p>
            <w:pPr>
              <w:pStyle w:val="TableContents"/>
              <w:spacing w:before="0" w:after="283"/>
              <w:rPr/>
            </w:pPr>
            <w:r>
              <w:rPr/>
              <w:t xml:space="preserve">  </w:t>
            </w:r>
          </w:p>
        </w:tc>
        <w:tc>
          <w:tcPr>
            <w:tcW w:w="4639"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tc>
      </w:tr>
      <w:tr>
        <w:trPr/>
        <w:tc>
          <w:tcPr>
            <w:tcW w:w="4638"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incorporation or organization)</w:t>
            </w:r>
          </w:p>
        </w:tc>
        <w:tc>
          <w:tcPr>
            <w:tcW w:w="928" w:type="dxa"/>
            <w:tcBorders/>
            <w:shd w:fill="auto" w:val="clear"/>
            <w:vAlign w:val="bottom"/>
          </w:tcPr>
          <w:p>
            <w:pPr>
              <w:pStyle w:val="TableContents"/>
              <w:spacing w:before="0" w:after="283"/>
              <w:rPr/>
            </w:pPr>
            <w:r>
              <w:rPr/>
              <w:t xml:space="preserve">  </w:t>
            </w:r>
          </w:p>
        </w:tc>
        <w:tc>
          <w:tcPr>
            <w:tcW w:w="4639"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r>
    </w:tbl>
    <w:p>
      <w:pPr>
        <w:pStyle w:val="TextBody"/>
        <w:spacing w:before="0" w:after="0"/>
        <w:ind w:left="0" w:right="0" w:hanging="0"/>
        <w:jc w:val="center"/>
        <w:rPr>
          <w:rFonts w:ascii="Times New Roman" w:hAnsi="Times New Roman"/>
          <w:b/>
          <w:sz w:val="20"/>
        </w:rPr>
      </w:pPr>
      <w:r>
        <w:rPr>
          <w:rFonts w:ascii="Times New Roman" w:hAnsi="Times New Roman"/>
          <w:b/>
          <w:sz w:val="20"/>
        </w:rPr>
        <w:t>----------------</w:t>
      </w:r>
    </w:p>
    <w:p>
      <w:pPr>
        <w:pStyle w:val="TextBody"/>
        <w:spacing w:before="0" w:after="0"/>
        <w:ind w:left="0" w:right="0" w:hanging="0"/>
        <w:jc w:val="center"/>
        <w:rPr>
          <w:rFonts w:ascii="Times New Roman" w:hAnsi="Times New Roman"/>
          <w:b/>
          <w:sz w:val="20"/>
        </w:rPr>
      </w:pPr>
      <w:r>
        <w:rPr>
          <w:rFonts w:ascii="Times New Roman" w:hAnsi="Times New Roman"/>
          <w:b/>
          <w:sz w:val="20"/>
        </w:rPr>
        <w:t>6901 Professional Parkway East, Suite 200</w:t>
      </w:r>
    </w:p>
    <w:p>
      <w:pPr>
        <w:pStyle w:val="TextBody"/>
        <w:spacing w:before="0" w:after="0"/>
        <w:ind w:left="0" w:right="0" w:hanging="0"/>
        <w:jc w:val="center"/>
        <w:rPr>
          <w:rFonts w:ascii="Times New Roman" w:hAnsi="Times New Roman"/>
          <w:b/>
          <w:sz w:val="20"/>
        </w:rPr>
      </w:pPr>
      <w:r>
        <w:rPr>
          <w:rFonts w:ascii="Times New Roman" w:hAnsi="Times New Roman"/>
          <w:b/>
          <w:sz w:val="20"/>
        </w:rPr>
        <w:t>Sarasota, Florida 34240</w:t>
      </w:r>
    </w:p>
    <w:p>
      <w:pPr>
        <w:pStyle w:val="TextBody"/>
        <w:spacing w:before="0" w:after="0"/>
        <w:ind w:left="0" w:right="0" w:hanging="0"/>
        <w:jc w:val="center"/>
        <w:rPr>
          <w:rFonts w:ascii="Times New Roman" w:hAnsi="Times New Roman"/>
          <w:sz w:val="20"/>
        </w:rPr>
      </w:pPr>
      <w:r>
        <w:rPr>
          <w:rFonts w:ascii="Times New Roman" w:hAnsi="Times New Roman"/>
          <w:sz w:val="20"/>
        </w:rPr>
        <w:t>(Address of principal executive offices) (Zip Code)</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Registrant’s telephone number, including area code: </w:t>
      </w:r>
      <w:r>
        <w:rPr>
          <w:rFonts w:ascii="Times New Roman" w:hAnsi="Times New Roman"/>
          <w:b/>
          <w:sz w:val="20"/>
        </w:rPr>
        <w:t>(941) 556-2601</w:t>
      </w:r>
    </w:p>
    <w:p>
      <w:pPr>
        <w:pStyle w:val="TextBody"/>
        <w:spacing w:before="0" w:after="0"/>
        <w:ind w:left="0" w:right="0" w:hanging="0"/>
        <w:jc w:val="center"/>
        <w:rPr>
          <w:rFonts w:ascii="Times New Roman" w:hAnsi="Times New Roman"/>
          <w:sz w:val="20"/>
        </w:rPr>
      </w:pPr>
      <w:r>
        <w:rPr>
          <w:rFonts w:ascii="Times New Roman" w:hAnsi="Times New Roman"/>
          <w:sz w:val="20"/>
        </w:rPr>
        <w:t>----------------</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REGISTERED PURSUANT TO SECTION 12(b) OF THE ACT:</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812"/>
        <w:gridCol w:w="770"/>
        <w:gridCol w:w="4623"/>
      </w:tblGrid>
      <w:tr>
        <w:trPr/>
        <w:tc>
          <w:tcPr>
            <w:tcW w:w="4812" w:type="dxa"/>
            <w:tcBorders/>
            <w:shd w:fill="auto" w:val="clear"/>
            <w:vAlign w:val="bottom"/>
          </w:tcPr>
          <w:p>
            <w:pPr>
              <w:pStyle w:val="TableContents"/>
              <w:spacing w:before="0" w:after="283"/>
              <w:rPr/>
            </w:pPr>
            <w:r>
              <w:rPr/>
              <w:t xml:space="preserve">  </w:t>
            </w:r>
          </w:p>
        </w:tc>
        <w:tc>
          <w:tcPr>
            <w:tcW w:w="770" w:type="dxa"/>
            <w:tcBorders/>
            <w:shd w:fill="auto" w:val="clear"/>
            <w:vAlign w:val="bottom"/>
          </w:tcPr>
          <w:p>
            <w:pPr>
              <w:pStyle w:val="TableContents"/>
              <w:spacing w:before="0" w:after="283"/>
              <w:rPr/>
            </w:pPr>
            <w:r>
              <w:rPr/>
              <w:t xml:space="preserve">  </w:t>
            </w:r>
          </w:p>
        </w:tc>
        <w:tc>
          <w:tcPr>
            <w:tcW w:w="4623" w:type="dxa"/>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Name of Each Exchange</w:t>
            </w:r>
          </w:p>
        </w:tc>
      </w:tr>
      <w:tr>
        <w:trPr/>
        <w:tc>
          <w:tcPr>
            <w:tcW w:w="481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Title of Each Class</w:t>
            </w:r>
          </w:p>
        </w:tc>
        <w:tc>
          <w:tcPr>
            <w:tcW w:w="770" w:type="dxa"/>
            <w:tcBorders/>
            <w:shd w:fill="auto" w:val="clear"/>
            <w:vAlign w:val="bottom"/>
          </w:tcPr>
          <w:p>
            <w:pPr>
              <w:pStyle w:val="TableContents"/>
              <w:spacing w:before="0" w:after="283"/>
              <w:rPr/>
            </w:pPr>
            <w:r>
              <w:rPr/>
              <w:t xml:space="preserve">  </w:t>
            </w:r>
          </w:p>
        </w:tc>
        <w:tc>
          <w:tcPr>
            <w:tcW w:w="4623"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On Which Registered</w:t>
            </w:r>
          </w:p>
        </w:tc>
      </w:tr>
      <w:tr>
        <w:trPr/>
        <w:tc>
          <w:tcPr>
            <w:tcW w:w="4812"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 $0.01 Par Value</w:t>
            </w:r>
          </w:p>
        </w:tc>
        <w:tc>
          <w:tcPr>
            <w:tcW w:w="770" w:type="dxa"/>
            <w:tcBorders/>
            <w:shd w:fill="auto" w:val="clear"/>
            <w:vAlign w:val="bottom"/>
          </w:tcPr>
          <w:p>
            <w:pPr>
              <w:pStyle w:val="TableContents"/>
              <w:spacing w:before="0" w:after="283"/>
              <w:rPr/>
            </w:pPr>
            <w:r>
              <w:rPr/>
              <w:t xml:space="preserve">  </w:t>
            </w:r>
          </w:p>
        </w:tc>
        <w:tc>
          <w:tcPr>
            <w:tcW w:w="4623"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New York Stock Exchange</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REGISTERED PURSUANT TO SECTION 12(g) OF THE ACT: None</w:t>
      </w:r>
    </w:p>
    <w:p>
      <w:pPr>
        <w:pStyle w:val="TextBody"/>
        <w:spacing w:before="0" w:after="0"/>
        <w:ind w:left="0" w:right="0" w:hanging="0"/>
        <w:jc w:val="center"/>
        <w:rPr>
          <w:rFonts w:ascii="Times New Roman" w:hAnsi="Times New Roman"/>
          <w:b/>
          <w:sz w:val="20"/>
        </w:rPr>
      </w:pPr>
      <w:r>
        <w:rPr>
          <w:rFonts w:ascii="Times New Roman" w:hAnsi="Times New Roman"/>
          <w:b/>
          <w:sz w:val="20"/>
        </w:rPr>
        <w:t>----------------</w:t>
      </w:r>
    </w:p>
    <w:p>
      <w:pPr>
        <w:pStyle w:val="TextBody"/>
        <w:spacing w:before="0" w:after="0"/>
        <w:ind w:left="720" w:right="720" w:hanging="0"/>
        <w:jc w:val="left"/>
        <w:rPr>
          <w:rFonts w:ascii="Times New Roman" w:hAnsi="Times New Roman"/>
          <w:sz w:val="20"/>
        </w:rPr>
      </w:pPr>
      <w:r>
        <w:rPr>
          <w:rFonts w:ascii="Times New Roman" w:hAnsi="Times New Roman"/>
          <w:sz w:val="20"/>
        </w:rPr>
        <w:t>Indicate by check mark if the registrant is a well-known seasoned issuer, as defined in Rule 405 of the Securities Act. ☑ Yes  ☐ No</w:t>
      </w:r>
    </w:p>
    <w:p>
      <w:pPr>
        <w:pStyle w:val="TextBody"/>
        <w:spacing w:before="0" w:after="0"/>
        <w:ind w:left="0" w:right="0" w:hanging="0"/>
        <w:rPr/>
      </w:pPr>
      <w:r>
        <w:rPr/>
      </w:r>
    </w:p>
    <w:p>
      <w:pPr>
        <w:pStyle w:val="TextBody"/>
        <w:spacing w:before="0" w:after="0"/>
        <w:ind w:left="720" w:right="720" w:hanging="0"/>
        <w:jc w:val="both"/>
        <w:rPr>
          <w:rFonts w:ascii="Times New Roman" w:hAnsi="Times New Roman"/>
          <w:sz w:val="20"/>
        </w:rPr>
      </w:pPr>
      <w:r>
        <w:rPr>
          <w:rFonts w:ascii="Times New Roman" w:hAnsi="Times New Roman"/>
          <w:sz w:val="20"/>
        </w:rPr>
        <w:t>Indicate by check mark if the registrant is not required to file reports pursuant to Section 13 or 15(d) of the Securities Exchange Act of 1934. ☐ Yes  ☑ No</w:t>
      </w:r>
    </w:p>
    <w:p>
      <w:pPr>
        <w:pStyle w:val="TextBody"/>
        <w:spacing w:before="0" w:after="0"/>
        <w:ind w:left="0" w:right="0" w:hanging="0"/>
        <w:rPr/>
      </w:pPr>
      <w:r>
        <w:rPr/>
      </w:r>
    </w:p>
    <w:p>
      <w:pPr>
        <w:pStyle w:val="TextBody"/>
        <w:spacing w:before="0" w:after="0"/>
        <w:ind w:left="720" w:right="720" w:hanging="0"/>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spacing w:before="0" w:after="0"/>
        <w:ind w:left="0" w:right="0" w:hanging="0"/>
        <w:rPr/>
      </w:pPr>
      <w:r>
        <w:rPr/>
      </w:r>
    </w:p>
    <w:p>
      <w:pPr>
        <w:pStyle w:val="TextBody"/>
        <w:spacing w:before="0" w:after="0"/>
        <w:ind w:left="720" w:right="720" w:hanging="0"/>
        <w:jc w:val="both"/>
        <w:rPr>
          <w:rFonts w:ascii="Times New Roman" w:hAnsi="Times New Roman"/>
          <w:sz w:val="20"/>
        </w:rPr>
      </w:pPr>
      <w:r>
        <w:rPr>
          <w:rFonts w:ascii="Times New Roman" w:hAnsi="Times New Roman"/>
          <w:sz w:val="20"/>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p>
    <w:p>
      <w:pPr>
        <w:pStyle w:val="TextBody"/>
        <w:spacing w:before="0" w:after="0"/>
        <w:ind w:left="0" w:right="0" w:hanging="0"/>
        <w:rPr/>
      </w:pPr>
      <w:r>
        <w:rPr/>
      </w:r>
    </w:p>
    <w:p>
      <w:pPr>
        <w:pStyle w:val="TextBody"/>
        <w:spacing w:before="0" w:after="0"/>
        <w:ind w:left="720" w:right="720" w:hanging="0"/>
        <w:jc w:val="both"/>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(§223.405) during the preceding 12 months (or for such shorter period that the registrant was required to submit and post such files). ☑ Yes  ☐ No</w:t>
      </w:r>
    </w:p>
    <w:p>
      <w:pPr>
        <w:pStyle w:val="TextBody"/>
        <w:spacing w:before="0" w:after="0"/>
        <w:ind w:left="0" w:right="0" w:hanging="0"/>
        <w:rPr/>
      </w:pPr>
      <w:r>
        <w:rPr/>
      </w:r>
    </w:p>
    <w:p>
      <w:pPr>
        <w:pStyle w:val="TextBody"/>
        <w:spacing w:before="0" w:after="0"/>
        <w:ind w:left="720" w:right="634"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(as defined in Rule 12b-2 of the Exchange Act).</w:t>
      </w:r>
    </w:p>
    <w:p>
      <w:pPr>
        <w:pStyle w:val="TextBody"/>
        <w:spacing w:before="0" w:after="0"/>
        <w:ind w:left="720" w:right="634" w:hanging="0"/>
        <w:jc w:val="both"/>
        <w:rPr/>
      </w:pPr>
      <w:r>
        <w:rPr/>
        <w:t xml:space="preserve">☑ </w:t>
      </w:r>
      <w:r>
        <w:rPr>
          <w:rFonts w:ascii="Times New Roman" w:hAnsi="Times New Roman"/>
          <w:sz w:val="20"/>
        </w:rPr>
        <w:t>Large accelerated filer ☐ Accelerated filer  ☐ Non-accelerated filer ☐ Smaller reporting company</w:t>
      </w:r>
    </w:p>
    <w:p>
      <w:pPr>
        <w:pStyle w:val="TextBody"/>
        <w:spacing w:before="0" w:after="0"/>
        <w:ind w:left="0" w:right="0" w:hanging="0"/>
        <w:rPr/>
      </w:pPr>
      <w:r>
        <w:rPr/>
      </w:r>
    </w:p>
    <w:p>
      <w:pPr>
        <w:pStyle w:val="TextBody"/>
        <w:spacing w:before="0" w:after="0"/>
        <w:ind w:left="720" w:right="720" w:hanging="0"/>
        <w:jc w:val="both"/>
        <w:rPr>
          <w:rFonts w:ascii="Times New Roman" w:hAnsi="Times New Roman"/>
          <w:sz w:val="20"/>
        </w:rPr>
      </w:pPr>
      <w:r>
        <w:rPr>
          <w:rFonts w:ascii="Times New Roman" w:hAnsi="Times New Roman"/>
          <w:sz w:val="20"/>
        </w:rPr>
        <w:t>Indicate by check mark if the registrant is a shell company (as defined in Rule 12-b2 of the Act). ☐ Yes  ☑ No</w:t>
      </w:r>
    </w:p>
    <w:p>
      <w:pPr>
        <w:pStyle w:val="TextBody"/>
        <w:spacing w:before="0" w:after="0"/>
        <w:ind w:left="0" w:right="0" w:hanging="0"/>
        <w:rPr/>
      </w:pPr>
      <w:r>
        <w:rPr/>
      </w:r>
    </w:p>
    <w:p>
      <w:pPr>
        <w:pStyle w:val="TextBody"/>
        <w:spacing w:before="0" w:after="0"/>
        <w:ind w:left="720" w:right="720" w:hanging="0"/>
        <w:jc w:val="both"/>
        <w:rPr>
          <w:rFonts w:ascii="Times New Roman" w:hAnsi="Times New Roman"/>
          <w:sz w:val="20"/>
        </w:rPr>
      </w:pPr>
      <w:r>
        <w:rPr>
          <w:rFonts w:ascii="Times New Roman" w:hAnsi="Times New Roman"/>
          <w:sz w:val="20"/>
        </w:rPr>
        <w:t>Based on the closing sale price on the New York Stock Exchange on June 30, 2010, the aggregate market value of the voting and non-voting common stock held by non-affiliates of the registrant was: $5,335,038,039.</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Number of shares of Registrant’s Common Stock outstanding as of February 18, 2011: 95,336,634.</w:t>
      </w:r>
    </w:p>
    <w:p>
      <w:pPr>
        <w:pStyle w:val="TextBody"/>
        <w:spacing w:before="0" w:after="0"/>
        <w:ind w:left="0" w:right="0" w:hanging="0"/>
        <w:jc w:val="center"/>
        <w:rPr>
          <w:rFonts w:ascii="Times New Roman" w:hAnsi="Times New Roman"/>
          <w:b/>
          <w:sz w:val="20"/>
        </w:rPr>
      </w:pPr>
      <w:r>
        <w:rPr>
          <w:rFonts w:ascii="Times New Roman" w:hAnsi="Times New Roman"/>
          <w:b/>
          <w:sz w:val="20"/>
        </w:rPr>
        <w:t>----------------</w:t>
      </w:r>
    </w:p>
    <w:p>
      <w:pPr>
        <w:pStyle w:val="TextBody"/>
        <w:spacing w:before="0" w:after="0"/>
        <w:ind w:left="0" w:right="0" w:hanging="0"/>
        <w:jc w:val="center"/>
        <w:rPr>
          <w:rFonts w:ascii="Times New Roman" w:hAnsi="Times New Roman"/>
          <w:b/>
          <w:sz w:val="20"/>
        </w:rPr>
      </w:pPr>
      <w:r>
        <w:rPr>
          <w:rFonts w:ascii="Times New Roman" w:hAnsi="Times New Roman"/>
          <w:b/>
          <w:sz w:val="20"/>
        </w:rPr>
        <w:t>DOCUMENTS INCORPORATED BY REFERENCE</w:t>
      </w:r>
    </w:p>
    <w:p>
      <w:pPr>
        <w:pStyle w:val="TextBody"/>
        <w:spacing w:before="0" w:after="0"/>
        <w:ind w:left="720" w:right="720" w:hanging="0"/>
        <w:jc w:val="left"/>
        <w:rPr>
          <w:rFonts w:ascii="Times New Roman" w:hAnsi="Times New Roman"/>
          <w:sz w:val="20"/>
        </w:rPr>
      </w:pPr>
      <w:r>
        <w:rPr>
          <w:rFonts w:ascii="Times New Roman" w:hAnsi="Times New Roman"/>
          <w:sz w:val="20"/>
        </w:rPr>
        <w:t>Portions of the Registrant’s Proxy Statement to be furnished to Stockholders in connection with its Annual Meeting of Stockholders to be held on June 1, 2011, are incorporated by reference into Part III of this Annual Report on Form 10-K.</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ROPER INDUSTRIES, INC.</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FORM 10-K FOR THE FISCAL YEAR ENDED DECEMBER 31, 2010</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Table of Contents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323"/>
        <w:gridCol w:w="8088"/>
        <w:gridCol w:w="794"/>
      </w:tblGrid>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PART I</w:t>
            </w:r>
          </w:p>
        </w:tc>
        <w:tc>
          <w:tcPr>
            <w:tcW w:w="8088" w:type="dxa"/>
            <w:tcBorders/>
            <w:shd w:fill="auto" w:val="clear"/>
          </w:tcPr>
          <w:p>
            <w:pPr>
              <w:pStyle w:val="TableContents"/>
              <w:spacing w:before="0" w:after="283"/>
              <w:rPr/>
            </w:pPr>
            <w:r>
              <w:rPr/>
              <w:t xml:space="preserve">  </w:t>
            </w:r>
          </w:p>
        </w:tc>
        <w:tc>
          <w:tcPr>
            <w:tcW w:w="794" w:type="dxa"/>
            <w:tcBorders/>
            <w:shd w:fill="auto" w:val="clear"/>
          </w:tcPr>
          <w:p>
            <w:pPr>
              <w:pStyle w:val="TableContents"/>
              <w:spacing w:before="0" w:after="283"/>
              <w:rPr/>
            </w:pPr>
            <w:r>
              <w:rPr/>
              <w:t xml:space="preserve">  </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Business</w:t>
            </w:r>
          </w:p>
        </w:tc>
        <w:tc>
          <w:tcPr>
            <w:tcW w:w="79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1A.</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 Factors</w:t>
            </w:r>
          </w:p>
        </w:tc>
        <w:tc>
          <w:tcPr>
            <w:tcW w:w="79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7</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1B.</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Unresolved Staff Comments</w:t>
            </w:r>
          </w:p>
        </w:tc>
        <w:tc>
          <w:tcPr>
            <w:tcW w:w="79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11</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2.</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Properties</w:t>
            </w:r>
          </w:p>
        </w:tc>
        <w:tc>
          <w:tcPr>
            <w:tcW w:w="79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11</w:t>
            </w:r>
          </w:p>
        </w:tc>
      </w:tr>
      <w:tr>
        <w:trPr/>
        <w:tc>
          <w:tcPr>
            <w:tcW w:w="132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Item 3.</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Legal Proceedings</w:t>
            </w:r>
          </w:p>
        </w:tc>
        <w:tc>
          <w:tcPr>
            <w:tcW w:w="79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11</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4.</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Removed and Reserved</w:t>
            </w:r>
          </w:p>
        </w:tc>
        <w:tc>
          <w:tcPr>
            <w:tcW w:w="79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11</w:t>
            </w:r>
          </w:p>
        </w:tc>
      </w:tr>
      <w:tr>
        <w:trPr/>
        <w:tc>
          <w:tcPr>
            <w:tcW w:w="1323" w:type="dxa"/>
            <w:tcBorders/>
            <w:shd w:fill="auto" w:val="clear"/>
          </w:tcPr>
          <w:p>
            <w:pPr>
              <w:pStyle w:val="TableContents"/>
              <w:spacing w:before="0" w:after="283"/>
              <w:rPr/>
            </w:pPr>
            <w:r>
              <w:rPr/>
              <w:t xml:space="preserve">  </w:t>
            </w:r>
          </w:p>
        </w:tc>
        <w:tc>
          <w:tcPr>
            <w:tcW w:w="8088" w:type="dxa"/>
            <w:tcBorders/>
            <w:shd w:fill="auto" w:val="clear"/>
          </w:tcPr>
          <w:p>
            <w:pPr>
              <w:pStyle w:val="TableContents"/>
              <w:spacing w:before="0" w:after="283"/>
              <w:rPr/>
            </w:pPr>
            <w:r>
              <w:rPr/>
              <w:t xml:space="preserve">  </w:t>
            </w:r>
          </w:p>
        </w:tc>
        <w:tc>
          <w:tcPr>
            <w:tcW w:w="794" w:type="dxa"/>
            <w:tcBorders/>
            <w:shd w:fill="auto" w:val="clear"/>
          </w:tcPr>
          <w:p>
            <w:pPr>
              <w:pStyle w:val="TableContents"/>
              <w:spacing w:before="0" w:after="283"/>
              <w:rPr/>
            </w:pPr>
            <w:r>
              <w:rPr/>
              <w:t xml:space="preserve">  </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PART II</w:t>
            </w:r>
          </w:p>
        </w:tc>
        <w:tc>
          <w:tcPr>
            <w:tcW w:w="8088" w:type="dxa"/>
            <w:tcBorders/>
            <w:shd w:fill="auto" w:val="clear"/>
          </w:tcPr>
          <w:p>
            <w:pPr>
              <w:pStyle w:val="TableContents"/>
              <w:spacing w:before="0" w:after="283"/>
              <w:rPr/>
            </w:pPr>
            <w:r>
              <w:rPr/>
              <w:t xml:space="preserve">  </w:t>
            </w:r>
          </w:p>
        </w:tc>
        <w:tc>
          <w:tcPr>
            <w:tcW w:w="794" w:type="dxa"/>
            <w:tcBorders/>
            <w:shd w:fill="auto" w:val="clear"/>
          </w:tcPr>
          <w:p>
            <w:pPr>
              <w:pStyle w:val="TableContents"/>
              <w:spacing w:before="0" w:after="283"/>
              <w:rPr/>
            </w:pPr>
            <w:r>
              <w:rPr/>
              <w:t xml:space="preserve">  </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5.</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Market for Registrant’s Common Equity, Related Stockholder Matters and Issuer Purchases of Equity Securities</w:t>
            </w:r>
          </w:p>
        </w:tc>
        <w:tc>
          <w:tcPr>
            <w:tcW w:w="79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6.</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Selected Financial Data</w:t>
            </w:r>
          </w:p>
        </w:tc>
        <w:tc>
          <w:tcPr>
            <w:tcW w:w="79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7.</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Management’s Discussion and Analysis of Financial Condition and Results of Operations</w:t>
            </w:r>
          </w:p>
        </w:tc>
        <w:tc>
          <w:tcPr>
            <w:tcW w:w="79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7A.</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Quantitative and Qualitative Disclosures about Market Risk</w:t>
            </w:r>
          </w:p>
        </w:tc>
        <w:tc>
          <w:tcPr>
            <w:tcW w:w="79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8.</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Financial Statements and Supplementary Data</w:t>
            </w:r>
          </w:p>
        </w:tc>
        <w:tc>
          <w:tcPr>
            <w:tcW w:w="79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9.</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and Disagreements with Accountants on Accounting and Financial Disclosure</w:t>
            </w:r>
          </w:p>
        </w:tc>
        <w:tc>
          <w:tcPr>
            <w:tcW w:w="79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9A.</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Controls and Procedures</w:t>
            </w:r>
          </w:p>
        </w:tc>
        <w:tc>
          <w:tcPr>
            <w:tcW w:w="79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52</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9B.</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Information</w:t>
            </w:r>
          </w:p>
        </w:tc>
        <w:tc>
          <w:tcPr>
            <w:tcW w:w="79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52</w:t>
            </w:r>
          </w:p>
        </w:tc>
      </w:tr>
      <w:tr>
        <w:trPr/>
        <w:tc>
          <w:tcPr>
            <w:tcW w:w="1323" w:type="dxa"/>
            <w:tcBorders/>
            <w:shd w:fill="auto" w:val="clear"/>
          </w:tcPr>
          <w:p>
            <w:pPr>
              <w:pStyle w:val="TableContents"/>
              <w:spacing w:before="0" w:after="283"/>
              <w:rPr/>
            </w:pPr>
            <w:r>
              <w:rPr/>
              <w:t xml:space="preserve">  </w:t>
            </w:r>
          </w:p>
        </w:tc>
        <w:tc>
          <w:tcPr>
            <w:tcW w:w="8088" w:type="dxa"/>
            <w:tcBorders/>
            <w:shd w:fill="auto" w:val="clear"/>
            <w:vAlign w:val="bottom"/>
          </w:tcPr>
          <w:p>
            <w:pPr>
              <w:pStyle w:val="TableContents"/>
              <w:spacing w:before="0" w:after="283"/>
              <w:rPr/>
            </w:pPr>
            <w:r>
              <w:rPr/>
              <w:t xml:space="preserve">  </w:t>
            </w:r>
          </w:p>
        </w:tc>
        <w:tc>
          <w:tcPr>
            <w:tcW w:w="794" w:type="dxa"/>
            <w:tcBorders/>
            <w:shd w:fill="auto" w:val="clear"/>
            <w:vAlign w:val="bottom"/>
          </w:tcPr>
          <w:p>
            <w:pPr>
              <w:pStyle w:val="TableContents"/>
              <w:spacing w:before="0" w:after="283"/>
              <w:rPr/>
            </w:pPr>
            <w:r>
              <w:rPr/>
              <w:t xml:space="preserve">  </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PART III</w:t>
            </w:r>
          </w:p>
        </w:tc>
        <w:tc>
          <w:tcPr>
            <w:tcW w:w="8088" w:type="dxa"/>
            <w:tcBorders/>
            <w:shd w:fill="auto" w:val="clear"/>
            <w:vAlign w:val="bottom"/>
          </w:tcPr>
          <w:p>
            <w:pPr>
              <w:pStyle w:val="TableContents"/>
              <w:spacing w:before="0" w:after="283"/>
              <w:rPr/>
            </w:pPr>
            <w:r>
              <w:rPr/>
              <w:t xml:space="preserve">  </w:t>
            </w:r>
          </w:p>
        </w:tc>
        <w:tc>
          <w:tcPr>
            <w:tcW w:w="794" w:type="dxa"/>
            <w:tcBorders/>
            <w:shd w:fill="auto" w:val="clear"/>
            <w:vAlign w:val="bottom"/>
          </w:tcPr>
          <w:p>
            <w:pPr>
              <w:pStyle w:val="TableContents"/>
              <w:spacing w:before="0" w:after="283"/>
              <w:rPr/>
            </w:pPr>
            <w:r>
              <w:rPr/>
              <w:t xml:space="preserve">  </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10.</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Directors, Executive Officers and Corporate Governance</w:t>
            </w:r>
          </w:p>
        </w:tc>
        <w:tc>
          <w:tcPr>
            <w:tcW w:w="79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11.</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Executive Compensation</w:t>
            </w:r>
          </w:p>
        </w:tc>
        <w:tc>
          <w:tcPr>
            <w:tcW w:w="79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12.</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Security Ownership of Certain Beneficial Owners and Management and Related Stockholder Matters</w:t>
            </w:r>
          </w:p>
        </w:tc>
        <w:tc>
          <w:tcPr>
            <w:tcW w:w="79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13.</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Certain Relationships and Related Transactions, and Director Independence</w:t>
            </w:r>
          </w:p>
        </w:tc>
        <w:tc>
          <w:tcPr>
            <w:tcW w:w="79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14.</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Principal Accountant Fees and Services</w:t>
            </w:r>
          </w:p>
        </w:tc>
        <w:tc>
          <w:tcPr>
            <w:tcW w:w="79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w:t>
            </w:r>
          </w:p>
        </w:tc>
      </w:tr>
      <w:tr>
        <w:trPr/>
        <w:tc>
          <w:tcPr>
            <w:tcW w:w="1323" w:type="dxa"/>
            <w:tcBorders/>
            <w:shd w:fill="auto" w:val="clear"/>
          </w:tcPr>
          <w:p>
            <w:pPr>
              <w:pStyle w:val="TableContents"/>
              <w:spacing w:before="0" w:after="283"/>
              <w:rPr/>
            </w:pPr>
            <w:r>
              <w:rPr/>
              <w:t xml:space="preserve">  </w:t>
            </w:r>
          </w:p>
        </w:tc>
        <w:tc>
          <w:tcPr>
            <w:tcW w:w="8088" w:type="dxa"/>
            <w:tcBorders/>
            <w:shd w:fill="auto" w:val="clear"/>
            <w:vAlign w:val="bottom"/>
          </w:tcPr>
          <w:p>
            <w:pPr>
              <w:pStyle w:val="TableContents"/>
              <w:spacing w:before="0" w:after="283"/>
              <w:rPr/>
            </w:pPr>
            <w:r>
              <w:rPr/>
              <w:t xml:space="preserve">  </w:t>
            </w:r>
          </w:p>
        </w:tc>
        <w:tc>
          <w:tcPr>
            <w:tcW w:w="794" w:type="dxa"/>
            <w:tcBorders/>
            <w:shd w:fill="auto" w:val="clear"/>
            <w:vAlign w:val="bottom"/>
          </w:tcPr>
          <w:p>
            <w:pPr>
              <w:pStyle w:val="TableContents"/>
              <w:spacing w:before="0" w:after="283"/>
              <w:rPr/>
            </w:pPr>
            <w:r>
              <w:rPr/>
              <w:t xml:space="preserve">  </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PART IV</w:t>
            </w:r>
          </w:p>
        </w:tc>
        <w:tc>
          <w:tcPr>
            <w:tcW w:w="8088" w:type="dxa"/>
            <w:tcBorders/>
            <w:shd w:fill="auto" w:val="clear"/>
            <w:vAlign w:val="bottom"/>
          </w:tcPr>
          <w:p>
            <w:pPr>
              <w:pStyle w:val="TableContents"/>
              <w:spacing w:before="0" w:after="283"/>
              <w:rPr/>
            </w:pPr>
            <w:r>
              <w:rPr/>
              <w:t xml:space="preserve">  </w:t>
            </w:r>
          </w:p>
        </w:tc>
        <w:tc>
          <w:tcPr>
            <w:tcW w:w="794" w:type="dxa"/>
            <w:tcBorders/>
            <w:shd w:fill="auto" w:val="clear"/>
            <w:vAlign w:val="bottom"/>
          </w:tcPr>
          <w:p>
            <w:pPr>
              <w:pStyle w:val="TableContents"/>
              <w:spacing w:before="0" w:after="283"/>
              <w:rPr/>
            </w:pPr>
            <w:r>
              <w:rPr/>
              <w:t xml:space="preserve">  </w:t>
            </w:r>
          </w:p>
        </w:tc>
      </w:tr>
      <w:tr>
        <w:trPr/>
        <w:tc>
          <w:tcPr>
            <w:tcW w:w="13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15.</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Exhibits and Financial Statement Schedules</w:t>
            </w:r>
          </w:p>
        </w:tc>
        <w:tc>
          <w:tcPr>
            <w:tcW w:w="79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w:t>
            </w:r>
          </w:p>
        </w:tc>
      </w:tr>
      <w:tr>
        <w:trPr/>
        <w:tc>
          <w:tcPr>
            <w:tcW w:w="1323" w:type="dxa"/>
            <w:tcBorders/>
            <w:shd w:fill="auto" w:val="clear"/>
          </w:tcPr>
          <w:p>
            <w:pPr>
              <w:pStyle w:val="TableContents"/>
              <w:spacing w:before="0" w:after="283"/>
              <w:rPr/>
            </w:pPr>
            <w:r>
              <w:rPr/>
              <w:t xml:space="preserve">  </w:t>
            </w:r>
          </w:p>
        </w:tc>
        <w:tc>
          <w:tcPr>
            <w:tcW w:w="80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Signatures</w:t>
            </w:r>
          </w:p>
        </w:tc>
        <w:tc>
          <w:tcPr>
            <w:tcW w:w="79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57</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 w:name="PGBRK"/>
      <w:bookmarkStart w:id="9" w:name="PGBRK"/>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0" w:name="FTR"/>
      <w:bookmarkEnd w:id="1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 w:name="GLFTR"/>
      <w:bookmarkEnd w:id="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 w:name="PN"/>
      <w:bookmarkEnd w:id="12"/>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 w:name="HDR"/>
      <w:bookmarkStart w:id="14" w:name="HDR"/>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 w:name="GLHDR"/>
      <w:bookmarkEnd w:id="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Information About Forward-Looking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This Annual Report on Form 10-K (“Annual Report”) includes and incorporates by reference “forward-looking statements” within the meaning of the federal securities laws. In addition, we, or our executive officers on our behalf, may from time to time make forward-looking statements in reports and other documents we file with the SEC or in connection with oral statements made to the press, potential investors or others. All statements that are not historical facts are “forward-looking statements.”  The words "estimate,” "plan,” "project,” "intend,” “expect,” “believe,” “anticipate,” and similar expressions identify forward-looking statements. These forward-looking statements include statements regarding our expected financial position , business, financing plans, business strategy, business prospects, revenues, working capital, liquidity, capital needs, interest costs and income, in each case relating to our company as a whole, as well as statements regarding acquisitions, potential acquisitions and the benefits of acquisitions.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Forward-looking statements are estimates and projections reflecting our best judgment and involve a number of risks and uncertainties that could cause actual results to differ materially from those suggested by the forward-looking statements. These statements are based on our management’s beliefs and assumptions, which in turn are based on currently available information. Examples of forward-looking statements in this report include but are not limited to our expectations regarding our ability to generate operating cash flows and reduce debt and associated interest expense and our expectations regarding growth through acquisitions. Important assumptions relating to the forward-looking statements include, among others, assumptions regarding demand for our products, the cost, timing and success of product upgrades and new product i ntroductions, raw materials costs, expected pricing levels, the timing and cost of expected capital expenditures, expected outcomes of pending litigation, competitive conditions, general economic conditions and expected synergies relating to acquisitions, joint ventures and alliances.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w:t>
      </w:r>
    </w:p>
    <w:p>
      <w:pPr>
        <w:pStyle w:val="TextBody"/>
        <w:spacing w:before="0" w:after="0"/>
        <w:ind w:left="0" w:right="0" w:hanging="0"/>
        <w:rPr/>
      </w:pPr>
      <w:r>
        <w:rPr/>
      </w:r>
    </w:p>
    <w:p>
      <w:pPr>
        <w:pStyle w:val="Normal"/>
        <w:spacing w:before="0" w:after="0"/>
        <w:rPr>
          <w:sz w:val="4"/>
          <w:szCs w:val="4"/>
        </w:rPr>
      </w:pPr>
      <w:r>
        <w:rPr>
          <w:sz w:val="4"/>
          <w:szCs w:val="4"/>
        </w:rPr>
      </w:r>
      <w:bookmarkStart w:id="16" w:name="list"/>
      <w:bookmarkStart w:id="17" w:name="list"/>
      <w:bookmarkEnd w:id="17"/>
    </w:p>
    <w:tbl>
      <w:tblPr>
        <w:tblW w:w="5000" w:type="pct"/>
        <w:jc w:val="left"/>
        <w:tblInd w:w="0" w:type="dxa"/>
        <w:tblCellMar>
          <w:top w:w="0" w:type="dxa"/>
          <w:left w:w="0" w:type="dxa"/>
          <w:bottom w:w="0" w:type="dxa"/>
          <w:right w:w="0" w:type="dxa"/>
        </w:tblCellMar>
      </w:tblPr>
      <w:tblGrid>
        <w:gridCol w:w="1462"/>
        <w:gridCol w:w="8743"/>
      </w:tblGrid>
      <w:tr>
        <w:trPr/>
        <w:tc>
          <w:tcPr>
            <w:tcW w:w="146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general economic conditions;</w:t>
            </w:r>
          </w:p>
        </w:tc>
      </w:tr>
    </w:tbl>
    <w:p>
      <w:pPr>
        <w:pStyle w:val="Normal"/>
        <w:spacing w:before="0" w:after="0"/>
        <w:rPr>
          <w:sz w:val="4"/>
          <w:szCs w:val="4"/>
        </w:rPr>
      </w:pPr>
      <w:r>
        <w:rPr>
          <w:sz w:val="4"/>
          <w:szCs w:val="4"/>
        </w:rPr>
      </w:r>
      <w:bookmarkStart w:id="18" w:name="list1"/>
      <w:bookmarkStart w:id="19" w:name="list1"/>
      <w:bookmarkEnd w:id="19"/>
    </w:p>
    <w:tbl>
      <w:tblPr>
        <w:tblW w:w="5000" w:type="pct"/>
        <w:jc w:val="left"/>
        <w:tblInd w:w="0" w:type="dxa"/>
        <w:tblCellMar>
          <w:top w:w="0" w:type="dxa"/>
          <w:left w:w="0" w:type="dxa"/>
          <w:bottom w:w="0" w:type="dxa"/>
          <w:right w:w="0" w:type="dxa"/>
        </w:tblCellMar>
      </w:tblPr>
      <w:tblGrid>
        <w:gridCol w:w="602"/>
        <w:gridCol w:w="9603"/>
      </w:tblGrid>
      <w:tr>
        <w:trPr/>
        <w:tc>
          <w:tcPr>
            <w:tcW w:w="60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difficulty making acquisitions and successfully integrating acquired businesses;</w:t>
            </w:r>
          </w:p>
        </w:tc>
      </w:tr>
    </w:tbl>
    <w:p>
      <w:pPr>
        <w:pStyle w:val="Normal"/>
        <w:spacing w:before="0" w:after="0"/>
        <w:rPr>
          <w:sz w:val="4"/>
          <w:szCs w:val="4"/>
        </w:rPr>
      </w:pPr>
      <w:r>
        <w:rPr>
          <w:sz w:val="4"/>
          <w:szCs w:val="4"/>
        </w:rPr>
      </w:r>
      <w:bookmarkStart w:id="20" w:name="list2"/>
      <w:bookmarkStart w:id="21" w:name="list2"/>
      <w:bookmarkEnd w:id="21"/>
    </w:p>
    <w:tbl>
      <w:tblPr>
        <w:tblW w:w="5000" w:type="pct"/>
        <w:jc w:val="left"/>
        <w:tblInd w:w="0" w:type="dxa"/>
        <w:tblCellMar>
          <w:top w:w="0" w:type="dxa"/>
          <w:left w:w="0" w:type="dxa"/>
          <w:bottom w:w="0" w:type="dxa"/>
          <w:right w:w="0" w:type="dxa"/>
        </w:tblCellMar>
      </w:tblPr>
      <w:tblGrid>
        <w:gridCol w:w="773"/>
        <w:gridCol w:w="9432"/>
      </w:tblGrid>
      <w:tr>
        <w:trPr/>
        <w:tc>
          <w:tcPr>
            <w:tcW w:w="77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unforeseen liabilities associated with future acquisitions;</w:t>
            </w:r>
          </w:p>
        </w:tc>
      </w:tr>
    </w:tbl>
    <w:p>
      <w:pPr>
        <w:pStyle w:val="Normal"/>
        <w:spacing w:before="0" w:after="0"/>
        <w:rPr>
          <w:sz w:val="4"/>
          <w:szCs w:val="4"/>
        </w:rPr>
      </w:pPr>
      <w:r>
        <w:rPr>
          <w:sz w:val="4"/>
          <w:szCs w:val="4"/>
        </w:rPr>
      </w:r>
      <w:bookmarkStart w:id="22" w:name="list3"/>
      <w:bookmarkStart w:id="23" w:name="list3"/>
      <w:bookmarkEnd w:id="23"/>
    </w:p>
    <w:tbl>
      <w:tblPr>
        <w:tblW w:w="5000" w:type="pct"/>
        <w:jc w:val="left"/>
        <w:tblInd w:w="0" w:type="dxa"/>
        <w:tblCellMar>
          <w:top w:w="0" w:type="dxa"/>
          <w:left w:w="0" w:type="dxa"/>
          <w:bottom w:w="0" w:type="dxa"/>
          <w:right w:w="0" w:type="dxa"/>
        </w:tblCellMar>
      </w:tblPr>
      <w:tblGrid>
        <w:gridCol w:w="818"/>
        <w:gridCol w:w="9387"/>
      </w:tblGrid>
      <w:tr>
        <w:trPr/>
        <w:tc>
          <w:tcPr>
            <w:tcW w:w="81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limitations on our business imposed by our indebtedness;</w:t>
            </w:r>
          </w:p>
        </w:tc>
      </w:tr>
    </w:tbl>
    <w:p>
      <w:pPr>
        <w:pStyle w:val="Normal"/>
        <w:spacing w:before="0" w:after="0"/>
        <w:rPr>
          <w:sz w:val="4"/>
          <w:szCs w:val="4"/>
        </w:rPr>
      </w:pPr>
      <w:r>
        <w:rPr>
          <w:sz w:val="4"/>
          <w:szCs w:val="4"/>
        </w:rPr>
      </w:r>
      <w:bookmarkStart w:id="24" w:name="list4"/>
      <w:bookmarkStart w:id="25" w:name="list4"/>
      <w:bookmarkEnd w:id="25"/>
    </w:p>
    <w:tbl>
      <w:tblPr>
        <w:tblW w:w="5000" w:type="pct"/>
        <w:jc w:val="left"/>
        <w:tblInd w:w="0" w:type="dxa"/>
        <w:tblCellMar>
          <w:top w:w="0" w:type="dxa"/>
          <w:left w:w="0" w:type="dxa"/>
          <w:bottom w:w="0" w:type="dxa"/>
          <w:right w:w="0" w:type="dxa"/>
        </w:tblCellMar>
      </w:tblPr>
      <w:tblGrid>
        <w:gridCol w:w="979"/>
        <w:gridCol w:w="9226"/>
      </w:tblGrid>
      <w:tr>
        <w:trPr/>
        <w:tc>
          <w:tcPr>
            <w:tcW w:w="97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unfavorable changes in foreign exchange rates;</w:t>
            </w:r>
          </w:p>
        </w:tc>
      </w:tr>
    </w:tbl>
    <w:p>
      <w:pPr>
        <w:pStyle w:val="Normal"/>
        <w:spacing w:before="0" w:after="0"/>
        <w:rPr>
          <w:sz w:val="4"/>
          <w:szCs w:val="4"/>
        </w:rPr>
      </w:pPr>
      <w:r>
        <w:rPr>
          <w:sz w:val="4"/>
          <w:szCs w:val="4"/>
        </w:rPr>
      </w:r>
      <w:bookmarkStart w:id="26" w:name="list5"/>
      <w:bookmarkStart w:id="27" w:name="list5"/>
      <w:bookmarkEnd w:id="27"/>
    </w:p>
    <w:tbl>
      <w:tblPr>
        <w:tblW w:w="5000" w:type="pct"/>
        <w:jc w:val="left"/>
        <w:tblInd w:w="0" w:type="dxa"/>
        <w:tblCellMar>
          <w:top w:w="0" w:type="dxa"/>
          <w:left w:w="0" w:type="dxa"/>
          <w:bottom w:w="0" w:type="dxa"/>
          <w:right w:w="0" w:type="dxa"/>
        </w:tblCellMar>
      </w:tblPr>
      <w:tblGrid>
        <w:gridCol w:w="1258"/>
        <w:gridCol w:w="8947"/>
      </w:tblGrid>
      <w:tr>
        <w:trPr/>
        <w:tc>
          <w:tcPr>
            <w:tcW w:w="125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difficulties associated with exports;</w:t>
            </w:r>
          </w:p>
        </w:tc>
      </w:tr>
    </w:tbl>
    <w:p>
      <w:pPr>
        <w:pStyle w:val="Normal"/>
        <w:spacing w:before="0" w:after="0"/>
        <w:rPr>
          <w:sz w:val="4"/>
          <w:szCs w:val="4"/>
        </w:rPr>
      </w:pPr>
      <w:r>
        <w:rPr>
          <w:sz w:val="4"/>
          <w:szCs w:val="4"/>
        </w:rPr>
      </w:r>
      <w:bookmarkStart w:id="28" w:name="list6"/>
      <w:bookmarkStart w:id="29" w:name="list6"/>
      <w:bookmarkEnd w:id="29"/>
    </w:p>
    <w:tbl>
      <w:tblPr>
        <w:tblW w:w="5000" w:type="pct"/>
        <w:jc w:val="left"/>
        <w:tblInd w:w="0" w:type="dxa"/>
        <w:tblCellMar>
          <w:top w:w="0" w:type="dxa"/>
          <w:left w:w="0" w:type="dxa"/>
          <w:bottom w:w="0" w:type="dxa"/>
          <w:right w:w="0" w:type="dxa"/>
        </w:tblCellMar>
      </w:tblPr>
      <w:tblGrid>
        <w:gridCol w:w="690"/>
        <w:gridCol w:w="9515"/>
      </w:tblGrid>
      <w:tr>
        <w:trPr/>
        <w:tc>
          <w:tcPr>
            <w:tcW w:w="69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1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risks and costs associated with our international sales and operations;</w:t>
            </w:r>
          </w:p>
        </w:tc>
      </w:tr>
    </w:tbl>
    <w:p>
      <w:pPr>
        <w:pStyle w:val="Normal"/>
        <w:spacing w:before="0" w:after="0"/>
        <w:rPr>
          <w:sz w:val="4"/>
          <w:szCs w:val="4"/>
        </w:rPr>
      </w:pPr>
      <w:r>
        <w:rPr>
          <w:sz w:val="4"/>
          <w:szCs w:val="4"/>
        </w:rPr>
      </w:r>
      <w:bookmarkStart w:id="30" w:name="list7"/>
      <w:bookmarkStart w:id="31" w:name="list7"/>
      <w:bookmarkEnd w:id="31"/>
    </w:p>
    <w:tbl>
      <w:tblPr>
        <w:tblW w:w="5000" w:type="pct"/>
        <w:jc w:val="left"/>
        <w:tblInd w:w="0" w:type="dxa"/>
        <w:tblCellMar>
          <w:top w:w="0" w:type="dxa"/>
          <w:left w:w="0" w:type="dxa"/>
          <w:bottom w:w="0" w:type="dxa"/>
          <w:right w:w="0" w:type="dxa"/>
        </w:tblCellMar>
      </w:tblPr>
      <w:tblGrid>
        <w:gridCol w:w="706"/>
        <w:gridCol w:w="9499"/>
      </w:tblGrid>
      <w:tr>
        <w:trPr/>
        <w:tc>
          <w:tcPr>
            <w:tcW w:w="70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increased directors’ and officers’ liability and other insurance costs;</w:t>
            </w:r>
          </w:p>
        </w:tc>
      </w:tr>
    </w:tbl>
    <w:p>
      <w:pPr>
        <w:pStyle w:val="Normal"/>
        <w:spacing w:before="0" w:after="0"/>
        <w:rPr>
          <w:sz w:val="4"/>
          <w:szCs w:val="4"/>
        </w:rPr>
      </w:pPr>
      <w:r>
        <w:rPr>
          <w:sz w:val="4"/>
          <w:szCs w:val="4"/>
        </w:rPr>
      </w:r>
      <w:bookmarkStart w:id="32" w:name="list8"/>
      <w:bookmarkStart w:id="33" w:name="list8"/>
      <w:bookmarkEnd w:id="33"/>
    </w:p>
    <w:tbl>
      <w:tblPr>
        <w:tblW w:w="5000" w:type="pct"/>
        <w:jc w:val="left"/>
        <w:tblInd w:w="0" w:type="dxa"/>
        <w:tblCellMar>
          <w:top w:w="0" w:type="dxa"/>
          <w:left w:w="0" w:type="dxa"/>
          <w:bottom w:w="0" w:type="dxa"/>
          <w:right w:w="0" w:type="dxa"/>
        </w:tblCellMar>
      </w:tblPr>
      <w:tblGrid>
        <w:gridCol w:w="1615"/>
        <w:gridCol w:w="8590"/>
      </w:tblGrid>
      <w:tr>
        <w:trPr/>
        <w:tc>
          <w:tcPr>
            <w:tcW w:w="161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5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risk of rising interest rates;</w:t>
            </w:r>
          </w:p>
        </w:tc>
      </w:tr>
    </w:tbl>
    <w:p>
      <w:pPr>
        <w:pStyle w:val="Normal"/>
        <w:spacing w:before="0" w:after="0"/>
        <w:rPr>
          <w:sz w:val="4"/>
          <w:szCs w:val="4"/>
        </w:rPr>
      </w:pPr>
      <w:r>
        <w:rPr>
          <w:sz w:val="4"/>
          <w:szCs w:val="4"/>
        </w:rPr>
      </w:r>
      <w:bookmarkStart w:id="34" w:name="list9"/>
      <w:bookmarkStart w:id="35" w:name="list9"/>
      <w:bookmarkEnd w:id="35"/>
    </w:p>
    <w:tbl>
      <w:tblPr>
        <w:tblW w:w="5000" w:type="pct"/>
        <w:jc w:val="left"/>
        <w:tblInd w:w="0" w:type="dxa"/>
        <w:tblCellMar>
          <w:top w:w="0" w:type="dxa"/>
          <w:left w:w="0" w:type="dxa"/>
          <w:bottom w:w="0" w:type="dxa"/>
          <w:right w:w="0" w:type="dxa"/>
        </w:tblCellMar>
      </w:tblPr>
      <w:tblGrid>
        <w:gridCol w:w="1219"/>
        <w:gridCol w:w="8986"/>
      </w:tblGrid>
      <w:tr>
        <w:trPr/>
        <w:tc>
          <w:tcPr>
            <w:tcW w:w="121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product liability and insurance risks;</w:t>
            </w:r>
          </w:p>
        </w:tc>
      </w:tr>
    </w:tbl>
    <w:p>
      <w:pPr>
        <w:pStyle w:val="Normal"/>
        <w:spacing w:before="0" w:after="0"/>
        <w:rPr>
          <w:sz w:val="4"/>
          <w:szCs w:val="4"/>
        </w:rPr>
      </w:pPr>
      <w:r>
        <w:rPr>
          <w:sz w:val="4"/>
          <w:szCs w:val="4"/>
        </w:rPr>
      </w:r>
      <w:bookmarkStart w:id="36" w:name="list10"/>
      <w:bookmarkStart w:id="37" w:name="list10"/>
      <w:bookmarkEnd w:id="37"/>
    </w:p>
    <w:tbl>
      <w:tblPr>
        <w:tblW w:w="5000" w:type="pct"/>
        <w:jc w:val="left"/>
        <w:tblInd w:w="0" w:type="dxa"/>
        <w:tblCellMar>
          <w:top w:w="0" w:type="dxa"/>
          <w:left w:w="0" w:type="dxa"/>
          <w:bottom w:w="0" w:type="dxa"/>
          <w:right w:w="0" w:type="dxa"/>
        </w:tblCellMar>
      </w:tblPr>
      <w:tblGrid>
        <w:gridCol w:w="1494"/>
        <w:gridCol w:w="8711"/>
      </w:tblGrid>
      <w:tr>
        <w:trPr/>
        <w:tc>
          <w:tcPr>
            <w:tcW w:w="149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7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increased warranty exposure;</w:t>
            </w:r>
          </w:p>
        </w:tc>
      </w:tr>
    </w:tbl>
    <w:p>
      <w:pPr>
        <w:pStyle w:val="Normal"/>
        <w:spacing w:before="0" w:after="0"/>
        <w:rPr>
          <w:sz w:val="4"/>
          <w:szCs w:val="4"/>
        </w:rPr>
      </w:pPr>
      <w:r>
        <w:rPr>
          <w:sz w:val="4"/>
          <w:szCs w:val="4"/>
        </w:rPr>
      </w:r>
      <w:bookmarkStart w:id="38" w:name="list11"/>
      <w:bookmarkStart w:id="39" w:name="list11"/>
      <w:bookmarkEnd w:id="39"/>
    </w:p>
    <w:tbl>
      <w:tblPr>
        <w:tblW w:w="5000" w:type="pct"/>
        <w:jc w:val="left"/>
        <w:tblInd w:w="0" w:type="dxa"/>
        <w:tblCellMar>
          <w:top w:w="0" w:type="dxa"/>
          <w:left w:w="0" w:type="dxa"/>
          <w:bottom w:w="0" w:type="dxa"/>
          <w:right w:w="0" w:type="dxa"/>
        </w:tblCellMar>
      </w:tblPr>
      <w:tblGrid>
        <w:gridCol w:w="2071"/>
        <w:gridCol w:w="8134"/>
      </w:tblGrid>
      <w:tr>
        <w:trPr/>
        <w:tc>
          <w:tcPr>
            <w:tcW w:w="2071"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1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future competition;</w:t>
            </w:r>
          </w:p>
        </w:tc>
      </w:tr>
    </w:tbl>
    <w:p>
      <w:pPr>
        <w:pStyle w:val="Normal"/>
        <w:spacing w:before="0" w:after="0"/>
        <w:rPr>
          <w:sz w:val="4"/>
          <w:szCs w:val="4"/>
        </w:rPr>
      </w:pPr>
      <w:r>
        <w:rPr>
          <w:sz w:val="4"/>
          <w:szCs w:val="4"/>
        </w:rPr>
      </w:r>
      <w:bookmarkStart w:id="40" w:name="list12"/>
      <w:bookmarkStart w:id="41" w:name="list12"/>
      <w:bookmarkEnd w:id="41"/>
    </w:p>
    <w:tbl>
      <w:tblPr>
        <w:tblW w:w="5000" w:type="pct"/>
        <w:jc w:val="left"/>
        <w:tblInd w:w="0" w:type="dxa"/>
        <w:tblCellMar>
          <w:top w:w="0" w:type="dxa"/>
          <w:left w:w="0" w:type="dxa"/>
          <w:bottom w:w="0" w:type="dxa"/>
          <w:right w:w="0" w:type="dxa"/>
        </w:tblCellMar>
      </w:tblPr>
      <w:tblGrid>
        <w:gridCol w:w="1078"/>
        <w:gridCol w:w="9127"/>
      </w:tblGrid>
      <w:tr>
        <w:trPr/>
        <w:tc>
          <w:tcPr>
            <w:tcW w:w="107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2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cyclical nature of some of our markets;</w:t>
            </w:r>
          </w:p>
        </w:tc>
      </w:tr>
    </w:tbl>
    <w:p>
      <w:pPr>
        <w:pStyle w:val="Normal"/>
        <w:spacing w:before="0" w:after="0"/>
        <w:rPr>
          <w:sz w:val="4"/>
          <w:szCs w:val="4"/>
        </w:rPr>
      </w:pPr>
      <w:r>
        <w:rPr>
          <w:sz w:val="4"/>
          <w:szCs w:val="4"/>
        </w:rPr>
      </w:r>
      <w:bookmarkStart w:id="42" w:name="list13"/>
      <w:bookmarkStart w:id="43" w:name="list13"/>
      <w:bookmarkEnd w:id="43"/>
    </w:p>
    <w:tbl>
      <w:tblPr>
        <w:tblW w:w="5000" w:type="pct"/>
        <w:jc w:val="left"/>
        <w:tblInd w:w="0" w:type="dxa"/>
        <w:tblCellMar>
          <w:top w:w="0" w:type="dxa"/>
          <w:left w:w="0" w:type="dxa"/>
          <w:bottom w:w="0" w:type="dxa"/>
          <w:right w:w="0" w:type="dxa"/>
        </w:tblCellMar>
      </w:tblPr>
      <w:tblGrid>
        <w:gridCol w:w="1061"/>
        <w:gridCol w:w="9144"/>
      </w:tblGrid>
      <w:tr>
        <w:trPr/>
        <w:tc>
          <w:tcPr>
            <w:tcW w:w="1061"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reduction of business with large customers;</w:t>
            </w:r>
          </w:p>
        </w:tc>
      </w:tr>
    </w:tbl>
    <w:p>
      <w:pPr>
        <w:pStyle w:val="Normal"/>
        <w:spacing w:before="0" w:after="0"/>
        <w:rPr>
          <w:sz w:val="4"/>
          <w:szCs w:val="4"/>
        </w:rPr>
      </w:pPr>
      <w:r>
        <w:rPr>
          <w:sz w:val="4"/>
          <w:szCs w:val="4"/>
        </w:rPr>
      </w:r>
      <w:bookmarkStart w:id="44" w:name="list14"/>
      <w:bookmarkStart w:id="45" w:name="list14"/>
      <w:bookmarkEnd w:id="45"/>
    </w:p>
    <w:tbl>
      <w:tblPr>
        <w:tblW w:w="5000" w:type="pct"/>
        <w:jc w:val="left"/>
        <w:tblInd w:w="0" w:type="dxa"/>
        <w:tblCellMar>
          <w:top w:w="0" w:type="dxa"/>
          <w:left w:w="0" w:type="dxa"/>
          <w:bottom w:w="0" w:type="dxa"/>
          <w:right w:w="0" w:type="dxa"/>
        </w:tblCellMar>
      </w:tblPr>
      <w:tblGrid>
        <w:gridCol w:w="1053"/>
        <w:gridCol w:w="9152"/>
      </w:tblGrid>
      <w:tr>
        <w:trPr/>
        <w:tc>
          <w:tcPr>
            <w:tcW w:w="105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risks associated with government contracts;</w:t>
            </w:r>
          </w:p>
        </w:tc>
      </w:tr>
    </w:tbl>
    <w:p>
      <w:pPr>
        <w:pStyle w:val="Normal"/>
        <w:spacing w:before="0" w:after="0"/>
        <w:rPr>
          <w:sz w:val="4"/>
          <w:szCs w:val="4"/>
        </w:rPr>
      </w:pPr>
      <w:r>
        <w:rPr>
          <w:sz w:val="4"/>
          <w:szCs w:val="4"/>
        </w:rPr>
      </w:r>
      <w:bookmarkStart w:id="46" w:name="list15"/>
      <w:bookmarkStart w:id="47" w:name="list15"/>
      <w:bookmarkEnd w:id="47"/>
    </w:p>
    <w:tbl>
      <w:tblPr>
        <w:tblW w:w="5000" w:type="pct"/>
        <w:jc w:val="left"/>
        <w:tblInd w:w="0" w:type="dxa"/>
        <w:tblCellMar>
          <w:top w:w="0" w:type="dxa"/>
          <w:left w:w="0" w:type="dxa"/>
          <w:bottom w:w="0" w:type="dxa"/>
          <w:right w:w="0" w:type="dxa"/>
        </w:tblCellMar>
      </w:tblPr>
      <w:tblGrid>
        <w:gridCol w:w="646"/>
        <w:gridCol w:w="9559"/>
      </w:tblGrid>
      <w:tr>
        <w:trPr/>
        <w:tc>
          <w:tcPr>
            <w:tcW w:w="64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changes in the supply of, or price for, raw materials, parts and components;</w:t>
            </w:r>
          </w:p>
        </w:tc>
      </w:tr>
    </w:tbl>
    <w:p>
      <w:pPr>
        <w:pStyle w:val="Normal"/>
        <w:spacing w:before="0" w:after="0"/>
        <w:rPr>
          <w:sz w:val="4"/>
          <w:szCs w:val="4"/>
        </w:rPr>
      </w:pPr>
      <w:r>
        <w:rPr>
          <w:sz w:val="4"/>
          <w:szCs w:val="4"/>
        </w:rPr>
      </w:r>
      <w:bookmarkStart w:id="48" w:name="list16"/>
      <w:bookmarkStart w:id="49" w:name="list16"/>
      <w:bookmarkEnd w:id="49"/>
    </w:p>
    <w:tbl>
      <w:tblPr>
        <w:tblW w:w="5000" w:type="pct"/>
        <w:jc w:val="left"/>
        <w:tblInd w:w="0" w:type="dxa"/>
        <w:tblCellMar>
          <w:top w:w="0" w:type="dxa"/>
          <w:left w:w="0" w:type="dxa"/>
          <w:bottom w:w="0" w:type="dxa"/>
          <w:right w:w="0" w:type="dxa"/>
        </w:tblCellMar>
      </w:tblPr>
      <w:tblGrid>
        <w:gridCol w:w="972"/>
        <w:gridCol w:w="9233"/>
      </w:tblGrid>
      <w:tr>
        <w:trPr/>
        <w:tc>
          <w:tcPr>
            <w:tcW w:w="97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environmental compliance costs and liabilities;</w:t>
            </w:r>
          </w:p>
        </w:tc>
      </w:tr>
    </w:tbl>
    <w:p>
      <w:pPr>
        <w:pStyle w:val="Normal"/>
        <w:spacing w:before="0" w:after="0"/>
        <w:rPr>
          <w:sz w:val="4"/>
          <w:szCs w:val="4"/>
        </w:rPr>
      </w:pPr>
      <w:r>
        <w:rPr>
          <w:sz w:val="4"/>
          <w:szCs w:val="4"/>
        </w:rPr>
      </w:r>
      <w:bookmarkStart w:id="50" w:name="list17"/>
      <w:bookmarkStart w:id="51" w:name="list17"/>
      <w:bookmarkEnd w:id="51"/>
    </w:p>
    <w:tbl>
      <w:tblPr>
        <w:tblW w:w="5000" w:type="pct"/>
        <w:jc w:val="left"/>
        <w:tblInd w:w="0" w:type="dxa"/>
        <w:tblCellMar>
          <w:top w:w="0" w:type="dxa"/>
          <w:left w:w="0" w:type="dxa"/>
          <w:bottom w:w="0" w:type="dxa"/>
          <w:right w:w="0" w:type="dxa"/>
        </w:tblCellMar>
      </w:tblPr>
      <w:tblGrid>
        <w:gridCol w:w="818"/>
        <w:gridCol w:w="9387"/>
      </w:tblGrid>
      <w:tr>
        <w:trPr/>
        <w:tc>
          <w:tcPr>
            <w:tcW w:w="81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risks and costs associated with asbestos-related litigation;</w:t>
            </w:r>
          </w:p>
        </w:tc>
      </w:tr>
    </w:tbl>
    <w:p>
      <w:pPr>
        <w:pStyle w:val="Normal"/>
        <w:spacing w:before="0" w:after="0"/>
        <w:rPr>
          <w:sz w:val="4"/>
          <w:szCs w:val="4"/>
        </w:rPr>
      </w:pPr>
      <w:r>
        <w:rPr>
          <w:sz w:val="4"/>
          <w:szCs w:val="4"/>
        </w:rPr>
      </w:r>
      <w:bookmarkStart w:id="52" w:name="list18"/>
      <w:bookmarkStart w:id="53" w:name="list18"/>
      <w:bookmarkEnd w:id="53"/>
    </w:p>
    <w:tbl>
      <w:tblPr>
        <w:tblW w:w="5000" w:type="pct"/>
        <w:jc w:val="left"/>
        <w:tblInd w:w="0" w:type="dxa"/>
        <w:tblCellMar>
          <w:top w:w="0" w:type="dxa"/>
          <w:left w:w="0" w:type="dxa"/>
          <w:bottom w:w="0" w:type="dxa"/>
          <w:right w:w="0" w:type="dxa"/>
        </w:tblCellMar>
      </w:tblPr>
      <w:tblGrid>
        <w:gridCol w:w="853"/>
        <w:gridCol w:w="9352"/>
      </w:tblGrid>
      <w:tr>
        <w:trPr/>
        <w:tc>
          <w:tcPr>
            <w:tcW w:w="85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potential write-offs of our substantial intangible assets;</w:t>
            </w:r>
          </w:p>
        </w:tc>
      </w:tr>
    </w:tbl>
    <w:p>
      <w:pPr>
        <w:pStyle w:val="Normal"/>
        <w:spacing w:before="0" w:after="0"/>
        <w:rPr>
          <w:sz w:val="4"/>
          <w:szCs w:val="4"/>
        </w:rPr>
      </w:pPr>
      <w:r>
        <w:rPr>
          <w:sz w:val="4"/>
          <w:szCs w:val="4"/>
        </w:rPr>
      </w:r>
      <w:bookmarkStart w:id="54" w:name="list19"/>
      <w:bookmarkStart w:id="55" w:name="list19"/>
      <w:bookmarkEnd w:id="55"/>
    </w:p>
    <w:tbl>
      <w:tblPr>
        <w:tblW w:w="5000" w:type="pct"/>
        <w:jc w:val="left"/>
        <w:tblInd w:w="0" w:type="dxa"/>
        <w:tblCellMar>
          <w:top w:w="0" w:type="dxa"/>
          <w:left w:w="0" w:type="dxa"/>
          <w:bottom w:w="0" w:type="dxa"/>
          <w:right w:w="0" w:type="dxa"/>
        </w:tblCellMar>
      </w:tblPr>
      <w:tblGrid>
        <w:gridCol w:w="943"/>
        <w:gridCol w:w="9262"/>
      </w:tblGrid>
      <w:tr>
        <w:trPr/>
        <w:tc>
          <w:tcPr>
            <w:tcW w:w="94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ability to successfully develop new products;</w:t>
            </w:r>
          </w:p>
        </w:tc>
      </w:tr>
    </w:tbl>
    <w:p>
      <w:pPr>
        <w:pStyle w:val="Normal"/>
        <w:spacing w:before="0" w:after="0"/>
        <w:rPr>
          <w:sz w:val="4"/>
          <w:szCs w:val="4"/>
        </w:rPr>
      </w:pPr>
      <w:r>
        <w:rPr>
          <w:sz w:val="4"/>
          <w:szCs w:val="4"/>
        </w:rPr>
      </w:r>
      <w:bookmarkStart w:id="56" w:name="list20"/>
      <w:bookmarkStart w:id="57" w:name="list20"/>
      <w:bookmarkEnd w:id="57"/>
    </w:p>
    <w:tbl>
      <w:tblPr>
        <w:tblW w:w="5000" w:type="pct"/>
        <w:jc w:val="left"/>
        <w:tblInd w:w="0" w:type="dxa"/>
        <w:tblCellMar>
          <w:top w:w="0" w:type="dxa"/>
          <w:left w:w="0" w:type="dxa"/>
          <w:bottom w:w="0" w:type="dxa"/>
          <w:right w:w="0" w:type="dxa"/>
        </w:tblCellMar>
      </w:tblPr>
      <w:tblGrid>
        <w:gridCol w:w="1078"/>
        <w:gridCol w:w="9127"/>
      </w:tblGrid>
      <w:tr>
        <w:trPr/>
        <w:tc>
          <w:tcPr>
            <w:tcW w:w="107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2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failure to protect our intellectual property;</w:t>
            </w:r>
          </w:p>
        </w:tc>
      </w:tr>
    </w:tbl>
    <w:p>
      <w:pPr>
        <w:pStyle w:val="Normal"/>
        <w:spacing w:before="0" w:after="0"/>
        <w:rPr>
          <w:sz w:val="4"/>
          <w:szCs w:val="4"/>
        </w:rPr>
      </w:pPr>
      <w:r>
        <w:rPr>
          <w:sz w:val="4"/>
          <w:szCs w:val="4"/>
        </w:rPr>
      </w:r>
      <w:bookmarkStart w:id="58" w:name="list21"/>
      <w:bookmarkStart w:id="59" w:name="list21"/>
      <w:bookmarkEnd w:id="59"/>
    </w:p>
    <w:tbl>
      <w:tblPr>
        <w:tblW w:w="5000" w:type="pct"/>
        <w:jc w:val="left"/>
        <w:tblInd w:w="0" w:type="dxa"/>
        <w:tblCellMar>
          <w:top w:w="0" w:type="dxa"/>
          <w:left w:w="0" w:type="dxa"/>
          <w:bottom w:w="0" w:type="dxa"/>
          <w:right w:w="0" w:type="dxa"/>
        </w:tblCellMar>
      </w:tblPr>
      <w:tblGrid>
        <w:gridCol w:w="526"/>
        <w:gridCol w:w="9679"/>
      </w:tblGrid>
      <w:tr>
        <w:trPr/>
        <w:tc>
          <w:tcPr>
            <w:tcW w:w="52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economic disruption caused by terrorist attacks, health crises or other unforeseen events; and</w:t>
            </w:r>
          </w:p>
        </w:tc>
      </w:tr>
    </w:tbl>
    <w:p>
      <w:pPr>
        <w:pStyle w:val="Normal"/>
        <w:spacing w:before="0" w:after="0"/>
        <w:rPr>
          <w:sz w:val="4"/>
          <w:szCs w:val="4"/>
        </w:rPr>
      </w:pPr>
      <w:r>
        <w:rPr>
          <w:sz w:val="4"/>
          <w:szCs w:val="4"/>
        </w:rPr>
      </w:r>
      <w:bookmarkStart w:id="60" w:name="list22"/>
      <w:bookmarkStart w:id="61" w:name="list22"/>
      <w:bookmarkEnd w:id="61"/>
    </w:p>
    <w:tbl>
      <w:tblPr>
        <w:tblW w:w="5000" w:type="pct"/>
        <w:jc w:val="left"/>
        <w:tblInd w:w="0" w:type="dxa"/>
        <w:tblCellMar>
          <w:top w:w="0" w:type="dxa"/>
          <w:left w:w="0" w:type="dxa"/>
          <w:bottom w:w="0" w:type="dxa"/>
          <w:right w:w="0" w:type="dxa"/>
        </w:tblCellMar>
      </w:tblPr>
      <w:tblGrid>
        <w:gridCol w:w="550"/>
        <w:gridCol w:w="9655"/>
      </w:tblGrid>
      <w:tr>
        <w:trPr/>
        <w:tc>
          <w:tcPr>
            <w:tcW w:w="55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factors discussed in Item 1A to this Annual Report under the heading “Risk Factors.”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believe these forward-looking statements are reasonable. However, you should not place undue reliance on any forward-looking statements, which are based on current expectations. Further, forward-looking statements speak only as of the date they are made, and we undertake no obligation to publicly update any of them in light of new information or future events.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 w:name="PGBRK1"/>
      <w:bookmarkStart w:id="63" w:name="PGBRK1"/>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64" w:name="FTR1"/>
      <w:bookmarkEnd w:id="6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5" w:name="GLFTR1"/>
      <w:bookmarkEnd w:id="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6" w:name="PN1"/>
      <w:bookmarkEnd w:id="66"/>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 w:name="HDR1"/>
      <w:bookmarkStart w:id="68" w:name="HDR1"/>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9" w:name="GLHDR1"/>
      <w:bookmarkEnd w:id="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PART I</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70" w:name="hangingindent2"/>
      <w:bookmarkStart w:id="71" w:name="hangingindent2"/>
      <w:bookmarkEnd w:id="71"/>
    </w:p>
    <w:tbl>
      <w:tblPr>
        <w:tblW w:w="5000" w:type="pct"/>
        <w:jc w:val="center"/>
        <w:tblInd w:w="0" w:type="dxa"/>
        <w:tblCellMar>
          <w:top w:w="0" w:type="dxa"/>
          <w:left w:w="0" w:type="dxa"/>
          <w:bottom w:w="0" w:type="dxa"/>
          <w:right w:w="0" w:type="dxa"/>
        </w:tblCellMar>
      </w:tblPr>
      <w:tblGrid>
        <w:gridCol w:w="4468"/>
        <w:gridCol w:w="5737"/>
      </w:tblGrid>
      <w:tr>
        <w:trPr/>
        <w:tc>
          <w:tcPr>
            <w:tcW w:w="446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1.</w:t>
            </w:r>
          </w:p>
        </w:tc>
        <w:tc>
          <w:tcPr>
            <w:tcW w:w="5737"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BUSINESS</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Roper Industries, Inc. (“Roper” or the “Company”) was incorporated on December 17, 1981 under the laws of the State of Delaware. We are a diversified growth company that designs, manufactures and distributes medical and scientific imaging products and software, energy systems and controls, industrial technology products and radio frequency (“RF”) products and services. We market these products and services to selected segments of a broad range of markets including RF applications, medical, water, energy, research, education, food and food services, security and other niche markets.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pursue consistent and sustainable growth in sales and earnings by emphasizing continuous improvement in the operating performance of our existing businesses and by acquiring other carefully selected businesses that offer high value-added services, engineered products and solutions and are capable of achieving growth and maintaining high margins. We compete in many niche markets and believe that we are the market leader or a competitive alternative to the market leader in the majority of these markets.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Market Share, Market Expansion, and Product Development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Leadership with Engineered Content for Niche Markets</w:t>
      </w:r>
      <w:r>
        <w:rPr>
          <w:rFonts w:ascii="Times New Roman" w:hAnsi="Times New Roman"/>
          <w:sz w:val="20"/>
        </w:rPr>
        <w:t xml:space="preserve"> - We maintain a leading position in many of our markets. We believe our market positions are attributable to the technical sophistication of our products, the applications expertise used to create our advanced products and systems, and our distribution and service capabilities. Our operating units grow their businesses through new product development and development of new applications and services for existing products to satisfy customer needs. In addition, our operating units grow our customer base by expanding our distribution, selling other products through our existing channels and entering adjacent markets.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 xml:space="preserve">Diversified End Markets and Geographic Reach </w:t>
      </w:r>
      <w:r>
        <w:rPr>
          <w:rFonts w:ascii="Times New Roman" w:hAnsi="Times New Roman"/>
          <w:sz w:val="20"/>
        </w:rPr>
        <w:t>- Over the past decade, we have strategically expanded the number of end markets we serve to expand our opportunities for growth. We have a global presence, with sales of products manufactured and exported from the United States (“U.S.”) and manufactured abroad and sold to customers outside the U.S. totaling $944 million in 2010.  Information regarding our international operations is set forth in Note 15 of the notes to Consolidated Financial Statements included in this Annual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 xml:space="preserve">Research and Development </w:t>
      </w:r>
      <w:r>
        <w:rPr>
          <w:rFonts w:ascii="Times New Roman" w:hAnsi="Times New Roman"/>
          <w:sz w:val="20"/>
        </w:rPr>
        <w:t>- We conduct applied research and development to improve the quality and performance of our products and to develop new technologies and products. Our research and development spending was $102.4 million in 2010 as compared to $83.4 and $87.4 million in 2009 and 2008, respectively. Research and development expense as a percentage of sales increased to 4.3% in 2010 from 4.1% in 2009. The percentage has increased as the mix of our businesses shifts to higher technology, medical and software platforms.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Our Business Segments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operations are reported in four segments based upon common customers, markets, sales channels, technologies and common cost opportunities. The segments are: Medical and Scientific Imaging, Energy Systems and Controls, Industrial Technology and RF Technology. Financial information about our business segments is presented in Note 15 of the notes to Consolidated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180"/>
        <w:jc w:val="left"/>
        <w:rPr>
          <w:rFonts w:ascii="Times New Roman" w:hAnsi="Times New Roman"/>
          <w:b/>
          <w:i/>
          <w:sz w:val="20"/>
        </w:rPr>
      </w:pPr>
      <w:r>
        <w:rPr>
          <w:rFonts w:ascii="Times New Roman" w:hAnsi="Times New Roman"/>
          <w:b/>
          <w:i/>
          <w:sz w:val="20"/>
        </w:rPr>
        <w:t>Medical and Scientific Imaging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Medical and Scientific Imaging segment principally offers products and software in medical applications, high performance digital imaging products and software and handheld and vehicle mount computers. These products and solutions are provided through six U.S-based and one Canadian-based operating units. For 2010, this segment had net sales of $548.7 million, representing 23.0% of our total net sales.</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Medical Products and Software</w:t>
      </w:r>
      <w:r>
        <w:rPr>
          <w:rFonts w:ascii="Times New Roman" w:hAnsi="Times New Roman"/>
          <w:sz w:val="20"/>
        </w:rPr>
        <w:t xml:space="preserve"> - We manufacture and sell patient positioning devices for use in radiation oncology and supply diagnostic and therapeutic disposable products used in ultrasound imaging for minimally invasive medical procedures.  We also design and manufacture a non-invasive instrument for portable ultrasound bladder volume measurement and a video laryngoscope designed to enable rapid intubation even in the most difficult settings.</w:t>
      </w:r>
    </w:p>
    <w:p>
      <w:pPr>
        <w:pStyle w:val="TextBody"/>
        <w:spacing w:before="0" w:after="0"/>
        <w:ind w:left="180" w:right="0" w:hanging="0"/>
        <w:jc w:val="both"/>
        <w:rPr/>
      </w:pPr>
      <w:r>
        <w:rPr/>
        <w:t> </w:t>
      </w:r>
    </w:p>
    <w:p>
      <w:pPr>
        <w:pStyle w:val="TextBody"/>
        <w:spacing w:before="0" w:after="0"/>
        <w:ind w:left="180" w:right="0" w:hanging="0"/>
        <w:jc w:val="both"/>
        <w:rPr>
          <w:rFonts w:ascii="Times New Roman" w:hAnsi="Times New Roman"/>
          <w:sz w:val="20"/>
        </w:rPr>
      </w:pPr>
      <w:r>
        <w:rPr>
          <w:rFonts w:ascii="Times New Roman" w:hAnsi="Times New Roman"/>
          <w:i/>
          <w:sz w:val="20"/>
        </w:rPr>
        <w:t>Digital Imaging Products and Software</w:t>
      </w:r>
      <w:r>
        <w:rPr>
          <w:rFonts w:ascii="Times New Roman" w:hAnsi="Times New Roman"/>
          <w:sz w:val="20"/>
        </w:rPr>
        <w:t xml:space="preserve"> - We manufacture and sell extremely sensitive, high-performance charged couple device (“CCD”) and complementary metal oxide semiconductor (“CMOS”) cameras, detectors and related software for a variety of scientific and industrial uses, which require high resolution and/or high speed digital video, including transmission electron microscopy and spectroscopy applications. We principally sell these products for use within academic, government research, semiconductor, security and other end-user markets such as biological and material science. They are frequently incorporated into products by original equipment manufacturers (“OEMs”).</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Handheld and Vehicle Mount Computers and Software</w:t>
      </w:r>
      <w:r>
        <w:rPr>
          <w:rFonts w:ascii="Times New Roman" w:hAnsi="Times New Roman"/>
          <w:sz w:val="20"/>
        </w:rPr>
        <w:t xml:space="preserve"> - We manufacture and sell fully rugged handheld and vehicle mount computers for utility (principally water management) and non-utility markets.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Backlog</w:t>
      </w:r>
      <w:r>
        <w:rPr>
          <w:rFonts w:ascii="Times New Roman" w:hAnsi="Times New Roman"/>
          <w:sz w:val="20"/>
        </w:rPr>
        <w:t xml:space="preserve"> – Our Medical and Scientific Imaging segment companies have lead times of up to several months on many of their product sales, although standard products are often shipped within two weeks of receipt of order. Blanket purchase orders are placed by certain OEM and end-users, with continuing requirements for fulfillment over specified periods of time. The segment’s backlog of firm unfilled orders, including blanket purchase orders, totaled $103.8 million at December 31, 2010, as compared to $73.7 million at December 31, 2009.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Distribution and Sales</w:t>
      </w:r>
      <w:r>
        <w:rPr>
          <w:rFonts w:ascii="Times New Roman" w:hAnsi="Times New Roman"/>
          <w:sz w:val="20"/>
        </w:rPr>
        <w:t xml:space="preserve"> - Distribution and sales occur through direct sales personnel, manufacturers’ representatives, value added resellers (“VARs”), OEMs and distributors.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180"/>
        <w:jc w:val="left"/>
        <w:rPr>
          <w:rFonts w:ascii="Times New Roman" w:hAnsi="Times New Roman"/>
          <w:b/>
          <w:i/>
          <w:sz w:val="20"/>
        </w:rPr>
      </w:pPr>
      <w:r>
        <w:rPr>
          <w:rFonts w:ascii="Times New Roman" w:hAnsi="Times New Roman"/>
          <w:b/>
          <w:i/>
          <w:sz w:val="20"/>
        </w:rPr>
        <w:t>Energy Systems and Controls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Energy Systems and Controls segment principally produces control systems, fluid properties testing equipment, industrial valves and controls, vibration sensors and non-destructive inspection and measurement products and solutions, which are provided through six U.S.-based operating units. For 2010, this segment had net sales of $503.9 million, representing 21.1% of our total net sales.</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Control Systems</w:t>
      </w:r>
      <w:r>
        <w:rPr>
          <w:rFonts w:ascii="Times New Roman" w:hAnsi="Times New Roman"/>
          <w:sz w:val="20"/>
        </w:rPr>
        <w:t xml:space="preserve"> - We manufacture control systems and panels and provide related engineering and commissioning services for turbomachinery applications, predominately in energy markets.</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Fluid Properties Testing Equipment</w:t>
      </w:r>
      <w:r>
        <w:rPr>
          <w:rFonts w:ascii="Times New Roman" w:hAnsi="Times New Roman"/>
          <w:sz w:val="20"/>
        </w:rPr>
        <w:t xml:space="preserve"> - We manufacture and sell automated and manual test equipment to determine physical and elemental properties, such as sulfur and nitrogen content, flash point, viscosity, freeze point and distillation range of liquids and gases for the petroleum and other industries.</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Industrial Valves and Controls</w:t>
      </w:r>
      <w:r>
        <w:rPr>
          <w:rFonts w:ascii="Times New Roman" w:hAnsi="Times New Roman"/>
          <w:sz w:val="20"/>
        </w:rPr>
        <w:t xml:space="preserve"> - We manufacture and distribute a variety of valves, sensors, switches and control products used on engines, compressors, turbines and other powered equipment for the oil and gas, pipeline, power generation, marine engine and general industrial markets. Many of these products are designed for use in hazardous environments.</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Sensors and Controls</w:t>
      </w:r>
      <w:r>
        <w:rPr>
          <w:rFonts w:ascii="Times New Roman" w:hAnsi="Times New Roman"/>
          <w:sz w:val="20"/>
        </w:rPr>
        <w:t xml:space="preserve"> - We manufacture sensors and control equipment including pressure sensors, temperature sensors, measurement instruments and control software for global rubber, plastics and process industries.</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Non-destructive Inspection and Measurement Instrumentation</w:t>
      </w:r>
      <w:r>
        <w:rPr>
          <w:rFonts w:ascii="Times New Roman" w:hAnsi="Times New Roman"/>
          <w:sz w:val="20"/>
        </w:rPr>
        <w:t xml:space="preserve"> - We manufacture non-destructive inspection and measurement solutions including measurement probes, robotics, vibration sensors, switches and transmitters. These solutions are applied principally in energy markets. Many of these products are designed for use in hazardous environments.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Backlog</w:t>
      </w:r>
      <w:r>
        <w:rPr>
          <w:rFonts w:ascii="Times New Roman" w:hAnsi="Times New Roman"/>
          <w:sz w:val="20"/>
        </w:rPr>
        <w:t xml:space="preserve"> - The Energy Systems and Controls operating units’ sales reflect a combination of standard products and large engineered projects. Standard products generally ship within two weeks of receipt of order, and large engineered projects may have lead times of several months. As such, backlog may fluctuate depending upon the timing of large project awards. This segment’s backlog of firm unfilled orders totaled $104.5 million at December 31, 2010 compared to $70.9 million at December 31, 2009.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Distribution and Sales</w:t>
      </w:r>
      <w:r>
        <w:rPr>
          <w:rFonts w:ascii="Times New Roman" w:hAnsi="Times New Roman"/>
          <w:sz w:val="20"/>
        </w:rPr>
        <w:t xml:space="preserve"> - Distribution and sales occur through direct sales offices, manufacturers’ representatives and distributors.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180"/>
        <w:jc w:val="left"/>
        <w:rPr>
          <w:rFonts w:ascii="Times New Roman" w:hAnsi="Times New Roman"/>
          <w:b/>
          <w:i/>
          <w:sz w:val="20"/>
        </w:rPr>
      </w:pPr>
      <w:r>
        <w:rPr>
          <w:rFonts w:ascii="Times New Roman" w:hAnsi="Times New Roman"/>
          <w:b/>
          <w:i/>
          <w:sz w:val="20"/>
        </w:rPr>
        <w:t>Industrial Technology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Industrial Technology segment produces industrial pumps, equipment and consumables for materials analysis, industrial leak testing equipment, flow measurement and metering equipment and water meter and automatic meter reading (“AMR”) products and systems. These products and solutions are provided through six U.S.-based and two European-based operating units. For 2010, this segment had net sales of $607.6 million, representing 25.5% of our total net sales.</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Industrial Pumps</w:t>
      </w:r>
      <w:r>
        <w:rPr>
          <w:rFonts w:ascii="Times New Roman" w:hAnsi="Times New Roman"/>
          <w:sz w:val="20"/>
        </w:rPr>
        <w:t xml:space="preserve"> - We manufacture and distribute a wide variety of pumps. These pumps vary significantly in complexity and in pumping method employed, which allows for the movement and application of a diverse range of liquids and solids including low and high viscosity liquids, high solids content slurries and chemicals. Our pumps are used in large and diverse sets of end markets such as oil and gas, agricultural, water and wastewater, chemical and general industrial.</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Materials Analysis Equipment and Consumables</w:t>
      </w:r>
      <w:r>
        <w:rPr>
          <w:rFonts w:ascii="Times New Roman" w:hAnsi="Times New Roman"/>
          <w:sz w:val="20"/>
        </w:rPr>
        <w:t xml:space="preserve"> - We manufacture and sell equipment and supply various types of consumables necessary to prepare materials samples for testing and analysis. These products are used mostly within the academic, government research, electronics, material science, basic materials, steel and automotive end-user markets.</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Industrial Leak Testing Equipment</w:t>
      </w:r>
      <w:r>
        <w:rPr>
          <w:rFonts w:ascii="Times New Roman" w:hAnsi="Times New Roman"/>
          <w:sz w:val="20"/>
        </w:rPr>
        <w:t xml:space="preserve"> - We manufacture and sell products and systems to test for leaks and confirm the integrity of assemblies and sub-assemblies in automotive, medical and industrial applications.</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Flow Measurement Equipment</w:t>
      </w:r>
      <w:r>
        <w:rPr>
          <w:rFonts w:ascii="Times New Roman" w:hAnsi="Times New Roman"/>
          <w:sz w:val="20"/>
        </w:rPr>
        <w:t xml:space="preserve"> - We manufacture and distribute turbine and positive displacement flow meters, emissions measurement equipment and flow meter calibration products for aerospace, automotive, power generation and other industrial applications.</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Water Meter and AMR Products and Systems</w:t>
      </w:r>
      <w:r>
        <w:rPr>
          <w:rFonts w:ascii="Times New Roman" w:hAnsi="Times New Roman"/>
          <w:sz w:val="20"/>
        </w:rPr>
        <w:t xml:space="preserve"> - We manufacture and distribute several classes of water meter products serving the residential, commercial and industrial water management markets, and several lines of automatic meter reading products and systems serving these markets.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Backlog</w:t>
      </w:r>
      <w:r>
        <w:rPr>
          <w:rFonts w:ascii="Times New Roman" w:hAnsi="Times New Roman"/>
          <w:sz w:val="20"/>
        </w:rPr>
        <w:t xml:space="preserve"> - The Industrial Technology operating units’ sales reflect a combination of standard products and specially engineered, application-specific products. Standard products are typically shipped within two weeks of receipt of order, with certain valve and pump products shipped on an immediate basis. Application-specific products typically ship within 6 to 12 weeks following receipt of order. However, larger project orders and blanket purchase orders for certain OEMs may extend shipment for longer periods. This segment’s backlog of firm unfilled orders, including blanket purchase orders, totaled $114.0 million at December 31, 2010, as compared to $52.1 million at December 31, 2009.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Distribution and Sales</w:t>
      </w:r>
      <w:r>
        <w:rPr>
          <w:rFonts w:ascii="Times New Roman" w:hAnsi="Times New Roman"/>
          <w:sz w:val="20"/>
        </w:rPr>
        <w:t xml:space="preserve"> - Distribution and sales occur through direct sales personnel, manufacturers’ representatives and distributors.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180"/>
        <w:jc w:val="left"/>
        <w:rPr>
          <w:rFonts w:ascii="Times New Roman" w:hAnsi="Times New Roman"/>
          <w:b/>
          <w:i/>
          <w:sz w:val="20"/>
        </w:rPr>
      </w:pPr>
      <w:r>
        <w:rPr>
          <w:rFonts w:ascii="Times New Roman" w:hAnsi="Times New Roman"/>
          <w:b/>
          <w:i/>
          <w:sz w:val="20"/>
        </w:rPr>
        <w:t>RF Technology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RF Technology segment provides radio frequency identification (“RFID”) communication technology and software solutions that are used primarily in toll and traffic systems and processing, security and access control, campus card systems, software-as-a-service in the freight matching and food industries and metering and remote monitoring applications. These products and solutions are provided through six U.S.-based and one European-based operating units. This segment had sales of $725.9 million for the year ended December 31, 2010, representing 30.4% of our total net sales.</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Toll and Traffic Systems</w:t>
      </w:r>
      <w:r>
        <w:rPr>
          <w:rFonts w:ascii="Times New Roman" w:hAnsi="Times New Roman"/>
          <w:sz w:val="20"/>
        </w:rPr>
        <w:t xml:space="preserve"> - We manufacture and sell toll tags and monitoring systems as well as provide transaction and violation processing services for toll and traffic systems to both governmental and private sector entities. In addition, we provide intelligent traffic systems that assist customers in improving traffic flow and infrastructure utilization.</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Card Systems/Integrated Security Solutions</w:t>
      </w:r>
      <w:r>
        <w:rPr>
          <w:rFonts w:ascii="Times New Roman" w:hAnsi="Times New Roman"/>
          <w:sz w:val="20"/>
        </w:rPr>
        <w:t xml:space="preserve"> - We provide card systems and integrated security solutions to education, health care and other markets. In the education and health care markets, we also provide an integrated nutrition management solution.</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 xml:space="preserve">Software-as-a-Service - </w:t>
      </w:r>
      <w:r>
        <w:rPr>
          <w:rFonts w:ascii="Times New Roman" w:hAnsi="Times New Roman"/>
          <w:sz w:val="20"/>
        </w:rPr>
        <w:t>We maintain electronic marketplaces that match 1) available capacity of trucking units with the available loads of freight to be moved from location to location throughout North America and 2) food suppliers, distributors and vendors, primarily in the perishable food sector.</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i/>
          <w:sz w:val="20"/>
        </w:rPr>
        <w:t xml:space="preserve">Metering and Remote Monitoring - </w:t>
      </w:r>
      <w:r>
        <w:rPr>
          <w:rFonts w:ascii="Times New Roman" w:hAnsi="Times New Roman"/>
          <w:sz w:val="20"/>
        </w:rPr>
        <w:t>We manufacture and sell meter reading, data logging and pressure control products for use in water, gas and electricity applications.  We also provide network monitoring, leakage reduction and pressure control services in water and gas distribution networks.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Backlog</w:t>
      </w:r>
      <w:r>
        <w:rPr>
          <w:rFonts w:ascii="Times New Roman" w:hAnsi="Times New Roman"/>
          <w:sz w:val="20"/>
        </w:rPr>
        <w:t xml:space="preserve"> - The RF Technology operating units’ sales reflect a combination of standard products, large engineered projects, and multi-year operations and maintenance contracts. Standard products generally ship within two weeks of receipt of order, and large engineered projects may have lead times of several months. As such, backlog may fluctuate depending upon the timing of large project awards. This segment’s backlog of firm unfilled orders totaled $463.1 million at December 31, 2010 compared to $368.8 million at December 31, 2009.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Distribution and Sales</w:t>
      </w:r>
      <w:r>
        <w:rPr>
          <w:rFonts w:ascii="Times New Roman" w:hAnsi="Times New Roman"/>
          <w:sz w:val="20"/>
        </w:rPr>
        <w:t xml:space="preserve"> - Distribution and sales occur through direct sales personnel, manufacturers’ representatives and distributors.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Materials and Suppliers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believe that most materials and supplies we use are readily available from numerous sources and suppliers throughout the world. However, some of our components and sub-assemblies are currently available from a limited number of suppliers. Some high-performance components for digital imaging products can be in short supply and/or suppliers have occasional difficulty manufacturing such components to our specifications. We regularly investigate and identify alternative sources where possible, and we believe that these conditions equally affect our competitors. Thus far, supply shortages have not had a material adverse effect on Roper’s sales although delays in shipments have occurred following such supply interruptions.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Environmental Matters and Other Governmental Regulation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operations and properties are subject to laws and regulations relating to environmental protection, including laws and regulations governing air emissions, water discharges, waste management and workplace safety. We use, generate and dispose of hazardous substances and waste in our operations and, as a result, could be subject to potentially material liabilities relating to the investigation and clean-up of contaminated properties and related claims. We are required to conform our operations and properties to these laws and adapt to regulatory requirements in all countries as these requirements change. In connection with our acquisitions, we may assume significant environmental liabilities, some of which we may not be aware of, or may not be quantifiable, at the time of acquisition. In addition, new laws and regulations, stricter e nforcement of existing laws and regulations, the discovery of previously unknown contamination or the imposition of new requirements could increase our costs or subject us to new or increased liabilities.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Customers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 customer accounted for 10% or more of net sales for 2010 for any segment or for Roper as a whole.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Competition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Generally, our products and solutions face significant competition, usually from a limited number of competitors. We believe that we are a leader in most of our markets, and no single company competes with us over a significant number of product lines. Competitors might be large or small in size, often depending on the life cycle and maturity of the technology employed. We compete primarily on product quality, performance, innovation, technology, price, applications expertise, distribution channel access and customer service capabilities.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Patents and Trademarks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to trade secrets, unpatented know-how, and other intellectual property rights, we own or license the rights under a number of patents, trademarks and copyrights relating to certain of our products and businesses. We also employ various methods, including confidentiality and non-disclosure agreements with employees, to protect our trade secrets and know-how. We believe that our operating units are not substantially dependent on any single patent, trademark, copyright, or other item of intellectual property or group of patents, trademarks or copyrights.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Employees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2010, we had approximately 8,050 total employees, with approximately 5,870 located in the United States. Approximately 180 of our employees are subject to collective bargaining agreements. We have not experienced any work stoppages and consider our relations with our employees to be good.</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Available Information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All reports filed electronically by Roper with the United States Securities and Exchange Commission (“SEC”), including our annual report on Form 10-K, quarterly reports on Form 10-Q, current reports on Form 8-K and our annual proxy statements, as well as any amendments to those reports, are accessible at no cost on our website at www.roperind.com. These filings are also accessible on the SEC’s website at www.sec.gov. You may also read and copy any material Roper files with the SEC at the SEC’s Public Reference Room at 100 F Street, N.E., Washington, D.C. 20549. You may obtain information on the operation of the Public Reference Room by calling the SEC at 1-800-SEC-0330. The Company’s Corporate Governance Guidelines; the charters of the Audit Committee, the Compensation Committee, and the Nominating and Gov ernance Committee; and the Code of Business Conduct &amp; Ethics are also available on the Company’s website.  Any amendment to the Code of Business Conduct and Ethics and any waiver applicable to our directors, executive officers or senior financial officers will be posted on our website within the time period required by the SEC and the New York Stock Exchange (the “NYSE”).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included the Chief Executive Officer and the Chief Financial Officer certifications regarding Roper’s public disclosure required by Section 302 of the Sarbanes-Oxley Act of 2002 as Exhibits 31.1 and 31.2 of this report. Additionally, Roper filed with the NYSE the Chief Executive Officer certification regarding Roper’s compliance with the NYSE’s Corporate Governance Listing Standards (the “Listing Standards”) pursuant to Section 303A.12(a) of the Listing Standards. The certification was filed with the NYSE on June 29, 2010 and indicated that the Chief Executive Officer was not aware of any violations of the Listing Standards by the Company.</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1A.                      RISK FACTORS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Risks Relating to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Our indebtedness may affect our business and may restrict our operating flexibility.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2010, we had $1.34 billion in total consolidated indebtedness. In addition, we had $468 million undrawn availability under our senior unsecured credit facility, as well as the ability to request additional term loans or revolving credit commitments not to exceed $350 million in aggregate. Our total consolidated debt could increase using this additional borrowing capacity.  Subject to restrictions contained in our credit facility, we may incur additional indebtedness in the future, including indebtedness incurred to finance, or which is assumed in connection with, acquisitions.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level of indebtedness and the debt servicing costs associated with that indebtedness could have important effects on our operations and business strategy. For example, our indebtedness could:</w:t>
      </w:r>
    </w:p>
    <w:p>
      <w:pPr>
        <w:pStyle w:val="TextBody"/>
        <w:spacing w:before="0" w:after="0"/>
        <w:ind w:left="0" w:right="0" w:hanging="0"/>
        <w:rPr/>
      </w:pPr>
      <w:r>
        <w:rPr/>
      </w:r>
    </w:p>
    <w:p>
      <w:pPr>
        <w:pStyle w:val="Normal"/>
        <w:spacing w:before="0" w:after="0"/>
        <w:rPr>
          <w:sz w:val="4"/>
          <w:szCs w:val="4"/>
        </w:rPr>
      </w:pPr>
      <w:r>
        <w:rPr>
          <w:sz w:val="4"/>
          <w:szCs w:val="4"/>
        </w:rPr>
      </w:r>
      <w:bookmarkStart w:id="72" w:name="list23"/>
      <w:bookmarkStart w:id="73" w:name="list23"/>
      <w:bookmarkEnd w:id="7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place us at a competitive disadvantage relative to our competitors, some of which have lower debt service obligations and greater financial resources;</w:t>
            </w:r>
          </w:p>
        </w:tc>
      </w:tr>
    </w:tbl>
    <w:p>
      <w:pPr>
        <w:pStyle w:val="Normal"/>
        <w:spacing w:before="0" w:after="0"/>
        <w:rPr>
          <w:sz w:val="4"/>
          <w:szCs w:val="4"/>
        </w:rPr>
      </w:pPr>
      <w:r>
        <w:rPr>
          <w:sz w:val="4"/>
          <w:szCs w:val="4"/>
        </w:rPr>
      </w:r>
      <w:bookmarkStart w:id="74" w:name="list24"/>
      <w:bookmarkStart w:id="75" w:name="list24"/>
      <w:bookmarkEnd w:id="75"/>
    </w:p>
    <w:tbl>
      <w:tblPr>
        <w:tblW w:w="5000" w:type="pct"/>
        <w:jc w:val="left"/>
        <w:tblInd w:w="0" w:type="dxa"/>
        <w:tblCellMar>
          <w:top w:w="0" w:type="dxa"/>
          <w:left w:w="0" w:type="dxa"/>
          <w:bottom w:w="0" w:type="dxa"/>
          <w:right w:w="0" w:type="dxa"/>
        </w:tblCellMar>
      </w:tblPr>
      <w:tblGrid>
        <w:gridCol w:w="1045"/>
        <w:gridCol w:w="9160"/>
      </w:tblGrid>
      <w:tr>
        <w:trPr/>
        <w:tc>
          <w:tcPr>
            <w:tcW w:w="104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limit our ability to borrow additional funds;</w:t>
            </w:r>
          </w:p>
        </w:tc>
      </w:tr>
    </w:tbl>
    <w:p>
      <w:pPr>
        <w:pStyle w:val="Normal"/>
        <w:spacing w:before="0" w:after="0"/>
        <w:rPr>
          <w:sz w:val="4"/>
          <w:szCs w:val="4"/>
        </w:rPr>
      </w:pPr>
      <w:r>
        <w:rPr>
          <w:sz w:val="4"/>
          <w:szCs w:val="4"/>
        </w:rPr>
      </w:r>
      <w:bookmarkStart w:id="76" w:name="list25"/>
      <w:bookmarkStart w:id="77" w:name="list25"/>
      <w:bookmarkEnd w:id="77"/>
    </w:p>
    <w:tbl>
      <w:tblPr>
        <w:tblW w:w="5000" w:type="pct"/>
        <w:jc w:val="left"/>
        <w:tblInd w:w="0" w:type="dxa"/>
        <w:tblCellMar>
          <w:top w:w="0" w:type="dxa"/>
          <w:left w:w="0" w:type="dxa"/>
          <w:bottom w:w="0" w:type="dxa"/>
          <w:right w:w="0" w:type="dxa"/>
        </w:tblCellMar>
      </w:tblPr>
      <w:tblGrid>
        <w:gridCol w:w="959"/>
        <w:gridCol w:w="9246"/>
      </w:tblGrid>
      <w:tr>
        <w:trPr/>
        <w:tc>
          <w:tcPr>
            <w:tcW w:w="95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limit our ability to complete future acquisitions;</w:t>
            </w:r>
          </w:p>
        </w:tc>
      </w:tr>
    </w:tbl>
    <w:p>
      <w:pPr>
        <w:pStyle w:val="Normal"/>
        <w:spacing w:before="0" w:after="0"/>
        <w:rPr>
          <w:sz w:val="4"/>
          <w:szCs w:val="4"/>
        </w:rPr>
      </w:pPr>
      <w:r>
        <w:rPr>
          <w:sz w:val="4"/>
          <w:szCs w:val="4"/>
        </w:rPr>
      </w:r>
      <w:bookmarkStart w:id="78" w:name="list26"/>
      <w:bookmarkStart w:id="79" w:name="list26"/>
      <w:bookmarkEnd w:id="79"/>
    </w:p>
    <w:tbl>
      <w:tblPr>
        <w:tblW w:w="5000" w:type="pct"/>
        <w:jc w:val="left"/>
        <w:tblInd w:w="0" w:type="dxa"/>
        <w:tblCellMar>
          <w:top w:w="0" w:type="dxa"/>
          <w:left w:w="0" w:type="dxa"/>
          <w:bottom w:w="0" w:type="dxa"/>
          <w:right w:w="0" w:type="dxa"/>
        </w:tblCellMar>
      </w:tblPr>
      <w:tblGrid>
        <w:gridCol w:w="1305"/>
        <w:gridCol w:w="8900"/>
      </w:tblGrid>
      <w:tr>
        <w:trPr/>
        <w:tc>
          <w:tcPr>
            <w:tcW w:w="130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limit our ability to pay dividends;</w:t>
            </w:r>
          </w:p>
        </w:tc>
      </w:tr>
    </w:tbl>
    <w:p>
      <w:pPr>
        <w:pStyle w:val="Normal"/>
        <w:spacing w:before="0" w:after="0"/>
        <w:rPr>
          <w:sz w:val="4"/>
          <w:szCs w:val="4"/>
        </w:rPr>
      </w:pPr>
      <w:r>
        <w:rPr>
          <w:sz w:val="4"/>
          <w:szCs w:val="4"/>
        </w:rPr>
      </w:r>
      <w:bookmarkStart w:id="80" w:name="list27"/>
      <w:bookmarkStart w:id="81" w:name="list27"/>
      <w:bookmarkEnd w:id="81"/>
    </w:p>
    <w:tbl>
      <w:tblPr>
        <w:tblW w:w="5000" w:type="pct"/>
        <w:jc w:val="left"/>
        <w:tblInd w:w="0" w:type="dxa"/>
        <w:tblCellMar>
          <w:top w:w="0" w:type="dxa"/>
          <w:left w:w="0" w:type="dxa"/>
          <w:bottom w:w="0" w:type="dxa"/>
          <w:right w:w="0" w:type="dxa"/>
        </w:tblCellMar>
      </w:tblPr>
      <w:tblGrid>
        <w:gridCol w:w="924"/>
        <w:gridCol w:w="9281"/>
      </w:tblGrid>
      <w:tr>
        <w:trPr/>
        <w:tc>
          <w:tcPr>
            <w:tcW w:w="92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limit our ability to make capital expenditures; and</w:t>
            </w:r>
          </w:p>
        </w:tc>
      </w:tr>
    </w:tbl>
    <w:p>
      <w:pPr>
        <w:pStyle w:val="Normal"/>
        <w:spacing w:before="0" w:after="0"/>
        <w:rPr>
          <w:sz w:val="4"/>
          <w:szCs w:val="4"/>
        </w:rPr>
      </w:pPr>
      <w:r>
        <w:rPr>
          <w:sz w:val="4"/>
          <w:szCs w:val="4"/>
        </w:rPr>
      </w:r>
      <w:bookmarkStart w:id="82" w:name="list28"/>
      <w:bookmarkStart w:id="83" w:name="list28"/>
      <w:bookmarkEnd w:id="83"/>
    </w:p>
    <w:tbl>
      <w:tblPr>
        <w:tblW w:w="5000" w:type="pct"/>
        <w:jc w:val="left"/>
        <w:tblInd w:w="0" w:type="dxa"/>
        <w:tblCellMar>
          <w:top w:w="0" w:type="dxa"/>
          <w:left w:w="0" w:type="dxa"/>
          <w:bottom w:w="0" w:type="dxa"/>
          <w:right w:w="0" w:type="dxa"/>
        </w:tblCellMar>
      </w:tblPr>
      <w:tblGrid>
        <w:gridCol w:w="605"/>
        <w:gridCol w:w="9600"/>
      </w:tblGrid>
      <w:tr>
        <w:trPr/>
        <w:tc>
          <w:tcPr>
            <w:tcW w:w="60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increase our vulnerability to general adverse economic and industry conditions.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ability to make scheduled principal payments of, to pay interest on, or to refinance our indebtedness and to satisfy our other debt obligations will depend upon our future operating performance, which may be affected by factors beyond our control. In addition, there can be no assurance that future borrowings or equity financing will be available to us on favorable terms for the payment or refinancing of our indebtedness. If we are unable to service our indebtedness, our business, financial condition and results of operations would be materially adversely affected.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credit facility contains covenants requiring us to achieve certain financial and operating results and maintain compliance with specified financial ratios. Our ability to meet the financial covenants or requirements in our credit facility may be affected by events beyond our control, and we may not be able to satisfy such covenants and requirements. A breach of these covenants or our inability to comply with the financial ratios, tests or other restrictions contained in our facility could result in an event of default under this facility. Upon the occurrence of an event of default under our credit facility, and the expiration of any grace periods, the lenders could elect to declare all amounts outstanding under the facility, together with accrued interest, to be immediately due and payable. If this were to occur, our assets may not be sufficient to fully repay the amounts due under this facility or our other indebtedness.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Unfavorable changes in foreign exchange rates may significantly harm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Several of our operating companies have transactions and balances denominated in currencies other than the U.S. dollar. Most of these transactions and balances are denominated in euros, Canadian dollars, British pounds and Danish krone. Sales by our operating companies whose functional currency is not the U.S. dollar represented approximately 25% of our total net sales for the year ended December 31, 2010 compared to 23% for the year ended December 31, 2009. Unfavorable changes in exchange rates between the U.S. dollar and those currencies could significantly reduce our reported sales and earnings. At present, we do not hedge against foreign currency risks.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We export a significant portion of our products. Difficulties associated with the export of our products could harm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Sales to customers outside the U.S. by our businesses located in the U.S. account for a significant portion of our net sales. These sales accounted for approximately 15% of our net sales for the years ended December 31, 2010 and December 31, 2009. We are subject to risks that could limit our ability to export our products or otherwise reduce the demand for these products in our foreign markets. Such risks include, without limitation,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4" w:name="list29"/>
      <w:bookmarkStart w:id="85" w:name="list29"/>
      <w:bookmarkEnd w:id="85"/>
    </w:p>
    <w:tbl>
      <w:tblPr>
        <w:tblW w:w="5000" w:type="pct"/>
        <w:jc w:val="left"/>
        <w:tblInd w:w="0" w:type="dxa"/>
        <w:tblCellMar>
          <w:top w:w="0" w:type="dxa"/>
          <w:left w:w="0" w:type="dxa"/>
          <w:bottom w:w="0" w:type="dxa"/>
          <w:right w:w="0" w:type="dxa"/>
        </w:tblCellMar>
      </w:tblPr>
      <w:tblGrid>
        <w:gridCol w:w="504"/>
        <w:gridCol w:w="9701"/>
      </w:tblGrid>
      <w:tr>
        <w:trPr/>
        <w:tc>
          <w:tcPr>
            <w:tcW w:w="50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unfavorable changes in or noncompliance with U.S. and other jurisdictions’ export requirements;</w:t>
            </w:r>
          </w:p>
        </w:tc>
      </w:tr>
    </w:tbl>
    <w:p>
      <w:pPr>
        <w:pStyle w:val="Normal"/>
        <w:spacing w:before="0" w:after="0"/>
        <w:rPr>
          <w:sz w:val="4"/>
          <w:szCs w:val="4"/>
        </w:rPr>
      </w:pPr>
      <w:r>
        <w:rPr>
          <w:sz w:val="4"/>
          <w:szCs w:val="4"/>
        </w:rPr>
      </w:r>
      <w:bookmarkStart w:id="86" w:name="list30"/>
      <w:bookmarkStart w:id="87" w:name="list30"/>
      <w:bookmarkEnd w:id="87"/>
    </w:p>
    <w:tbl>
      <w:tblPr>
        <w:tblW w:w="5000" w:type="pct"/>
        <w:jc w:val="left"/>
        <w:tblInd w:w="0" w:type="dxa"/>
        <w:tblCellMar>
          <w:top w:w="0" w:type="dxa"/>
          <w:left w:w="0" w:type="dxa"/>
          <w:bottom w:w="0" w:type="dxa"/>
          <w:right w:w="0" w:type="dxa"/>
        </w:tblCellMar>
      </w:tblPr>
      <w:tblGrid>
        <w:gridCol w:w="773"/>
        <w:gridCol w:w="9432"/>
      </w:tblGrid>
      <w:tr>
        <w:trPr/>
        <w:tc>
          <w:tcPr>
            <w:tcW w:w="77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restrictions on the export of technology and related products;</w:t>
            </w:r>
          </w:p>
        </w:tc>
      </w:tr>
    </w:tbl>
    <w:p>
      <w:pPr>
        <w:pStyle w:val="Normal"/>
        <w:spacing w:before="0" w:after="0"/>
        <w:rPr>
          <w:sz w:val="4"/>
          <w:szCs w:val="4"/>
        </w:rPr>
      </w:pPr>
      <w:r>
        <w:rPr>
          <w:sz w:val="4"/>
          <w:szCs w:val="4"/>
        </w:rPr>
      </w:r>
      <w:bookmarkStart w:id="88" w:name="list31"/>
      <w:bookmarkStart w:id="89" w:name="list31"/>
      <w:bookmarkEnd w:id="89"/>
    </w:p>
    <w:tbl>
      <w:tblPr>
        <w:tblW w:w="5000" w:type="pct"/>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unfavorable changes in or noncompliance with U.S. and other jurisdictions’ export policies to certain countries;</w:t>
            </w:r>
          </w:p>
        </w:tc>
      </w:tr>
    </w:tbl>
    <w:p>
      <w:pPr>
        <w:pStyle w:val="Normal"/>
        <w:spacing w:before="0" w:after="0"/>
        <w:rPr>
          <w:sz w:val="4"/>
          <w:szCs w:val="4"/>
        </w:rPr>
      </w:pPr>
      <w:r>
        <w:rPr>
          <w:sz w:val="4"/>
          <w:szCs w:val="4"/>
        </w:rPr>
      </w:r>
      <w:bookmarkStart w:id="90" w:name="list32"/>
      <w:bookmarkStart w:id="91" w:name="list32"/>
      <w:bookmarkEnd w:id="91"/>
    </w:p>
    <w:tbl>
      <w:tblPr>
        <w:tblW w:w="5000" w:type="pct"/>
        <w:jc w:val="left"/>
        <w:tblInd w:w="0" w:type="dxa"/>
        <w:tblCellMar>
          <w:top w:w="0" w:type="dxa"/>
          <w:left w:w="0" w:type="dxa"/>
          <w:bottom w:w="0" w:type="dxa"/>
          <w:right w:w="0" w:type="dxa"/>
        </w:tblCellMar>
      </w:tblPr>
      <w:tblGrid>
        <w:gridCol w:w="680"/>
        <w:gridCol w:w="9525"/>
      </w:tblGrid>
      <w:tr>
        <w:trPr/>
        <w:tc>
          <w:tcPr>
            <w:tcW w:w="68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unfavorable changes in the import policies of our foreign markets; and</w:t>
            </w:r>
          </w:p>
        </w:tc>
      </w:tr>
    </w:tbl>
    <w:p>
      <w:pPr>
        <w:pStyle w:val="Normal"/>
        <w:spacing w:before="0" w:after="0"/>
        <w:rPr>
          <w:sz w:val="4"/>
          <w:szCs w:val="4"/>
        </w:rPr>
      </w:pPr>
      <w:r>
        <w:rPr>
          <w:sz w:val="4"/>
          <w:szCs w:val="4"/>
        </w:rPr>
      </w:r>
      <w:bookmarkStart w:id="92" w:name="list33"/>
      <w:bookmarkStart w:id="93" w:name="list33"/>
      <w:bookmarkEnd w:id="93"/>
    </w:p>
    <w:tbl>
      <w:tblPr>
        <w:tblW w:w="5000" w:type="pct"/>
        <w:jc w:val="left"/>
        <w:tblInd w:w="0" w:type="dxa"/>
        <w:tblCellMar>
          <w:top w:w="0" w:type="dxa"/>
          <w:left w:w="0" w:type="dxa"/>
          <w:bottom w:w="0" w:type="dxa"/>
          <w:right w:w="0" w:type="dxa"/>
        </w:tblCellMar>
      </w:tblPr>
      <w:tblGrid>
        <w:gridCol w:w="886"/>
        <w:gridCol w:w="9319"/>
      </w:tblGrid>
      <w:tr>
        <w:trPr/>
        <w:tc>
          <w:tcPr>
            <w:tcW w:w="88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general economic downturn in our foreign markets.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occurrence of any of these events could reduce the foreign demand for our products or could limit our ability to export our products and, therefore, could have a material negative effect on our future sales and earnings.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Economic, political and other risks associated with our international operations could adversely affect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and for the year ended December 31, 2010, approximately 26% of our net sales and 18% of our long-lived assets, excluding goodwill and intangibles, were attributable to operations outside the U.S. We expect our international operations to contribute materially to our business for the foreseeable future. Our international operations are subject to varying degrees of risk inherent in doing business outside the U.S. including, without limitation, the following:</w:t>
      </w:r>
    </w:p>
    <w:p>
      <w:pPr>
        <w:pStyle w:val="TextBody"/>
        <w:spacing w:before="0" w:after="0"/>
        <w:ind w:left="0" w:right="0" w:hanging="0"/>
        <w:rPr/>
      </w:pPr>
      <w:r>
        <w:rPr/>
        <w:br/>
        <w:t> </w:t>
      </w:r>
    </w:p>
    <w:p>
      <w:pPr>
        <w:pStyle w:val="Normal"/>
        <w:spacing w:before="0" w:after="0"/>
        <w:rPr>
          <w:sz w:val="4"/>
          <w:szCs w:val="4"/>
        </w:rPr>
      </w:pPr>
      <w:r>
        <w:rPr>
          <w:sz w:val="4"/>
          <w:szCs w:val="4"/>
        </w:rPr>
      </w:r>
      <w:bookmarkStart w:id="94" w:name="hangingindent3"/>
      <w:bookmarkStart w:id="95" w:name="hangingindent3"/>
      <w:bookmarkEnd w:id="95"/>
    </w:p>
    <w:tbl>
      <w:tblPr>
        <w:tblW w:w="5000" w:type="pct"/>
        <w:jc w:val="center"/>
        <w:tblInd w:w="0" w:type="dxa"/>
        <w:tblCellMar>
          <w:top w:w="0" w:type="dxa"/>
          <w:left w:w="0" w:type="dxa"/>
          <w:bottom w:w="0" w:type="dxa"/>
          <w:right w:w="0" w:type="dxa"/>
        </w:tblCellMar>
      </w:tblPr>
      <w:tblGrid>
        <w:gridCol w:w="125"/>
        <w:gridCol w:w="98"/>
        <w:gridCol w:w="9982"/>
      </w:tblGrid>
      <w:tr>
        <w:trPr/>
        <w:tc>
          <w:tcPr>
            <w:tcW w:w="125" w:type="dxa"/>
            <w:tcBorders/>
            <w:shd w:fill="auto" w:val="clear"/>
          </w:tcPr>
          <w:p>
            <w:pPr>
              <w:pStyle w:val="TableContents"/>
              <w:spacing w:before="0" w:after="0"/>
              <w:rPr/>
            </w:pPr>
            <w:r>
              <w:rPr/>
              <w:t xml:space="preserve">  </w:t>
            </w:r>
          </w:p>
        </w:tc>
        <w:tc>
          <w:tcPr>
            <w:tcW w:w="98"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8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adverse changes in a specific country’s or region’s political or economic conditions, particularly in emerging markets;</w:t>
            </w:r>
          </w:p>
        </w:tc>
      </w:tr>
    </w:tbl>
    <w:p>
      <w:pPr>
        <w:pStyle w:val="Normal"/>
        <w:spacing w:before="0" w:after="0"/>
        <w:rPr>
          <w:sz w:val="4"/>
          <w:szCs w:val="4"/>
        </w:rPr>
      </w:pPr>
      <w:r>
        <w:rPr>
          <w:sz w:val="4"/>
          <w:szCs w:val="4"/>
        </w:rPr>
      </w:r>
      <w:bookmarkStart w:id="96" w:name="hangingindent4"/>
      <w:bookmarkStart w:id="97" w:name="hangingindent4"/>
      <w:bookmarkEnd w:id="97"/>
    </w:p>
    <w:tbl>
      <w:tblPr>
        <w:tblW w:w="5000" w:type="pct"/>
        <w:jc w:val="center"/>
        <w:tblInd w:w="0" w:type="dxa"/>
        <w:tblCellMar>
          <w:top w:w="0" w:type="dxa"/>
          <w:left w:w="0" w:type="dxa"/>
          <w:bottom w:w="0" w:type="dxa"/>
          <w:right w:w="0" w:type="dxa"/>
        </w:tblCellMar>
      </w:tblPr>
      <w:tblGrid>
        <w:gridCol w:w="236"/>
        <w:gridCol w:w="188"/>
        <w:gridCol w:w="9781"/>
      </w:tblGrid>
      <w:tr>
        <w:trPr/>
        <w:tc>
          <w:tcPr>
            <w:tcW w:w="236" w:type="dxa"/>
            <w:tcBorders/>
            <w:shd w:fill="auto" w:val="clear"/>
          </w:tcPr>
          <w:p>
            <w:pPr>
              <w:pStyle w:val="TableContents"/>
              <w:spacing w:before="0" w:after="0"/>
              <w:rPr/>
            </w:pPr>
            <w:r>
              <w:rPr/>
              <w:t xml:space="preserve">  </w:t>
            </w:r>
          </w:p>
        </w:tc>
        <w:tc>
          <w:tcPr>
            <w:tcW w:w="188"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7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trade protection measures and import or export requirements;</w:t>
            </w:r>
          </w:p>
        </w:tc>
      </w:tr>
    </w:tbl>
    <w:p>
      <w:pPr>
        <w:pStyle w:val="Normal"/>
        <w:spacing w:before="0" w:after="0"/>
        <w:rPr>
          <w:sz w:val="4"/>
          <w:szCs w:val="4"/>
        </w:rPr>
      </w:pPr>
      <w:r>
        <w:rPr>
          <w:sz w:val="4"/>
          <w:szCs w:val="4"/>
        </w:rPr>
      </w:r>
      <w:bookmarkStart w:id="98" w:name="hangingindent5"/>
      <w:bookmarkStart w:id="99" w:name="hangingindent5"/>
      <w:bookmarkEnd w:id="99"/>
    </w:p>
    <w:tbl>
      <w:tblPr>
        <w:tblW w:w="5000" w:type="pct"/>
        <w:jc w:val="center"/>
        <w:tblInd w:w="0" w:type="dxa"/>
        <w:tblCellMar>
          <w:top w:w="0" w:type="dxa"/>
          <w:left w:w="0" w:type="dxa"/>
          <w:bottom w:w="0" w:type="dxa"/>
          <w:right w:w="0" w:type="dxa"/>
        </w:tblCellMar>
      </w:tblPr>
      <w:tblGrid>
        <w:gridCol w:w="111"/>
        <w:gridCol w:w="95"/>
        <w:gridCol w:w="9999"/>
      </w:tblGrid>
      <w:tr>
        <w:trPr/>
        <w:tc>
          <w:tcPr>
            <w:tcW w:w="111"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9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subsidies or increased access to capital for firms that are currently, or may emerge as, competitors in countries in which we have operations;</w:t>
            </w:r>
          </w:p>
        </w:tc>
      </w:tr>
    </w:tbl>
    <w:p>
      <w:pPr>
        <w:pStyle w:val="Normal"/>
        <w:spacing w:before="0" w:after="0"/>
        <w:rPr>
          <w:sz w:val="4"/>
          <w:szCs w:val="4"/>
        </w:rPr>
      </w:pPr>
      <w:r>
        <w:rPr>
          <w:sz w:val="4"/>
          <w:szCs w:val="4"/>
        </w:rPr>
      </w:r>
      <w:bookmarkStart w:id="100" w:name="hangingindent6"/>
      <w:bookmarkStart w:id="101" w:name="hangingindent6"/>
      <w:bookmarkEnd w:id="101"/>
    </w:p>
    <w:tbl>
      <w:tblPr>
        <w:tblW w:w="5000" w:type="pct"/>
        <w:jc w:val="center"/>
        <w:tblInd w:w="0" w:type="dxa"/>
        <w:tblCellMar>
          <w:top w:w="0" w:type="dxa"/>
          <w:left w:w="0" w:type="dxa"/>
          <w:bottom w:w="0" w:type="dxa"/>
          <w:right w:w="0" w:type="dxa"/>
        </w:tblCellMar>
      </w:tblPr>
      <w:tblGrid>
        <w:gridCol w:w="469"/>
        <w:gridCol w:w="372"/>
        <w:gridCol w:w="9364"/>
      </w:tblGrid>
      <w:tr>
        <w:trPr/>
        <w:tc>
          <w:tcPr>
            <w:tcW w:w="469" w:type="dxa"/>
            <w:tcBorders/>
            <w:shd w:fill="auto" w:val="clear"/>
          </w:tcPr>
          <w:p>
            <w:pPr>
              <w:pStyle w:val="TableContents"/>
              <w:spacing w:before="0" w:after="0"/>
              <w:rPr/>
            </w:pPr>
            <w:r>
              <w:rPr/>
              <w:t xml:space="preserve">  </w:t>
            </w:r>
          </w:p>
        </w:tc>
        <w:tc>
          <w:tcPr>
            <w:tcW w:w="372"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3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partial or total expropriation;</w:t>
            </w:r>
          </w:p>
        </w:tc>
      </w:tr>
    </w:tbl>
    <w:p>
      <w:pPr>
        <w:pStyle w:val="Normal"/>
        <w:spacing w:before="0" w:after="0"/>
        <w:rPr>
          <w:sz w:val="4"/>
          <w:szCs w:val="4"/>
        </w:rPr>
      </w:pPr>
      <w:r>
        <w:rPr>
          <w:sz w:val="4"/>
          <w:szCs w:val="4"/>
        </w:rPr>
      </w:r>
      <w:bookmarkStart w:id="102" w:name="hangingindent7"/>
      <w:bookmarkStart w:id="103" w:name="hangingindent7"/>
      <w:bookmarkEnd w:id="103"/>
    </w:p>
    <w:tbl>
      <w:tblPr>
        <w:tblW w:w="5000" w:type="pct"/>
        <w:jc w:val="center"/>
        <w:tblInd w:w="0" w:type="dxa"/>
        <w:tblCellMar>
          <w:top w:w="0" w:type="dxa"/>
          <w:left w:w="0" w:type="dxa"/>
          <w:bottom w:w="0" w:type="dxa"/>
          <w:right w:w="0" w:type="dxa"/>
        </w:tblCellMar>
      </w:tblPr>
      <w:tblGrid>
        <w:gridCol w:w="237"/>
        <w:gridCol w:w="188"/>
        <w:gridCol w:w="9780"/>
      </w:tblGrid>
      <w:tr>
        <w:trPr/>
        <w:tc>
          <w:tcPr>
            <w:tcW w:w="237" w:type="dxa"/>
            <w:tcBorders/>
            <w:shd w:fill="auto" w:val="clear"/>
          </w:tcPr>
          <w:p>
            <w:pPr>
              <w:pStyle w:val="TableContents"/>
              <w:spacing w:before="0" w:after="0"/>
              <w:rPr/>
            </w:pPr>
            <w:r>
              <w:rPr/>
              <w:t xml:space="preserve">  </w:t>
            </w:r>
          </w:p>
        </w:tc>
        <w:tc>
          <w:tcPr>
            <w:tcW w:w="188"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7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potentially negative consequences from changes in tax laws;</w:t>
            </w:r>
          </w:p>
        </w:tc>
      </w:tr>
    </w:tbl>
    <w:p>
      <w:pPr>
        <w:pStyle w:val="Normal"/>
        <w:spacing w:before="0" w:after="0"/>
        <w:rPr>
          <w:sz w:val="4"/>
          <w:szCs w:val="4"/>
        </w:rPr>
      </w:pPr>
      <w:r>
        <w:rPr>
          <w:sz w:val="4"/>
          <w:szCs w:val="4"/>
        </w:rPr>
      </w:r>
      <w:bookmarkStart w:id="104" w:name="hangingindent8"/>
      <w:bookmarkStart w:id="105" w:name="hangingindent8"/>
      <w:bookmarkEnd w:id="105"/>
    </w:p>
    <w:tbl>
      <w:tblPr>
        <w:tblW w:w="5000" w:type="pct"/>
        <w:jc w:val="center"/>
        <w:tblInd w:w="0" w:type="dxa"/>
        <w:tblCellMar>
          <w:top w:w="0" w:type="dxa"/>
          <w:left w:w="0" w:type="dxa"/>
          <w:bottom w:w="0" w:type="dxa"/>
          <w:right w:w="0" w:type="dxa"/>
        </w:tblCellMar>
      </w:tblPr>
      <w:tblGrid>
        <w:gridCol w:w="245"/>
        <w:gridCol w:w="194"/>
        <w:gridCol w:w="9766"/>
      </w:tblGrid>
      <w:tr>
        <w:trPr/>
        <w:tc>
          <w:tcPr>
            <w:tcW w:w="245" w:type="dxa"/>
            <w:tcBorders/>
            <w:shd w:fill="auto" w:val="clear"/>
          </w:tcPr>
          <w:p>
            <w:pPr>
              <w:pStyle w:val="TableContents"/>
              <w:spacing w:before="0" w:after="0"/>
              <w:rPr/>
            </w:pPr>
            <w:r>
              <w:rPr/>
              <w:t xml:space="preserve">  </w:t>
            </w:r>
          </w:p>
        </w:tc>
        <w:tc>
          <w:tcPr>
            <w:tcW w:w="194"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7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difficulty in staffing and managing widespread operations;</w:t>
            </w:r>
          </w:p>
        </w:tc>
      </w:tr>
    </w:tbl>
    <w:p>
      <w:pPr>
        <w:pStyle w:val="Normal"/>
        <w:spacing w:before="0" w:after="0"/>
        <w:rPr>
          <w:sz w:val="4"/>
          <w:szCs w:val="4"/>
        </w:rPr>
      </w:pPr>
      <w:r>
        <w:rPr>
          <w:sz w:val="4"/>
          <w:szCs w:val="4"/>
        </w:rPr>
      </w:r>
      <w:bookmarkStart w:id="106" w:name="hangingindent9"/>
      <w:bookmarkStart w:id="107" w:name="hangingindent9"/>
      <w:bookmarkEnd w:id="107"/>
    </w:p>
    <w:tbl>
      <w:tblPr>
        <w:tblW w:w="5000" w:type="pct"/>
        <w:jc w:val="center"/>
        <w:tblInd w:w="0" w:type="dxa"/>
        <w:tblCellMar>
          <w:top w:w="0" w:type="dxa"/>
          <w:left w:w="0" w:type="dxa"/>
          <w:bottom w:w="0" w:type="dxa"/>
          <w:right w:w="0" w:type="dxa"/>
        </w:tblCellMar>
      </w:tblPr>
      <w:tblGrid>
        <w:gridCol w:w="504"/>
        <w:gridCol w:w="400"/>
        <w:gridCol w:w="9301"/>
      </w:tblGrid>
      <w:tr>
        <w:trPr/>
        <w:tc>
          <w:tcPr>
            <w:tcW w:w="504" w:type="dxa"/>
            <w:tcBorders/>
            <w:shd w:fill="auto" w:val="clear"/>
          </w:tcPr>
          <w:p>
            <w:pPr>
              <w:pStyle w:val="TableContents"/>
              <w:spacing w:before="0" w:after="0"/>
              <w:rPr/>
            </w:pPr>
            <w:r>
              <w:rPr/>
              <w:t xml:space="preserve">  </w:t>
            </w:r>
          </w:p>
        </w:tc>
        <w:tc>
          <w:tcPr>
            <w:tcW w:w="400"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30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differing labor regulations;</w:t>
            </w:r>
          </w:p>
        </w:tc>
      </w:tr>
    </w:tbl>
    <w:p>
      <w:pPr>
        <w:pStyle w:val="Normal"/>
        <w:spacing w:before="0" w:after="0"/>
        <w:rPr>
          <w:sz w:val="4"/>
          <w:szCs w:val="4"/>
        </w:rPr>
      </w:pPr>
      <w:r>
        <w:rPr>
          <w:sz w:val="4"/>
          <w:szCs w:val="4"/>
        </w:rPr>
      </w:r>
      <w:bookmarkStart w:id="108" w:name="hangingindent10"/>
      <w:bookmarkStart w:id="109" w:name="hangingindent10"/>
      <w:bookmarkEnd w:id="109"/>
    </w:p>
    <w:tbl>
      <w:tblPr>
        <w:tblW w:w="5000" w:type="pct"/>
        <w:jc w:val="center"/>
        <w:tblInd w:w="0" w:type="dxa"/>
        <w:tblCellMar>
          <w:top w:w="0" w:type="dxa"/>
          <w:left w:w="0" w:type="dxa"/>
          <w:bottom w:w="0" w:type="dxa"/>
          <w:right w:w="0" w:type="dxa"/>
        </w:tblCellMar>
      </w:tblPr>
      <w:tblGrid>
        <w:gridCol w:w="321"/>
        <w:gridCol w:w="255"/>
        <w:gridCol w:w="9629"/>
      </w:tblGrid>
      <w:tr>
        <w:trPr/>
        <w:tc>
          <w:tcPr>
            <w:tcW w:w="321" w:type="dxa"/>
            <w:tcBorders/>
            <w:shd w:fill="auto" w:val="clear"/>
          </w:tcPr>
          <w:p>
            <w:pPr>
              <w:pStyle w:val="TableContents"/>
              <w:spacing w:before="0" w:after="0"/>
              <w:rPr/>
            </w:pPr>
            <w:r>
              <w:rPr/>
              <w:t xml:space="preserve">  </w:t>
            </w:r>
          </w:p>
        </w:tc>
        <w:tc>
          <w:tcPr>
            <w:tcW w:w="25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62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differing protection of intellectual property;</w:t>
            </w:r>
          </w:p>
        </w:tc>
      </w:tr>
    </w:tbl>
    <w:p>
      <w:pPr>
        <w:pStyle w:val="Normal"/>
        <w:spacing w:before="0" w:after="0"/>
        <w:rPr>
          <w:sz w:val="4"/>
          <w:szCs w:val="4"/>
        </w:rPr>
      </w:pPr>
      <w:r>
        <w:rPr>
          <w:sz w:val="4"/>
          <w:szCs w:val="4"/>
        </w:rPr>
      </w:r>
      <w:bookmarkStart w:id="110" w:name="hangingindent11"/>
      <w:bookmarkStart w:id="111" w:name="hangingindent11"/>
      <w:bookmarkEnd w:id="111"/>
    </w:p>
    <w:tbl>
      <w:tblPr>
        <w:tblW w:w="5000" w:type="pct"/>
        <w:jc w:val="center"/>
        <w:tblInd w:w="0" w:type="dxa"/>
        <w:tblCellMar>
          <w:top w:w="0" w:type="dxa"/>
          <w:left w:w="0" w:type="dxa"/>
          <w:bottom w:w="0" w:type="dxa"/>
          <w:right w:w="0" w:type="dxa"/>
        </w:tblCellMar>
      </w:tblPr>
      <w:tblGrid>
        <w:gridCol w:w="297"/>
        <w:gridCol w:w="235"/>
        <w:gridCol w:w="9673"/>
      </w:tblGrid>
      <w:tr>
        <w:trPr/>
        <w:tc>
          <w:tcPr>
            <w:tcW w:w="297" w:type="dxa"/>
            <w:tcBorders/>
            <w:shd w:fill="auto" w:val="clear"/>
          </w:tcPr>
          <w:p>
            <w:pPr>
              <w:pStyle w:val="TableContents"/>
              <w:spacing w:before="0" w:after="0"/>
              <w:rPr/>
            </w:pPr>
            <w:r>
              <w:rPr/>
              <w:t xml:space="preserve">  </w:t>
            </w:r>
          </w:p>
        </w:tc>
        <w:tc>
          <w:tcPr>
            <w:tcW w:w="23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6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unexpected changes in regulatory requirements.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occurrence of any of these events could materially harm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Our growth strategy includes acquisitions. We may not be able to identify suitable acquisition candidates, complete acquisitions or integrate acquisitions successfully.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future growth is likely to depend to some degree on our ability to acquire and successfully integrate new businesses. We intend to continue to seek additional acquisition opportunities both to expand into new markets and to enhance our position in existing markets. There are no assurances, however, that we will be able to successfully identify suitable candidates, negotiate appropriate terms, obtain financing on acceptable terms, complete proposed acquisitions, successfully integrate acquired businesses or expand into new markets. Once acquired, operations may not achieve anticipated levels of revenues or profitability.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there are no assurances that we will properly ascertain all such risks. In addition, prior acquisitions have resulted, and future acquisitions could result, in the incurrence of substantial additional indebtedness and other expenses. Future acquisitions may also result in potentially dilutive issuances of equity securities. Difficulties encountered with acquisitions may have a material adverse effect on our business, financial condition and 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Product liability, insurance risks and increased insurance costs could harm our operating results.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business exposes us to product liability risks that are inherent in the design, manufacturing and distribution of our products. In addition, certain of our products are used in hazardous environments. We currently have product liability insurance; however, we may not be able to maintain our insurance at a reasonable cost or in sufficient amounts to protect us against losses. We also maintain other insurance policies, including directors’ and officers’ liability insurance. Our insurance costs increased in prior periods and may continue to increase in the future. We believe that we have adequately accrued estimated losses, principally related to deductible amounts under our insurance policies, with respect to all product liability and other claims, based upon our past experience and available facts. However, a successful product liability or other claim or series of claims brought against us could have a material adverse effect on our business, financial condition and results of operations. In addition, a significant increase in our insurance costs could have an adverse impact on our operating results.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Our operating results could be adversely affected by a reduction of business with our large customers.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some of our businesses, we derive a significant amount of revenue from large customers. The loss or reduction of any significant contracts with any of these customers could materially reduce our revenue and cash flows. Additionally, many of our customers are government entities. In many situations, government entities can unilaterally terminate or modify our existing contracts without cause and without penalty to the government agency.</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We face intense competition. If we do not compete effectively, our business may suffer.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face intense competition from numerous competitors. Our products compete primarily on the basis of product quality, performance, innovation, technology, price, applications expertise, system and service flexibility and established customer service capabilities. We may not be able to compete effectively on all of these fronts or with all of our competitors. In addition, new competitors may emerge, and product lines may be threatened by new technologies or market trends that reduce the value of these product lines. To remain competitive, we must develop new products, respond to new technologies and periodically enhance our existing products in a timely manner. We anticipate that we may have to adjust prices of many of our products to stay competitive.</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Changes in the supply of, or price for, raw materials, parts and components used in our products could affect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availability and prices of raw materials, parts and components are subject to curtailment or change due to, among other things, suppliers’ allocations to other purchasers, interruptions in production by suppliers, changes in exchange rates and prevailing price levels. Some high-performance components for digital imaging products may be in short supply and/or suppliers may have occasional difficulty manufacturing these components to meet our specifications. In addition, some of our products are provided by sole source suppliers. Any change in the supply of, or price for, these parts and components, as well as any increases in commodity prices, particularly copper, could affect our business, financial condition and 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Environmental compliance costs and liabilities could increase our expenses and adversely affect our financial condition.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operations and properties are subject to laws and regulations relating to environmental protection, including air emissions, water discharges, waste management and workplace safety. These laws and regulations can result in the imposition of substantial fines and sanctions for violations and could require the installation of pollution control equipment or operational changes to limit pollution emissions and/or decrease the likelihood of accidental hazardous substance releases. We must conform our operations and properties to these laws and adapt to regulatory requirements in the countries in which we operate as these requirements change.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use and generate hazardous substances and wastes in our operations and, as a result, could be subject to potentially material liabilities relating to the investigation and clean-up of contaminated properties and to claims alleging personal injury. We have experienced, and expect to continue to experience, costs relating to compliance with environmental laws and regulations. In connection with our acquisitions, we may assume significant environmental liabilities, some of which we may not be aware of at the time of acquisition. In addition, new laws and regulations, stricter enforcement of existing laws and regulations, the discovery of previously unknown contamination or the imposition of new clean-up requirements could require us to incur costs or become the basis for new or increased liabilities that could have a material adverse e ffect on our business, financial condition and 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Some of the industries in which we operate are cyclical, and, accordingly, our business is subject to changes in the economy.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Some of the business areas in which we operate are subject to specific industry and general economic cycles. Certain businesses are subject to industry cycles, including but not limited to, the industrial and energy markets. Accordingly, any downturn in these or other markets in which we participate could materially adversely affect us. If demand changes and we fail to respond accordingly, our results of operations could be materially adversely affected in any given quarter. The business cycles of our different operations may occur contemporaneously. Consequently, the effect of an economic downturn may have a magnified negative effect on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Our intangible assets are valued at an amount that is high relative to our total assets, and a write-off of our intangible assets would negatively affect our results of operations and total capitalization.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total assets reflect substantial intangible assets, primarily goodwill. At December 31, 2010, goodwill totaled $2.73 billion compared to $2.75 billion of stockholders’ equity, which was 54% of our total assets of $5.07 billion. The goodwill results from our acquisitions, representing the excess of cost over the fair value of the net assets we have acquired. We assess at least annually whether there has been an impairment in the value of our intangible assets. If future operating performance at one or more of our business units were to fall significantly below current levels, if competing or alternative technologies emerge or if business valuations decline, we could incur a non-cash charge to operating earnings. Any determination requiring the write-off of a significant portion of unamortized intangible assets would negatively affect our results of operations and total capitalization, the effect of which could be material.</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We depend on our ability to develop new products, and any failure to develop or market new products could adversely affect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future success of our business will depend, in part, on our ability to design and manufacture new competitive products and to enhance existing products so that our products can be sold with high margins. This product development may require substantial internal investment. There can be no assurance that unforeseen problems will not occur with respect to the development, performance or market acceptance of new technologies or products or that we will otherwise be able to successfully develop and market new products. Failure of our products to gain market acceptance or our failure to successfully develop and market new products could reduce our margins, which would have an adverse effect on our business, financial condition and 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Our technology is important to our success and our failure to protect this technology could put us at a competitive disadvantage.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Many of our products rely on proprietary technology; therefore we believe that the development and protection of intellectual property rights through patents, copyrights, trade secrets, trademarks, confidentiality agreements and other contractual provisions is important to the future success of our business. Despite our efforts to protect proprietary rights, unauthorized parties or competitors may copy or otherwise obtain and use our products or technology.  Current and future actions to enforce these rights may result in substantial costs and diversion of resources and we make no assurances that any such actions will be successful.</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Any business disruptions due to political instability, armed hostilities, incidents of terrorism or natural disasters could adversely impact our financial performance.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terrorist activity, armed conflict, political instability or natural disasters occur in the U.S. or other locations, such events may negatively impact our operations, cause general economic conditions to deteriorate or cause demand for our products to decline. A prolonged economic slowdown or recession could reduce the demand for our products, and therefore, negatively affect our future sales and profits. Any of these events could have a significant impact on our business, financial condition or results of operations.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1B.                      UNRESOLVED STAFF COMMENTS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2" w:name="PGBRK2"/>
      <w:bookmarkStart w:id="113" w:name="PGBRK2"/>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 w:name="FTR2"/>
      <w:bookmarkStart w:id="115" w:name="FTR2"/>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6" w:name="GLFTR2"/>
      <w:bookmarkEnd w:id="1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7" w:name="PN2"/>
      <w:bookmarkEnd w:id="117"/>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 w:name="HDR2"/>
      <w:bookmarkStart w:id="119" w:name="HDR2"/>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0" w:name="GLHDR2"/>
      <w:bookmarkEnd w:id="1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b/>
          <w:sz w:val="20"/>
        </w:rPr>
      </w:pPr>
      <w:r>
        <w:rPr>
          <w:rFonts w:ascii="Times New Roman" w:hAnsi="Times New Roman"/>
          <w:b/>
          <w:sz w:val="20"/>
        </w:rPr>
        <w:t>ITEM 2.                      PROPERTIES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Roper’s corporate offices, consisting of 22,000 square feet of leased space, are located at 6901 Professional Parkway East, Sarasota, Florida.   We have established 114 principal locations around the world to support our operations, of which 50 are manufacturing facilities, and the remaining 64 locations provide sales, service and administrative support functions. We consider our facilities to be in good operating condition and adequate for their present use and believe that we have sufficient capacity to meet our anticipated operating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the size, location and usage of our principal properties as of December 31, 2010.</w:t>
      </w:r>
    </w:p>
    <w:p>
      <w:pPr>
        <w:pStyle w:val="TextBody"/>
        <w:spacing w:before="0" w:after="0"/>
        <w:ind w:left="0" w:right="0" w:hanging="0"/>
        <w:rPr/>
      </w:pPr>
      <w:r>
        <w:rPr/>
      </w:r>
    </w:p>
    <w:tbl>
      <w:tblPr>
        <w:tblW w:w="2950" w:type="pct"/>
        <w:jc w:val="center"/>
        <w:tblInd w:w="0" w:type="dxa"/>
        <w:tblCellMar>
          <w:top w:w="0" w:type="dxa"/>
          <w:left w:w="0" w:type="dxa"/>
          <w:bottom w:w="28" w:type="dxa"/>
          <w:right w:w="0" w:type="dxa"/>
        </w:tblCellMar>
      </w:tblPr>
      <w:tblGrid>
        <w:gridCol w:w="2287"/>
        <w:gridCol w:w="903"/>
        <w:gridCol w:w="904"/>
        <w:gridCol w:w="119"/>
        <w:gridCol w:w="843"/>
        <w:gridCol w:w="964"/>
      </w:tblGrid>
      <w:tr>
        <w:trPr/>
        <w:tc>
          <w:tcPr>
            <w:tcW w:w="2287" w:type="dxa"/>
            <w:vMerge w:val="restart"/>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Segment</w:t>
            </w:r>
          </w:p>
        </w:tc>
        <w:tc>
          <w:tcPr>
            <w:tcW w:w="903" w:type="dxa"/>
            <w:vMerge w:val="restart"/>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Region</w:t>
            </w:r>
          </w:p>
        </w:tc>
        <w:tc>
          <w:tcPr>
            <w:tcW w:w="904"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Office</w:t>
            </w:r>
          </w:p>
        </w:tc>
        <w:tc>
          <w:tcPr>
            <w:tcW w:w="119" w:type="dxa"/>
            <w:tcBorders/>
            <w:shd w:fill="auto" w:val="clear"/>
            <w:tcMar>
              <w:bottom w:w="0" w:type="dxa"/>
            </w:tcMar>
          </w:tcPr>
          <w:p>
            <w:pPr>
              <w:pStyle w:val="TableContents"/>
              <w:spacing w:before="0" w:after="283"/>
              <w:rPr/>
            </w:pPr>
            <w:r>
              <w:rPr/>
              <w:t xml:space="preserve">  </w:t>
            </w:r>
          </w:p>
        </w:tc>
        <w:tc>
          <w:tcPr>
            <w:tcW w:w="1807" w:type="dxa"/>
            <w:gridSpan w:val="2"/>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Office &amp; Manufacturing</w:t>
            </w:r>
          </w:p>
        </w:tc>
      </w:tr>
      <w:tr>
        <w:trPr/>
        <w:tc>
          <w:tcPr>
            <w:tcW w:w="2287" w:type="dxa"/>
            <w:vMerge w:val="continue"/>
            <w:tcBorders>
              <w:bottom w:val="single" w:sz="12" w:space="0" w:color="000000"/>
            </w:tcBorders>
            <w:shd w:fill="auto" w:val="clear"/>
            <w:vAlign w:val="bottom"/>
          </w:tcPr>
          <w:p>
            <w:pPr>
              <w:pStyle w:val="Normal"/>
              <w:rPr/>
            </w:pPr>
            <w:r>
              <w:rPr/>
            </w:r>
          </w:p>
        </w:tc>
        <w:tc>
          <w:tcPr>
            <w:tcW w:w="903" w:type="dxa"/>
            <w:vMerge w:val="continue"/>
            <w:tcBorders>
              <w:bottom w:val="single" w:sz="12" w:space="0" w:color="000000"/>
            </w:tcBorders>
            <w:shd w:fill="auto" w:val="clear"/>
            <w:vAlign w:val="bottom"/>
          </w:tcPr>
          <w:p>
            <w:pPr>
              <w:pStyle w:val="Normal"/>
              <w:rPr/>
            </w:pPr>
            <w:r>
              <w:rPr/>
            </w:r>
          </w:p>
        </w:tc>
        <w:tc>
          <w:tcPr>
            <w:tcW w:w="904"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Leased</w:t>
            </w:r>
          </w:p>
        </w:tc>
        <w:tc>
          <w:tcPr>
            <w:tcW w:w="119" w:type="dxa"/>
            <w:tcBorders/>
            <w:shd w:fill="auto" w:val="clear"/>
            <w:tcMar>
              <w:bottom w:w="0" w:type="dxa"/>
            </w:tcMar>
          </w:tcPr>
          <w:p>
            <w:pPr>
              <w:pStyle w:val="TableContents"/>
              <w:spacing w:before="0" w:after="283"/>
              <w:rPr/>
            </w:pPr>
            <w:r>
              <w:rPr/>
              <w:t xml:space="preserve">  </w:t>
            </w:r>
          </w:p>
        </w:tc>
        <w:tc>
          <w:tcPr>
            <w:tcW w:w="843"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Leased</w:t>
            </w:r>
          </w:p>
        </w:tc>
        <w:tc>
          <w:tcPr>
            <w:tcW w:w="964"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Owned</w:t>
            </w:r>
          </w:p>
        </w:tc>
      </w:tr>
      <w:tr>
        <w:trPr/>
        <w:tc>
          <w:tcPr>
            <w:tcW w:w="228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Industrial Technology</w:t>
            </w:r>
          </w:p>
        </w:tc>
        <w:tc>
          <w:tcPr>
            <w:tcW w:w="903" w:type="dxa"/>
            <w:tcBorders/>
            <w:shd w:fill="auto" w:val="clear"/>
            <w:tcMar>
              <w:bottom w:w="0" w:type="dxa"/>
            </w:tcMar>
          </w:tcPr>
          <w:p>
            <w:pPr>
              <w:pStyle w:val="TableContents"/>
              <w:spacing w:before="0" w:after="283"/>
              <w:rPr/>
            </w:pPr>
            <w:r>
              <w:rPr/>
              <w:t xml:space="preserve">  </w:t>
            </w:r>
          </w:p>
        </w:tc>
        <w:tc>
          <w:tcPr>
            <w:tcW w:w="2830" w:type="dxa"/>
            <w:gridSpan w:val="4"/>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(amounts in thousands of square feet)</w:t>
            </w:r>
          </w:p>
        </w:tc>
      </w:tr>
      <w:tr>
        <w:trPr/>
        <w:tc>
          <w:tcPr>
            <w:tcW w:w="2287" w:type="dxa"/>
            <w:tcBorders/>
            <w:shd w:fill="auto" w:val="clear"/>
            <w:tcMar>
              <w:bottom w:w="0" w:type="dxa"/>
            </w:tcMar>
            <w:vAlign w:val="bottom"/>
          </w:tcPr>
          <w:p>
            <w:pPr>
              <w:pStyle w:val="TableContents"/>
              <w:spacing w:before="0" w:after="283"/>
              <w:rPr/>
            </w:pPr>
            <w:r>
              <w:rPr/>
              <w:t xml:space="preserve">  </w:t>
            </w:r>
          </w:p>
        </w:tc>
        <w:tc>
          <w:tcPr>
            <w:tcW w:w="90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US</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53</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294</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524</w:t>
            </w:r>
          </w:p>
        </w:tc>
      </w:tr>
      <w:tr>
        <w:trPr/>
        <w:tc>
          <w:tcPr>
            <w:tcW w:w="2287" w:type="dxa"/>
            <w:tcBorders/>
            <w:shd w:fill="auto" w:val="clear"/>
            <w:tcMar>
              <w:bottom w:w="0" w:type="dxa"/>
            </w:tcMar>
            <w:vAlign w:val="bottom"/>
          </w:tcPr>
          <w:p>
            <w:pPr>
              <w:pStyle w:val="TableContents"/>
              <w:spacing w:before="0" w:after="283"/>
              <w:rPr/>
            </w:pPr>
            <w:r>
              <w:rPr/>
              <w:t xml:space="preserve">  </w:t>
            </w:r>
          </w:p>
        </w:tc>
        <w:tc>
          <w:tcPr>
            <w:tcW w:w="90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Canada</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36</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r>
      <w:tr>
        <w:trPr/>
        <w:tc>
          <w:tcPr>
            <w:tcW w:w="2287" w:type="dxa"/>
            <w:tcBorders/>
            <w:shd w:fill="auto" w:val="clear"/>
            <w:tcMar>
              <w:bottom w:w="0" w:type="dxa"/>
            </w:tcMar>
            <w:vAlign w:val="bottom"/>
          </w:tcPr>
          <w:p>
            <w:pPr>
              <w:pStyle w:val="TableContents"/>
              <w:spacing w:before="0" w:after="283"/>
              <w:rPr/>
            </w:pPr>
            <w:r>
              <w:rPr/>
              <w:t xml:space="preserve">  </w:t>
            </w:r>
          </w:p>
        </w:tc>
        <w:tc>
          <w:tcPr>
            <w:tcW w:w="90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Europe</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31</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88</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479</w:t>
            </w:r>
          </w:p>
        </w:tc>
      </w:tr>
      <w:tr>
        <w:trPr/>
        <w:tc>
          <w:tcPr>
            <w:tcW w:w="2287" w:type="dxa"/>
            <w:tcBorders/>
            <w:shd w:fill="auto" w:val="clear"/>
            <w:tcMar>
              <w:bottom w:w="0" w:type="dxa"/>
            </w:tcMar>
            <w:vAlign w:val="bottom"/>
          </w:tcPr>
          <w:p>
            <w:pPr>
              <w:pStyle w:val="TableContents"/>
              <w:spacing w:before="0" w:after="283"/>
              <w:rPr/>
            </w:pPr>
            <w:r>
              <w:rPr/>
              <w:t xml:space="preserve">  </w:t>
            </w:r>
          </w:p>
        </w:tc>
        <w:tc>
          <w:tcPr>
            <w:tcW w:w="90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Asia</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9</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r>
      <w:tr>
        <w:trPr/>
        <w:tc>
          <w:tcPr>
            <w:tcW w:w="2287" w:type="dxa"/>
            <w:tcBorders/>
            <w:shd w:fill="auto" w:val="clear"/>
            <w:tcMar>
              <w:bottom w:w="0" w:type="dxa"/>
            </w:tcMar>
            <w:vAlign w:val="bottom"/>
          </w:tcPr>
          <w:p>
            <w:pPr>
              <w:pStyle w:val="TableContents"/>
              <w:spacing w:before="0" w:after="283"/>
              <w:rPr/>
            </w:pPr>
            <w:r>
              <w:rPr/>
              <w:t xml:space="preserve">  </w:t>
            </w:r>
          </w:p>
        </w:tc>
        <w:tc>
          <w:tcPr>
            <w:tcW w:w="90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Mexico</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60</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r>
      <w:tr>
        <w:trPr/>
        <w:tc>
          <w:tcPr>
            <w:tcW w:w="228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Energy Systems &amp; Controls</w:t>
            </w:r>
          </w:p>
        </w:tc>
        <w:tc>
          <w:tcPr>
            <w:tcW w:w="903" w:type="dxa"/>
            <w:tcBorders/>
            <w:shd w:fill="auto" w:val="clear"/>
            <w:tcMar>
              <w:bottom w:w="0" w:type="dxa"/>
            </w:tcMar>
          </w:tcPr>
          <w:p>
            <w:pPr>
              <w:pStyle w:val="TableContents"/>
              <w:spacing w:before="0" w:after="283"/>
              <w:rPr/>
            </w:pPr>
            <w:r>
              <w:rPr/>
              <w:t xml:space="preserve">  </w:t>
            </w:r>
          </w:p>
        </w:tc>
        <w:tc>
          <w:tcPr>
            <w:tcW w:w="904" w:type="dxa"/>
            <w:tcBorders/>
            <w:shd w:fill="auto" w:val="clear"/>
            <w:tcMar>
              <w:bottom w:w="0" w:type="dxa"/>
            </w:tcMar>
          </w:tcPr>
          <w:p>
            <w:pPr>
              <w:pStyle w:val="TableContents"/>
              <w:spacing w:before="0" w:after="283"/>
              <w:rPr/>
            </w:pPr>
            <w:r>
              <w:rPr/>
              <w:t xml:space="preserve">  </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283"/>
              <w:rPr/>
            </w:pPr>
            <w:r>
              <w:rPr/>
              <w:t xml:space="preserve">  </w:t>
            </w:r>
          </w:p>
        </w:tc>
        <w:tc>
          <w:tcPr>
            <w:tcW w:w="964" w:type="dxa"/>
            <w:tcBorders/>
            <w:shd w:fill="auto" w:val="clear"/>
            <w:tcMar>
              <w:bottom w:w="0" w:type="dxa"/>
            </w:tcMar>
            <w:vAlign w:val="bottom"/>
          </w:tcPr>
          <w:p>
            <w:pPr>
              <w:pStyle w:val="TableContents"/>
              <w:spacing w:before="0" w:after="283"/>
              <w:rPr/>
            </w:pPr>
            <w:r>
              <w:rPr/>
              <w:t xml:space="preserve">  </w:t>
            </w:r>
          </w:p>
        </w:tc>
      </w:tr>
      <w:tr>
        <w:trPr/>
        <w:tc>
          <w:tcPr>
            <w:tcW w:w="2287" w:type="dxa"/>
            <w:tcBorders/>
            <w:shd w:fill="auto" w:val="clear"/>
            <w:tcMar>
              <w:bottom w:w="0" w:type="dxa"/>
            </w:tcMar>
            <w:vAlign w:val="bottom"/>
          </w:tcPr>
          <w:p>
            <w:pPr>
              <w:pStyle w:val="TableContents"/>
              <w:spacing w:before="0" w:after="283"/>
              <w:rPr/>
            </w:pPr>
            <w:r>
              <w:rPr/>
              <w:t xml:space="preserve">  </w:t>
            </w:r>
          </w:p>
        </w:tc>
        <w:tc>
          <w:tcPr>
            <w:tcW w:w="90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US</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289</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r>
      <w:tr>
        <w:trPr/>
        <w:tc>
          <w:tcPr>
            <w:tcW w:w="2287" w:type="dxa"/>
            <w:tcBorders/>
            <w:shd w:fill="auto" w:val="clear"/>
            <w:tcMar>
              <w:bottom w:w="0" w:type="dxa"/>
            </w:tcMar>
            <w:vAlign w:val="bottom"/>
          </w:tcPr>
          <w:p>
            <w:pPr>
              <w:pStyle w:val="TableContents"/>
              <w:spacing w:before="0" w:after="283"/>
              <w:rPr/>
            </w:pPr>
            <w:r>
              <w:rPr/>
              <w:t xml:space="preserve">  </w:t>
            </w:r>
          </w:p>
        </w:tc>
        <w:tc>
          <w:tcPr>
            <w:tcW w:w="90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Canada</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44</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r>
      <w:tr>
        <w:trPr/>
        <w:tc>
          <w:tcPr>
            <w:tcW w:w="2287" w:type="dxa"/>
            <w:tcBorders/>
            <w:shd w:fill="auto" w:val="clear"/>
            <w:tcMar>
              <w:bottom w:w="0" w:type="dxa"/>
            </w:tcMar>
            <w:vAlign w:val="bottom"/>
          </w:tcPr>
          <w:p>
            <w:pPr>
              <w:pStyle w:val="TableContents"/>
              <w:spacing w:before="0" w:after="283"/>
              <w:rPr/>
            </w:pPr>
            <w:r>
              <w:rPr/>
              <w:t xml:space="preserve">  </w:t>
            </w:r>
          </w:p>
        </w:tc>
        <w:tc>
          <w:tcPr>
            <w:tcW w:w="90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Europe</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26</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128</w:t>
            </w:r>
          </w:p>
        </w:tc>
      </w:tr>
      <w:tr>
        <w:trPr/>
        <w:tc>
          <w:tcPr>
            <w:tcW w:w="2287" w:type="dxa"/>
            <w:tcBorders/>
            <w:shd w:fill="auto" w:val="clear"/>
            <w:tcMar>
              <w:bottom w:w="0" w:type="dxa"/>
            </w:tcMar>
            <w:vAlign w:val="bottom"/>
          </w:tcPr>
          <w:p>
            <w:pPr>
              <w:pStyle w:val="TableContents"/>
              <w:spacing w:before="0" w:after="283"/>
              <w:rPr/>
            </w:pPr>
            <w:r>
              <w:rPr/>
              <w:t xml:space="preserve">  </w:t>
            </w:r>
          </w:p>
        </w:tc>
        <w:tc>
          <w:tcPr>
            <w:tcW w:w="90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Asia</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11</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w:t>
            </w:r>
          </w:p>
        </w:tc>
      </w:tr>
      <w:tr>
        <w:trPr/>
        <w:tc>
          <w:tcPr>
            <w:tcW w:w="228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Medical &amp; Scientific Imaging</w:t>
            </w:r>
          </w:p>
        </w:tc>
        <w:tc>
          <w:tcPr>
            <w:tcW w:w="903" w:type="dxa"/>
            <w:tcBorders/>
            <w:shd w:fill="auto" w:val="clear"/>
            <w:tcMar>
              <w:bottom w:w="0" w:type="dxa"/>
            </w:tcMar>
          </w:tcPr>
          <w:p>
            <w:pPr>
              <w:pStyle w:val="TableContents"/>
              <w:spacing w:before="0" w:after="283"/>
              <w:rPr/>
            </w:pPr>
            <w:r>
              <w:rPr/>
              <w:t xml:space="preserve">  </w:t>
            </w:r>
          </w:p>
        </w:tc>
        <w:tc>
          <w:tcPr>
            <w:tcW w:w="904" w:type="dxa"/>
            <w:tcBorders/>
            <w:shd w:fill="auto" w:val="clear"/>
            <w:tcMar>
              <w:bottom w:w="0" w:type="dxa"/>
            </w:tcMar>
          </w:tcPr>
          <w:p>
            <w:pPr>
              <w:pStyle w:val="TableContents"/>
              <w:spacing w:before="0" w:after="283"/>
              <w:rPr/>
            </w:pPr>
            <w:r>
              <w:rPr/>
              <w:t xml:space="preserve">  </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283"/>
              <w:rPr/>
            </w:pPr>
            <w:r>
              <w:rPr/>
              <w:t xml:space="preserve">  </w:t>
            </w:r>
          </w:p>
        </w:tc>
        <w:tc>
          <w:tcPr>
            <w:tcW w:w="964" w:type="dxa"/>
            <w:tcBorders/>
            <w:shd w:fill="auto" w:val="clear"/>
            <w:tcMar>
              <w:bottom w:w="0" w:type="dxa"/>
            </w:tcMar>
            <w:vAlign w:val="bottom"/>
          </w:tcPr>
          <w:p>
            <w:pPr>
              <w:pStyle w:val="TableContents"/>
              <w:spacing w:before="0" w:after="283"/>
              <w:rPr/>
            </w:pPr>
            <w:r>
              <w:rPr/>
              <w:t xml:space="preserve">  </w:t>
            </w:r>
          </w:p>
        </w:tc>
      </w:tr>
      <w:tr>
        <w:trPr/>
        <w:tc>
          <w:tcPr>
            <w:tcW w:w="2287" w:type="dxa"/>
            <w:tcBorders/>
            <w:shd w:fill="auto" w:val="clear"/>
            <w:tcMar>
              <w:bottom w:w="0" w:type="dxa"/>
            </w:tcMar>
            <w:vAlign w:val="bottom"/>
          </w:tcPr>
          <w:p>
            <w:pPr>
              <w:pStyle w:val="TableContents"/>
              <w:spacing w:before="0" w:after="283"/>
              <w:rPr/>
            </w:pPr>
            <w:r>
              <w:rPr/>
              <w:t xml:space="preserve">  </w:t>
            </w:r>
          </w:p>
        </w:tc>
        <w:tc>
          <w:tcPr>
            <w:tcW w:w="90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US</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86</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212</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127</w:t>
            </w:r>
          </w:p>
        </w:tc>
      </w:tr>
      <w:tr>
        <w:trPr/>
        <w:tc>
          <w:tcPr>
            <w:tcW w:w="2287" w:type="dxa"/>
            <w:tcBorders/>
            <w:shd w:fill="auto" w:val="clear"/>
            <w:tcMar>
              <w:bottom w:w="0" w:type="dxa"/>
            </w:tcMar>
            <w:vAlign w:val="bottom"/>
          </w:tcPr>
          <w:p>
            <w:pPr>
              <w:pStyle w:val="TableContents"/>
              <w:spacing w:before="0" w:after="283"/>
              <w:rPr/>
            </w:pPr>
            <w:r>
              <w:rPr/>
              <w:t xml:space="preserve">  </w:t>
            </w:r>
          </w:p>
        </w:tc>
        <w:tc>
          <w:tcPr>
            <w:tcW w:w="90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Canada</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92</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r>
      <w:tr>
        <w:trPr/>
        <w:tc>
          <w:tcPr>
            <w:tcW w:w="2287" w:type="dxa"/>
            <w:tcBorders/>
            <w:shd w:fill="auto" w:val="clear"/>
            <w:tcMar>
              <w:bottom w:w="0" w:type="dxa"/>
            </w:tcMar>
            <w:vAlign w:val="bottom"/>
          </w:tcPr>
          <w:p>
            <w:pPr>
              <w:pStyle w:val="TableContents"/>
              <w:spacing w:before="0" w:after="283"/>
              <w:rPr/>
            </w:pPr>
            <w:r>
              <w:rPr/>
              <w:t xml:space="preserve">  </w:t>
            </w:r>
          </w:p>
        </w:tc>
        <w:tc>
          <w:tcPr>
            <w:tcW w:w="90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Europe</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8</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r>
      <w:tr>
        <w:trPr/>
        <w:tc>
          <w:tcPr>
            <w:tcW w:w="228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RF Technology</w:t>
            </w:r>
          </w:p>
        </w:tc>
        <w:tc>
          <w:tcPr>
            <w:tcW w:w="903" w:type="dxa"/>
            <w:tcBorders/>
            <w:shd w:fill="auto" w:val="clear"/>
            <w:tcMar>
              <w:bottom w:w="0" w:type="dxa"/>
            </w:tcMar>
          </w:tcPr>
          <w:p>
            <w:pPr>
              <w:pStyle w:val="TableContents"/>
              <w:spacing w:before="0" w:after="283"/>
              <w:rPr/>
            </w:pPr>
            <w:r>
              <w:rPr/>
              <w:t xml:space="preserve">  </w:t>
            </w:r>
          </w:p>
        </w:tc>
        <w:tc>
          <w:tcPr>
            <w:tcW w:w="904" w:type="dxa"/>
            <w:tcBorders/>
            <w:shd w:fill="auto" w:val="clear"/>
            <w:tcMar>
              <w:bottom w:w="0" w:type="dxa"/>
            </w:tcMar>
          </w:tcPr>
          <w:p>
            <w:pPr>
              <w:pStyle w:val="TableContents"/>
              <w:spacing w:before="0" w:after="283"/>
              <w:rPr/>
            </w:pPr>
            <w:r>
              <w:rPr/>
              <w:t xml:space="preserve">  </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283"/>
              <w:rPr/>
            </w:pPr>
            <w:r>
              <w:rPr/>
              <w:t xml:space="preserve">  </w:t>
            </w:r>
          </w:p>
        </w:tc>
        <w:tc>
          <w:tcPr>
            <w:tcW w:w="964" w:type="dxa"/>
            <w:tcBorders/>
            <w:shd w:fill="auto" w:val="clear"/>
            <w:tcMar>
              <w:bottom w:w="0" w:type="dxa"/>
            </w:tcMar>
            <w:vAlign w:val="bottom"/>
          </w:tcPr>
          <w:p>
            <w:pPr>
              <w:pStyle w:val="TableContents"/>
              <w:spacing w:before="0" w:after="283"/>
              <w:rPr/>
            </w:pPr>
            <w:r>
              <w:rPr/>
              <w:t xml:space="preserve">  </w:t>
            </w:r>
          </w:p>
        </w:tc>
      </w:tr>
      <w:tr>
        <w:trPr/>
        <w:tc>
          <w:tcPr>
            <w:tcW w:w="2287" w:type="dxa"/>
            <w:tcBorders/>
            <w:shd w:fill="auto" w:val="clear"/>
            <w:tcMar>
              <w:bottom w:w="0" w:type="dxa"/>
            </w:tcMar>
            <w:vAlign w:val="bottom"/>
          </w:tcPr>
          <w:p>
            <w:pPr>
              <w:pStyle w:val="TableContents"/>
              <w:spacing w:before="0" w:after="283"/>
              <w:rPr/>
            </w:pPr>
            <w:r>
              <w:rPr/>
              <w:t xml:space="preserve">  </w:t>
            </w:r>
          </w:p>
        </w:tc>
        <w:tc>
          <w:tcPr>
            <w:tcW w:w="90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US</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818</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142</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r>
      <w:tr>
        <w:trPr/>
        <w:tc>
          <w:tcPr>
            <w:tcW w:w="2287" w:type="dxa"/>
            <w:tcBorders/>
            <w:shd w:fill="auto" w:val="clear"/>
            <w:tcMar>
              <w:bottom w:w="0" w:type="dxa"/>
            </w:tcMar>
            <w:vAlign w:val="bottom"/>
          </w:tcPr>
          <w:p>
            <w:pPr>
              <w:pStyle w:val="TableContents"/>
              <w:spacing w:before="0" w:after="283"/>
              <w:rPr/>
            </w:pPr>
            <w:r>
              <w:rPr/>
              <w:t xml:space="preserve">  </w:t>
            </w:r>
          </w:p>
        </w:tc>
        <w:tc>
          <w:tcPr>
            <w:tcW w:w="90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Canada</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11</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r>
      <w:tr>
        <w:trPr/>
        <w:tc>
          <w:tcPr>
            <w:tcW w:w="2287" w:type="dxa"/>
            <w:tcBorders/>
            <w:shd w:fill="auto" w:val="clear"/>
            <w:tcMar>
              <w:bottom w:w="0" w:type="dxa"/>
            </w:tcMar>
          </w:tcPr>
          <w:p>
            <w:pPr>
              <w:pStyle w:val="TableContents"/>
              <w:spacing w:before="0" w:after="283"/>
              <w:rPr/>
            </w:pPr>
            <w:r>
              <w:rPr/>
              <w:t xml:space="preserve">  </w:t>
            </w:r>
          </w:p>
        </w:tc>
        <w:tc>
          <w:tcPr>
            <w:tcW w:w="90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Europe</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17</w:t>
            </w:r>
          </w:p>
        </w:tc>
        <w:tc>
          <w:tcPr>
            <w:tcW w:w="119" w:type="dxa"/>
            <w:tcBorders/>
            <w:shd w:fill="auto" w:val="clear"/>
            <w:tcMar>
              <w:bottom w:w="0" w:type="dxa"/>
            </w:tcMar>
          </w:tcPr>
          <w:p>
            <w:pPr>
              <w:pStyle w:val="TableContents"/>
              <w:spacing w:before="0" w:after="283"/>
              <w:rPr/>
            </w:pPr>
            <w:r>
              <w:rPr/>
              <w:t xml:space="preserve">  </w:t>
            </w:r>
          </w:p>
        </w:tc>
        <w:tc>
          <w:tcPr>
            <w:tcW w:w="843"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121" w:name="hangingindent12"/>
      <w:bookmarkStart w:id="122" w:name="hangingindent12"/>
      <w:bookmarkEnd w:id="122"/>
    </w:p>
    <w:tbl>
      <w:tblPr>
        <w:tblW w:w="5000" w:type="pct"/>
        <w:jc w:val="center"/>
        <w:tblInd w:w="0" w:type="dxa"/>
        <w:tblCellMar>
          <w:top w:w="0" w:type="dxa"/>
          <w:left w:w="0" w:type="dxa"/>
          <w:bottom w:w="0" w:type="dxa"/>
          <w:right w:w="0" w:type="dxa"/>
        </w:tblCellMar>
      </w:tblPr>
      <w:tblGrid>
        <w:gridCol w:w="2599"/>
        <w:gridCol w:w="7606"/>
      </w:tblGrid>
      <w:tr>
        <w:trPr/>
        <w:tc>
          <w:tcPr>
            <w:tcW w:w="2599"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3.</w:t>
            </w:r>
          </w:p>
        </w:tc>
        <w:tc>
          <w:tcPr>
            <w:tcW w:w="760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LEGAL PROCEEDINGS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defendants in various lawsuits involving product liability, employment practices and other matters, none of which we believe will have a material adverse effect on our consolidated financial position or results of operations. The majority of such claims are subject to insurance coverage.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and/or one of our subsidiaries are named as defendants, along with many other companies, in asbestos-related personal injury or wrongful death actions. The allegations in these actions are vague, general and speculative. Given the state of these claims, it is not possible to determine the potential liability, if any.</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123" w:name="hangingindent13"/>
      <w:bookmarkStart w:id="124" w:name="hangingindent13"/>
      <w:bookmarkEnd w:id="124"/>
    </w:p>
    <w:tbl>
      <w:tblPr>
        <w:tblW w:w="5000" w:type="pct"/>
        <w:jc w:val="center"/>
        <w:tblInd w:w="0" w:type="dxa"/>
        <w:tblCellMar>
          <w:top w:w="0" w:type="dxa"/>
          <w:left w:w="0" w:type="dxa"/>
          <w:bottom w:w="0" w:type="dxa"/>
          <w:right w:w="0" w:type="dxa"/>
        </w:tblCellMar>
      </w:tblPr>
      <w:tblGrid>
        <w:gridCol w:w="2281"/>
        <w:gridCol w:w="7924"/>
      </w:tblGrid>
      <w:tr>
        <w:trPr/>
        <w:tc>
          <w:tcPr>
            <w:tcW w:w="2281"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4.</w:t>
            </w:r>
          </w:p>
        </w:tc>
        <w:tc>
          <w:tcPr>
            <w:tcW w:w="7924"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REMOVED AND RESERVED</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5" w:name="PGBRK3"/>
      <w:bookmarkStart w:id="126" w:name="PGBRK3"/>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27" w:name="FTR3"/>
      <w:bookmarkEnd w:id="12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8" w:name="GLFTR3"/>
      <w:bookmarkEnd w:id="1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9" w:name="PN3"/>
      <w:bookmarkEnd w:id="1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 w:name="HDR3"/>
      <w:bookmarkStart w:id="131" w:name="HDR3"/>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2" w:name="GLHDR3"/>
      <w:bookmarkEnd w:id="1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PART II</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133" w:name="hangingindent14"/>
      <w:bookmarkStart w:id="134" w:name="hangingindent14"/>
      <w:bookmarkEnd w:id="134"/>
    </w:p>
    <w:tbl>
      <w:tblPr>
        <w:tblW w:w="5000" w:type="pct"/>
        <w:jc w:val="center"/>
        <w:tblInd w:w="0" w:type="dxa"/>
        <w:tblCellMar>
          <w:top w:w="0" w:type="dxa"/>
          <w:left w:w="0" w:type="dxa"/>
          <w:bottom w:w="0" w:type="dxa"/>
          <w:right w:w="0" w:type="dxa"/>
        </w:tblCellMar>
      </w:tblPr>
      <w:tblGrid>
        <w:gridCol w:w="680"/>
        <w:gridCol w:w="9525"/>
      </w:tblGrid>
      <w:tr>
        <w:trPr/>
        <w:tc>
          <w:tcPr>
            <w:tcW w:w="680"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5.</w:t>
            </w:r>
          </w:p>
        </w:tc>
        <w:tc>
          <w:tcPr>
            <w:tcW w:w="9525"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MARKET FOR REGISTRANT’S COMMON EQUITY, RELATED STOCKHOLDER MATTERS AND ISSUER PURCHASES OF EQUITY SECURITIES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common stock trades on the NYSE under the symbol “ROP”. The table below sets forth the range of high and low sales prices for our common stock as reported by the NYSE as well as cash dividends declared during each of our 2010 and 2009 quarters.</w:t>
      </w:r>
    </w:p>
    <w:p>
      <w:pPr>
        <w:pStyle w:val="TextBody"/>
        <w:spacing w:before="0" w:after="0"/>
        <w:ind w:left="0" w:right="0" w:hanging="0"/>
        <w:rPr/>
      </w:pPr>
      <w:r>
        <w:rPr/>
      </w:r>
    </w:p>
    <w:tbl>
      <w:tblPr>
        <w:tblW w:w="3500" w:type="pct"/>
        <w:jc w:val="center"/>
        <w:tblInd w:w="0" w:type="dxa"/>
        <w:tblCellMar>
          <w:top w:w="0" w:type="dxa"/>
          <w:left w:w="0" w:type="dxa"/>
          <w:bottom w:w="0" w:type="dxa"/>
          <w:right w:w="0" w:type="dxa"/>
        </w:tblCellMar>
      </w:tblPr>
      <w:tblGrid>
        <w:gridCol w:w="925"/>
        <w:gridCol w:w="1720"/>
        <w:gridCol w:w="1323"/>
        <w:gridCol w:w="1323"/>
        <w:gridCol w:w="1852"/>
      </w:tblGrid>
      <w:tr>
        <w:trPr/>
        <w:tc>
          <w:tcPr>
            <w:tcW w:w="925" w:type="dxa"/>
            <w:tcBorders/>
            <w:shd w:fill="auto" w:val="clear"/>
          </w:tcPr>
          <w:p>
            <w:pPr>
              <w:pStyle w:val="TableContents"/>
              <w:spacing w:before="0" w:after="283"/>
              <w:rPr/>
            </w:pPr>
            <w:r>
              <w:rPr/>
              <w:t xml:space="preserve">  </w:t>
            </w:r>
          </w:p>
        </w:tc>
        <w:tc>
          <w:tcPr>
            <w:tcW w:w="1720" w:type="dxa"/>
            <w:tcBorders/>
            <w:shd w:fill="auto" w:val="clear"/>
          </w:tcPr>
          <w:p>
            <w:pPr>
              <w:pStyle w:val="TableContents"/>
              <w:spacing w:before="0" w:after="283"/>
              <w:rPr/>
            </w:pPr>
            <w:r>
              <w:rPr/>
              <w:t xml:space="preserve">  </w:t>
            </w:r>
          </w:p>
        </w:tc>
        <w:tc>
          <w:tcPr>
            <w:tcW w:w="1323"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High</w:t>
            </w:r>
          </w:p>
        </w:tc>
        <w:tc>
          <w:tcPr>
            <w:tcW w:w="1323"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Low</w:t>
            </w:r>
          </w:p>
        </w:tc>
        <w:tc>
          <w:tcPr>
            <w:tcW w:w="185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Cash Dividends Declared</w:t>
            </w:r>
          </w:p>
        </w:tc>
      </w:tr>
      <w:tr>
        <w:trPr/>
        <w:tc>
          <w:tcPr>
            <w:tcW w:w="925"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2010</w:t>
            </w:r>
          </w:p>
        </w:tc>
        <w:tc>
          <w:tcPr>
            <w:tcW w:w="1720"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4th Quarter</w:t>
            </w:r>
          </w:p>
        </w:tc>
        <w:tc>
          <w:tcPr>
            <w:tcW w:w="1323" w:type="dxa"/>
            <w:tcBorders/>
            <w:shd w:fill="auto" w:val="clear"/>
            <w:vAlign w:val="bottom"/>
          </w:tcPr>
          <w:p>
            <w:pPr>
              <w:pStyle w:val="TableContents"/>
              <w:spacing w:before="0" w:after="0"/>
              <w:ind w:left="0" w:right="162" w:hanging="0"/>
              <w:jc w:val="right"/>
              <w:rPr>
                <w:rFonts w:ascii="times new roman" w:hAnsi="times new roman"/>
                <w:b/>
                <w:sz w:val="20"/>
              </w:rPr>
            </w:pPr>
            <w:r>
              <w:rPr>
                <w:rFonts w:ascii="times new roman" w:hAnsi="times new roman"/>
                <w:b/>
                <w:sz w:val="20"/>
              </w:rPr>
              <w:t>$ 78.43</w:t>
            </w:r>
          </w:p>
        </w:tc>
        <w:tc>
          <w:tcPr>
            <w:tcW w:w="1323" w:type="dxa"/>
            <w:tcBorders/>
            <w:shd w:fill="auto" w:val="clear"/>
            <w:vAlign w:val="bottom"/>
          </w:tcPr>
          <w:p>
            <w:pPr>
              <w:pStyle w:val="TableContents"/>
              <w:spacing w:before="0" w:after="0"/>
              <w:ind w:left="0" w:right="162" w:hanging="0"/>
              <w:jc w:val="right"/>
              <w:rPr>
                <w:rFonts w:ascii="times new roman" w:hAnsi="times new roman"/>
                <w:b/>
                <w:sz w:val="20"/>
              </w:rPr>
            </w:pPr>
            <w:r>
              <w:rPr>
                <w:rFonts w:ascii="times new roman" w:hAnsi="times new roman"/>
                <w:b/>
                <w:sz w:val="20"/>
              </w:rPr>
              <w:t>$ 64.98</w:t>
            </w:r>
          </w:p>
        </w:tc>
        <w:tc>
          <w:tcPr>
            <w:tcW w:w="1852" w:type="dxa"/>
            <w:tcBorders/>
            <w:shd w:fill="auto" w:val="clear"/>
            <w:vAlign w:val="bottom"/>
          </w:tcPr>
          <w:p>
            <w:pPr>
              <w:pStyle w:val="TableContents"/>
              <w:spacing w:before="0" w:after="0"/>
              <w:ind w:left="0" w:right="342" w:hanging="0"/>
              <w:jc w:val="right"/>
              <w:rPr>
                <w:rFonts w:ascii="times new roman" w:hAnsi="times new roman"/>
                <w:b/>
                <w:sz w:val="20"/>
              </w:rPr>
            </w:pPr>
            <w:r>
              <w:rPr>
                <w:rFonts w:ascii="times new roman" w:hAnsi="times new roman"/>
                <w:b/>
                <w:sz w:val="20"/>
              </w:rPr>
              <w:t>$  0.1100</w:t>
            </w:r>
          </w:p>
        </w:tc>
      </w:tr>
      <w:tr>
        <w:trPr/>
        <w:tc>
          <w:tcPr>
            <w:tcW w:w="925" w:type="dxa"/>
            <w:tcBorders/>
            <w:shd w:fill="auto" w:val="clear"/>
            <w:vAlign w:val="bottom"/>
          </w:tcPr>
          <w:p>
            <w:pPr>
              <w:pStyle w:val="TableContents"/>
              <w:spacing w:before="0" w:after="283"/>
              <w:rPr/>
            </w:pPr>
            <w:r>
              <w:rPr/>
              <w:t xml:space="preserve">  </w:t>
            </w:r>
          </w:p>
        </w:tc>
        <w:tc>
          <w:tcPr>
            <w:tcW w:w="1720"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3rd Quarter</w:t>
            </w:r>
          </w:p>
        </w:tc>
        <w:tc>
          <w:tcPr>
            <w:tcW w:w="1323" w:type="dxa"/>
            <w:tcBorders/>
            <w:shd w:fill="auto" w:val="clear"/>
            <w:vAlign w:val="bottom"/>
          </w:tcPr>
          <w:p>
            <w:pPr>
              <w:pStyle w:val="TableContents"/>
              <w:spacing w:before="0" w:after="0"/>
              <w:ind w:left="0" w:right="162" w:hanging="0"/>
              <w:jc w:val="right"/>
              <w:rPr>
                <w:rFonts w:ascii="times new roman" w:hAnsi="times new roman"/>
                <w:b/>
                <w:sz w:val="20"/>
              </w:rPr>
            </w:pPr>
            <w:r>
              <w:rPr>
                <w:rFonts w:ascii="times new roman" w:hAnsi="times new roman"/>
                <w:b/>
                <w:sz w:val="20"/>
              </w:rPr>
              <w:t>65.59</w:t>
            </w:r>
          </w:p>
        </w:tc>
        <w:tc>
          <w:tcPr>
            <w:tcW w:w="1323" w:type="dxa"/>
            <w:tcBorders/>
            <w:shd w:fill="auto" w:val="clear"/>
            <w:vAlign w:val="bottom"/>
          </w:tcPr>
          <w:p>
            <w:pPr>
              <w:pStyle w:val="TableContents"/>
              <w:spacing w:before="0" w:after="0"/>
              <w:ind w:left="0" w:right="162" w:hanging="0"/>
              <w:jc w:val="right"/>
              <w:rPr>
                <w:rFonts w:ascii="times new roman" w:hAnsi="times new roman"/>
                <w:b/>
                <w:sz w:val="20"/>
              </w:rPr>
            </w:pPr>
            <w:r>
              <w:rPr>
                <w:rFonts w:ascii="times new roman" w:hAnsi="times new roman"/>
                <w:b/>
                <w:sz w:val="20"/>
              </w:rPr>
              <w:t>54.78</w:t>
            </w:r>
          </w:p>
        </w:tc>
        <w:tc>
          <w:tcPr>
            <w:tcW w:w="1852" w:type="dxa"/>
            <w:tcBorders/>
            <w:shd w:fill="auto" w:val="clear"/>
            <w:vAlign w:val="bottom"/>
          </w:tcPr>
          <w:p>
            <w:pPr>
              <w:pStyle w:val="TableContents"/>
              <w:spacing w:before="0" w:after="0"/>
              <w:ind w:left="0" w:right="342" w:hanging="0"/>
              <w:jc w:val="right"/>
              <w:rPr>
                <w:rFonts w:ascii="times new roman" w:hAnsi="times new roman"/>
                <w:b/>
                <w:sz w:val="20"/>
              </w:rPr>
            </w:pPr>
            <w:r>
              <w:rPr>
                <w:rFonts w:ascii="times new roman" w:hAnsi="times new roman"/>
                <w:b/>
                <w:sz w:val="20"/>
              </w:rPr>
              <w:t>0.0950</w:t>
            </w:r>
          </w:p>
        </w:tc>
      </w:tr>
      <w:tr>
        <w:trPr/>
        <w:tc>
          <w:tcPr>
            <w:tcW w:w="925" w:type="dxa"/>
            <w:tcBorders/>
            <w:shd w:fill="auto" w:val="clear"/>
            <w:vAlign w:val="bottom"/>
          </w:tcPr>
          <w:p>
            <w:pPr>
              <w:pStyle w:val="TableContents"/>
              <w:spacing w:before="0" w:after="283"/>
              <w:rPr/>
            </w:pPr>
            <w:r>
              <w:rPr/>
              <w:t xml:space="preserve">  </w:t>
            </w:r>
          </w:p>
        </w:tc>
        <w:tc>
          <w:tcPr>
            <w:tcW w:w="1720"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2nd Quarter</w:t>
            </w:r>
          </w:p>
        </w:tc>
        <w:tc>
          <w:tcPr>
            <w:tcW w:w="1323" w:type="dxa"/>
            <w:tcBorders/>
            <w:shd w:fill="auto" w:val="clear"/>
            <w:vAlign w:val="bottom"/>
          </w:tcPr>
          <w:p>
            <w:pPr>
              <w:pStyle w:val="TableContents"/>
              <w:spacing w:before="0" w:after="0"/>
              <w:ind w:left="0" w:right="162" w:hanging="0"/>
              <w:jc w:val="right"/>
              <w:rPr>
                <w:rFonts w:ascii="times new roman" w:hAnsi="times new roman"/>
                <w:b/>
                <w:sz w:val="20"/>
              </w:rPr>
            </w:pPr>
            <w:r>
              <w:rPr>
                <w:rFonts w:ascii="times new roman" w:hAnsi="times new roman"/>
                <w:b/>
                <w:sz w:val="20"/>
              </w:rPr>
              <w:t>63.91</w:t>
            </w:r>
          </w:p>
        </w:tc>
        <w:tc>
          <w:tcPr>
            <w:tcW w:w="1323" w:type="dxa"/>
            <w:tcBorders/>
            <w:shd w:fill="auto" w:val="clear"/>
            <w:vAlign w:val="bottom"/>
          </w:tcPr>
          <w:p>
            <w:pPr>
              <w:pStyle w:val="TableContents"/>
              <w:spacing w:before="0" w:after="0"/>
              <w:ind w:left="0" w:right="162" w:hanging="0"/>
              <w:jc w:val="right"/>
              <w:rPr>
                <w:rFonts w:ascii="times new roman" w:hAnsi="times new roman"/>
                <w:b/>
                <w:sz w:val="20"/>
              </w:rPr>
            </w:pPr>
            <w:r>
              <w:rPr>
                <w:rFonts w:ascii="times new roman" w:hAnsi="times new roman"/>
                <w:b/>
                <w:sz w:val="20"/>
              </w:rPr>
              <w:t>55.47</w:t>
            </w:r>
          </w:p>
        </w:tc>
        <w:tc>
          <w:tcPr>
            <w:tcW w:w="1852" w:type="dxa"/>
            <w:tcBorders/>
            <w:shd w:fill="auto" w:val="clear"/>
            <w:vAlign w:val="bottom"/>
          </w:tcPr>
          <w:p>
            <w:pPr>
              <w:pStyle w:val="TableContents"/>
              <w:spacing w:before="0" w:after="0"/>
              <w:ind w:left="0" w:right="342" w:hanging="0"/>
              <w:jc w:val="right"/>
              <w:rPr>
                <w:rFonts w:ascii="times new roman" w:hAnsi="times new roman"/>
                <w:b/>
                <w:sz w:val="20"/>
              </w:rPr>
            </w:pPr>
            <w:r>
              <w:rPr>
                <w:rFonts w:ascii="times new roman" w:hAnsi="times new roman"/>
                <w:b/>
                <w:sz w:val="20"/>
              </w:rPr>
              <w:t>0.0950</w:t>
            </w:r>
          </w:p>
        </w:tc>
      </w:tr>
      <w:tr>
        <w:trPr/>
        <w:tc>
          <w:tcPr>
            <w:tcW w:w="925" w:type="dxa"/>
            <w:tcBorders/>
            <w:shd w:fill="auto" w:val="clear"/>
            <w:vAlign w:val="bottom"/>
          </w:tcPr>
          <w:p>
            <w:pPr>
              <w:pStyle w:val="TableContents"/>
              <w:spacing w:before="0" w:after="283"/>
              <w:rPr/>
            </w:pPr>
            <w:r>
              <w:rPr/>
              <w:t xml:space="preserve">  </w:t>
            </w:r>
          </w:p>
        </w:tc>
        <w:tc>
          <w:tcPr>
            <w:tcW w:w="1720"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1st Quarter</w:t>
            </w:r>
          </w:p>
        </w:tc>
        <w:tc>
          <w:tcPr>
            <w:tcW w:w="1323" w:type="dxa"/>
            <w:tcBorders/>
            <w:shd w:fill="auto" w:val="clear"/>
            <w:vAlign w:val="bottom"/>
          </w:tcPr>
          <w:p>
            <w:pPr>
              <w:pStyle w:val="TableContents"/>
              <w:spacing w:before="0" w:after="0"/>
              <w:ind w:left="0" w:right="162" w:hanging="0"/>
              <w:jc w:val="right"/>
              <w:rPr>
                <w:rFonts w:ascii="times new roman" w:hAnsi="times new roman"/>
                <w:b/>
                <w:sz w:val="20"/>
              </w:rPr>
            </w:pPr>
            <w:r>
              <w:rPr>
                <w:rFonts w:ascii="times new roman" w:hAnsi="times new roman"/>
                <w:b/>
                <w:sz w:val="20"/>
              </w:rPr>
              <w:t>58.34</w:t>
            </w:r>
          </w:p>
        </w:tc>
        <w:tc>
          <w:tcPr>
            <w:tcW w:w="1323" w:type="dxa"/>
            <w:tcBorders/>
            <w:shd w:fill="auto" w:val="clear"/>
            <w:vAlign w:val="bottom"/>
          </w:tcPr>
          <w:p>
            <w:pPr>
              <w:pStyle w:val="TableContents"/>
              <w:spacing w:before="0" w:after="0"/>
              <w:ind w:left="0" w:right="162" w:hanging="0"/>
              <w:jc w:val="right"/>
              <w:rPr>
                <w:rFonts w:ascii="times new roman" w:hAnsi="times new roman"/>
                <w:b/>
                <w:sz w:val="20"/>
              </w:rPr>
            </w:pPr>
            <w:r>
              <w:rPr>
                <w:rFonts w:ascii="times new roman" w:hAnsi="times new roman"/>
                <w:b/>
                <w:sz w:val="20"/>
              </w:rPr>
              <w:t>50.08</w:t>
            </w:r>
          </w:p>
        </w:tc>
        <w:tc>
          <w:tcPr>
            <w:tcW w:w="1852" w:type="dxa"/>
            <w:tcBorders/>
            <w:shd w:fill="auto" w:val="clear"/>
            <w:vAlign w:val="bottom"/>
          </w:tcPr>
          <w:p>
            <w:pPr>
              <w:pStyle w:val="TableContents"/>
              <w:spacing w:before="0" w:after="0"/>
              <w:ind w:left="0" w:right="342" w:hanging="0"/>
              <w:jc w:val="right"/>
              <w:rPr>
                <w:rFonts w:ascii="times new roman" w:hAnsi="times new roman"/>
                <w:b/>
                <w:sz w:val="20"/>
              </w:rPr>
            </w:pPr>
            <w:r>
              <w:rPr>
                <w:rFonts w:ascii="times new roman" w:hAnsi="times new roman"/>
                <w:b/>
                <w:sz w:val="20"/>
              </w:rPr>
              <w:t>0.0950</w:t>
            </w:r>
          </w:p>
        </w:tc>
      </w:tr>
      <w:tr>
        <w:trPr/>
        <w:tc>
          <w:tcPr>
            <w:tcW w:w="925" w:type="dxa"/>
            <w:tcBorders/>
            <w:shd w:fill="auto" w:val="clear"/>
            <w:vAlign w:val="bottom"/>
          </w:tcPr>
          <w:p>
            <w:pPr>
              <w:pStyle w:val="TableContents"/>
              <w:spacing w:before="0" w:after="283"/>
              <w:rPr/>
            </w:pPr>
            <w:r>
              <w:rPr/>
              <w:t xml:space="preserve">  </w:t>
            </w:r>
          </w:p>
        </w:tc>
        <w:tc>
          <w:tcPr>
            <w:tcW w:w="1720" w:type="dxa"/>
            <w:tcBorders/>
            <w:shd w:fill="auto" w:val="clear"/>
            <w:vAlign w:val="bottom"/>
          </w:tcPr>
          <w:p>
            <w:pPr>
              <w:pStyle w:val="TableContents"/>
              <w:spacing w:before="0" w:after="283"/>
              <w:rPr/>
            </w:pPr>
            <w:r>
              <w:rPr/>
              <w:t xml:space="preserve">  </w:t>
            </w:r>
          </w:p>
        </w:tc>
        <w:tc>
          <w:tcPr>
            <w:tcW w:w="1323" w:type="dxa"/>
            <w:tcBorders/>
            <w:shd w:fill="auto" w:val="clear"/>
            <w:vAlign w:val="bottom"/>
          </w:tcPr>
          <w:p>
            <w:pPr>
              <w:pStyle w:val="TableContents"/>
              <w:spacing w:before="0" w:after="283"/>
              <w:rPr/>
            </w:pPr>
            <w:r>
              <w:rPr/>
              <w:t xml:space="preserve">  </w:t>
            </w:r>
          </w:p>
        </w:tc>
        <w:tc>
          <w:tcPr>
            <w:tcW w:w="1323" w:type="dxa"/>
            <w:tcBorders/>
            <w:shd w:fill="auto" w:val="clear"/>
            <w:vAlign w:val="bottom"/>
          </w:tcPr>
          <w:p>
            <w:pPr>
              <w:pStyle w:val="TableContents"/>
              <w:spacing w:before="0" w:after="283"/>
              <w:rPr/>
            </w:pPr>
            <w:r>
              <w:rPr/>
              <w:t xml:space="preserve">  </w:t>
            </w:r>
          </w:p>
        </w:tc>
        <w:tc>
          <w:tcPr>
            <w:tcW w:w="1852" w:type="dxa"/>
            <w:tcBorders/>
            <w:shd w:fill="auto" w:val="clear"/>
            <w:vAlign w:val="bottom"/>
          </w:tcPr>
          <w:p>
            <w:pPr>
              <w:pStyle w:val="TableContents"/>
              <w:spacing w:before="0" w:after="283"/>
              <w:rPr/>
            </w:pPr>
            <w:r>
              <w:rPr/>
              <w:t xml:space="preserve">  </w:t>
            </w:r>
          </w:p>
        </w:tc>
      </w:tr>
      <w:tr>
        <w:trPr/>
        <w:tc>
          <w:tcPr>
            <w:tcW w:w="9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2009</w:t>
            </w:r>
          </w:p>
        </w:tc>
        <w:tc>
          <w:tcPr>
            <w:tcW w:w="1720"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4th Quarter</w:t>
            </w:r>
          </w:p>
        </w:tc>
        <w:tc>
          <w:tcPr>
            <w:tcW w:w="1323" w:type="dxa"/>
            <w:tcBorders/>
            <w:shd w:fill="auto" w:val="clear"/>
            <w:vAlign w:val="bottom"/>
          </w:tcPr>
          <w:p>
            <w:pPr>
              <w:pStyle w:val="TableContents"/>
              <w:spacing w:before="0" w:after="0"/>
              <w:ind w:left="0" w:right="162" w:hanging="0"/>
              <w:jc w:val="right"/>
              <w:rPr>
                <w:rFonts w:ascii="times new roman" w:hAnsi="times new roman"/>
                <w:sz w:val="20"/>
              </w:rPr>
            </w:pPr>
            <w:r>
              <w:rPr>
                <w:rFonts w:ascii="times new roman" w:hAnsi="times new roman"/>
                <w:sz w:val="20"/>
              </w:rPr>
              <w:t>$ 55.04</w:t>
            </w:r>
          </w:p>
        </w:tc>
        <w:tc>
          <w:tcPr>
            <w:tcW w:w="1323" w:type="dxa"/>
            <w:tcBorders/>
            <w:shd w:fill="auto" w:val="clear"/>
            <w:vAlign w:val="bottom"/>
          </w:tcPr>
          <w:p>
            <w:pPr>
              <w:pStyle w:val="TableContents"/>
              <w:spacing w:before="0" w:after="0"/>
              <w:ind w:left="0" w:right="162" w:hanging="0"/>
              <w:jc w:val="right"/>
              <w:rPr>
                <w:rFonts w:ascii="times new roman" w:hAnsi="times new roman"/>
                <w:sz w:val="20"/>
              </w:rPr>
            </w:pPr>
            <w:r>
              <w:rPr>
                <w:rFonts w:ascii="times new roman" w:hAnsi="times new roman"/>
                <w:sz w:val="20"/>
              </w:rPr>
              <w:t>$ 47.50</w:t>
            </w:r>
          </w:p>
        </w:tc>
        <w:tc>
          <w:tcPr>
            <w:tcW w:w="1852" w:type="dxa"/>
            <w:tcBorders/>
            <w:shd w:fill="auto" w:val="clear"/>
            <w:vAlign w:val="bottom"/>
          </w:tcPr>
          <w:p>
            <w:pPr>
              <w:pStyle w:val="TableContents"/>
              <w:spacing w:before="0" w:after="0"/>
              <w:ind w:left="0" w:right="342" w:hanging="0"/>
              <w:jc w:val="right"/>
              <w:rPr>
                <w:rFonts w:ascii="times new roman" w:hAnsi="times new roman"/>
                <w:sz w:val="20"/>
              </w:rPr>
            </w:pPr>
            <w:r>
              <w:rPr>
                <w:rFonts w:ascii="times new roman" w:hAnsi="times new roman"/>
                <w:sz w:val="20"/>
              </w:rPr>
              <w:t>$  0.0950</w:t>
            </w:r>
          </w:p>
        </w:tc>
      </w:tr>
      <w:tr>
        <w:trPr/>
        <w:tc>
          <w:tcPr>
            <w:tcW w:w="925" w:type="dxa"/>
            <w:tcBorders/>
            <w:shd w:fill="auto" w:val="clear"/>
            <w:vAlign w:val="bottom"/>
          </w:tcPr>
          <w:p>
            <w:pPr>
              <w:pStyle w:val="TableContents"/>
              <w:spacing w:before="0" w:after="283"/>
              <w:rPr/>
            </w:pPr>
            <w:r>
              <w:rPr/>
              <w:t xml:space="preserve">  </w:t>
            </w:r>
          </w:p>
        </w:tc>
        <w:tc>
          <w:tcPr>
            <w:tcW w:w="1720"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3rd Quarter</w:t>
            </w:r>
          </w:p>
        </w:tc>
        <w:tc>
          <w:tcPr>
            <w:tcW w:w="1323" w:type="dxa"/>
            <w:tcBorders/>
            <w:shd w:fill="auto" w:val="clear"/>
            <w:vAlign w:val="bottom"/>
          </w:tcPr>
          <w:p>
            <w:pPr>
              <w:pStyle w:val="TableContents"/>
              <w:spacing w:before="0" w:after="0"/>
              <w:ind w:left="0" w:right="162" w:hanging="0"/>
              <w:jc w:val="right"/>
              <w:rPr>
                <w:rFonts w:ascii="times new roman" w:hAnsi="times new roman"/>
                <w:sz w:val="20"/>
              </w:rPr>
            </w:pPr>
            <w:r>
              <w:rPr>
                <w:rFonts w:ascii="times new roman" w:hAnsi="times new roman"/>
                <w:sz w:val="20"/>
              </w:rPr>
              <w:t>53.05</w:t>
            </w:r>
          </w:p>
        </w:tc>
        <w:tc>
          <w:tcPr>
            <w:tcW w:w="1323" w:type="dxa"/>
            <w:tcBorders/>
            <w:shd w:fill="auto" w:val="clear"/>
            <w:vAlign w:val="bottom"/>
          </w:tcPr>
          <w:p>
            <w:pPr>
              <w:pStyle w:val="TableContents"/>
              <w:spacing w:before="0" w:after="0"/>
              <w:ind w:left="0" w:right="162" w:hanging="0"/>
              <w:jc w:val="right"/>
              <w:rPr>
                <w:rFonts w:ascii="times new roman" w:hAnsi="times new roman"/>
                <w:sz w:val="20"/>
              </w:rPr>
            </w:pPr>
            <w:r>
              <w:rPr>
                <w:rFonts w:ascii="times new roman" w:hAnsi="times new roman"/>
                <w:sz w:val="20"/>
              </w:rPr>
              <w:t>42.27</w:t>
            </w:r>
          </w:p>
        </w:tc>
        <w:tc>
          <w:tcPr>
            <w:tcW w:w="1852" w:type="dxa"/>
            <w:tcBorders/>
            <w:shd w:fill="auto" w:val="clear"/>
            <w:vAlign w:val="bottom"/>
          </w:tcPr>
          <w:p>
            <w:pPr>
              <w:pStyle w:val="TableContents"/>
              <w:spacing w:before="0" w:after="0"/>
              <w:ind w:left="0" w:right="342" w:hanging="0"/>
              <w:jc w:val="right"/>
              <w:rPr>
                <w:rFonts w:ascii="times new roman" w:hAnsi="times new roman"/>
                <w:sz w:val="20"/>
              </w:rPr>
            </w:pPr>
            <w:r>
              <w:rPr>
                <w:rFonts w:ascii="times new roman" w:hAnsi="times new roman"/>
                <w:sz w:val="20"/>
              </w:rPr>
              <w:t>0.0825</w:t>
            </w:r>
          </w:p>
        </w:tc>
      </w:tr>
      <w:tr>
        <w:trPr/>
        <w:tc>
          <w:tcPr>
            <w:tcW w:w="925" w:type="dxa"/>
            <w:tcBorders/>
            <w:shd w:fill="auto" w:val="clear"/>
            <w:vAlign w:val="bottom"/>
          </w:tcPr>
          <w:p>
            <w:pPr>
              <w:pStyle w:val="TableContents"/>
              <w:spacing w:before="0" w:after="283"/>
              <w:rPr/>
            </w:pPr>
            <w:r>
              <w:rPr/>
              <w:t xml:space="preserve">  </w:t>
            </w:r>
          </w:p>
        </w:tc>
        <w:tc>
          <w:tcPr>
            <w:tcW w:w="1720"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2nd Quarter</w:t>
            </w:r>
          </w:p>
        </w:tc>
        <w:tc>
          <w:tcPr>
            <w:tcW w:w="1323" w:type="dxa"/>
            <w:tcBorders/>
            <w:shd w:fill="auto" w:val="clear"/>
            <w:vAlign w:val="bottom"/>
          </w:tcPr>
          <w:p>
            <w:pPr>
              <w:pStyle w:val="TableContents"/>
              <w:spacing w:before="0" w:after="0"/>
              <w:ind w:left="0" w:right="162" w:hanging="0"/>
              <w:jc w:val="right"/>
              <w:rPr>
                <w:rFonts w:ascii="times new roman" w:hAnsi="times new roman"/>
                <w:sz w:val="20"/>
              </w:rPr>
            </w:pPr>
            <w:r>
              <w:rPr>
                <w:rFonts w:ascii="times new roman" w:hAnsi="times new roman"/>
                <w:sz w:val="20"/>
              </w:rPr>
              <w:t>47.99</w:t>
            </w:r>
          </w:p>
        </w:tc>
        <w:tc>
          <w:tcPr>
            <w:tcW w:w="1323" w:type="dxa"/>
            <w:tcBorders/>
            <w:shd w:fill="auto" w:val="clear"/>
            <w:vAlign w:val="bottom"/>
          </w:tcPr>
          <w:p>
            <w:pPr>
              <w:pStyle w:val="TableContents"/>
              <w:spacing w:before="0" w:after="0"/>
              <w:ind w:left="0" w:right="162" w:hanging="0"/>
              <w:jc w:val="right"/>
              <w:rPr>
                <w:rFonts w:ascii="times new roman" w:hAnsi="times new roman"/>
                <w:sz w:val="20"/>
              </w:rPr>
            </w:pPr>
            <w:r>
              <w:rPr>
                <w:rFonts w:ascii="times new roman" w:hAnsi="times new roman"/>
                <w:sz w:val="20"/>
              </w:rPr>
              <w:t>41.03</w:t>
            </w:r>
          </w:p>
        </w:tc>
        <w:tc>
          <w:tcPr>
            <w:tcW w:w="1852" w:type="dxa"/>
            <w:tcBorders/>
            <w:shd w:fill="auto" w:val="clear"/>
            <w:vAlign w:val="bottom"/>
          </w:tcPr>
          <w:p>
            <w:pPr>
              <w:pStyle w:val="TableContents"/>
              <w:spacing w:before="0" w:after="0"/>
              <w:ind w:left="0" w:right="342" w:hanging="0"/>
              <w:jc w:val="right"/>
              <w:rPr>
                <w:rFonts w:ascii="times new roman" w:hAnsi="times new roman"/>
                <w:sz w:val="20"/>
              </w:rPr>
            </w:pPr>
            <w:r>
              <w:rPr>
                <w:rFonts w:ascii="times new roman" w:hAnsi="times new roman"/>
                <w:sz w:val="20"/>
              </w:rPr>
              <w:t>0.0825</w:t>
            </w:r>
          </w:p>
        </w:tc>
      </w:tr>
      <w:tr>
        <w:trPr/>
        <w:tc>
          <w:tcPr>
            <w:tcW w:w="925" w:type="dxa"/>
            <w:tcBorders/>
            <w:shd w:fill="auto" w:val="clear"/>
            <w:vAlign w:val="bottom"/>
          </w:tcPr>
          <w:p>
            <w:pPr>
              <w:pStyle w:val="TableContents"/>
              <w:spacing w:before="0" w:after="283"/>
              <w:rPr/>
            </w:pPr>
            <w:r>
              <w:rPr/>
              <w:t xml:space="preserve">  </w:t>
            </w:r>
          </w:p>
        </w:tc>
        <w:tc>
          <w:tcPr>
            <w:tcW w:w="1720"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1st Quarter</w:t>
            </w:r>
          </w:p>
        </w:tc>
        <w:tc>
          <w:tcPr>
            <w:tcW w:w="1323" w:type="dxa"/>
            <w:tcBorders/>
            <w:shd w:fill="auto" w:val="clear"/>
            <w:vAlign w:val="bottom"/>
          </w:tcPr>
          <w:p>
            <w:pPr>
              <w:pStyle w:val="TableContents"/>
              <w:spacing w:before="0" w:after="0"/>
              <w:ind w:left="0" w:right="162" w:hanging="0"/>
              <w:jc w:val="right"/>
              <w:rPr>
                <w:rFonts w:ascii="times new roman" w:hAnsi="times new roman"/>
                <w:sz w:val="20"/>
              </w:rPr>
            </w:pPr>
            <w:r>
              <w:rPr>
                <w:rFonts w:ascii="times new roman" w:hAnsi="times new roman"/>
                <w:sz w:val="20"/>
              </w:rPr>
              <w:t>45.73</w:t>
            </w:r>
          </w:p>
        </w:tc>
        <w:tc>
          <w:tcPr>
            <w:tcW w:w="1323" w:type="dxa"/>
            <w:tcBorders/>
            <w:shd w:fill="auto" w:val="clear"/>
            <w:vAlign w:val="bottom"/>
          </w:tcPr>
          <w:p>
            <w:pPr>
              <w:pStyle w:val="TableContents"/>
              <w:spacing w:before="0" w:after="0"/>
              <w:ind w:left="0" w:right="162" w:hanging="0"/>
              <w:jc w:val="right"/>
              <w:rPr>
                <w:rFonts w:ascii="times new roman" w:hAnsi="times new roman"/>
                <w:sz w:val="20"/>
              </w:rPr>
            </w:pPr>
            <w:r>
              <w:rPr>
                <w:rFonts w:ascii="times new roman" w:hAnsi="times new roman"/>
                <w:sz w:val="20"/>
              </w:rPr>
              <w:t>36.96</w:t>
            </w:r>
          </w:p>
        </w:tc>
        <w:tc>
          <w:tcPr>
            <w:tcW w:w="1852" w:type="dxa"/>
            <w:tcBorders/>
            <w:shd w:fill="auto" w:val="clear"/>
            <w:vAlign w:val="bottom"/>
          </w:tcPr>
          <w:p>
            <w:pPr>
              <w:pStyle w:val="TableContents"/>
              <w:spacing w:before="0" w:after="0"/>
              <w:ind w:left="0" w:right="342" w:hanging="0"/>
              <w:jc w:val="right"/>
              <w:rPr>
                <w:rFonts w:ascii="times new roman" w:hAnsi="times new roman"/>
                <w:sz w:val="20"/>
              </w:rPr>
            </w:pPr>
            <w:r>
              <w:rPr>
                <w:rFonts w:ascii="times new roman" w:hAnsi="times new roman"/>
                <w:sz w:val="20"/>
              </w:rPr>
              <w:t>0.0825</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Based on information available to us and our transfer agent, we believe that as of February 18, 2011 there were 231 record holders of our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 xml:space="preserve">Dividends – </w:t>
      </w:r>
      <w:r>
        <w:rPr>
          <w:rFonts w:ascii="Times New Roman" w:hAnsi="Times New Roman"/>
          <w:sz w:val="20"/>
        </w:rPr>
        <w:t>We have declared a cash dividend in each quarter since our February 1992 initial public offering and we have annually increased our dividend rate since our initial public offering. In November 2010, our Board of Directors increased the quarterly dividend paid January 28, 2011 to $0.110 per share from $0.095 per share, an increase of 15.8%. The timing, declaration and payment of future dividends will be at the sole discretion of our Board of Directors and will depend upon our profitability, financial condition, capital needs, future prospects and other factors deemed relevant by our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 xml:space="preserve">Recent Sales of Unregistered Securities - </w:t>
      </w:r>
      <w:r>
        <w:rPr>
          <w:rFonts w:ascii="Times New Roman" w:hAnsi="Times New Roman"/>
          <w:sz w:val="20"/>
        </w:rPr>
        <w:t>In 2010, there were no sales of unregistered securities.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 xml:space="preserve">Performance Graph - </w:t>
      </w:r>
      <w:r>
        <w:rPr>
          <w:rFonts w:ascii="Times New Roman" w:hAnsi="Times New Roman"/>
          <w:sz w:val="20"/>
        </w:rPr>
        <w:t>This performance graph shall not be deemed “filed” for purposes of Section 18 of the Securities Exchange Act of 1934, as amended (the “Exchange Act”) or otherwise subject to the liabilities under that Section and shall not be deemed to be incorporated by reference into any of our filings under the Securities Act of 1933, as amended, or the Exchange Act.</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The following graph compares, for the five year period ended December 31, 2010, the cumulative total stockholder return for the Company’s common stock, the Standard and Poor’s 500 Stock Index (the “S&amp;P 500”) and the Standard and Poor’s 500 Industrials Index (the “S&amp;P 500 Industrials”). Measurement points are the last trading day of each of our fiscal years ended December 31, 2005, December 31, 2006, December 31, 2007, December 31, 2008, December 31, 2009 and December 31, 2010. The graph assumes that $100 was invested on December 31, 2005 in the common stock of the Company, the S&amp;P 500 and the S&amp;P 500 Industrials and assumes reinvestment of any dividends. The stock price performance on the following graph is not necessarily indicative of future stock price performance.</w:t>
      </w:r>
      <w:r>
        <w:rPr/>
        <w:t xml:space="preserve">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000"/>
        <w:gridCol w:w="1201"/>
        <w:gridCol w:w="1201"/>
        <w:gridCol w:w="1200"/>
        <w:gridCol w:w="1201"/>
        <w:gridCol w:w="1201"/>
        <w:gridCol w:w="1201"/>
      </w:tblGrid>
      <w:tr>
        <w:trPr/>
        <w:tc>
          <w:tcPr>
            <w:tcW w:w="3000" w:type="dxa"/>
            <w:tcBorders/>
            <w:shd w:fill="auto" w:val="clear"/>
            <w:vAlign w:val="bottom"/>
          </w:tcPr>
          <w:p>
            <w:pPr>
              <w:pStyle w:val="TableContents"/>
              <w:spacing w:before="0" w:after="283"/>
              <w:rPr/>
            </w:pPr>
            <w:r>
              <w:rPr/>
              <w:t xml:space="preserve">  </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12/31/05</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12/31/06</w:t>
            </w:r>
          </w:p>
        </w:tc>
        <w:tc>
          <w:tcPr>
            <w:tcW w:w="12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12/31/07</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12/31/08</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12/31/09</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12/31/10</w:t>
            </w:r>
          </w:p>
        </w:tc>
      </w:tr>
      <w:tr>
        <w:trPr/>
        <w:tc>
          <w:tcPr>
            <w:tcW w:w="300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Roper Industries, Inc.</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100.00</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127.83</w:t>
            </w:r>
          </w:p>
        </w:tc>
        <w:tc>
          <w:tcPr>
            <w:tcW w:w="12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159.85</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111.56</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135.59</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199.18</w:t>
            </w:r>
          </w:p>
        </w:tc>
      </w:tr>
      <w:tr>
        <w:trPr/>
        <w:tc>
          <w:tcPr>
            <w:tcW w:w="300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S&amp;P 500</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100.00</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115.80</w:t>
            </w:r>
          </w:p>
        </w:tc>
        <w:tc>
          <w:tcPr>
            <w:tcW w:w="12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122.16</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76.96</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97.33</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111.99</w:t>
            </w:r>
          </w:p>
        </w:tc>
      </w:tr>
      <w:tr>
        <w:trPr/>
        <w:tc>
          <w:tcPr>
            <w:tcW w:w="300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S&amp;P 500 Industrials</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100.00</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113.29</w:t>
            </w:r>
          </w:p>
        </w:tc>
        <w:tc>
          <w:tcPr>
            <w:tcW w:w="12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126.92</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76.25</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92.21</w:t>
            </w:r>
          </w:p>
        </w:tc>
        <w:tc>
          <w:tcPr>
            <w:tcW w:w="12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116.86</w:t>
            </w:r>
          </w:p>
        </w:tc>
      </w:tr>
    </w:tbl>
    <w:p>
      <w:pPr>
        <w:pStyle w:val="TextBody"/>
        <w:spacing w:before="0" w:after="0"/>
        <w:ind w:left="0" w:right="0" w:hanging="0"/>
        <w:rPr/>
      </w:pPr>
      <w:r>
        <w:rPr/>
        <w:br/>
        <w:t> </w:t>
      </w:r>
    </w:p>
    <w:p>
      <w:pPr>
        <w:pStyle w:val="TextBody"/>
        <w:spacing w:before="0" w:after="0"/>
        <w:ind w:left="0" w:right="0" w:hanging="0"/>
        <w:jc w:val="center"/>
        <w:rPr/>
      </w:pPr>
      <w:r>
        <w:rPr/>
        <w:drawing>
          <wp:inline distT="0" distB="0" distL="0" distR="0">
            <wp:extent cx="4438650" cy="2971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438650" cy="2971800"/>
                    </a:xfrm>
                    <a:prstGeom prst="rect">
                      <a:avLst/>
                    </a:prstGeom>
                  </pic:spPr>
                </pic:pic>
              </a:graphicData>
            </a:graphic>
          </wp:inline>
        </w:drawing>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information set forth in Item 12 “Securities Authorized for Issuance under Equity Compensation Plans”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5" w:name="PGBRK4"/>
      <w:bookmarkStart w:id="136" w:name="PGBRK4"/>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 w:name="FTR4"/>
      <w:bookmarkStart w:id="138" w:name="FTR4"/>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9" w:name="GLFTR4"/>
      <w:bookmarkEnd w:id="1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0" w:name="PN4"/>
      <w:bookmarkEnd w:id="140"/>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 w:name="HDR4"/>
      <w:bookmarkStart w:id="142" w:name="HDR4"/>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3" w:name="GLHDR4"/>
      <w:bookmarkEnd w:id="1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b/>
          <w:sz w:val="20"/>
        </w:rPr>
      </w:pPr>
      <w:r>
        <w:rPr>
          <w:rFonts w:ascii="Times New Roman" w:hAnsi="Times New Roman"/>
          <w:b/>
          <w:sz w:val="20"/>
        </w:rPr>
        <w:t>ITEM 6.                      SELECTED FINANCIAL DATA</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You should read the table below in conjunction with “Management’s Discussion and Analysis of Financial Condition and Results of Operations” and our Consolidated Financial Statements and related notes included in this Annual Report (amounts in thousands, except per share data).</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529"/>
        <w:gridCol w:w="252"/>
        <w:gridCol w:w="126"/>
        <w:gridCol w:w="1133"/>
        <w:gridCol w:w="126"/>
        <w:gridCol w:w="126"/>
        <w:gridCol w:w="1008"/>
        <w:gridCol w:w="126"/>
        <w:gridCol w:w="126"/>
        <w:gridCol w:w="1007"/>
        <w:gridCol w:w="126"/>
        <w:gridCol w:w="126"/>
        <w:gridCol w:w="1008"/>
        <w:gridCol w:w="126"/>
        <w:gridCol w:w="126"/>
        <w:gridCol w:w="1008"/>
        <w:gridCol w:w="126"/>
      </w:tblGrid>
      <w:tr>
        <w:trPr/>
        <w:tc>
          <w:tcPr>
            <w:tcW w:w="3529" w:type="dxa"/>
            <w:tcBorders/>
            <w:shd w:fill="auto" w:val="clear"/>
            <w:vAlign w:val="bottom"/>
          </w:tcPr>
          <w:p>
            <w:pPr>
              <w:pStyle w:val="TableContents"/>
              <w:spacing w:before="0" w:after="283"/>
              <w:rPr/>
            </w:pPr>
            <w:r>
              <w:rPr/>
              <w:t xml:space="preserve">  </w:t>
            </w:r>
          </w:p>
        </w:tc>
        <w:tc>
          <w:tcPr>
            <w:tcW w:w="252" w:type="dxa"/>
            <w:tcBorders/>
            <w:shd w:fill="auto" w:val="clear"/>
            <w:vAlign w:val="bottom"/>
          </w:tcPr>
          <w:p>
            <w:pPr>
              <w:pStyle w:val="TableContents"/>
              <w:spacing w:before="0" w:after="283"/>
              <w:rPr/>
            </w:pPr>
            <w:r>
              <w:rPr/>
              <w:t xml:space="preserve">  </w:t>
            </w:r>
          </w:p>
        </w:tc>
        <w:tc>
          <w:tcPr>
            <w:tcW w:w="6298"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Years ended December 31,</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283"/>
              <w:rPr/>
            </w:pPr>
            <w:r>
              <w:rPr/>
              <w:t xml:space="preserve">  </w:t>
            </w:r>
          </w:p>
        </w:tc>
        <w:tc>
          <w:tcPr>
            <w:tcW w:w="252" w:type="dxa"/>
            <w:tcBorders/>
            <w:shd w:fill="auto" w:val="clear"/>
            <w:vAlign w:val="bottom"/>
          </w:tcPr>
          <w:p>
            <w:pPr>
              <w:pStyle w:val="TableContents"/>
              <w:spacing w:before="0" w:after="283"/>
              <w:rPr/>
            </w:pPr>
            <w:r>
              <w:rPr/>
              <w:t xml:space="preserve">  </w:t>
            </w:r>
          </w:p>
        </w:tc>
        <w:tc>
          <w:tcPr>
            <w:tcW w:w="125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2010(1)</w:t>
            </w:r>
          </w:p>
        </w:tc>
        <w:tc>
          <w:tcPr>
            <w:tcW w:w="126" w:type="dxa"/>
            <w:tcBorders/>
            <w:shd w:fill="auto" w:val="clear"/>
            <w:vAlign w:val="bottom"/>
          </w:tcPr>
          <w:p>
            <w:pPr>
              <w:pStyle w:val="TableContents"/>
              <w:spacing w:before="0" w:after="283"/>
              <w:rPr/>
            </w:pPr>
            <w:r>
              <w:rPr/>
              <w:t xml:space="preserve">  </w:t>
            </w:r>
          </w:p>
        </w:tc>
        <w:tc>
          <w:tcPr>
            <w:tcW w:w="11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2009(2)</w:t>
            </w:r>
          </w:p>
        </w:tc>
        <w:tc>
          <w:tcPr>
            <w:tcW w:w="126" w:type="dxa"/>
            <w:tcBorders/>
            <w:shd w:fill="auto" w:val="clear"/>
            <w:vAlign w:val="bottom"/>
          </w:tcPr>
          <w:p>
            <w:pPr>
              <w:pStyle w:val="TableContents"/>
              <w:spacing w:before="0" w:after="283"/>
              <w:rPr/>
            </w:pPr>
            <w:r>
              <w:rPr/>
              <w:t xml:space="preserve">  </w:t>
            </w:r>
          </w:p>
        </w:tc>
        <w:tc>
          <w:tcPr>
            <w:tcW w:w="11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2008(3)</w:t>
            </w:r>
          </w:p>
        </w:tc>
        <w:tc>
          <w:tcPr>
            <w:tcW w:w="126" w:type="dxa"/>
            <w:tcBorders/>
            <w:shd w:fill="auto" w:val="clear"/>
            <w:vAlign w:val="bottom"/>
          </w:tcPr>
          <w:p>
            <w:pPr>
              <w:pStyle w:val="TableContents"/>
              <w:spacing w:before="0" w:after="283"/>
              <w:rPr/>
            </w:pPr>
            <w:r>
              <w:rPr/>
              <w:t xml:space="preserve">  </w:t>
            </w:r>
          </w:p>
        </w:tc>
        <w:tc>
          <w:tcPr>
            <w:tcW w:w="11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2007(4)</w:t>
            </w:r>
          </w:p>
        </w:tc>
        <w:tc>
          <w:tcPr>
            <w:tcW w:w="126" w:type="dxa"/>
            <w:tcBorders/>
            <w:shd w:fill="auto" w:val="clear"/>
            <w:vAlign w:val="bottom"/>
          </w:tcPr>
          <w:p>
            <w:pPr>
              <w:pStyle w:val="TableContents"/>
              <w:spacing w:before="0" w:after="283"/>
              <w:rPr/>
            </w:pPr>
            <w:r>
              <w:rPr/>
              <w:t xml:space="preserve">  </w:t>
            </w:r>
          </w:p>
        </w:tc>
        <w:tc>
          <w:tcPr>
            <w:tcW w:w="11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2006(5)</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Operations data:</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33"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7"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Net sales</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133"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2,386,112</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2,049,668</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0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2,306,371</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2,102,049</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1,700,734</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Gross profit</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33"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1,275,126</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1,043,138</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1,188,288</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1,058,395</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861,325</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Income from operations</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33"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514,294</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395,396</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486,161</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438,354</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337,653</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Net earnings</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33"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322,580</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239,481</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281,874</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245,705</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189,285</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283"/>
              <w:rPr/>
            </w:pPr>
            <w:r>
              <w:rPr/>
              <w:t xml:space="preserve">  </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33"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7"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Per share data:</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33"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7"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Basic earnings per share</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133"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3.42</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2.64</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0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3.15</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2.78</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2.18</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Diluted earnings per share</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33"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3.34</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2.58</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3.01</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2.64</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2.08</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283"/>
              <w:rPr/>
            </w:pPr>
            <w:r>
              <w:rPr/>
              <w:t xml:space="preserve">  </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33"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7"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Dividends declared</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33"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0.3950</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0.3425</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0.3000</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0.2675</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0.2414</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283"/>
              <w:rPr/>
            </w:pPr>
            <w:r>
              <w:rPr/>
              <w:t xml:space="preserve">  </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33"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7"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Balance sheet data:</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33"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7"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Working capital</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133"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458,446</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392,734</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0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239,400</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291,047</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53,946</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Total assets</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33"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5,069,524</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4,327,736</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3,971,538</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3,453,184</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2,995,359</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Long-term debt, less current portion</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33"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1,247,703</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1,040,962</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1,033,689</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727,489</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726,881</w:t>
            </w:r>
          </w:p>
        </w:tc>
        <w:tc>
          <w:tcPr>
            <w:tcW w:w="126" w:type="dxa"/>
            <w:tcBorders/>
            <w:shd w:fill="auto" w:val="clear"/>
            <w:vAlign w:val="bottom"/>
          </w:tcPr>
          <w:p>
            <w:pPr>
              <w:pStyle w:val="TableContents"/>
              <w:spacing w:before="0" w:after="283"/>
              <w:rPr/>
            </w:pPr>
            <w:r>
              <w:rPr/>
              <w:t xml:space="preserve">  </w:t>
            </w:r>
          </w:p>
        </w:tc>
      </w:tr>
      <w:tr>
        <w:trPr/>
        <w:tc>
          <w:tcPr>
            <w:tcW w:w="3529"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Stockholders’ equity</w:t>
            </w:r>
          </w:p>
        </w:tc>
        <w:tc>
          <w:tcPr>
            <w:tcW w:w="252"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33"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2,750,907</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2,421,490</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2,003,934</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1,794,643</w:t>
            </w:r>
          </w:p>
        </w:tc>
        <w:tc>
          <w:tcPr>
            <w:tcW w:w="126"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00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1,496,004</w:t>
            </w:r>
          </w:p>
        </w:tc>
        <w:tc>
          <w:tcPr>
            <w:tcW w:w="126"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144" w:name="hangingindent15"/>
      <w:bookmarkStart w:id="145" w:name="hangingindent15"/>
      <w:bookmarkEnd w:id="145"/>
    </w:p>
    <w:tbl>
      <w:tblPr>
        <w:tblW w:w="5000" w:type="pct"/>
        <w:jc w:val="center"/>
        <w:tblInd w:w="0" w:type="dxa"/>
        <w:tblCellMar>
          <w:top w:w="0" w:type="dxa"/>
          <w:left w:w="0" w:type="dxa"/>
          <w:bottom w:w="0" w:type="dxa"/>
          <w:right w:w="0" w:type="dxa"/>
        </w:tblCellMar>
      </w:tblPr>
      <w:tblGrid>
        <w:gridCol w:w="257"/>
        <w:gridCol w:w="9948"/>
      </w:tblGrid>
      <w:tr>
        <w:trPr/>
        <w:tc>
          <w:tcPr>
            <w:tcW w:w="257" w:type="dxa"/>
            <w:tcBorders/>
            <w:shd w:fill="auto" w:val="clear"/>
          </w:tcPr>
          <w:p>
            <w:pPr>
              <w:pStyle w:val="TableContents"/>
              <w:spacing w:before="0" w:after="0"/>
              <w:ind w:left="0" w:right="0" w:hanging="0"/>
              <w:rPr>
                <w:rFonts w:ascii="Times New Roman" w:hAnsi="Times New Roman"/>
                <w:sz w:val="16"/>
              </w:rPr>
            </w:pPr>
            <w:r>
              <w:rPr>
                <w:rFonts w:ascii="Times New Roman" w:hAnsi="Times New Roman"/>
                <w:sz w:val="16"/>
              </w:rPr>
              <w:t>(1)</w:t>
            </w:r>
          </w:p>
        </w:tc>
        <w:tc>
          <w:tcPr>
            <w:tcW w:w="9948"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Includes results from the acquisitions of Heartscape, Inc. from February 22, 2010 and iTradeNetwork, Inc. from July 27, 2010.</w:t>
            </w:r>
          </w:p>
        </w:tc>
      </w:tr>
    </w:tbl>
    <w:p>
      <w:pPr>
        <w:pStyle w:val="Normal"/>
        <w:spacing w:before="0" w:after="0"/>
        <w:rPr>
          <w:sz w:val="4"/>
          <w:szCs w:val="4"/>
        </w:rPr>
      </w:pPr>
      <w:r>
        <w:rPr>
          <w:sz w:val="4"/>
          <w:szCs w:val="4"/>
        </w:rPr>
      </w:r>
      <w:bookmarkStart w:id="146" w:name="hangingindent16"/>
      <w:bookmarkStart w:id="147" w:name="hangingindent16"/>
      <w:bookmarkEnd w:id="147"/>
    </w:p>
    <w:tbl>
      <w:tblPr>
        <w:tblW w:w="5000" w:type="pct"/>
        <w:jc w:val="center"/>
        <w:tblInd w:w="0" w:type="dxa"/>
        <w:tblCellMar>
          <w:top w:w="0" w:type="dxa"/>
          <w:left w:w="0" w:type="dxa"/>
          <w:bottom w:w="0" w:type="dxa"/>
          <w:right w:w="0" w:type="dxa"/>
        </w:tblCellMar>
      </w:tblPr>
      <w:tblGrid>
        <w:gridCol w:w="242"/>
        <w:gridCol w:w="9963"/>
      </w:tblGrid>
      <w:tr>
        <w:trPr/>
        <w:tc>
          <w:tcPr>
            <w:tcW w:w="242" w:type="dxa"/>
            <w:tcBorders/>
            <w:shd w:fill="auto" w:val="clear"/>
          </w:tcPr>
          <w:p>
            <w:pPr>
              <w:pStyle w:val="TableContents"/>
              <w:spacing w:before="0" w:after="0"/>
              <w:ind w:left="0" w:right="0" w:hanging="0"/>
              <w:rPr>
                <w:rFonts w:ascii="Times New Roman" w:hAnsi="Times New Roman"/>
                <w:sz w:val="16"/>
              </w:rPr>
            </w:pPr>
            <w:r>
              <w:rPr>
                <w:rFonts w:ascii="Times New Roman" w:hAnsi="Times New Roman"/>
                <w:sz w:val="16"/>
              </w:rPr>
              <w:t>(2)</w:t>
            </w:r>
          </w:p>
        </w:tc>
        <w:tc>
          <w:tcPr>
            <w:tcW w:w="9963"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Includes results from the acquisitions of United Toll Systems, LLC. from October 30, 2009 and Verathon, Inc. from December 3, 2009.</w:t>
            </w:r>
          </w:p>
        </w:tc>
      </w:tr>
    </w:tbl>
    <w:p>
      <w:pPr>
        <w:pStyle w:val="Normal"/>
        <w:spacing w:before="0" w:after="0"/>
        <w:rPr>
          <w:sz w:val="4"/>
          <w:szCs w:val="4"/>
        </w:rPr>
      </w:pPr>
      <w:r>
        <w:rPr>
          <w:sz w:val="4"/>
          <w:szCs w:val="4"/>
        </w:rPr>
      </w:r>
      <w:bookmarkStart w:id="148" w:name="hangingindent17"/>
      <w:bookmarkStart w:id="149" w:name="hangingindent17"/>
      <w:bookmarkEnd w:id="149"/>
    </w:p>
    <w:tbl>
      <w:tblPr>
        <w:tblW w:w="5000" w:type="pct"/>
        <w:jc w:val="center"/>
        <w:tblInd w:w="0" w:type="dxa"/>
        <w:tblCellMar>
          <w:top w:w="0" w:type="dxa"/>
          <w:left w:w="0" w:type="dxa"/>
          <w:bottom w:w="0" w:type="dxa"/>
          <w:right w:w="0" w:type="dxa"/>
        </w:tblCellMar>
      </w:tblPr>
      <w:tblGrid>
        <w:gridCol w:w="258"/>
        <w:gridCol w:w="9947"/>
      </w:tblGrid>
      <w:tr>
        <w:trPr/>
        <w:tc>
          <w:tcPr>
            <w:tcW w:w="258" w:type="dxa"/>
            <w:tcBorders/>
            <w:shd w:fill="auto" w:val="clear"/>
          </w:tcPr>
          <w:p>
            <w:pPr>
              <w:pStyle w:val="TableContents"/>
              <w:spacing w:before="0" w:after="0"/>
              <w:ind w:left="0" w:right="0" w:hanging="0"/>
              <w:rPr/>
            </w:pPr>
            <w:r>
              <w:rPr/>
              <w:t> </w:t>
            </w:r>
            <w:r>
              <w:rPr>
                <w:rFonts w:ascii="Times New Roman" w:hAnsi="Times New Roman"/>
                <w:sz w:val="16"/>
              </w:rPr>
              <w:t>(3)</w:t>
            </w:r>
          </w:p>
        </w:tc>
        <w:tc>
          <w:tcPr>
            <w:tcW w:w="9947"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Includes results from the acquisitions of CBORD Holdings Corp. from February 20, 2008, Chalwyn Ltd. from June 18, 2008, Getloaded.com, LLC from July 17, 2008, Horizon Software Holdings, Inc. from August 27, 2008 and Technolog Holdings Ltd. from September 10, 2008.</w:t>
            </w:r>
          </w:p>
        </w:tc>
      </w:tr>
    </w:tbl>
    <w:p>
      <w:pPr>
        <w:pStyle w:val="Normal"/>
        <w:spacing w:before="0" w:after="0"/>
        <w:rPr>
          <w:sz w:val="4"/>
          <w:szCs w:val="4"/>
        </w:rPr>
      </w:pPr>
      <w:r>
        <w:rPr>
          <w:sz w:val="4"/>
          <w:szCs w:val="4"/>
        </w:rPr>
      </w:r>
      <w:bookmarkStart w:id="150" w:name="hangingindent18"/>
      <w:bookmarkStart w:id="151" w:name="hangingindent18"/>
      <w:bookmarkEnd w:id="151"/>
    </w:p>
    <w:tbl>
      <w:tblPr>
        <w:tblW w:w="5000" w:type="pct"/>
        <w:jc w:val="center"/>
        <w:tblInd w:w="0" w:type="dxa"/>
        <w:tblCellMar>
          <w:top w:w="0" w:type="dxa"/>
          <w:left w:w="0" w:type="dxa"/>
          <w:bottom w:w="0" w:type="dxa"/>
          <w:right w:w="0" w:type="dxa"/>
        </w:tblCellMar>
      </w:tblPr>
      <w:tblGrid>
        <w:gridCol w:w="195"/>
        <w:gridCol w:w="10010"/>
      </w:tblGrid>
      <w:tr>
        <w:trPr/>
        <w:tc>
          <w:tcPr>
            <w:tcW w:w="195" w:type="dxa"/>
            <w:tcBorders/>
            <w:shd w:fill="auto" w:val="clear"/>
          </w:tcPr>
          <w:p>
            <w:pPr>
              <w:pStyle w:val="TableContents"/>
              <w:spacing w:before="0" w:after="0"/>
              <w:ind w:left="0" w:right="0" w:hanging="0"/>
              <w:rPr>
                <w:rFonts w:ascii="Times New Roman" w:hAnsi="Times New Roman"/>
                <w:sz w:val="16"/>
              </w:rPr>
            </w:pPr>
            <w:r>
              <w:rPr>
                <w:rFonts w:ascii="Times New Roman" w:hAnsi="Times New Roman"/>
                <w:sz w:val="16"/>
              </w:rPr>
              <w:t>(4)</w:t>
            </w:r>
          </w:p>
        </w:tc>
        <w:tc>
          <w:tcPr>
            <w:tcW w:w="10010"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Includes results from the acquisitions of JLT Mobile Computers, Inc. from February 21, 2007, DJ Instruments from February 28, 2007, Roda Deaco Valve, Ltd. from March 22, 2007, Dynamic Instruments, Inc. from June 21, 2007, and Black Diamond Advanced Technology, LLC from September 24, 2007.</w:t>
            </w:r>
          </w:p>
        </w:tc>
      </w:tr>
    </w:tbl>
    <w:p>
      <w:pPr>
        <w:pStyle w:val="Normal"/>
        <w:spacing w:before="0" w:after="0"/>
        <w:rPr>
          <w:sz w:val="4"/>
          <w:szCs w:val="4"/>
        </w:rPr>
      </w:pPr>
      <w:r>
        <w:rPr>
          <w:sz w:val="4"/>
          <w:szCs w:val="4"/>
        </w:rPr>
      </w:r>
      <w:bookmarkStart w:id="152" w:name="hangingindent19"/>
      <w:bookmarkStart w:id="153" w:name="hangingindent19"/>
      <w:bookmarkEnd w:id="153"/>
    </w:p>
    <w:tbl>
      <w:tblPr>
        <w:tblW w:w="5000" w:type="pct"/>
        <w:jc w:val="center"/>
        <w:tblInd w:w="0" w:type="dxa"/>
        <w:tblCellMar>
          <w:top w:w="0" w:type="dxa"/>
          <w:left w:w="0" w:type="dxa"/>
          <w:bottom w:w="0" w:type="dxa"/>
          <w:right w:w="0" w:type="dxa"/>
        </w:tblCellMar>
      </w:tblPr>
      <w:tblGrid>
        <w:gridCol w:w="198"/>
        <w:gridCol w:w="10007"/>
      </w:tblGrid>
      <w:tr>
        <w:trPr/>
        <w:tc>
          <w:tcPr>
            <w:tcW w:w="198" w:type="dxa"/>
            <w:tcBorders/>
            <w:shd w:fill="auto" w:val="clear"/>
          </w:tcPr>
          <w:p>
            <w:pPr>
              <w:pStyle w:val="TableContents"/>
              <w:spacing w:before="0" w:after="0"/>
              <w:ind w:left="0" w:right="0" w:hanging="0"/>
              <w:rPr>
                <w:rFonts w:ascii="Times New Roman" w:hAnsi="Times New Roman"/>
                <w:sz w:val="16"/>
              </w:rPr>
            </w:pPr>
            <w:r>
              <w:rPr>
                <w:rFonts w:ascii="Times New Roman" w:hAnsi="Times New Roman"/>
                <w:sz w:val="16"/>
              </w:rPr>
              <w:t>(5)</w:t>
            </w:r>
          </w:p>
        </w:tc>
        <w:tc>
          <w:tcPr>
            <w:tcW w:w="10007"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Includes results from the acquisitions of Sinmed Holding International BV from April 5, 2006, Intellitrans, LLC from April 26, 2006, Lumenera Corporation from July 25, 2006, AC Analytic Controls BV from August 8, 2006 and Dynisco Parent, Inc. from November 30, 2006.</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ITEM 7.</w:t>
      </w:r>
      <w:r>
        <w:rPr>
          <w:rFonts w:ascii="Times New Roman" w:hAnsi="Times New Roman"/>
          <w:sz w:val="20"/>
        </w:rPr>
        <w:t xml:space="preserve">                     </w:t>
      </w:r>
      <w:r>
        <w:rPr>
          <w:rFonts w:ascii="Times New Roman" w:hAnsi="Times New Roman"/>
          <w:b/>
          <w:sz w:val="20"/>
        </w:rPr>
        <w:t>MANAGEMENT’S DISCUSSION AND ANALYSIS OF FINANCIAL CONDITION AND RESULTS OF OPERATIONS</w:t>
      </w:r>
    </w:p>
    <w:p>
      <w:pPr>
        <w:pStyle w:val="TextBody"/>
        <w:spacing w:before="0" w:after="0"/>
        <w:ind w:left="0" w:right="0" w:hanging="0"/>
        <w:rPr/>
      </w:pPr>
      <w:r>
        <w:rPr/>
      </w:r>
      <w:bookmarkStart w:id="154" w:name="hangingindent20"/>
      <w:bookmarkStart w:id="155" w:name="hangingindent20"/>
      <w:bookmarkEnd w:id="155"/>
    </w:p>
    <w:p>
      <w:pPr>
        <w:pStyle w:val="TextBody"/>
        <w:spacing w:before="0" w:after="0"/>
        <w:ind w:left="0" w:right="0" w:hanging="0"/>
        <w:jc w:val="both"/>
        <w:rPr>
          <w:rFonts w:ascii="Times New Roman" w:hAnsi="Times New Roman"/>
          <w:sz w:val="20"/>
        </w:rPr>
      </w:pPr>
      <w:r>
        <w:rPr>
          <w:rFonts w:ascii="Times New Roman" w:hAnsi="Times New Roman"/>
          <w:sz w:val="20"/>
        </w:rPr>
        <w:t>You should read the following discussion in conjunction with “Selected Financial Data” and our Consolidated Financial Statements and related Notes included in this Annual Report.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Overview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a diversified growth company that designs, manufactures and distributes energy systems and controls, medical and scientific imaging products and software, industrial technology products and radio frequency products and services. We market these products and services to selected segments of a broad range of markets including RF applications, medical, water, energy, research, education, food and food services, security and other niche markets.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pursue consistent and sustainable growth in earnings by emphasizing continuous improvement in the operating performance of our existing businesses and by acquiring other carefully selected businesses. Our acquisitions have represented both bolt-ons and new strategic platforms. We strive for high cash and earnings returns from our acquisition investments. On February 22, 2010, we purchased the assets of Heartscape, Inc., including a technology with the capability to improve the speed and accuracy of detecting heart attacks. On July 27, 2010, we purchased iTradeNetwork, Inc., (“iTrade”) a global provider of software-as–a-service (“SaaS”) based trading network and business intelligence solutions primarily to the perishable food market.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Application of Critical Accounting Policies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Consolidated Financial Statements are prepared in conformity with generally accepted accounting principles in the United States, (“GAAP”). A discussion of our significant accounting policies can also be found in the notes to our Consolidated Financial Statements for the year ended December 31, 2010 included in this Annual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GAAP offers acceptable alternative methods for accounting for certain issues affecting our financial results, such as determining inventory cost, depreciating long-lived assets and recognizing revenue. We have not changed the application of acceptable accounting methods or the significant estimates affecting the application of these principles in the last three years in a manner that had a material effect on our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preparation of financial statements in accordance with GAAP requires the use of estimates, assumptions, judgments and interpretations that can affect the reported amounts of assets, liabilities, revenues and expenses, the disclosure of contingent assets and liabilities and other supplemental disclosures.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development of accounting estimates is the responsibility of our management. Our management discusses those areas that require significant judgments with the audit committee of our Board of Directors. The audit committee has reviewed all financial disclosures in our annual filings with the SEC. Although we believe the positions we have taken with regard to uncertainties are reasonable, others might reach different conclusions and our positions can change over time as more information becomes available. If an accounting estimate changes, its effects are accounted for prospectively or through a cumulative catch up adjustment.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most significant accounting uncertainties are encountered in the areas of accounts receivable collectibility, inventory valuation, future warranty obligations, revenue recognition (percentage-of-completion), income taxes and goodwill and indefinite-lived asset analyses. These issues, except for income taxes, which are not allocated to our business segments, affect each of our business segments. These issues are evaluated using a combination of historical experience, current conditions and relatively short-term forecasting.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Accounts receivable collectibility is based on the economic circumstances of customers and credits given to customers after shipment of products, including in certain cases credits for returned products. Accounts receivable are regularly reviewed to determine customers who have not paid within agreed upon terms, whether these amounts are consistent with past experiences, what historical experience has been with amounts deemed uncollectible and the impact that current and near-term forecast economic conditions might have on collection efforts in general and with specific customers. The returns and other sales credit allowance is an estimate of customer returns, exchanges, discounts or other forms of anticipated concessions and is treated as a reduction in revenue. The returns and other sales credits histories are analyzed to determine l ikely future rates for such credits. At December 31, 2010, our allowance for doubtful accounts receivable was $7.9 million and our allowance for sales returns and sales credits was $2.4 million, for a total of $10.3 million, or 2.6% of total gross accounts receivable.  This percentage is influenced by the risk profile of the underlying receivables, and the timing of write-offs of accounts deemed uncollectible. The total allowance at December 31, 2010 was $0.8 million lower than at December 31, 2009.  The allowance will continue to fluctuate as a percentage of sales based on specific identification of allowances needed due to changes in our business as well as the write off of uncollectible receivables.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regularly compare inventory quantities on hand against anticipated future usage, which we determine as a function of historical usage or forecasts related to specific items in order to evaluate obsolescence and excessive quantities. When we use historical usage, this information is also qualitatively compared to business trends to evaluate the reasonableness of using historical information as an estimate of future usage. At December 31, 2010, inventory reserves for excess and obsolete inventory were $32.5 million, or 15.4% of gross inventory cost, as compared to $29.0 million, or 14.0% of gross inventory cost, at December 31, 2009. The inventory reserve as a percent of gross inventory cost will continue to fluctuate based upon specific identification of reserves needed based upon changes in our business as well as the physical dispo sal of obsolete inventory.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Most of our sales are covered by warranty provisions that generally provide for the repair or replacement of qualifying defective items for a specified period after the time of sale, typically 12 months. Future warranty obligations are evaluated using, among other factors, historical cost experience, product evolution and customer feedback. Our expense for warranty obligations was less than 1% of net sales for each of the years ended December 31, 2010, 2009, and 2008.</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Revenues related to the use of the percentage-of-completion method of accounting are dependent on total costs incurred compared with total estimated costs for a project. During the year ended December 31, 2010, we recognized revenue of approximately $131.0 million using this method, primarily for major turn-key, longer term toll and traffic and energy projects. Approximately $142.5 million and $127.9 million of revenue was recognized using this method during the years ended December 31, 2009 and December 31, 2008, respectively. At December 31, 2010, approximately $157.7 million of revenue related to unfinished percentage-of-completion contracts had yet to be recognized. Contracts accounted for under this method are generally not significantly different in profitability from revenues accounted for under other methods.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Income taxes can be affected by estimates of whether and within which jurisdictions future earnings will occur and if, how and when cash is repatriated to the United States, combined with other aspects of an overall income tax strategy. Additionally, taxing jurisdictions could retroactively disagree with our tax treatment of certain items, and some historical transactions have income tax effects going forward. Accounting rules require these future effects to be evaluated using current laws, rules and regulations, each of which can change at any time and in an unpredictable manner. During 2010, our effective income tax rate was 28.1%, which was lower than the 2009 rate of 29.5% due primarily to certain foreign tax planning initiatives and an increase in the Section 199 qualifying production activities deduction.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account for goodwill in a purchase business combination as the excess of the cost over the fair value of net assets acquired. Business combinations can also result in other intangible assets being recognized. Amortization of intangible assets, if applicable, occurs over their estimated useful lives. Goodwill, which is not amortized, is tested for impairment using a two-step method on an annual basis (or an interim basis if an event occurs that might reduce the fair value of a reporting unit below its carrying value). Total goodwill includes 25 different business components with individual amounts ranging from zero to approximately $536 million. Identifiable intangible assets that are determined to have an indefinite useful economic life are not amortized, but separately tested for impairment on an annual basis using a one-step fair value based approach. We conduct these reviews for all of our reporting units during the fourth quarter of the fiscal year. No impairment resulted from the annual reviews performed in 2010.</w:t>
      </w:r>
    </w:p>
    <w:p>
      <w:pPr>
        <w:pStyle w:val="TextBody"/>
        <w:spacing w:before="0" w:after="0"/>
        <w:ind w:left="0" w:right="0" w:hanging="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6" w:name="PGBRK5"/>
      <w:bookmarkStart w:id="157" w:name="PGBRK5"/>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8" w:name="FTR5"/>
      <w:bookmarkStart w:id="159" w:name="FTR5"/>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0" w:name="GLFTR5"/>
      <w:bookmarkEnd w:id="1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1" w:name="PN5"/>
      <w:bookmarkEnd w:id="161"/>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2" w:name="HDR5"/>
      <w:bookmarkStart w:id="163" w:name="HDR5"/>
      <w:bookmarkEnd w:id="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4" w:name="GLHDR5"/>
      <w:bookmarkEnd w:id="1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b/>
          <w:sz w:val="20"/>
        </w:rPr>
      </w:pPr>
      <w:r>
        <w:rPr>
          <w:rFonts w:ascii="Times New Roman" w:hAnsi="Times New Roman"/>
          <w:b/>
          <w:sz w:val="20"/>
        </w:rPr>
        <w:t>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selected information for the years indicated.  Dollar amounts are in thousands and percentages are of net sales.</w:t>
      </w:r>
    </w:p>
    <w:p>
      <w:pPr>
        <w:pStyle w:val="TextBody"/>
        <w:spacing w:before="0" w:after="0"/>
        <w:ind w:left="0" w:right="0" w:hanging="0"/>
        <w:jc w:val="left"/>
        <w:rPr/>
      </w:pPr>
      <w:r>
        <w:rPr/>
        <w:t> </w:t>
      </w:r>
    </w:p>
    <w:tbl>
      <w:tblPr>
        <w:tblW w:w="4500" w:type="pct"/>
        <w:jc w:val="center"/>
        <w:tblInd w:w="0" w:type="dxa"/>
        <w:tblCellMar>
          <w:top w:w="0" w:type="dxa"/>
          <w:left w:w="0" w:type="dxa"/>
          <w:bottom w:w="0" w:type="dxa"/>
          <w:right w:w="0" w:type="dxa"/>
        </w:tblCellMar>
      </w:tblPr>
      <w:tblGrid>
        <w:gridCol w:w="4065"/>
        <w:gridCol w:w="245"/>
        <w:gridCol w:w="125"/>
        <w:gridCol w:w="1245"/>
        <w:gridCol w:w="249"/>
        <w:gridCol w:w="247"/>
        <w:gridCol w:w="1127"/>
        <w:gridCol w:w="249"/>
        <w:gridCol w:w="125"/>
        <w:gridCol w:w="1253"/>
        <w:gridCol w:w="254"/>
      </w:tblGrid>
      <w:tr>
        <w:trPr/>
        <w:tc>
          <w:tcPr>
            <w:tcW w:w="4065" w:type="dxa"/>
            <w:tcBorders/>
            <w:shd w:fill="auto" w:val="clear"/>
            <w:vAlign w:val="bottom"/>
          </w:tcPr>
          <w:p>
            <w:pPr>
              <w:pStyle w:val="TableContents"/>
              <w:spacing w:before="0" w:after="283"/>
              <w:rPr/>
            </w:pPr>
            <w:r>
              <w:rPr/>
              <w:t xml:space="preserve">  </w:t>
            </w:r>
          </w:p>
        </w:tc>
        <w:tc>
          <w:tcPr>
            <w:tcW w:w="245" w:type="dxa"/>
            <w:tcBorders/>
            <w:shd w:fill="auto" w:val="clear"/>
            <w:vAlign w:val="bottom"/>
          </w:tcPr>
          <w:p>
            <w:pPr>
              <w:pStyle w:val="TableContents"/>
              <w:spacing w:before="0" w:after="283"/>
              <w:rPr/>
            </w:pPr>
            <w:r>
              <w:rPr/>
              <w:t xml:space="preserve">  </w:t>
            </w:r>
          </w:p>
        </w:tc>
        <w:tc>
          <w:tcPr>
            <w:tcW w:w="4620" w:type="dxa"/>
            <w:gridSpan w:val="8"/>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Years ended December 31,</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283"/>
              <w:rPr/>
            </w:pPr>
            <w:r>
              <w:rPr/>
              <w:t xml:space="preserve">  </w:t>
            </w:r>
          </w:p>
        </w:tc>
        <w:tc>
          <w:tcPr>
            <w:tcW w:w="245" w:type="dxa"/>
            <w:tcBorders/>
            <w:shd w:fill="auto" w:val="clear"/>
            <w:vAlign w:val="bottom"/>
          </w:tcPr>
          <w:p>
            <w:pPr>
              <w:pStyle w:val="TableContents"/>
              <w:spacing w:before="0" w:after="283"/>
              <w:rPr/>
            </w:pPr>
            <w:r>
              <w:rPr/>
              <w:t xml:space="preserve">  </w:t>
            </w:r>
          </w:p>
        </w:tc>
        <w:tc>
          <w:tcPr>
            <w:tcW w:w="13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249" w:type="dxa"/>
            <w:tcBorders/>
            <w:shd w:fill="auto" w:val="clear"/>
            <w:vAlign w:val="bottom"/>
          </w:tcPr>
          <w:p>
            <w:pPr>
              <w:pStyle w:val="TableContents"/>
              <w:spacing w:before="0" w:after="283"/>
              <w:rPr/>
            </w:pPr>
            <w:r>
              <w:rPr/>
              <w:t xml:space="preserve">  </w:t>
            </w:r>
          </w:p>
        </w:tc>
        <w:tc>
          <w:tcPr>
            <w:tcW w:w="13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249" w:type="dxa"/>
            <w:tcBorders/>
            <w:shd w:fill="auto" w:val="clear"/>
            <w:vAlign w:val="bottom"/>
          </w:tcPr>
          <w:p>
            <w:pPr>
              <w:pStyle w:val="TableContents"/>
              <w:spacing w:before="0" w:after="283"/>
              <w:rPr/>
            </w:pPr>
            <w:r>
              <w:rPr/>
              <w:t xml:space="preserve">  </w:t>
            </w:r>
          </w:p>
        </w:tc>
        <w:tc>
          <w:tcPr>
            <w:tcW w:w="13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Net sales</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283"/>
              <w:rPr/>
            </w:pPr>
            <w:r>
              <w:rPr/>
              <w:t xml:space="preserve">  </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283"/>
              <w:rPr/>
            </w:pPr>
            <w:r>
              <w:rPr/>
              <w:t xml:space="preserve">  </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283"/>
              <w:rPr/>
            </w:pPr>
            <w:r>
              <w:rPr/>
              <w:t xml:space="preserve">  </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Industrial Technology</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245"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607,564</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2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536,219</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687,622</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Energy Systems and Controls(1)</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503,897</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440,919</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548,214</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Medical and Scientific Imaging(2)</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548,718</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354,776</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375,542</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RF Technology(3)</w:t>
            </w:r>
          </w:p>
        </w:tc>
        <w:tc>
          <w:tcPr>
            <w:tcW w:w="245" w:type="dxa"/>
            <w:tcBorders/>
            <w:shd w:fill="auto" w:val="clear"/>
            <w:vAlign w:val="bottom"/>
          </w:tcPr>
          <w:p>
            <w:pPr>
              <w:pStyle w:val="TableContents"/>
              <w:spacing w:before="0" w:after="283"/>
              <w:rPr/>
            </w:pPr>
            <w:r>
              <w:rPr/>
              <w:t xml:space="preserve">  </w:t>
            </w:r>
          </w:p>
        </w:tc>
        <w:tc>
          <w:tcPr>
            <w:tcW w:w="12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4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725,933</w:t>
            </w:r>
          </w:p>
        </w:tc>
        <w:tc>
          <w:tcPr>
            <w:tcW w:w="249" w:type="dxa"/>
            <w:tcBorders/>
            <w:shd w:fill="auto" w:val="clear"/>
            <w:vAlign w:val="bottom"/>
          </w:tcPr>
          <w:p>
            <w:pPr>
              <w:pStyle w:val="TableContents"/>
              <w:spacing w:before="0" w:after="283"/>
              <w:rPr/>
            </w:pPr>
            <w:r>
              <w:rPr/>
              <w:t xml:space="preserve">  </w:t>
            </w:r>
          </w:p>
        </w:tc>
        <w:tc>
          <w:tcPr>
            <w:tcW w:w="24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2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717,754</w:t>
            </w:r>
          </w:p>
        </w:tc>
        <w:tc>
          <w:tcPr>
            <w:tcW w:w="249" w:type="dxa"/>
            <w:tcBorders/>
            <w:shd w:fill="auto" w:val="clear"/>
            <w:vAlign w:val="bottom"/>
          </w:tcPr>
          <w:p>
            <w:pPr>
              <w:pStyle w:val="TableContents"/>
              <w:spacing w:before="0" w:after="283"/>
              <w:rPr/>
            </w:pPr>
            <w:r>
              <w:rPr/>
              <w:t xml:space="preserve">  </w:t>
            </w:r>
          </w:p>
        </w:tc>
        <w:tc>
          <w:tcPr>
            <w:tcW w:w="12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5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694,993</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w:t>
            </w:r>
          </w:p>
        </w:tc>
        <w:tc>
          <w:tcPr>
            <w:tcW w:w="245" w:type="dxa"/>
            <w:tcBorders/>
            <w:shd w:fill="auto" w:val="clear"/>
            <w:vAlign w:val="bottom"/>
          </w:tcPr>
          <w:p>
            <w:pPr>
              <w:pStyle w:val="TableContents"/>
              <w:spacing w:before="0" w:after="283"/>
              <w:rPr/>
            </w:pPr>
            <w:r>
              <w:rPr/>
              <w:t xml:space="preserve">  </w:t>
            </w:r>
          </w:p>
        </w:tc>
        <w:tc>
          <w:tcPr>
            <w:tcW w:w="12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24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2,386,112</w:t>
            </w:r>
          </w:p>
        </w:tc>
        <w:tc>
          <w:tcPr>
            <w:tcW w:w="249" w:type="dxa"/>
            <w:tcBorders/>
            <w:shd w:fill="auto" w:val="clear"/>
            <w:vAlign w:val="bottom"/>
          </w:tcPr>
          <w:p>
            <w:pPr>
              <w:pStyle w:val="TableContents"/>
              <w:spacing w:before="0" w:after="283"/>
              <w:rPr/>
            </w:pPr>
            <w:r>
              <w:rPr/>
              <w:t xml:space="preserve">  </w:t>
            </w:r>
          </w:p>
        </w:tc>
        <w:tc>
          <w:tcPr>
            <w:tcW w:w="24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2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2,049,668</w:t>
            </w:r>
          </w:p>
        </w:tc>
        <w:tc>
          <w:tcPr>
            <w:tcW w:w="249" w:type="dxa"/>
            <w:tcBorders/>
            <w:shd w:fill="auto" w:val="clear"/>
            <w:vAlign w:val="bottom"/>
          </w:tcPr>
          <w:p>
            <w:pPr>
              <w:pStyle w:val="TableContents"/>
              <w:spacing w:before="0" w:after="283"/>
              <w:rPr/>
            </w:pPr>
            <w:r>
              <w:rPr/>
              <w:t xml:space="preserve">  </w:t>
            </w:r>
          </w:p>
        </w:tc>
        <w:tc>
          <w:tcPr>
            <w:tcW w:w="12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2,306,371</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283"/>
              <w:rPr/>
            </w:pPr>
            <w:r>
              <w:rPr/>
              <w:t xml:space="preserve">  </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283"/>
              <w:rPr/>
            </w:pPr>
            <w:r>
              <w:rPr/>
              <w:t xml:space="preserve">  </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283"/>
              <w:rPr/>
            </w:pPr>
            <w:r>
              <w:rPr/>
              <w:t xml:space="preserve">  </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283"/>
              <w:rPr/>
            </w:pPr>
            <w:r>
              <w:rPr/>
              <w:t xml:space="preserve">  </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Gross profit:</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283"/>
              <w:rPr/>
            </w:pPr>
            <w:r>
              <w:rPr/>
              <w:t xml:space="preserve">  </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283"/>
              <w:rPr/>
            </w:pPr>
            <w:r>
              <w:rPr/>
              <w:t xml:space="preserve">  </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283"/>
              <w:rPr/>
            </w:pPr>
            <w:r>
              <w:rPr/>
              <w:t xml:space="preserve">  </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Industrial Technology</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51.0</w:t>
            </w:r>
          </w:p>
        </w:tc>
        <w:tc>
          <w:tcPr>
            <w:tcW w:w="24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47.6</w:t>
            </w:r>
          </w:p>
        </w:tc>
        <w:tc>
          <w:tcPr>
            <w:tcW w:w="24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48.5</w:t>
            </w:r>
          </w:p>
        </w:tc>
        <w:tc>
          <w:tcPr>
            <w:tcW w:w="25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065"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Energy Systems and Controls</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53.7</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53.1</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53.8</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Medical and Scientific Imaging</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61.3</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56.5</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55.0</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RF Technology</w:t>
            </w:r>
          </w:p>
        </w:tc>
        <w:tc>
          <w:tcPr>
            <w:tcW w:w="245" w:type="dxa"/>
            <w:tcBorders/>
            <w:shd w:fill="auto" w:val="clear"/>
            <w:vAlign w:val="bottom"/>
          </w:tcPr>
          <w:p>
            <w:pPr>
              <w:pStyle w:val="TableContents"/>
              <w:spacing w:before="0" w:after="283"/>
              <w:rPr/>
            </w:pPr>
            <w:r>
              <w:rPr/>
              <w:t xml:space="preserve">  </w:t>
            </w:r>
          </w:p>
        </w:tc>
        <w:tc>
          <w:tcPr>
            <w:tcW w:w="12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4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49.4</w:t>
            </w:r>
          </w:p>
        </w:tc>
        <w:tc>
          <w:tcPr>
            <w:tcW w:w="249" w:type="dxa"/>
            <w:tcBorders/>
            <w:shd w:fill="auto" w:val="clear"/>
            <w:vAlign w:val="bottom"/>
          </w:tcPr>
          <w:p>
            <w:pPr>
              <w:pStyle w:val="TableContents"/>
              <w:spacing w:before="0" w:after="283"/>
              <w:rPr/>
            </w:pPr>
            <w:r>
              <w:rPr/>
              <w:t xml:space="preserve">  </w:t>
            </w:r>
          </w:p>
        </w:tc>
        <w:tc>
          <w:tcPr>
            <w:tcW w:w="24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2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49.3</w:t>
            </w:r>
          </w:p>
        </w:tc>
        <w:tc>
          <w:tcPr>
            <w:tcW w:w="249" w:type="dxa"/>
            <w:tcBorders/>
            <w:shd w:fill="auto" w:val="clear"/>
            <w:vAlign w:val="bottom"/>
          </w:tcPr>
          <w:p>
            <w:pPr>
              <w:pStyle w:val="TableContents"/>
              <w:spacing w:before="0" w:after="283"/>
              <w:rPr/>
            </w:pPr>
            <w:r>
              <w:rPr/>
              <w:t xml:space="preserve">  </w:t>
            </w:r>
          </w:p>
        </w:tc>
        <w:tc>
          <w:tcPr>
            <w:tcW w:w="12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5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50.8</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w:t>
            </w:r>
          </w:p>
        </w:tc>
        <w:tc>
          <w:tcPr>
            <w:tcW w:w="245" w:type="dxa"/>
            <w:tcBorders/>
            <w:shd w:fill="auto" w:val="clear"/>
            <w:vAlign w:val="bottom"/>
          </w:tcPr>
          <w:p>
            <w:pPr>
              <w:pStyle w:val="TableContents"/>
              <w:spacing w:before="0" w:after="283"/>
              <w:rPr/>
            </w:pPr>
            <w:r>
              <w:rPr/>
              <w:t xml:space="preserve">  </w:t>
            </w:r>
          </w:p>
        </w:tc>
        <w:tc>
          <w:tcPr>
            <w:tcW w:w="125"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24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53.4</w:t>
            </w:r>
          </w:p>
        </w:tc>
        <w:tc>
          <w:tcPr>
            <w:tcW w:w="249" w:type="dxa"/>
            <w:tcBorders/>
            <w:shd w:fill="auto" w:val="clear"/>
            <w:vAlign w:val="bottom"/>
          </w:tcPr>
          <w:p>
            <w:pPr>
              <w:pStyle w:val="TableContents"/>
              <w:spacing w:before="0" w:after="283"/>
              <w:rPr/>
            </w:pPr>
            <w:r>
              <w:rPr/>
              <w:t xml:space="preserve">  </w:t>
            </w:r>
          </w:p>
        </w:tc>
        <w:tc>
          <w:tcPr>
            <w:tcW w:w="247"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12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50.9</w:t>
            </w:r>
          </w:p>
        </w:tc>
        <w:tc>
          <w:tcPr>
            <w:tcW w:w="249" w:type="dxa"/>
            <w:tcBorders/>
            <w:shd w:fill="auto" w:val="clear"/>
            <w:vAlign w:val="bottom"/>
          </w:tcPr>
          <w:p>
            <w:pPr>
              <w:pStyle w:val="TableContents"/>
              <w:spacing w:before="0" w:after="283"/>
              <w:rPr/>
            </w:pPr>
            <w:r>
              <w:rPr/>
              <w:t xml:space="preserve">  </w:t>
            </w:r>
          </w:p>
        </w:tc>
        <w:tc>
          <w:tcPr>
            <w:tcW w:w="125"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25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51.5</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283"/>
              <w:rPr/>
            </w:pPr>
            <w:r>
              <w:rPr/>
              <w:t xml:space="preserve">  </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283"/>
              <w:rPr/>
            </w:pPr>
            <w:r>
              <w:rPr/>
              <w:t xml:space="preserve">  </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283"/>
              <w:rPr/>
            </w:pPr>
            <w:r>
              <w:rPr/>
              <w:t xml:space="preserve">  </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283"/>
              <w:rPr/>
            </w:pPr>
            <w:r>
              <w:rPr/>
              <w:t xml:space="preserve">  </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Operating profit:</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283"/>
              <w:rPr/>
            </w:pPr>
            <w:r>
              <w:rPr/>
              <w:t xml:space="preserve">  </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283"/>
              <w:rPr/>
            </w:pPr>
            <w:r>
              <w:rPr/>
              <w:t xml:space="preserve">  </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283"/>
              <w:rPr/>
            </w:pPr>
            <w:r>
              <w:rPr/>
              <w:t xml:space="preserve">  </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Industrial Technology</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26.7</w:t>
            </w:r>
          </w:p>
        </w:tc>
        <w:tc>
          <w:tcPr>
            <w:tcW w:w="24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23.1</w:t>
            </w:r>
          </w:p>
        </w:tc>
        <w:tc>
          <w:tcPr>
            <w:tcW w:w="24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25.9</w:t>
            </w:r>
          </w:p>
        </w:tc>
        <w:tc>
          <w:tcPr>
            <w:tcW w:w="25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065"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Energy Systems and Controls</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23.9</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21.0</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23.1</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Medical and Scientific Imaging</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23.8</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20.9</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19.9</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RF Technology</w:t>
            </w:r>
          </w:p>
        </w:tc>
        <w:tc>
          <w:tcPr>
            <w:tcW w:w="245" w:type="dxa"/>
            <w:tcBorders/>
            <w:shd w:fill="auto" w:val="clear"/>
            <w:vAlign w:val="bottom"/>
          </w:tcPr>
          <w:p>
            <w:pPr>
              <w:pStyle w:val="TableContents"/>
              <w:spacing w:before="0" w:after="283"/>
              <w:rPr/>
            </w:pPr>
            <w:r>
              <w:rPr/>
              <w:t xml:space="preserve">  </w:t>
            </w:r>
          </w:p>
        </w:tc>
        <w:tc>
          <w:tcPr>
            <w:tcW w:w="12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4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20.8</w:t>
            </w:r>
          </w:p>
        </w:tc>
        <w:tc>
          <w:tcPr>
            <w:tcW w:w="249" w:type="dxa"/>
            <w:tcBorders/>
            <w:shd w:fill="auto" w:val="clear"/>
            <w:vAlign w:val="bottom"/>
          </w:tcPr>
          <w:p>
            <w:pPr>
              <w:pStyle w:val="TableContents"/>
              <w:spacing w:before="0" w:after="283"/>
              <w:rPr/>
            </w:pPr>
            <w:r>
              <w:rPr/>
              <w:t xml:space="preserve">  </w:t>
            </w:r>
          </w:p>
        </w:tc>
        <w:tc>
          <w:tcPr>
            <w:tcW w:w="24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2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21.5</w:t>
            </w:r>
          </w:p>
        </w:tc>
        <w:tc>
          <w:tcPr>
            <w:tcW w:w="249" w:type="dxa"/>
            <w:tcBorders/>
            <w:shd w:fill="auto" w:val="clear"/>
            <w:vAlign w:val="bottom"/>
          </w:tcPr>
          <w:p>
            <w:pPr>
              <w:pStyle w:val="TableContents"/>
              <w:spacing w:before="0" w:after="283"/>
              <w:rPr/>
            </w:pPr>
            <w:r>
              <w:rPr/>
              <w:t xml:space="preserve">  </w:t>
            </w:r>
          </w:p>
        </w:tc>
        <w:tc>
          <w:tcPr>
            <w:tcW w:w="12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5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23.0</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w:t>
            </w:r>
          </w:p>
        </w:tc>
        <w:tc>
          <w:tcPr>
            <w:tcW w:w="245" w:type="dxa"/>
            <w:tcBorders/>
            <w:shd w:fill="auto" w:val="clear"/>
            <w:vAlign w:val="bottom"/>
          </w:tcPr>
          <w:p>
            <w:pPr>
              <w:pStyle w:val="TableContents"/>
              <w:spacing w:before="0" w:after="283"/>
              <w:rPr/>
            </w:pPr>
            <w:r>
              <w:rPr/>
              <w:t xml:space="preserve">  </w:t>
            </w:r>
          </w:p>
        </w:tc>
        <w:tc>
          <w:tcPr>
            <w:tcW w:w="125"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24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23.6</w:t>
            </w:r>
          </w:p>
        </w:tc>
        <w:tc>
          <w:tcPr>
            <w:tcW w:w="249" w:type="dxa"/>
            <w:tcBorders/>
            <w:shd w:fill="auto" w:val="clear"/>
            <w:vAlign w:val="bottom"/>
          </w:tcPr>
          <w:p>
            <w:pPr>
              <w:pStyle w:val="TableContents"/>
              <w:spacing w:before="0" w:after="283"/>
              <w:rPr/>
            </w:pPr>
            <w:r>
              <w:rPr/>
              <w:t xml:space="preserve">  </w:t>
            </w:r>
          </w:p>
        </w:tc>
        <w:tc>
          <w:tcPr>
            <w:tcW w:w="247"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12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21.7</w:t>
            </w:r>
          </w:p>
        </w:tc>
        <w:tc>
          <w:tcPr>
            <w:tcW w:w="249" w:type="dxa"/>
            <w:tcBorders/>
            <w:shd w:fill="auto" w:val="clear"/>
            <w:vAlign w:val="bottom"/>
          </w:tcPr>
          <w:p>
            <w:pPr>
              <w:pStyle w:val="TableContents"/>
              <w:spacing w:before="0" w:after="283"/>
              <w:rPr/>
            </w:pPr>
            <w:r>
              <w:rPr/>
              <w:t xml:space="preserve">  </w:t>
            </w:r>
          </w:p>
        </w:tc>
        <w:tc>
          <w:tcPr>
            <w:tcW w:w="125"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25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23.4</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283"/>
              <w:rPr/>
            </w:pPr>
            <w:r>
              <w:rPr/>
              <w:t xml:space="preserve">  </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283"/>
              <w:rPr/>
            </w:pPr>
            <w:r>
              <w:rPr/>
              <w:t xml:space="preserve">  </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283"/>
              <w:rPr/>
            </w:pPr>
            <w:r>
              <w:rPr/>
              <w:t xml:space="preserve">  </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283"/>
              <w:rPr/>
            </w:pPr>
            <w:r>
              <w:rPr/>
              <w:t xml:space="preserve">  </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Corporate administrative expenses</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(2.1</w:t>
            </w:r>
          </w:p>
        </w:tc>
        <w:tc>
          <w:tcPr>
            <w:tcW w:w="24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c>
          <w:tcPr>
            <w:tcW w:w="24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w:t>
            </w:r>
          </w:p>
        </w:tc>
        <w:tc>
          <w:tcPr>
            <w:tcW w:w="25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06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from continuing operations</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21.6</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19.3</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21.1</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(2.8</w:t>
            </w:r>
          </w:p>
        </w:tc>
        <w:tc>
          <w:tcPr>
            <w:tcW w:w="24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w:t>
            </w:r>
          </w:p>
        </w:tc>
        <w:tc>
          <w:tcPr>
            <w:tcW w:w="24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w:t>
            </w:r>
          </w:p>
        </w:tc>
        <w:tc>
          <w:tcPr>
            <w:tcW w:w="25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06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extinguishment of debt</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(0.1</w:t>
            </w:r>
          </w:p>
        </w:tc>
        <w:tc>
          <w:tcPr>
            <w:tcW w:w="25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06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income/(expense)</w:t>
            </w:r>
          </w:p>
        </w:tc>
        <w:tc>
          <w:tcPr>
            <w:tcW w:w="245" w:type="dxa"/>
            <w:tcBorders/>
            <w:shd w:fill="auto" w:val="clear"/>
            <w:vAlign w:val="bottom"/>
          </w:tcPr>
          <w:p>
            <w:pPr>
              <w:pStyle w:val="TableContents"/>
              <w:spacing w:before="0" w:after="283"/>
              <w:rPr/>
            </w:pPr>
            <w:r>
              <w:rPr/>
              <w:t xml:space="preserve">  </w:t>
            </w:r>
          </w:p>
        </w:tc>
        <w:tc>
          <w:tcPr>
            <w:tcW w:w="12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45" w:type="dxa"/>
            <w:tcBorders>
              <w:bottom w:val="single" w:sz="12" w:space="0" w:color="000000"/>
            </w:tcBorders>
            <w:shd w:fill="auto" w:val="clear"/>
            <w:tcMar>
              <w:bottom w:w="28" w:type="dxa"/>
            </w:tcMar>
            <w:vAlign w:val="bottom"/>
          </w:tcPr>
          <w:p>
            <w:pPr>
              <w:pStyle w:val="TableContents"/>
              <w:spacing w:before="0" w:after="0"/>
              <w:ind w:left="0" w:right="0" w:firstLine="720"/>
              <w:jc w:val="right"/>
              <w:rPr>
                <w:rFonts w:ascii="times new roman" w:hAnsi="times new roman"/>
                <w:b/>
                <w:sz w:val="20"/>
              </w:rPr>
            </w:pPr>
            <w:r>
              <w:rPr>
                <w:rFonts w:ascii="times new roman" w:hAnsi="times new roman"/>
                <w:b/>
                <w:sz w:val="20"/>
              </w:rPr>
              <w:t>-</w:t>
            </w:r>
          </w:p>
        </w:tc>
        <w:tc>
          <w:tcPr>
            <w:tcW w:w="249" w:type="dxa"/>
            <w:tcBorders/>
            <w:shd w:fill="auto" w:val="clear"/>
            <w:vAlign w:val="bottom"/>
          </w:tcPr>
          <w:p>
            <w:pPr>
              <w:pStyle w:val="TableContents"/>
              <w:spacing w:before="0" w:after="283"/>
              <w:rPr/>
            </w:pPr>
            <w:r>
              <w:rPr/>
              <w:t xml:space="preserve">  </w:t>
            </w:r>
          </w:p>
        </w:tc>
        <w:tc>
          <w:tcPr>
            <w:tcW w:w="24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27" w:type="dxa"/>
            <w:tcBorders>
              <w:bottom w:val="single" w:sz="12" w:space="0" w:color="000000"/>
            </w:tcBorders>
            <w:shd w:fill="auto" w:val="clear"/>
            <w:tcMar>
              <w:bottom w:w="28" w:type="dxa"/>
            </w:tcMar>
            <w:vAlign w:val="bottom"/>
          </w:tcPr>
          <w:p>
            <w:pPr>
              <w:pStyle w:val="TableContents"/>
              <w:spacing w:before="0" w:after="0"/>
              <w:ind w:left="0" w:right="0" w:firstLine="720"/>
              <w:jc w:val="right"/>
              <w:rPr>
                <w:rFonts w:ascii="times new roman" w:hAnsi="times new roman"/>
                <w:sz w:val="20"/>
              </w:rPr>
            </w:pPr>
            <w:r>
              <w:rPr>
                <w:rFonts w:ascii="times new roman" w:hAnsi="times new roman"/>
                <w:sz w:val="20"/>
              </w:rPr>
              <w:t>0.2</w:t>
            </w:r>
          </w:p>
        </w:tc>
        <w:tc>
          <w:tcPr>
            <w:tcW w:w="249" w:type="dxa"/>
            <w:tcBorders/>
            <w:shd w:fill="auto" w:val="clear"/>
            <w:vAlign w:val="bottom"/>
          </w:tcPr>
          <w:p>
            <w:pPr>
              <w:pStyle w:val="TableContents"/>
              <w:spacing w:before="0" w:after="283"/>
              <w:rPr/>
            </w:pPr>
            <w:r>
              <w:rPr/>
              <w:t xml:space="preserve">  </w:t>
            </w:r>
          </w:p>
        </w:tc>
        <w:tc>
          <w:tcPr>
            <w:tcW w:w="12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5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from continuing operations before taxes</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18.8</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16.6</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18.6</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245" w:type="dxa"/>
            <w:tcBorders/>
            <w:shd w:fill="auto" w:val="clear"/>
            <w:vAlign w:val="bottom"/>
          </w:tcPr>
          <w:p>
            <w:pPr>
              <w:pStyle w:val="TableContents"/>
              <w:spacing w:before="0" w:after="283"/>
              <w:rPr/>
            </w:pPr>
            <w:r>
              <w:rPr/>
              <w:t xml:space="preserve">  </w:t>
            </w:r>
          </w:p>
        </w:tc>
        <w:tc>
          <w:tcPr>
            <w:tcW w:w="12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4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(5.3</w:t>
            </w:r>
          </w:p>
        </w:tc>
        <w:tc>
          <w:tcPr>
            <w:tcW w:w="24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24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2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w:t>
            </w:r>
          </w:p>
        </w:tc>
        <w:tc>
          <w:tcPr>
            <w:tcW w:w="24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5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(6.4</w:t>
            </w:r>
          </w:p>
        </w:tc>
        <w:tc>
          <w:tcPr>
            <w:tcW w:w="25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065" w:type="dxa"/>
            <w:tcBorders/>
            <w:shd w:fill="auto" w:val="clear"/>
            <w:vAlign w:val="bottom"/>
          </w:tcPr>
          <w:p>
            <w:pPr>
              <w:pStyle w:val="TableContents"/>
              <w:spacing w:before="0" w:after="283"/>
              <w:rPr/>
            </w:pPr>
            <w:r>
              <w:rPr/>
              <w:t xml:space="preserve">  </w:t>
            </w:r>
          </w:p>
        </w:tc>
        <w:tc>
          <w:tcPr>
            <w:tcW w:w="24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45" w:type="dxa"/>
            <w:tcBorders/>
            <w:shd w:fill="auto" w:val="clear"/>
            <w:vAlign w:val="bottom"/>
          </w:tcPr>
          <w:p>
            <w:pPr>
              <w:pStyle w:val="TableContents"/>
              <w:spacing w:before="0" w:after="283"/>
              <w:rPr/>
            </w:pPr>
            <w:r>
              <w:rPr/>
              <w:t xml:space="preserve">  </w:t>
            </w:r>
          </w:p>
        </w:tc>
        <w:tc>
          <w:tcPr>
            <w:tcW w:w="249" w:type="dxa"/>
            <w:tcBorders/>
            <w:shd w:fill="auto" w:val="clear"/>
            <w:vAlign w:val="bottom"/>
          </w:tcPr>
          <w:p>
            <w:pPr>
              <w:pStyle w:val="TableContents"/>
              <w:spacing w:before="0" w:after="283"/>
              <w:rPr/>
            </w:pPr>
            <w:r>
              <w:rPr/>
              <w:t xml:space="preserve">  </w:t>
            </w:r>
          </w:p>
        </w:tc>
        <w:tc>
          <w:tcPr>
            <w:tcW w:w="247" w:type="dxa"/>
            <w:tcBorders/>
            <w:shd w:fill="auto" w:val="clear"/>
            <w:vAlign w:val="bottom"/>
          </w:tcPr>
          <w:p>
            <w:pPr>
              <w:pStyle w:val="TableContents"/>
              <w:spacing w:before="0" w:after="283"/>
              <w:rPr/>
            </w:pPr>
            <w:r>
              <w:rPr/>
              <w:t xml:space="preserve">  </w:t>
            </w:r>
          </w:p>
        </w:tc>
        <w:tc>
          <w:tcPr>
            <w:tcW w:w="1127" w:type="dxa"/>
            <w:tcBorders/>
            <w:shd w:fill="auto" w:val="clear"/>
            <w:vAlign w:val="bottom"/>
          </w:tcPr>
          <w:p>
            <w:pPr>
              <w:pStyle w:val="TableContents"/>
              <w:spacing w:before="0" w:after="283"/>
              <w:rPr/>
            </w:pPr>
            <w:r>
              <w:rPr/>
              <w:t xml:space="preserve">  </w:t>
            </w:r>
          </w:p>
        </w:tc>
        <w:tc>
          <w:tcPr>
            <w:tcW w:w="249"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53" w:type="dxa"/>
            <w:tcBorders/>
            <w:shd w:fill="auto" w:val="clear"/>
            <w:vAlign w:val="bottom"/>
          </w:tcPr>
          <w:p>
            <w:pPr>
              <w:pStyle w:val="TableContents"/>
              <w:spacing w:before="0" w:after="283"/>
              <w:rPr/>
            </w:pPr>
            <w:r>
              <w:rPr/>
              <w:t xml:space="preserve">  </w:t>
            </w:r>
          </w:p>
        </w:tc>
        <w:tc>
          <w:tcPr>
            <w:tcW w:w="254" w:type="dxa"/>
            <w:tcBorders/>
            <w:shd w:fill="auto" w:val="clear"/>
            <w:vAlign w:val="bottom"/>
          </w:tcPr>
          <w:p>
            <w:pPr>
              <w:pStyle w:val="TableContents"/>
              <w:spacing w:before="0" w:after="283"/>
              <w:rPr/>
            </w:pPr>
            <w:r>
              <w:rPr/>
              <w:t xml:space="preserve">  </w:t>
            </w:r>
          </w:p>
        </w:tc>
      </w:tr>
      <w:tr>
        <w:trPr/>
        <w:tc>
          <w:tcPr>
            <w:tcW w:w="4065"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earnings</w:t>
            </w:r>
          </w:p>
        </w:tc>
        <w:tc>
          <w:tcPr>
            <w:tcW w:w="245" w:type="dxa"/>
            <w:tcBorders/>
            <w:shd w:fill="auto" w:val="clear"/>
            <w:vAlign w:val="bottom"/>
          </w:tcPr>
          <w:p>
            <w:pPr>
              <w:pStyle w:val="TableContents"/>
              <w:spacing w:before="0" w:after="283"/>
              <w:rPr/>
            </w:pPr>
            <w:r>
              <w:rPr/>
              <w:t xml:space="preserve">  </w:t>
            </w:r>
          </w:p>
        </w:tc>
        <w:tc>
          <w:tcPr>
            <w:tcW w:w="125"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24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13.5</w:t>
            </w:r>
          </w:p>
        </w:tc>
        <w:tc>
          <w:tcPr>
            <w:tcW w:w="249"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247"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12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11.7</w:t>
            </w:r>
          </w:p>
        </w:tc>
        <w:tc>
          <w:tcPr>
            <w:tcW w:w="24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253" w:type="dxa"/>
            <w:tcBorders>
              <w:bottom w:val="double" w:sz="8" w:space="0" w:color="000000"/>
            </w:tcBorders>
            <w:shd w:fill="auto" w:val="clear"/>
            <w:tcMar>
              <w:bottom w:w="28" w:type="dxa"/>
            </w:tcMar>
            <w:vAlign w:val="bottom"/>
          </w:tcPr>
          <w:p>
            <w:pPr>
              <w:pStyle w:val="TableContents"/>
              <w:spacing w:before="0" w:after="0"/>
              <w:ind w:left="0" w:right="0" w:firstLine="720"/>
              <w:jc w:val="right"/>
              <w:rPr>
                <w:rFonts w:ascii="times new roman" w:hAnsi="times new roman"/>
                <w:sz w:val="20"/>
              </w:rPr>
            </w:pPr>
            <w:r>
              <w:rPr>
                <w:rFonts w:ascii="times new roman" w:hAnsi="times new roman"/>
                <w:sz w:val="20"/>
              </w:rPr>
              <w:t>12.2</w:t>
            </w:r>
          </w:p>
        </w:tc>
        <w:tc>
          <w:tcPr>
            <w:tcW w:w="2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165" w:name="hangingindent21"/>
      <w:bookmarkStart w:id="166" w:name="hangingindent21"/>
      <w:bookmarkEnd w:id="166"/>
    </w:p>
    <w:tbl>
      <w:tblPr>
        <w:tblW w:w="5000" w:type="pct"/>
        <w:jc w:val="center"/>
        <w:tblInd w:w="0" w:type="dxa"/>
        <w:tblCellMar>
          <w:top w:w="0" w:type="dxa"/>
          <w:left w:w="0" w:type="dxa"/>
          <w:bottom w:w="0" w:type="dxa"/>
          <w:right w:w="0" w:type="dxa"/>
        </w:tblCellMar>
      </w:tblPr>
      <w:tblGrid>
        <w:gridCol w:w="59"/>
        <w:gridCol w:w="202"/>
        <w:gridCol w:w="9944"/>
      </w:tblGrid>
      <w:tr>
        <w:trPr/>
        <w:tc>
          <w:tcPr>
            <w:tcW w:w="59" w:type="dxa"/>
            <w:tcBorders/>
            <w:shd w:fill="auto" w:val="clear"/>
          </w:tcPr>
          <w:p>
            <w:pPr>
              <w:pStyle w:val="TableContents"/>
              <w:spacing w:before="0" w:after="283"/>
              <w:rPr/>
            </w:pPr>
            <w:r>
              <w:rPr/>
              <w:t> </w:t>
            </w:r>
          </w:p>
        </w:tc>
        <w:tc>
          <w:tcPr>
            <w:tcW w:w="202" w:type="dxa"/>
            <w:tcBorders/>
            <w:shd w:fill="auto" w:val="clear"/>
          </w:tcPr>
          <w:p>
            <w:pPr>
              <w:pStyle w:val="TableContents"/>
              <w:spacing w:before="0" w:after="0"/>
              <w:ind w:left="0" w:right="0" w:hanging="0"/>
              <w:rPr>
                <w:rFonts w:ascii="times new roman" w:hAnsi="times new roman"/>
                <w:sz w:val="16"/>
              </w:rPr>
            </w:pPr>
            <w:r>
              <w:rPr>
                <w:rFonts w:ascii="times new roman" w:hAnsi="times new roman"/>
                <w:sz w:val="16"/>
              </w:rPr>
              <w:t>(1)</w:t>
            </w:r>
          </w:p>
        </w:tc>
        <w:tc>
          <w:tcPr>
            <w:tcW w:w="9944"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Includes results from the acquisitions of Tech-Pro from March 20, 2008, and Chalwyn from June 18, 2008.</w:t>
            </w:r>
          </w:p>
        </w:tc>
      </w:tr>
    </w:tbl>
    <w:p>
      <w:pPr>
        <w:pStyle w:val="Normal"/>
        <w:spacing w:before="0" w:after="0"/>
        <w:rPr>
          <w:sz w:val="4"/>
          <w:szCs w:val="4"/>
        </w:rPr>
      </w:pPr>
      <w:r>
        <w:rPr>
          <w:sz w:val="4"/>
          <w:szCs w:val="4"/>
        </w:rPr>
      </w:r>
      <w:bookmarkStart w:id="167" w:name="hangingindent22"/>
      <w:bookmarkStart w:id="168" w:name="hangingindent22"/>
      <w:bookmarkEnd w:id="168"/>
    </w:p>
    <w:tbl>
      <w:tblPr>
        <w:tblW w:w="5000" w:type="pct"/>
        <w:jc w:val="center"/>
        <w:tblInd w:w="0" w:type="dxa"/>
        <w:tblCellMar>
          <w:top w:w="0" w:type="dxa"/>
          <w:left w:w="0" w:type="dxa"/>
          <w:bottom w:w="0" w:type="dxa"/>
          <w:right w:w="0" w:type="dxa"/>
        </w:tblCellMar>
      </w:tblPr>
      <w:tblGrid>
        <w:gridCol w:w="59"/>
        <w:gridCol w:w="202"/>
        <w:gridCol w:w="9944"/>
      </w:tblGrid>
      <w:tr>
        <w:trPr/>
        <w:tc>
          <w:tcPr>
            <w:tcW w:w="59" w:type="dxa"/>
            <w:tcBorders/>
            <w:shd w:fill="auto" w:val="clear"/>
          </w:tcPr>
          <w:p>
            <w:pPr>
              <w:pStyle w:val="TableContents"/>
              <w:spacing w:before="0" w:after="283"/>
              <w:rPr/>
            </w:pPr>
            <w:r>
              <w:rPr/>
              <w:t> </w:t>
            </w:r>
          </w:p>
        </w:tc>
        <w:tc>
          <w:tcPr>
            <w:tcW w:w="202" w:type="dxa"/>
            <w:tcBorders/>
            <w:shd w:fill="auto" w:val="clear"/>
          </w:tcPr>
          <w:p>
            <w:pPr>
              <w:pStyle w:val="TableContents"/>
              <w:spacing w:before="0" w:after="0"/>
              <w:ind w:left="0" w:right="0" w:hanging="0"/>
              <w:rPr>
                <w:rFonts w:ascii="Times New Roman" w:hAnsi="Times New Roman"/>
                <w:sz w:val="16"/>
              </w:rPr>
            </w:pPr>
            <w:r>
              <w:rPr>
                <w:rFonts w:ascii="Times New Roman" w:hAnsi="Times New Roman"/>
                <w:sz w:val="16"/>
              </w:rPr>
              <w:t>(2)</w:t>
            </w:r>
          </w:p>
        </w:tc>
        <w:tc>
          <w:tcPr>
            <w:tcW w:w="9944"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Includes results from the acquisition of Verathon from December 3, 2009.</w:t>
            </w:r>
          </w:p>
        </w:tc>
      </w:tr>
    </w:tbl>
    <w:p>
      <w:pPr>
        <w:pStyle w:val="Normal"/>
        <w:spacing w:before="0" w:after="0"/>
        <w:rPr>
          <w:sz w:val="4"/>
          <w:szCs w:val="4"/>
        </w:rPr>
      </w:pPr>
      <w:r>
        <w:rPr>
          <w:sz w:val="4"/>
          <w:szCs w:val="4"/>
        </w:rPr>
      </w:r>
      <w:bookmarkStart w:id="169" w:name="hangingindent23"/>
      <w:bookmarkStart w:id="170" w:name="hangingindent23"/>
      <w:bookmarkEnd w:id="170"/>
    </w:p>
    <w:tbl>
      <w:tblPr>
        <w:tblW w:w="5000" w:type="pct"/>
        <w:jc w:val="center"/>
        <w:tblInd w:w="0" w:type="dxa"/>
        <w:tblCellMar>
          <w:top w:w="0" w:type="dxa"/>
          <w:left w:w="0" w:type="dxa"/>
          <w:bottom w:w="0" w:type="dxa"/>
          <w:right w:w="0" w:type="dxa"/>
        </w:tblCellMar>
      </w:tblPr>
      <w:tblGrid>
        <w:gridCol w:w="59"/>
        <w:gridCol w:w="202"/>
        <w:gridCol w:w="9944"/>
      </w:tblGrid>
      <w:tr>
        <w:trPr/>
        <w:tc>
          <w:tcPr>
            <w:tcW w:w="59" w:type="dxa"/>
            <w:tcBorders/>
            <w:shd w:fill="auto" w:val="clear"/>
          </w:tcPr>
          <w:p>
            <w:pPr>
              <w:pStyle w:val="TableContents"/>
              <w:spacing w:before="0" w:after="283"/>
              <w:rPr/>
            </w:pPr>
            <w:r>
              <w:rPr/>
              <w:t> </w:t>
            </w:r>
          </w:p>
        </w:tc>
        <w:tc>
          <w:tcPr>
            <w:tcW w:w="202" w:type="dxa"/>
            <w:tcBorders/>
            <w:shd w:fill="auto" w:val="clear"/>
          </w:tcPr>
          <w:p>
            <w:pPr>
              <w:pStyle w:val="TableContents"/>
              <w:spacing w:before="0" w:after="0"/>
              <w:ind w:left="0" w:right="0" w:hanging="0"/>
              <w:rPr>
                <w:rFonts w:ascii="Times New Roman" w:hAnsi="Times New Roman"/>
                <w:sz w:val="16"/>
              </w:rPr>
            </w:pPr>
            <w:r>
              <w:rPr>
                <w:rFonts w:ascii="Times New Roman" w:hAnsi="Times New Roman"/>
                <w:sz w:val="16"/>
              </w:rPr>
              <w:t>(3)</w:t>
            </w:r>
          </w:p>
        </w:tc>
        <w:tc>
          <w:tcPr>
            <w:tcW w:w="9944"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Includes results from the acquisitions of CBORD from February 20, 2008, Getloaded from July 17, 2008, Horizon from August 27, 2008, Technolog from September 10, 2008, UTS from October 30, 2009 and iTrade from July 27, 2010.</w:t>
            </w:r>
          </w:p>
        </w:tc>
      </w:tr>
    </w:tbl>
    <w:p>
      <w:pPr>
        <w:pStyle w:val="TextBody"/>
        <w:spacing w:before="0" w:after="0"/>
        <w:ind w:left="0" w:right="0" w:hanging="0"/>
        <w:rPr/>
      </w:pPr>
      <w:r>
        <w:rPr/>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Year Ended December 31, 2010 Compared to Year Ended December 31, 2009</w:t>
      </w:r>
    </w:p>
    <w:p>
      <w:pPr>
        <w:pStyle w:val="TextBody"/>
        <w:spacing w:before="0" w:after="0"/>
        <w:rPr/>
      </w:pPr>
      <w:r>
        <w:rPr/>
      </w:r>
    </w:p>
    <w:p>
      <w:pPr>
        <w:pStyle w:val="TextBody"/>
        <w:spacing w:before="0" w:after="0"/>
        <w:ind w:left="0" w:right="0" w:hanging="0"/>
        <w:rPr/>
      </w:pPr>
      <w:r>
        <w:rPr/>
      </w:r>
      <w:bookmarkStart w:id="171" w:name="hangingindent24"/>
      <w:bookmarkStart w:id="172" w:name="hangingindent24"/>
      <w:bookmarkEnd w:id="172"/>
    </w:p>
    <w:p>
      <w:pPr>
        <w:pStyle w:val="TextBody"/>
        <w:spacing w:before="0" w:after="0"/>
        <w:ind w:left="0" w:right="0" w:hanging="0"/>
        <w:jc w:val="both"/>
        <w:rPr>
          <w:rFonts w:ascii="Times New Roman" w:hAnsi="Times New Roman"/>
          <w:sz w:val="20"/>
        </w:rPr>
      </w:pPr>
      <w:r>
        <w:rPr>
          <w:rFonts w:ascii="Times New Roman" w:hAnsi="Times New Roman"/>
          <w:sz w:val="20"/>
        </w:rPr>
        <w:t>Net sales for the year ended December 31, 2010 were $2.39 billion as compared to sales of $2.05 billion for the year ended December 31, 2009, an increase of 16.4%. The increase was the result of internal sales growth of 7.8% as well as a full year of sales from our 2009 acquisitions of UTS and Verathon and five months of sales from iTrade. Net sales of these acquisitions accounted for approximately $179 million of additional sales in 2010 over 2009.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Medical and Scientific Imaging segment reported a $193.9 million or 54.7% increase in net sales for the year ended December 31, 2010 over the year ended December 31, 2009.  Acquisitions added $147.9 million in sales, while organic sales increased 12.5% due to broad-based increases in medical, imaging and handheld computer markets.  The impact from foreign exchange was a positive 1.0%, resulting in internal growth of 13.5%.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our Energy Systems and Controls segment, net sales for the year ended December 31, 2010 increased by $63.0 million or 14.3% over the year ended December 31, 2009. The increase in sales was due to broad-based recovery in the markets served by the segment which led to increased demand for our instruments, valves and sensors sold into these markets.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sales for our Industrial Technology segment increased by $71.3 million or 13.3% for the year ended December 31, 2010 over the year ended December 31, 2009. The increase was due to a broad based economic recovery in the industrial end markets, strong sales growth in our Neptune water meter business and increased sales in our materials testing businesses as customer manufacturing facilities which had experienced slowdowns or temporary shutdowns in 2009 came back on line or increased production.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our RF Technology segment, net sales for the year ended December 31, 2010 increased by $8.2 million or 1.1% over the year ended December 31, 2009. Internal sales decreased 3.2% due to delays in transportation projects due to temporary reductions in state and local governmental funding.  Partial year results from the acquisition of iTrade and full-year results of UTS added 4.3%.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2009, in order to mitigate the effects of the weakened global economy on our financial results, we committed to certain severance and related cost-control actions.  The cost of these actions during the year ended December 31, 2009 totaled $12.4 million, $4.1 million of which was recorded as cost of goods sold and the remaining $8.3 million as selling, general and administrative (“SG&amp;A”) expense.  As of December 31, 2010, $12.0 million in cash payments had been made, with the remaining $0.4 million reported as accrued liabilities, which are expected to be paid in 2011.  We had no additional material severance and related cost control actions in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overall gross profit percentage was 53.4% for the year ended December 31, 2010, as compared to 50.9% for the year ended December 31, 2009.  Our Industrial Technology and Energy Systems and Controls segments both experienced higher gross margins due to higher sales volume while maintaining a relatively flat cost structure. Medical and Scientific Imaging segment gross margins increased primarily due to additional sales from medical products which have a higher gross margin. Our RF Technology segment gross margins were relatively unchanged.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Selling, general and administrative expenses increased $113.1 million to $760.8 million in 2010 as compared to $647.7 million in 2009, while increasing as a percentage of net sales to 31.9% for the year ended December 31, 2010 as compared to 31.6% for the year ended December 31, 2009.  The full year inclusion of Verathon accounted for $72 million of the increase.  In addition, our research and development spending increased $19 million as we continued to invest in new product development.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Interest expense increased $8.0 million, or 13.6%, for the year ended December 31, 2010 compared to the year ended December 31, 2009.  The increase is due primarily to higher interest rates in the current year, which accounted for approximately $5 million of the increase, and a higher average debt balance throughout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income for the year ended December 31, 2010 was $0.6 million, which was primarily due to gain on sale of assets offset by foreign exchange losses.  Other income for the year ended December 31, 2009 was $3.5 million, primarily due to a pre-tax gain of $4.1 million related to the sale of certain assets of our satellite communications business, partially offset by a $0.4 million pre-tax debt extinguishment charge for the early repayment of our term loan and foreign exchange losses at our non-U.S. based companies.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2010, our effective income tax rate was 28.1% versus 29.5% in 2009. This decrease was due primarily to certain foreign tax planning initiatives and an increase in the Section 199 qualifying production activities deduction.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December 31, 2010, the functional currencies of our European subsidiaries were weaker, and the Canadian dollar stronger, against the U.S. dollar compared to currency exchange rates at December 31, 2009. The net result of these changes led to a decrease in the foreign exchange component of comprehensive earnings of $19.8 million in the year ending December 31, 2010. Approximately $15.5 million of these adjustments related to goodwill and are not expected to directly affect our projected future cash flows. For the entire year of 2010, operating profit decreased by less than 0.5% due to fluctuations in non-U.S. currencies.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our net order information for the years ended December 31, 2010 and 2009 (dollar amounts in thousands).</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3674"/>
        <w:gridCol w:w="136"/>
        <w:gridCol w:w="136"/>
        <w:gridCol w:w="1088"/>
        <w:gridCol w:w="272"/>
        <w:gridCol w:w="136"/>
        <w:gridCol w:w="1361"/>
        <w:gridCol w:w="136"/>
        <w:gridCol w:w="952"/>
        <w:gridCol w:w="273"/>
      </w:tblGrid>
      <w:tr>
        <w:trPr/>
        <w:tc>
          <w:tcPr>
            <w:tcW w:w="3674"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c>
          <w:tcPr>
            <w:tcW w:w="12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272" w:type="dxa"/>
            <w:tcBorders/>
            <w:shd w:fill="auto" w:val="clear"/>
            <w:vAlign w:val="bottom"/>
          </w:tcPr>
          <w:p>
            <w:pPr>
              <w:pStyle w:val="TableContents"/>
              <w:spacing w:before="0" w:after="283"/>
              <w:rPr/>
            </w:pPr>
            <w:r>
              <w:rPr/>
              <w:t xml:space="preserve">  </w:t>
            </w:r>
          </w:p>
        </w:tc>
        <w:tc>
          <w:tcPr>
            <w:tcW w:w="14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136" w:type="dxa"/>
            <w:tcBorders/>
            <w:shd w:fill="auto" w:val="clear"/>
            <w:vAlign w:val="bottom"/>
          </w:tcPr>
          <w:p>
            <w:pPr>
              <w:pStyle w:val="TableContents"/>
              <w:spacing w:before="0" w:after="283"/>
              <w:rPr/>
            </w:pPr>
            <w:r>
              <w:rPr/>
              <w:t xml:space="preserve">  </w:t>
            </w:r>
          </w:p>
        </w:tc>
        <w:tc>
          <w:tcPr>
            <w:tcW w:w="95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change</w:t>
            </w:r>
          </w:p>
        </w:tc>
        <w:tc>
          <w:tcPr>
            <w:tcW w:w="273" w:type="dxa"/>
            <w:tcBorders/>
            <w:shd w:fill="auto" w:val="clear"/>
            <w:vAlign w:val="bottom"/>
          </w:tcPr>
          <w:p>
            <w:pPr>
              <w:pStyle w:val="TableContents"/>
              <w:spacing w:before="0" w:after="283"/>
              <w:rPr/>
            </w:pPr>
            <w:r>
              <w:rPr/>
              <w:t xml:space="preserve">  </w:t>
            </w:r>
          </w:p>
        </w:tc>
      </w:tr>
      <w:tr>
        <w:trPr/>
        <w:tc>
          <w:tcPr>
            <w:tcW w:w="367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Industrial Technology</w:t>
            </w:r>
          </w:p>
        </w:tc>
        <w:tc>
          <w:tcPr>
            <w:tcW w:w="136"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8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669,882</w:t>
            </w:r>
          </w:p>
        </w:tc>
        <w:tc>
          <w:tcPr>
            <w:tcW w:w="272"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6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528,208</w:t>
            </w:r>
          </w:p>
        </w:tc>
        <w:tc>
          <w:tcPr>
            <w:tcW w:w="136" w:type="dxa"/>
            <w:tcBorders/>
            <w:shd w:fill="auto" w:val="clear"/>
            <w:vAlign w:val="bottom"/>
          </w:tcPr>
          <w:p>
            <w:pPr>
              <w:pStyle w:val="TableContents"/>
              <w:spacing w:before="0" w:after="283"/>
              <w:rPr/>
            </w:pPr>
            <w:r>
              <w:rPr/>
              <w:t xml:space="preserve">  </w:t>
            </w:r>
          </w:p>
        </w:tc>
        <w:tc>
          <w:tcPr>
            <w:tcW w:w="95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26.8</w:t>
            </w:r>
          </w:p>
        </w:tc>
        <w:tc>
          <w:tcPr>
            <w:tcW w:w="27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367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Energy Systems and Controls</w:t>
            </w:r>
          </w:p>
        </w:tc>
        <w:tc>
          <w:tcPr>
            <w:tcW w:w="136"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c>
          <w:tcPr>
            <w:tcW w:w="108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538,861</w:t>
            </w:r>
          </w:p>
        </w:tc>
        <w:tc>
          <w:tcPr>
            <w:tcW w:w="272"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c>
          <w:tcPr>
            <w:tcW w:w="136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427,003</w:t>
            </w:r>
          </w:p>
        </w:tc>
        <w:tc>
          <w:tcPr>
            <w:tcW w:w="136" w:type="dxa"/>
            <w:tcBorders/>
            <w:shd w:fill="auto" w:val="clear"/>
            <w:vAlign w:val="bottom"/>
          </w:tcPr>
          <w:p>
            <w:pPr>
              <w:pStyle w:val="TableContents"/>
              <w:spacing w:before="0" w:after="283"/>
              <w:rPr/>
            </w:pPr>
            <w:r>
              <w:rPr/>
              <w:t xml:space="preserve">  </w:t>
            </w:r>
          </w:p>
        </w:tc>
        <w:tc>
          <w:tcPr>
            <w:tcW w:w="95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26.2</w:t>
            </w:r>
          </w:p>
        </w:tc>
        <w:tc>
          <w:tcPr>
            <w:tcW w:w="273" w:type="dxa"/>
            <w:tcBorders/>
            <w:shd w:fill="auto" w:val="clear"/>
            <w:vAlign w:val="bottom"/>
          </w:tcPr>
          <w:p>
            <w:pPr>
              <w:pStyle w:val="TableContents"/>
              <w:spacing w:before="0" w:after="283"/>
              <w:rPr/>
            </w:pPr>
            <w:r>
              <w:rPr/>
              <w:t xml:space="preserve">  </w:t>
            </w:r>
          </w:p>
        </w:tc>
      </w:tr>
      <w:tr>
        <w:trPr/>
        <w:tc>
          <w:tcPr>
            <w:tcW w:w="367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Medical and Scientific Imaging</w:t>
            </w:r>
          </w:p>
        </w:tc>
        <w:tc>
          <w:tcPr>
            <w:tcW w:w="136"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c>
          <w:tcPr>
            <w:tcW w:w="108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578,957</w:t>
            </w:r>
          </w:p>
        </w:tc>
        <w:tc>
          <w:tcPr>
            <w:tcW w:w="272"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c>
          <w:tcPr>
            <w:tcW w:w="136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349,132</w:t>
            </w:r>
          </w:p>
        </w:tc>
        <w:tc>
          <w:tcPr>
            <w:tcW w:w="136" w:type="dxa"/>
            <w:tcBorders/>
            <w:shd w:fill="auto" w:val="clear"/>
            <w:vAlign w:val="bottom"/>
          </w:tcPr>
          <w:p>
            <w:pPr>
              <w:pStyle w:val="TableContents"/>
              <w:spacing w:before="0" w:after="283"/>
              <w:rPr/>
            </w:pPr>
            <w:r>
              <w:rPr/>
              <w:t xml:space="preserve">  </w:t>
            </w:r>
          </w:p>
        </w:tc>
        <w:tc>
          <w:tcPr>
            <w:tcW w:w="95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65.8</w:t>
            </w:r>
          </w:p>
        </w:tc>
        <w:tc>
          <w:tcPr>
            <w:tcW w:w="273" w:type="dxa"/>
            <w:tcBorders/>
            <w:shd w:fill="auto" w:val="clear"/>
            <w:vAlign w:val="bottom"/>
          </w:tcPr>
          <w:p>
            <w:pPr>
              <w:pStyle w:val="TableContents"/>
              <w:spacing w:before="0" w:after="283"/>
              <w:rPr/>
            </w:pPr>
            <w:r>
              <w:rPr/>
              <w:t xml:space="preserve">  </w:t>
            </w:r>
          </w:p>
        </w:tc>
      </w:tr>
      <w:tr>
        <w:trPr/>
        <w:tc>
          <w:tcPr>
            <w:tcW w:w="367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RF Technology</w:t>
            </w:r>
          </w:p>
        </w:tc>
        <w:tc>
          <w:tcPr>
            <w:tcW w:w="136" w:type="dxa"/>
            <w:tcBorders/>
            <w:shd w:fill="auto" w:val="clear"/>
            <w:vAlign w:val="bottom"/>
          </w:tcPr>
          <w:p>
            <w:pPr>
              <w:pStyle w:val="TableContents"/>
              <w:spacing w:before="0" w:after="283"/>
              <w:rPr/>
            </w:pPr>
            <w:r>
              <w:rPr/>
              <w:t xml:space="preserve">  </w:t>
            </w:r>
          </w:p>
        </w:tc>
        <w:tc>
          <w:tcPr>
            <w:tcW w:w="13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88"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748,536</w:t>
            </w:r>
          </w:p>
        </w:tc>
        <w:tc>
          <w:tcPr>
            <w:tcW w:w="272" w:type="dxa"/>
            <w:tcBorders/>
            <w:shd w:fill="auto" w:val="clear"/>
            <w:vAlign w:val="bottom"/>
          </w:tcPr>
          <w:p>
            <w:pPr>
              <w:pStyle w:val="TableContents"/>
              <w:spacing w:before="0" w:after="283"/>
              <w:rPr/>
            </w:pPr>
            <w:r>
              <w:rPr/>
              <w:t xml:space="preserve">  </w:t>
            </w:r>
          </w:p>
        </w:tc>
        <w:tc>
          <w:tcPr>
            <w:tcW w:w="13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361"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719,666</w:t>
            </w:r>
          </w:p>
        </w:tc>
        <w:tc>
          <w:tcPr>
            <w:tcW w:w="136" w:type="dxa"/>
            <w:tcBorders/>
            <w:shd w:fill="auto" w:val="clear"/>
            <w:vAlign w:val="bottom"/>
          </w:tcPr>
          <w:p>
            <w:pPr>
              <w:pStyle w:val="TableContents"/>
              <w:spacing w:before="0" w:after="283"/>
              <w:rPr/>
            </w:pPr>
            <w:r>
              <w:rPr/>
              <w:t xml:space="preserve">  </w:t>
            </w:r>
          </w:p>
        </w:tc>
        <w:tc>
          <w:tcPr>
            <w:tcW w:w="952"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w:t>
            </w:r>
          </w:p>
        </w:tc>
        <w:tc>
          <w:tcPr>
            <w:tcW w:w="273" w:type="dxa"/>
            <w:tcBorders/>
            <w:shd w:fill="auto" w:val="clear"/>
            <w:vAlign w:val="bottom"/>
          </w:tcPr>
          <w:p>
            <w:pPr>
              <w:pStyle w:val="TableContents"/>
              <w:spacing w:before="0" w:after="283"/>
              <w:rPr/>
            </w:pPr>
            <w:r>
              <w:rPr/>
              <w:t xml:space="preserve">  </w:t>
            </w:r>
          </w:p>
        </w:tc>
      </w:tr>
      <w:tr>
        <w:trPr/>
        <w:tc>
          <w:tcPr>
            <w:tcW w:w="367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36" w:type="dxa"/>
            <w:tcBorders/>
            <w:shd w:fill="auto" w:val="clear"/>
            <w:vAlign w:val="bottom"/>
          </w:tcPr>
          <w:p>
            <w:pPr>
              <w:pStyle w:val="TableContents"/>
              <w:spacing w:before="0" w:after="283"/>
              <w:rPr/>
            </w:pPr>
            <w:r>
              <w:rPr/>
              <w:t xml:space="preserve">  </w:t>
            </w:r>
          </w:p>
        </w:tc>
        <w:tc>
          <w:tcPr>
            <w:tcW w:w="13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88"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2,536,236</w:t>
            </w:r>
          </w:p>
        </w:tc>
        <w:tc>
          <w:tcPr>
            <w:tcW w:w="272" w:type="dxa"/>
            <w:tcBorders/>
            <w:shd w:fill="auto" w:val="clear"/>
            <w:vAlign w:val="bottom"/>
          </w:tcPr>
          <w:p>
            <w:pPr>
              <w:pStyle w:val="TableContents"/>
              <w:spacing w:before="0" w:after="283"/>
              <w:rPr/>
            </w:pPr>
            <w:r>
              <w:rPr/>
              <w:t xml:space="preserve">  </w:t>
            </w:r>
          </w:p>
        </w:tc>
        <w:tc>
          <w:tcPr>
            <w:tcW w:w="136"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6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2,024,009</w:t>
            </w:r>
          </w:p>
        </w:tc>
        <w:tc>
          <w:tcPr>
            <w:tcW w:w="136" w:type="dxa"/>
            <w:tcBorders/>
            <w:shd w:fill="auto" w:val="clear"/>
            <w:vAlign w:val="bottom"/>
          </w:tcPr>
          <w:p>
            <w:pPr>
              <w:pStyle w:val="TableContents"/>
              <w:spacing w:before="0" w:after="283"/>
              <w:rPr/>
            </w:pPr>
            <w:r>
              <w:rPr/>
              <w:t xml:space="preserve">  </w:t>
            </w:r>
          </w:p>
        </w:tc>
        <w:tc>
          <w:tcPr>
            <w:tcW w:w="952"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25.3</w:t>
            </w:r>
          </w:p>
        </w:tc>
        <w:tc>
          <w:tcPr>
            <w:tcW w:w="2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increase in orders was due to internal growth of 15.8%, as well as orders from acquisitions which added $195 million.  Our Industrial Technology and Energy Systems and Controls segments experienced strong internal growth throughout 2010, as did our Medical and Scientific Imaging segment which also experienced an increase of $159 million due to 2009 acquisitions.  In our RF Technology segment, internal orders decreased by 1.1%, which was more than offset by acquisition growth.</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order backlog information at December 31, 2010 and 2009 (dollar amounts in thousands). Our policy is to include in backlog only orders scheduled for shipment within twelve months.</w:t>
      </w:r>
    </w:p>
    <w:p>
      <w:pPr>
        <w:pStyle w:val="TextBody"/>
        <w:spacing w:before="0" w:after="0"/>
        <w:ind w:left="0" w:right="0" w:hanging="0"/>
        <w:jc w:val="left"/>
        <w:rPr/>
      </w:pPr>
      <w:r>
        <w:rPr/>
        <w:t> </w:t>
      </w:r>
    </w:p>
    <w:tbl>
      <w:tblPr>
        <w:tblW w:w="4000" w:type="pct"/>
        <w:jc w:val="center"/>
        <w:tblInd w:w="0" w:type="dxa"/>
        <w:tblCellMar>
          <w:top w:w="0" w:type="dxa"/>
          <w:left w:w="0" w:type="dxa"/>
          <w:bottom w:w="0" w:type="dxa"/>
          <w:right w:w="0" w:type="dxa"/>
        </w:tblCellMar>
      </w:tblPr>
      <w:tblGrid>
        <w:gridCol w:w="3803"/>
        <w:gridCol w:w="140"/>
        <w:gridCol w:w="140"/>
        <w:gridCol w:w="985"/>
        <w:gridCol w:w="140"/>
        <w:gridCol w:w="140"/>
        <w:gridCol w:w="985"/>
        <w:gridCol w:w="282"/>
        <w:gridCol w:w="1267"/>
        <w:gridCol w:w="282"/>
      </w:tblGrid>
      <w:tr>
        <w:trPr/>
        <w:tc>
          <w:tcPr>
            <w:tcW w:w="3803" w:type="dxa"/>
            <w:tcBorders/>
            <w:shd w:fill="auto" w:val="clear"/>
            <w:vAlign w:val="bottom"/>
          </w:tcPr>
          <w:p>
            <w:pPr>
              <w:pStyle w:val="TableContents"/>
              <w:spacing w:before="0" w:after="283"/>
              <w:rPr/>
            </w:pPr>
            <w:r>
              <w:rPr/>
              <w:t xml:space="preserve">  </w:t>
            </w:r>
          </w:p>
        </w:tc>
        <w:tc>
          <w:tcPr>
            <w:tcW w:w="140" w:type="dxa"/>
            <w:tcBorders/>
            <w:shd w:fill="auto" w:val="clear"/>
            <w:vAlign w:val="bottom"/>
          </w:tcPr>
          <w:p>
            <w:pPr>
              <w:pStyle w:val="TableContents"/>
              <w:spacing w:before="0" w:after="283"/>
              <w:rPr/>
            </w:pPr>
            <w:r>
              <w:rPr/>
              <w:t xml:space="preserve">  </w:t>
            </w:r>
          </w:p>
        </w:tc>
        <w:tc>
          <w:tcPr>
            <w:tcW w:w="11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40" w:type="dxa"/>
            <w:tcBorders/>
            <w:shd w:fill="auto" w:val="clear"/>
            <w:vAlign w:val="bottom"/>
          </w:tcPr>
          <w:p>
            <w:pPr>
              <w:pStyle w:val="TableContents"/>
              <w:spacing w:before="0" w:after="283"/>
              <w:rPr/>
            </w:pPr>
            <w:r>
              <w:rPr/>
              <w:t xml:space="preserve">  </w:t>
            </w:r>
          </w:p>
        </w:tc>
        <w:tc>
          <w:tcPr>
            <w:tcW w:w="11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282" w:type="dxa"/>
            <w:tcBorders/>
            <w:shd w:fill="auto" w:val="clear"/>
            <w:vAlign w:val="bottom"/>
          </w:tcPr>
          <w:p>
            <w:pPr>
              <w:pStyle w:val="TableContents"/>
              <w:spacing w:before="0" w:after="283"/>
              <w:rPr/>
            </w:pPr>
            <w:r>
              <w:rPr/>
              <w:t xml:space="preserve">  </w:t>
            </w:r>
          </w:p>
        </w:tc>
        <w:tc>
          <w:tcPr>
            <w:tcW w:w="1267"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change</w:t>
            </w:r>
          </w:p>
        </w:tc>
        <w:tc>
          <w:tcPr>
            <w:tcW w:w="282" w:type="dxa"/>
            <w:tcBorders/>
            <w:shd w:fill="auto" w:val="clear"/>
            <w:vAlign w:val="bottom"/>
          </w:tcPr>
          <w:p>
            <w:pPr>
              <w:pStyle w:val="TableContents"/>
              <w:spacing w:before="0" w:after="283"/>
              <w:rPr/>
            </w:pPr>
            <w:r>
              <w:rPr/>
              <w:t xml:space="preserve">  </w:t>
            </w:r>
          </w:p>
        </w:tc>
      </w:tr>
      <w:tr>
        <w:trPr/>
        <w:tc>
          <w:tcPr>
            <w:tcW w:w="380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Industrial Technology</w:t>
            </w:r>
          </w:p>
        </w:tc>
        <w:tc>
          <w:tcPr>
            <w:tcW w:w="140" w:type="dxa"/>
            <w:tcBorders/>
            <w:shd w:fill="auto" w:val="clear"/>
            <w:vAlign w:val="bottom"/>
          </w:tcPr>
          <w:p>
            <w:pPr>
              <w:pStyle w:val="TableContents"/>
              <w:spacing w:before="0" w:after="283"/>
              <w:rPr/>
            </w:pPr>
            <w:r>
              <w:rPr/>
              <w:t xml:space="preserve">  </w:t>
            </w:r>
          </w:p>
        </w:tc>
        <w:tc>
          <w:tcPr>
            <w:tcW w:w="14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113,981</w:t>
            </w:r>
          </w:p>
        </w:tc>
        <w:tc>
          <w:tcPr>
            <w:tcW w:w="140" w:type="dxa"/>
            <w:tcBorders/>
            <w:shd w:fill="auto" w:val="clear"/>
            <w:vAlign w:val="bottom"/>
          </w:tcPr>
          <w:p>
            <w:pPr>
              <w:pStyle w:val="TableContents"/>
              <w:spacing w:before="0" w:after="283"/>
              <w:rPr/>
            </w:pPr>
            <w:r>
              <w:rPr/>
              <w:t xml:space="preserve">  </w:t>
            </w:r>
          </w:p>
        </w:tc>
        <w:tc>
          <w:tcPr>
            <w:tcW w:w="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52,079</w:t>
            </w:r>
          </w:p>
        </w:tc>
        <w:tc>
          <w:tcPr>
            <w:tcW w:w="282" w:type="dxa"/>
            <w:tcBorders/>
            <w:shd w:fill="auto" w:val="clear"/>
            <w:vAlign w:val="bottom"/>
          </w:tcPr>
          <w:p>
            <w:pPr>
              <w:pStyle w:val="TableContents"/>
              <w:spacing w:before="0" w:after="283"/>
              <w:rPr/>
            </w:pPr>
            <w:r>
              <w:rPr/>
              <w:t xml:space="preserve">  </w:t>
            </w:r>
          </w:p>
        </w:tc>
        <w:tc>
          <w:tcPr>
            <w:tcW w:w="126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118.9</w:t>
            </w:r>
          </w:p>
        </w:tc>
        <w:tc>
          <w:tcPr>
            <w:tcW w:w="28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380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Energy Systems and Controls</w:t>
            </w:r>
          </w:p>
        </w:tc>
        <w:tc>
          <w:tcPr>
            <w:tcW w:w="140" w:type="dxa"/>
            <w:tcBorders/>
            <w:shd w:fill="auto" w:val="clear"/>
            <w:vAlign w:val="bottom"/>
          </w:tcPr>
          <w:p>
            <w:pPr>
              <w:pStyle w:val="TableContents"/>
              <w:spacing w:before="0" w:after="283"/>
              <w:rPr/>
            </w:pPr>
            <w:r>
              <w:rPr/>
              <w:t xml:space="preserve">  </w:t>
            </w:r>
          </w:p>
        </w:tc>
        <w:tc>
          <w:tcPr>
            <w:tcW w:w="140" w:type="dxa"/>
            <w:tcBorders/>
            <w:shd w:fill="auto" w:val="clear"/>
            <w:vAlign w:val="bottom"/>
          </w:tcPr>
          <w:p>
            <w:pPr>
              <w:pStyle w:val="TableContents"/>
              <w:spacing w:before="0" w:after="283"/>
              <w:rPr/>
            </w:pPr>
            <w:r>
              <w:rPr/>
              <w:t xml:space="preserve">  </w:t>
            </w:r>
          </w:p>
        </w:tc>
        <w:tc>
          <w:tcPr>
            <w:tcW w:w="9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104,466</w:t>
            </w:r>
          </w:p>
        </w:tc>
        <w:tc>
          <w:tcPr>
            <w:tcW w:w="140" w:type="dxa"/>
            <w:tcBorders/>
            <w:shd w:fill="auto" w:val="clear"/>
            <w:vAlign w:val="bottom"/>
          </w:tcPr>
          <w:p>
            <w:pPr>
              <w:pStyle w:val="TableContents"/>
              <w:spacing w:before="0" w:after="283"/>
              <w:rPr/>
            </w:pPr>
            <w:r>
              <w:rPr/>
              <w:t xml:space="preserve">  </w:t>
            </w:r>
          </w:p>
        </w:tc>
        <w:tc>
          <w:tcPr>
            <w:tcW w:w="140" w:type="dxa"/>
            <w:tcBorders/>
            <w:shd w:fill="auto" w:val="clear"/>
            <w:vAlign w:val="bottom"/>
          </w:tcPr>
          <w:p>
            <w:pPr>
              <w:pStyle w:val="TableContents"/>
              <w:spacing w:before="0" w:after="283"/>
              <w:rPr/>
            </w:pPr>
            <w:r>
              <w:rPr/>
              <w:t xml:space="preserve">  </w:t>
            </w:r>
          </w:p>
        </w:tc>
        <w:tc>
          <w:tcPr>
            <w:tcW w:w="9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70,901</w:t>
            </w:r>
          </w:p>
        </w:tc>
        <w:tc>
          <w:tcPr>
            <w:tcW w:w="282" w:type="dxa"/>
            <w:tcBorders/>
            <w:shd w:fill="auto" w:val="clear"/>
            <w:vAlign w:val="bottom"/>
          </w:tcPr>
          <w:p>
            <w:pPr>
              <w:pStyle w:val="TableContents"/>
              <w:spacing w:before="0" w:after="283"/>
              <w:rPr/>
            </w:pPr>
            <w:r>
              <w:rPr/>
              <w:t xml:space="preserve">  </w:t>
            </w:r>
          </w:p>
        </w:tc>
        <w:tc>
          <w:tcPr>
            <w:tcW w:w="126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47.3</w:t>
            </w:r>
          </w:p>
        </w:tc>
        <w:tc>
          <w:tcPr>
            <w:tcW w:w="282" w:type="dxa"/>
            <w:tcBorders/>
            <w:shd w:fill="auto" w:val="clear"/>
            <w:vAlign w:val="bottom"/>
          </w:tcPr>
          <w:p>
            <w:pPr>
              <w:pStyle w:val="TableContents"/>
              <w:spacing w:before="0" w:after="283"/>
              <w:rPr/>
            </w:pPr>
            <w:r>
              <w:rPr/>
              <w:t xml:space="preserve">  </w:t>
            </w:r>
          </w:p>
        </w:tc>
      </w:tr>
      <w:tr>
        <w:trPr/>
        <w:tc>
          <w:tcPr>
            <w:tcW w:w="380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Medical and Scientific Imaging</w:t>
            </w:r>
          </w:p>
        </w:tc>
        <w:tc>
          <w:tcPr>
            <w:tcW w:w="140" w:type="dxa"/>
            <w:tcBorders/>
            <w:shd w:fill="auto" w:val="clear"/>
            <w:vAlign w:val="bottom"/>
          </w:tcPr>
          <w:p>
            <w:pPr>
              <w:pStyle w:val="TableContents"/>
              <w:spacing w:before="0" w:after="283"/>
              <w:rPr/>
            </w:pPr>
            <w:r>
              <w:rPr/>
              <w:t xml:space="preserve">  </w:t>
            </w:r>
          </w:p>
        </w:tc>
        <w:tc>
          <w:tcPr>
            <w:tcW w:w="140" w:type="dxa"/>
            <w:tcBorders/>
            <w:shd w:fill="auto" w:val="clear"/>
            <w:vAlign w:val="bottom"/>
          </w:tcPr>
          <w:p>
            <w:pPr>
              <w:pStyle w:val="TableContents"/>
              <w:spacing w:before="0" w:after="283"/>
              <w:rPr/>
            </w:pPr>
            <w:r>
              <w:rPr/>
              <w:t xml:space="preserve">  </w:t>
            </w:r>
          </w:p>
        </w:tc>
        <w:tc>
          <w:tcPr>
            <w:tcW w:w="9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103,769</w:t>
            </w:r>
          </w:p>
        </w:tc>
        <w:tc>
          <w:tcPr>
            <w:tcW w:w="140" w:type="dxa"/>
            <w:tcBorders/>
            <w:shd w:fill="auto" w:val="clear"/>
            <w:vAlign w:val="bottom"/>
          </w:tcPr>
          <w:p>
            <w:pPr>
              <w:pStyle w:val="TableContents"/>
              <w:spacing w:before="0" w:after="283"/>
              <w:rPr/>
            </w:pPr>
            <w:r>
              <w:rPr/>
              <w:t xml:space="preserve">  </w:t>
            </w:r>
          </w:p>
        </w:tc>
        <w:tc>
          <w:tcPr>
            <w:tcW w:w="140" w:type="dxa"/>
            <w:tcBorders/>
            <w:shd w:fill="auto" w:val="clear"/>
            <w:vAlign w:val="bottom"/>
          </w:tcPr>
          <w:p>
            <w:pPr>
              <w:pStyle w:val="TableContents"/>
              <w:spacing w:before="0" w:after="283"/>
              <w:rPr/>
            </w:pPr>
            <w:r>
              <w:rPr/>
              <w:t xml:space="preserve">  </w:t>
            </w:r>
          </w:p>
        </w:tc>
        <w:tc>
          <w:tcPr>
            <w:tcW w:w="9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73,747</w:t>
            </w:r>
          </w:p>
        </w:tc>
        <w:tc>
          <w:tcPr>
            <w:tcW w:w="282" w:type="dxa"/>
            <w:tcBorders/>
            <w:shd w:fill="auto" w:val="clear"/>
            <w:vAlign w:val="bottom"/>
          </w:tcPr>
          <w:p>
            <w:pPr>
              <w:pStyle w:val="TableContents"/>
              <w:spacing w:before="0" w:after="283"/>
              <w:rPr/>
            </w:pPr>
            <w:r>
              <w:rPr/>
              <w:t xml:space="preserve">  </w:t>
            </w:r>
          </w:p>
        </w:tc>
        <w:tc>
          <w:tcPr>
            <w:tcW w:w="126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40.7</w:t>
            </w:r>
          </w:p>
        </w:tc>
        <w:tc>
          <w:tcPr>
            <w:tcW w:w="282" w:type="dxa"/>
            <w:tcBorders/>
            <w:shd w:fill="auto" w:val="clear"/>
            <w:vAlign w:val="bottom"/>
          </w:tcPr>
          <w:p>
            <w:pPr>
              <w:pStyle w:val="TableContents"/>
              <w:spacing w:before="0" w:after="283"/>
              <w:rPr/>
            </w:pPr>
            <w:r>
              <w:rPr/>
              <w:t xml:space="preserve">  </w:t>
            </w:r>
          </w:p>
        </w:tc>
      </w:tr>
      <w:tr>
        <w:trPr/>
        <w:tc>
          <w:tcPr>
            <w:tcW w:w="380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RF Technology</w:t>
            </w:r>
          </w:p>
        </w:tc>
        <w:tc>
          <w:tcPr>
            <w:tcW w:w="140" w:type="dxa"/>
            <w:tcBorders/>
            <w:shd w:fill="auto" w:val="clear"/>
            <w:vAlign w:val="bottom"/>
          </w:tcPr>
          <w:p>
            <w:pPr>
              <w:pStyle w:val="TableContents"/>
              <w:spacing w:before="0" w:after="283"/>
              <w:rPr/>
            </w:pPr>
            <w:r>
              <w:rPr/>
              <w:t xml:space="preserve">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8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463,115</w:t>
            </w:r>
          </w:p>
        </w:tc>
        <w:tc>
          <w:tcPr>
            <w:tcW w:w="140" w:type="dxa"/>
            <w:tcBorders/>
            <w:shd w:fill="auto" w:val="clear"/>
            <w:vAlign w:val="bottom"/>
          </w:tcPr>
          <w:p>
            <w:pPr>
              <w:pStyle w:val="TableContents"/>
              <w:spacing w:before="0" w:after="283"/>
              <w:rPr/>
            </w:pPr>
            <w:r>
              <w:rPr/>
              <w:t xml:space="preserve">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8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368,762</w:t>
            </w:r>
          </w:p>
        </w:tc>
        <w:tc>
          <w:tcPr>
            <w:tcW w:w="282" w:type="dxa"/>
            <w:tcBorders/>
            <w:shd w:fill="auto" w:val="clear"/>
            <w:vAlign w:val="bottom"/>
          </w:tcPr>
          <w:p>
            <w:pPr>
              <w:pStyle w:val="TableContents"/>
              <w:spacing w:before="0" w:after="283"/>
              <w:rPr/>
            </w:pPr>
            <w:r>
              <w:rPr/>
              <w:t xml:space="preserve">  </w:t>
            </w:r>
          </w:p>
        </w:tc>
        <w:tc>
          <w:tcPr>
            <w:tcW w:w="126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25.6</w:t>
            </w:r>
          </w:p>
        </w:tc>
        <w:tc>
          <w:tcPr>
            <w:tcW w:w="282" w:type="dxa"/>
            <w:tcBorders/>
            <w:shd w:fill="auto" w:val="clear"/>
            <w:vAlign w:val="bottom"/>
          </w:tcPr>
          <w:p>
            <w:pPr>
              <w:pStyle w:val="TableContents"/>
              <w:spacing w:before="0" w:after="283"/>
              <w:rPr/>
            </w:pPr>
            <w:r>
              <w:rPr/>
              <w:t xml:space="preserve">  </w:t>
            </w:r>
          </w:p>
        </w:tc>
      </w:tr>
      <w:tr>
        <w:trPr/>
        <w:tc>
          <w:tcPr>
            <w:tcW w:w="380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40" w:type="dxa"/>
            <w:tcBorders/>
            <w:shd w:fill="auto" w:val="clear"/>
            <w:vAlign w:val="bottom"/>
          </w:tcPr>
          <w:p>
            <w:pPr>
              <w:pStyle w:val="TableContents"/>
              <w:spacing w:before="0" w:after="283"/>
              <w:rPr/>
            </w:pPr>
            <w:r>
              <w:rPr/>
              <w:t xml:space="preserve">  </w:t>
            </w:r>
          </w:p>
        </w:tc>
        <w:tc>
          <w:tcPr>
            <w:tcW w:w="14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8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785,358</w:t>
            </w:r>
          </w:p>
        </w:tc>
        <w:tc>
          <w:tcPr>
            <w:tcW w:w="140" w:type="dxa"/>
            <w:tcBorders/>
            <w:shd w:fill="auto" w:val="clear"/>
            <w:vAlign w:val="bottom"/>
          </w:tcPr>
          <w:p>
            <w:pPr>
              <w:pStyle w:val="TableContents"/>
              <w:spacing w:before="0" w:after="283"/>
              <w:rPr/>
            </w:pPr>
            <w:r>
              <w:rPr/>
              <w:t xml:space="preserve">  </w:t>
            </w:r>
          </w:p>
        </w:tc>
        <w:tc>
          <w:tcPr>
            <w:tcW w:w="14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8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565,489</w:t>
            </w:r>
          </w:p>
        </w:tc>
        <w:tc>
          <w:tcPr>
            <w:tcW w:w="282" w:type="dxa"/>
            <w:tcBorders/>
            <w:shd w:fill="auto" w:val="clear"/>
            <w:vAlign w:val="bottom"/>
          </w:tcPr>
          <w:p>
            <w:pPr>
              <w:pStyle w:val="TableContents"/>
              <w:spacing w:before="0" w:after="283"/>
              <w:rPr/>
            </w:pPr>
            <w:r>
              <w:rPr/>
              <w:t xml:space="preserve">  </w:t>
            </w:r>
          </w:p>
        </w:tc>
        <w:tc>
          <w:tcPr>
            <w:tcW w:w="126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38.9</w:t>
            </w:r>
          </w:p>
        </w:tc>
        <w:tc>
          <w:tcPr>
            <w:tcW w:w="28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Year Ended December 31, 2009 Compared to Year Ended December 31, 2008</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sales for the year ended December 31, 2009 were $2.05 billion as compared to sales of $2.31 billion for the year ended December 31, 2008, a decrease of 11.1%. This decrease was the result of the worldwide economic slump experienced throughout 2009. Our 2009 results included a full year of sales from our 2008 acquisitions of CBORD, Tech-Pro, Chalwyn, Getloaded, Horizon and Technolog.  These results also included two months from UTS and one month from Verathon. Net sales of these acquisitions accounted for approximately $79 million of additional sales in 2009 over 2008 that was offset by a decrease in sales of our other business of $335 million, or 15%, which includes negative organic growth of 14% and a 1% negative foreign exchange impact.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order to mitigate the effects of the weakened global economy on our financial results, we committed to certain severance and related cost-control actions during the year ended December 31, 2009.  The cost of these actions totaled $12.4 million, $4.1 million of which was recorded as cost of goods sold and the remaining $8.3 million as selling, general and administrative (“SG&amp;A”) expense.  As of December 31, 2010, $12.0 million in cash payments had been made, with the remaining $0.4 million reported as accrued liabilities, which are expected to be paid in 2011.  We had no additional material severance and related cost control actions in 2010. The impact of these costs on our business segment results is included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Medical and Scientific Imaging segment reported a $20.8 million or 5.5% decrease in net sales for the year ended December 31, 2009 over the year ended December 31, 2008.  Organic sales decreased 7.3% due to lower shipments to research and imaging markets and the impact from foreign exchange was negative 1.6%.  These declines were slightly offset by one month of sales from Verathon.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our Energy Systems and Controls segment, net sales for the year ended December 31, 2009 decreased by $107.3 million or 19.6% over the year ended December 31, 2008. We experienced negative internal growth of approximately $108.5 million or 19.9%, which includes a 2.2% negative foreign exchange impact.  The decrease in sales was due to broad-based weakness in the markets serviced by the segment which led to reduced demand for our instruments, valves and sensors sold into these markets.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sales for our Industrial Technology segment decreased by $151.4 million or 22.0% for the year ended December 31, 2009 over the year ended December 31, 2008. The decrease was due to a generally weak economy, fewer projects for automatic meter reading deployment at Neptune and the slowdown or temporary shutdowns of many customer manufacturing facilities which impacted our materials testing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our RF Technology segment, net sales for the year ended December 31, 2009 increased by $22.8 million or 3.3% over the year ended December 31, 2008. Internal sales decreased 6.2% due to weakness in security markets and lower hardware and tag sales related to transportation projects.  Partial year results from the acquisition of UTS and full-year results of 2008 acquisitions added 9.3%.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overall gross profit percentage was 50.9% for the year ended December 31, 2009, as compared to 51.5% for the year ended December 31, 2008.  The $4.1 million in restructuring charges included in cost of goods sold represented 0.2% as a percentage of net sales in 2009, as our restructuring and other cost containment actions at the business unit level nearly offset the negative operating leverage on decreased sales. Our Industrial Technology and Energy Systems and Controls segments both experienced lower gross margins due to the decline in sales as a result of weakness in their end markets. Medical and Scientific Imaging segment gross margins increased primarily due to favorable product mix, lower costs and favorable leverage due to a record fourth quarter sales performance. Our RF Technology segment gross margins were negat ively impacted by an unfavorable product mix due to higher service revenue and lower hardware shipments in transportation end markets.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Selling, general and administrative expenses decreased $54.4 million to $647.7 million in 2009 as compared to $702.1 million in 2008, while increasing as a percentage of net sales to 31.6% for the year ended December 31, 2009 as compared to 30.4% for the year ended December 31, 2008. The change is primarily due to negative operating leverage on lower sales.  Included in the 2009 expense were restructuring costs of $8.3 million.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Interest expense decreased $2.3 million, or 3.7%, for the year ended December 31, 2009 compared to the year ended December 31, 2008, primarily due to the inclusion in 2008 of amortization of the debt discount on our convertible notes, which ceased on January 15, 2009.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income for the year ended December 31, 2009 was $2.9 million, which was primarily due to a pre-tax gain of $4.1 million related to the sale of certain assets of our satellite communications business, partially offset by a $0.4 million pre-tax debt extinguishment charge for the early repayment of our term loan and foreign exchange losses at our non-U.S. based companies.  Other income for the year ended December 31, 2008 was $3.5 million, primarily due to foreign exchange gains at our non-U.S. based companies, offset by a $3.1 million pre-tax debt extinguishment charge in the third quarter of 2008 related to the refinancing of our credit facility.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2009, our effective income tax rate was 29.5% versus 34.3% in 2008. This decrease was due primarily to certain foreign tax planning initiatives, our decision to permanently reinvest prior earnings in certain foreign jurisdictions, the release of reserves related to uncertain tax provisions and an approximately $1.8 million discrete benefit related to the resolution of a tax item in a foreign jurisdiction.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December 31, 2009, the functional currencies of our European and Canadian subsidiaries were stronger against the U.S. dollar compared to currency exchange rates at December 31, 2008. The net result of these changes led to an increase in the foreign exchange component of comprehensive earnings of $42.4 million in the year ending December 31, 2009. Approximately $28.2 million of these adjustments related to goodwill and are not expected to directly affect our projected future cash flows. For the entire year of 2009, operating profit decreased by approximately 1% due to fluctuations in non-U.S. currencies.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our net order information for the years ended December 31, 2009 and 2008 (dollar amounts in thousands). </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3736"/>
        <w:gridCol w:w="138"/>
        <w:gridCol w:w="138"/>
        <w:gridCol w:w="1107"/>
        <w:gridCol w:w="277"/>
        <w:gridCol w:w="138"/>
        <w:gridCol w:w="1384"/>
        <w:gridCol w:w="139"/>
        <w:gridCol w:w="830"/>
        <w:gridCol w:w="277"/>
      </w:tblGrid>
      <w:tr>
        <w:trPr/>
        <w:tc>
          <w:tcPr>
            <w:tcW w:w="3736"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12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277" w:type="dxa"/>
            <w:tcBorders/>
            <w:shd w:fill="auto" w:val="clear"/>
            <w:vAlign w:val="bottom"/>
          </w:tcPr>
          <w:p>
            <w:pPr>
              <w:pStyle w:val="TableContents"/>
              <w:spacing w:before="0" w:after="283"/>
              <w:rPr/>
            </w:pPr>
            <w:r>
              <w:rPr/>
              <w:t xml:space="preserve">  </w:t>
            </w:r>
          </w:p>
        </w:tc>
        <w:tc>
          <w:tcPr>
            <w:tcW w:w="15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2008</w:t>
            </w:r>
          </w:p>
        </w:tc>
        <w:tc>
          <w:tcPr>
            <w:tcW w:w="139" w:type="dxa"/>
            <w:tcBorders/>
            <w:shd w:fill="auto" w:val="clear"/>
            <w:vAlign w:val="bottom"/>
          </w:tcPr>
          <w:p>
            <w:pPr>
              <w:pStyle w:val="TableContents"/>
              <w:spacing w:before="0" w:after="283"/>
              <w:rPr/>
            </w:pPr>
            <w:r>
              <w:rPr/>
              <w:t xml:space="preserve">  </w:t>
            </w:r>
          </w:p>
        </w:tc>
        <w:tc>
          <w:tcPr>
            <w:tcW w:w="830"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change</w:t>
            </w:r>
          </w:p>
        </w:tc>
        <w:tc>
          <w:tcPr>
            <w:tcW w:w="277" w:type="dxa"/>
            <w:tcBorders/>
            <w:shd w:fill="auto" w:val="clear"/>
            <w:vAlign w:val="bottom"/>
          </w:tcPr>
          <w:p>
            <w:pPr>
              <w:pStyle w:val="TableContents"/>
              <w:spacing w:before="0" w:after="283"/>
              <w:rPr/>
            </w:pPr>
            <w:r>
              <w:rPr/>
              <w:t xml:space="preserve">  </w:t>
            </w:r>
          </w:p>
        </w:tc>
      </w:tr>
      <w:tr>
        <w:trPr/>
        <w:tc>
          <w:tcPr>
            <w:tcW w:w="373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Industrial Technology</w:t>
            </w:r>
          </w:p>
        </w:tc>
        <w:tc>
          <w:tcPr>
            <w:tcW w:w="138"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528,208</w:t>
            </w:r>
          </w:p>
        </w:tc>
        <w:tc>
          <w:tcPr>
            <w:tcW w:w="277"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656,176</w:t>
            </w:r>
          </w:p>
        </w:tc>
        <w:tc>
          <w:tcPr>
            <w:tcW w:w="139" w:type="dxa"/>
            <w:tcBorders/>
            <w:shd w:fill="auto" w:val="clear"/>
            <w:vAlign w:val="bottom"/>
          </w:tcPr>
          <w:p>
            <w:pPr>
              <w:pStyle w:val="TableContents"/>
              <w:spacing w:before="0" w:after="283"/>
              <w:rPr/>
            </w:pPr>
            <w:r>
              <w:rPr/>
              <w:t xml:space="preserve">  </w:t>
            </w:r>
          </w:p>
        </w:tc>
        <w:tc>
          <w:tcPr>
            <w:tcW w:w="83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(19.5</w:t>
            </w:r>
          </w:p>
        </w:tc>
        <w:tc>
          <w:tcPr>
            <w:tcW w:w="27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373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Energy Systems and Controls</w:t>
            </w:r>
          </w:p>
        </w:tc>
        <w:tc>
          <w:tcPr>
            <w:tcW w:w="138"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110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427,003</w:t>
            </w:r>
          </w:p>
        </w:tc>
        <w:tc>
          <w:tcPr>
            <w:tcW w:w="277"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13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541,472</w:t>
            </w:r>
          </w:p>
        </w:tc>
        <w:tc>
          <w:tcPr>
            <w:tcW w:w="139" w:type="dxa"/>
            <w:tcBorders/>
            <w:shd w:fill="auto" w:val="clear"/>
            <w:vAlign w:val="bottom"/>
          </w:tcPr>
          <w:p>
            <w:pPr>
              <w:pStyle w:val="TableContents"/>
              <w:spacing w:before="0" w:after="283"/>
              <w:rPr/>
            </w:pPr>
            <w:r>
              <w:rPr/>
              <w:t xml:space="preserve">  </w:t>
            </w:r>
          </w:p>
        </w:tc>
        <w:tc>
          <w:tcPr>
            <w:tcW w:w="83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(21.1</w:t>
            </w:r>
          </w:p>
        </w:tc>
        <w:tc>
          <w:tcPr>
            <w:tcW w:w="27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373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Medical and Scientific Imaging</w:t>
            </w:r>
          </w:p>
        </w:tc>
        <w:tc>
          <w:tcPr>
            <w:tcW w:w="138"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110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349,132</w:t>
            </w:r>
          </w:p>
        </w:tc>
        <w:tc>
          <w:tcPr>
            <w:tcW w:w="277"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13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383,543</w:t>
            </w:r>
          </w:p>
        </w:tc>
        <w:tc>
          <w:tcPr>
            <w:tcW w:w="139" w:type="dxa"/>
            <w:tcBorders/>
            <w:shd w:fill="auto" w:val="clear"/>
            <w:vAlign w:val="bottom"/>
          </w:tcPr>
          <w:p>
            <w:pPr>
              <w:pStyle w:val="TableContents"/>
              <w:spacing w:before="0" w:after="283"/>
              <w:rPr/>
            </w:pPr>
            <w:r>
              <w:rPr/>
              <w:t xml:space="preserve">  </w:t>
            </w:r>
          </w:p>
        </w:tc>
        <w:tc>
          <w:tcPr>
            <w:tcW w:w="83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(9.0</w:t>
            </w:r>
          </w:p>
        </w:tc>
        <w:tc>
          <w:tcPr>
            <w:tcW w:w="27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373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RF Technology</w:t>
            </w:r>
          </w:p>
        </w:tc>
        <w:tc>
          <w:tcPr>
            <w:tcW w:w="138" w:type="dxa"/>
            <w:tcBorders/>
            <w:shd w:fill="auto" w:val="clear"/>
            <w:vAlign w:val="bottom"/>
          </w:tcPr>
          <w:p>
            <w:pPr>
              <w:pStyle w:val="TableContents"/>
              <w:spacing w:before="0" w:after="283"/>
              <w:rPr/>
            </w:pPr>
            <w:r>
              <w:rPr/>
              <w:t xml:space="preserve">  </w:t>
            </w:r>
          </w:p>
        </w:tc>
        <w:tc>
          <w:tcPr>
            <w:tcW w:w="138"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0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719,666</w:t>
            </w:r>
          </w:p>
        </w:tc>
        <w:tc>
          <w:tcPr>
            <w:tcW w:w="277" w:type="dxa"/>
            <w:tcBorders/>
            <w:shd w:fill="auto" w:val="clear"/>
            <w:vAlign w:val="bottom"/>
          </w:tcPr>
          <w:p>
            <w:pPr>
              <w:pStyle w:val="TableContents"/>
              <w:spacing w:before="0" w:after="283"/>
              <w:rPr/>
            </w:pPr>
            <w:r>
              <w:rPr/>
              <w:t xml:space="preserve">  </w:t>
            </w:r>
          </w:p>
        </w:tc>
        <w:tc>
          <w:tcPr>
            <w:tcW w:w="138"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384"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722,670</w:t>
            </w:r>
          </w:p>
        </w:tc>
        <w:tc>
          <w:tcPr>
            <w:tcW w:w="139" w:type="dxa"/>
            <w:tcBorders/>
            <w:shd w:fill="auto" w:val="clear"/>
            <w:vAlign w:val="bottom"/>
          </w:tcPr>
          <w:p>
            <w:pPr>
              <w:pStyle w:val="TableContents"/>
              <w:spacing w:before="0" w:after="283"/>
              <w:rPr/>
            </w:pPr>
            <w:r>
              <w:rPr/>
              <w:t xml:space="preserve">  </w:t>
            </w:r>
          </w:p>
        </w:tc>
        <w:tc>
          <w:tcPr>
            <w:tcW w:w="830"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(0.4</w:t>
            </w:r>
          </w:p>
        </w:tc>
        <w:tc>
          <w:tcPr>
            <w:tcW w:w="27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373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38" w:type="dxa"/>
            <w:tcBorders/>
            <w:shd w:fill="auto" w:val="clear"/>
            <w:vAlign w:val="bottom"/>
          </w:tcPr>
          <w:p>
            <w:pPr>
              <w:pStyle w:val="TableContents"/>
              <w:spacing w:before="0" w:after="283"/>
              <w:rPr/>
            </w:pPr>
            <w:r>
              <w:rPr/>
              <w:t xml:space="preserve">  </w:t>
            </w:r>
          </w:p>
        </w:tc>
        <w:tc>
          <w:tcPr>
            <w:tcW w:w="13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2,024,009</w:t>
            </w:r>
          </w:p>
        </w:tc>
        <w:tc>
          <w:tcPr>
            <w:tcW w:w="277" w:type="dxa"/>
            <w:tcBorders/>
            <w:shd w:fill="auto" w:val="clear"/>
            <w:vAlign w:val="bottom"/>
          </w:tcPr>
          <w:p>
            <w:pPr>
              <w:pStyle w:val="TableContents"/>
              <w:spacing w:before="0" w:after="283"/>
              <w:rPr/>
            </w:pPr>
            <w:r>
              <w:rPr/>
              <w:t xml:space="preserve">  </w:t>
            </w:r>
          </w:p>
        </w:tc>
        <w:tc>
          <w:tcPr>
            <w:tcW w:w="138"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84"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2,303,861</w:t>
            </w:r>
          </w:p>
        </w:tc>
        <w:tc>
          <w:tcPr>
            <w:tcW w:w="139" w:type="dxa"/>
            <w:tcBorders/>
            <w:shd w:fill="auto" w:val="clear"/>
            <w:vAlign w:val="bottom"/>
          </w:tcPr>
          <w:p>
            <w:pPr>
              <w:pStyle w:val="TableContents"/>
              <w:spacing w:before="0" w:after="283"/>
              <w:rPr/>
            </w:pPr>
            <w:r>
              <w:rPr/>
              <w:t xml:space="preserve">  </w:t>
            </w:r>
          </w:p>
        </w:tc>
        <w:tc>
          <w:tcPr>
            <w:tcW w:w="83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(12.1</w:t>
            </w:r>
          </w:p>
        </w:tc>
        <w:tc>
          <w:tcPr>
            <w:tcW w:w="27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decrease in orders is due to overwhelming weaknesses in world markets, however, order backlog as of December 31, 2009, only decreased by 4.1% as compared to December 31, 2008.  This was due primarily to a fourth quarter order increase in our Medical and Scientific Imaging and RF Technology segments.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order backlog information at December 31, 2009 and 2008 (dollar amounts in thousands). Our policy is to include in backlog only orders scheduled for shipment within twelve months.</w:t>
      </w:r>
    </w:p>
    <w:p>
      <w:pPr>
        <w:pStyle w:val="TextBody"/>
        <w:spacing w:before="0" w:after="0"/>
        <w:ind w:left="0" w:right="0" w:hanging="0"/>
        <w:jc w:val="left"/>
        <w:rPr/>
      </w:pPr>
      <w:r>
        <w:rPr/>
        <w:t> </w:t>
      </w:r>
    </w:p>
    <w:tbl>
      <w:tblPr>
        <w:tblW w:w="4000" w:type="pct"/>
        <w:jc w:val="center"/>
        <w:tblInd w:w="0" w:type="dxa"/>
        <w:tblCellMar>
          <w:top w:w="0" w:type="dxa"/>
          <w:left w:w="0" w:type="dxa"/>
          <w:bottom w:w="0" w:type="dxa"/>
          <w:right w:w="0" w:type="dxa"/>
        </w:tblCellMar>
      </w:tblPr>
      <w:tblGrid>
        <w:gridCol w:w="4010"/>
        <w:gridCol w:w="148"/>
        <w:gridCol w:w="148"/>
        <w:gridCol w:w="1039"/>
        <w:gridCol w:w="147"/>
        <w:gridCol w:w="148"/>
        <w:gridCol w:w="1039"/>
        <w:gridCol w:w="297"/>
        <w:gridCol w:w="891"/>
        <w:gridCol w:w="297"/>
      </w:tblGrid>
      <w:tr>
        <w:trPr/>
        <w:tc>
          <w:tcPr>
            <w:tcW w:w="4010" w:type="dxa"/>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rPr/>
            </w:pPr>
            <w:r>
              <w:rPr/>
              <w:t xml:space="preserve">  </w:t>
            </w:r>
          </w:p>
        </w:tc>
        <w:tc>
          <w:tcPr>
            <w:tcW w:w="11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147" w:type="dxa"/>
            <w:tcBorders/>
            <w:shd w:fill="auto" w:val="clear"/>
            <w:vAlign w:val="bottom"/>
          </w:tcPr>
          <w:p>
            <w:pPr>
              <w:pStyle w:val="TableContents"/>
              <w:spacing w:before="0" w:after="283"/>
              <w:rPr/>
            </w:pPr>
            <w:r>
              <w:rPr/>
              <w:t xml:space="preserve">  </w:t>
            </w:r>
          </w:p>
        </w:tc>
        <w:tc>
          <w:tcPr>
            <w:tcW w:w="11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2008</w:t>
            </w:r>
          </w:p>
        </w:tc>
        <w:tc>
          <w:tcPr>
            <w:tcW w:w="297" w:type="dxa"/>
            <w:tcBorders/>
            <w:shd w:fill="auto" w:val="clear"/>
            <w:vAlign w:val="bottom"/>
          </w:tcPr>
          <w:p>
            <w:pPr>
              <w:pStyle w:val="TableContents"/>
              <w:spacing w:before="0" w:after="283"/>
              <w:rPr/>
            </w:pPr>
            <w:r>
              <w:rPr/>
              <w:t xml:space="preserve">  </w:t>
            </w:r>
          </w:p>
        </w:tc>
        <w:tc>
          <w:tcPr>
            <w:tcW w:w="89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change</w:t>
            </w:r>
          </w:p>
        </w:tc>
        <w:tc>
          <w:tcPr>
            <w:tcW w:w="297" w:type="dxa"/>
            <w:tcBorders/>
            <w:shd w:fill="auto" w:val="clear"/>
            <w:vAlign w:val="bottom"/>
          </w:tcPr>
          <w:p>
            <w:pPr>
              <w:pStyle w:val="TableContents"/>
              <w:spacing w:before="0" w:after="283"/>
              <w:rPr/>
            </w:pPr>
            <w:r>
              <w:rPr/>
              <w:t xml:space="preserve">  </w:t>
            </w:r>
          </w:p>
        </w:tc>
      </w:tr>
      <w:tr>
        <w:trPr/>
        <w:tc>
          <w:tcPr>
            <w:tcW w:w="401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Industrial Technology</w:t>
            </w:r>
          </w:p>
        </w:tc>
        <w:tc>
          <w:tcPr>
            <w:tcW w:w="148" w:type="dxa"/>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3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52,079</w:t>
            </w:r>
          </w:p>
        </w:tc>
        <w:tc>
          <w:tcPr>
            <w:tcW w:w="147" w:type="dxa"/>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3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59,128</w:t>
            </w:r>
          </w:p>
        </w:tc>
        <w:tc>
          <w:tcPr>
            <w:tcW w:w="297" w:type="dxa"/>
            <w:tcBorders/>
            <w:shd w:fill="auto" w:val="clear"/>
            <w:vAlign w:val="bottom"/>
          </w:tcPr>
          <w:p>
            <w:pPr>
              <w:pStyle w:val="TableContents"/>
              <w:spacing w:before="0" w:after="283"/>
              <w:rPr/>
            </w:pPr>
            <w:r>
              <w:rPr/>
              <w:t xml:space="preserve">  </w:t>
            </w:r>
          </w:p>
        </w:tc>
        <w:tc>
          <w:tcPr>
            <w:tcW w:w="89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(11.9</w:t>
            </w:r>
          </w:p>
        </w:tc>
        <w:tc>
          <w:tcPr>
            <w:tcW w:w="2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01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Energy Systems and Controls</w:t>
            </w:r>
          </w:p>
        </w:tc>
        <w:tc>
          <w:tcPr>
            <w:tcW w:w="148" w:type="dxa"/>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rPr/>
            </w:pPr>
            <w:r>
              <w:rPr/>
              <w:t xml:space="preserve">  </w:t>
            </w:r>
          </w:p>
        </w:tc>
        <w:tc>
          <w:tcPr>
            <w:tcW w:w="103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70,901</w:t>
            </w:r>
          </w:p>
        </w:tc>
        <w:tc>
          <w:tcPr>
            <w:tcW w:w="147" w:type="dxa"/>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rPr/>
            </w:pPr>
            <w:r>
              <w:rPr/>
              <w:t xml:space="preserve">  </w:t>
            </w:r>
          </w:p>
        </w:tc>
        <w:tc>
          <w:tcPr>
            <w:tcW w:w="103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84,997</w:t>
            </w:r>
          </w:p>
        </w:tc>
        <w:tc>
          <w:tcPr>
            <w:tcW w:w="297" w:type="dxa"/>
            <w:tcBorders/>
            <w:shd w:fill="auto" w:val="clear"/>
            <w:vAlign w:val="bottom"/>
          </w:tcPr>
          <w:p>
            <w:pPr>
              <w:pStyle w:val="TableContents"/>
              <w:spacing w:before="0" w:after="283"/>
              <w:rPr/>
            </w:pPr>
            <w:r>
              <w:rPr/>
              <w:t xml:space="preserve">  </w:t>
            </w:r>
          </w:p>
        </w:tc>
        <w:tc>
          <w:tcPr>
            <w:tcW w:w="89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(16.6</w:t>
            </w:r>
          </w:p>
        </w:tc>
        <w:tc>
          <w:tcPr>
            <w:tcW w:w="2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01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Medical and Scientific Imaging</w:t>
            </w:r>
          </w:p>
        </w:tc>
        <w:tc>
          <w:tcPr>
            <w:tcW w:w="148" w:type="dxa"/>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rPr/>
            </w:pPr>
            <w:r>
              <w:rPr/>
              <w:t xml:space="preserve">  </w:t>
            </w:r>
          </w:p>
        </w:tc>
        <w:tc>
          <w:tcPr>
            <w:tcW w:w="103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73,747</w:t>
            </w:r>
          </w:p>
        </w:tc>
        <w:tc>
          <w:tcPr>
            <w:tcW w:w="147" w:type="dxa"/>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rPr/>
            </w:pPr>
            <w:r>
              <w:rPr/>
              <w:t xml:space="preserve">  </w:t>
            </w:r>
          </w:p>
        </w:tc>
        <w:tc>
          <w:tcPr>
            <w:tcW w:w="103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80,020</w:t>
            </w:r>
          </w:p>
        </w:tc>
        <w:tc>
          <w:tcPr>
            <w:tcW w:w="297" w:type="dxa"/>
            <w:tcBorders/>
            <w:shd w:fill="auto" w:val="clear"/>
            <w:vAlign w:val="bottom"/>
          </w:tcPr>
          <w:p>
            <w:pPr>
              <w:pStyle w:val="TableContents"/>
              <w:spacing w:before="0" w:after="283"/>
              <w:rPr/>
            </w:pPr>
            <w:r>
              <w:rPr/>
              <w:t xml:space="preserve">  </w:t>
            </w:r>
          </w:p>
        </w:tc>
        <w:tc>
          <w:tcPr>
            <w:tcW w:w="89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(7.8</w:t>
            </w:r>
          </w:p>
        </w:tc>
        <w:tc>
          <w:tcPr>
            <w:tcW w:w="2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01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RF Technology</w:t>
            </w:r>
          </w:p>
        </w:tc>
        <w:tc>
          <w:tcPr>
            <w:tcW w:w="148" w:type="dxa"/>
            <w:tcBorders/>
            <w:shd w:fill="auto" w:val="clear"/>
            <w:vAlign w:val="bottom"/>
          </w:tcPr>
          <w:p>
            <w:pPr>
              <w:pStyle w:val="TableContents"/>
              <w:spacing w:before="0" w:after="283"/>
              <w:rPr/>
            </w:pPr>
            <w:r>
              <w:rPr/>
              <w:t xml:space="preserve">  </w:t>
            </w:r>
          </w:p>
        </w:tc>
        <w:tc>
          <w:tcPr>
            <w:tcW w:w="148"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3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368,762</w:t>
            </w:r>
          </w:p>
        </w:tc>
        <w:tc>
          <w:tcPr>
            <w:tcW w:w="147" w:type="dxa"/>
            <w:tcBorders/>
            <w:shd w:fill="auto" w:val="clear"/>
            <w:vAlign w:val="bottom"/>
          </w:tcPr>
          <w:p>
            <w:pPr>
              <w:pStyle w:val="TableContents"/>
              <w:spacing w:before="0" w:after="283"/>
              <w:rPr/>
            </w:pPr>
            <w:r>
              <w:rPr/>
              <w:t xml:space="preserve">  </w:t>
            </w:r>
          </w:p>
        </w:tc>
        <w:tc>
          <w:tcPr>
            <w:tcW w:w="148"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3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365,669</w:t>
            </w:r>
          </w:p>
        </w:tc>
        <w:tc>
          <w:tcPr>
            <w:tcW w:w="297" w:type="dxa"/>
            <w:tcBorders/>
            <w:shd w:fill="auto" w:val="clear"/>
            <w:vAlign w:val="bottom"/>
          </w:tcPr>
          <w:p>
            <w:pPr>
              <w:pStyle w:val="TableContents"/>
              <w:spacing w:before="0" w:after="283"/>
              <w:rPr/>
            </w:pPr>
            <w:r>
              <w:rPr/>
              <w:t xml:space="preserve">  </w:t>
            </w:r>
          </w:p>
        </w:tc>
        <w:tc>
          <w:tcPr>
            <w:tcW w:w="891"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0.8</w:t>
            </w:r>
          </w:p>
        </w:tc>
        <w:tc>
          <w:tcPr>
            <w:tcW w:w="297" w:type="dxa"/>
            <w:tcBorders/>
            <w:shd w:fill="auto" w:val="clear"/>
            <w:vAlign w:val="bottom"/>
          </w:tcPr>
          <w:p>
            <w:pPr>
              <w:pStyle w:val="TableContents"/>
              <w:spacing w:before="0" w:after="283"/>
              <w:rPr/>
            </w:pPr>
            <w:r>
              <w:rPr/>
              <w:t xml:space="preserve">  </w:t>
            </w:r>
          </w:p>
        </w:tc>
      </w:tr>
      <w:tr>
        <w:trPr/>
        <w:tc>
          <w:tcPr>
            <w:tcW w:w="401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48" w:type="dxa"/>
            <w:tcBorders/>
            <w:shd w:fill="auto" w:val="clear"/>
            <w:vAlign w:val="bottom"/>
          </w:tcPr>
          <w:p>
            <w:pPr>
              <w:pStyle w:val="TableContents"/>
              <w:spacing w:before="0" w:after="283"/>
              <w:rPr/>
            </w:pPr>
            <w:r>
              <w:rPr/>
              <w:t xml:space="preserve">  </w:t>
            </w:r>
          </w:p>
        </w:tc>
        <w:tc>
          <w:tcPr>
            <w:tcW w:w="14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3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565,489</w:t>
            </w:r>
          </w:p>
        </w:tc>
        <w:tc>
          <w:tcPr>
            <w:tcW w:w="147" w:type="dxa"/>
            <w:tcBorders/>
            <w:shd w:fill="auto" w:val="clear"/>
            <w:vAlign w:val="bottom"/>
          </w:tcPr>
          <w:p>
            <w:pPr>
              <w:pStyle w:val="TableContents"/>
              <w:spacing w:before="0" w:after="283"/>
              <w:rPr/>
            </w:pPr>
            <w:r>
              <w:rPr/>
              <w:t xml:space="preserve">  </w:t>
            </w:r>
          </w:p>
        </w:tc>
        <w:tc>
          <w:tcPr>
            <w:tcW w:w="148"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3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589,814</w:t>
            </w:r>
          </w:p>
        </w:tc>
        <w:tc>
          <w:tcPr>
            <w:tcW w:w="297" w:type="dxa"/>
            <w:tcBorders/>
            <w:shd w:fill="auto" w:val="clear"/>
            <w:vAlign w:val="bottom"/>
          </w:tcPr>
          <w:p>
            <w:pPr>
              <w:pStyle w:val="TableContents"/>
              <w:spacing w:before="0" w:after="283"/>
              <w:rPr/>
            </w:pPr>
            <w:r>
              <w:rPr/>
              <w:t xml:space="preserve">  </w:t>
            </w:r>
          </w:p>
        </w:tc>
        <w:tc>
          <w:tcPr>
            <w:tcW w:w="89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w:t>
            </w:r>
          </w:p>
        </w:tc>
        <w:tc>
          <w:tcPr>
            <w:tcW w:w="29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3" w:name="PGBRK6"/>
      <w:bookmarkStart w:id="174" w:name="PGBRK6"/>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5" w:name="FTR6"/>
      <w:bookmarkStart w:id="176" w:name="FTR6"/>
      <w:bookmarkEnd w:id="1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7" w:name="GLFTR6"/>
      <w:bookmarkEnd w:id="1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8" w:name="PN6"/>
      <w:bookmarkEnd w:id="178"/>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 w:name="HDR6"/>
      <w:bookmarkStart w:id="180" w:name="HDR6"/>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1" w:name="GLHDR6"/>
      <w:bookmarkEnd w:id="1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b/>
          <w:sz w:val="20"/>
        </w:rPr>
      </w:pPr>
      <w:r>
        <w:rPr>
          <w:rFonts w:ascii="Times New Roman" w:hAnsi="Times New Roman"/>
          <w:b/>
          <w:sz w:val="20"/>
        </w:rPr>
        <w:t>Financial Condition, Liquidity and Capital Resources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Selected cash flows for the years ended December 31, 2010, 2009 and 2008 are as follows (in millions):</w:t>
      </w:r>
    </w:p>
    <w:tbl>
      <w:tblPr>
        <w:tblW w:w="3000" w:type="pct"/>
        <w:jc w:val="center"/>
        <w:tblInd w:w="0" w:type="dxa"/>
        <w:tblCellMar>
          <w:top w:w="0" w:type="dxa"/>
          <w:left w:w="0" w:type="dxa"/>
          <w:bottom w:w="0" w:type="dxa"/>
          <w:right w:w="0" w:type="dxa"/>
        </w:tblCellMar>
      </w:tblPr>
      <w:tblGrid>
        <w:gridCol w:w="3038"/>
        <w:gridCol w:w="80"/>
        <w:gridCol w:w="125"/>
        <w:gridCol w:w="724"/>
        <w:gridCol w:w="94"/>
        <w:gridCol w:w="80"/>
        <w:gridCol w:w="125"/>
        <w:gridCol w:w="724"/>
        <w:gridCol w:w="94"/>
        <w:gridCol w:w="80"/>
        <w:gridCol w:w="124"/>
        <w:gridCol w:w="724"/>
        <w:gridCol w:w="111"/>
      </w:tblGrid>
      <w:tr>
        <w:trPr/>
        <w:tc>
          <w:tcPr>
            <w:tcW w:w="3038" w:type="dxa"/>
            <w:tcBorders/>
            <w:shd w:fill="auto" w:val="clear"/>
            <w:vAlign w:val="bottom"/>
          </w:tcPr>
          <w:p>
            <w:pPr>
              <w:pStyle w:val="TableContents"/>
              <w:spacing w:before="0" w:after="283"/>
              <w:rPr/>
            </w:pPr>
            <w:r>
              <w:rPr/>
              <w:t xml:space="preserve">  </w:t>
            </w:r>
          </w:p>
        </w:tc>
        <w:tc>
          <w:tcPr>
            <w:tcW w:w="80" w:type="dxa"/>
            <w:tcBorders/>
            <w:shd w:fill="auto" w:val="clear"/>
            <w:vAlign w:val="bottom"/>
          </w:tcPr>
          <w:p>
            <w:pPr>
              <w:pStyle w:val="TableContents"/>
              <w:spacing w:before="0" w:after="283"/>
              <w:rPr/>
            </w:pPr>
            <w:r>
              <w:rPr/>
              <w:t> </w:t>
            </w:r>
          </w:p>
        </w:tc>
        <w:tc>
          <w:tcPr>
            <w:tcW w:w="84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94"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84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94"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8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2008</w:t>
            </w:r>
          </w:p>
        </w:tc>
        <w:tc>
          <w:tcPr>
            <w:tcW w:w="111" w:type="dxa"/>
            <w:tcBorders/>
            <w:shd w:fill="auto" w:val="clear"/>
            <w:vAlign w:val="bottom"/>
          </w:tcPr>
          <w:p>
            <w:pPr>
              <w:pStyle w:val="TableContents"/>
              <w:spacing w:before="0" w:after="283"/>
              <w:jc w:val="left"/>
              <w:rPr/>
            </w:pPr>
            <w:r>
              <w:rPr/>
              <w:t> </w:t>
            </w:r>
          </w:p>
        </w:tc>
      </w:tr>
      <w:tr>
        <w:trPr/>
        <w:tc>
          <w:tcPr>
            <w:tcW w:w="303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provided by/(used in):</w:t>
            </w:r>
          </w:p>
        </w:tc>
        <w:tc>
          <w:tcPr>
            <w:tcW w:w="80" w:type="dxa"/>
            <w:tcBorders/>
            <w:shd w:fill="auto" w:val="clear"/>
            <w:vAlign w:val="bottom"/>
          </w:tcPr>
          <w:p>
            <w:pPr>
              <w:pStyle w:val="TableContents"/>
              <w:spacing w:before="0" w:after="283"/>
              <w:rPr/>
            </w:pPr>
            <w:r>
              <w:rPr/>
              <w:t> </w:t>
            </w:r>
          </w:p>
        </w:tc>
        <w:tc>
          <w:tcPr>
            <w:tcW w:w="849" w:type="dxa"/>
            <w:gridSpan w:val="2"/>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849" w:type="dxa"/>
            <w:gridSpan w:val="2"/>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848"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r>
      <w:tr>
        <w:trPr/>
        <w:tc>
          <w:tcPr>
            <w:tcW w:w="303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activities</w:t>
            </w:r>
          </w:p>
        </w:tc>
        <w:tc>
          <w:tcPr>
            <w:tcW w:w="8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499.5</w:t>
            </w:r>
          </w:p>
        </w:tc>
        <w:tc>
          <w:tcPr>
            <w:tcW w:w="94"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367.5</w:t>
            </w:r>
          </w:p>
        </w:tc>
        <w:tc>
          <w:tcPr>
            <w:tcW w:w="94"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right"/>
              <w:rPr/>
            </w:pPr>
            <w:r>
              <w:rPr/>
              <w:t> </w:t>
            </w:r>
          </w:p>
        </w:tc>
        <w:tc>
          <w:tcPr>
            <w:tcW w:w="12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434.4</w:t>
            </w:r>
          </w:p>
        </w:tc>
        <w:tc>
          <w:tcPr>
            <w:tcW w:w="111" w:type="dxa"/>
            <w:tcBorders/>
            <w:shd w:fill="auto" w:val="clear"/>
            <w:vAlign w:val="bottom"/>
          </w:tcPr>
          <w:p>
            <w:pPr>
              <w:pStyle w:val="TableContents"/>
              <w:spacing w:before="0" w:after="283"/>
              <w:jc w:val="left"/>
              <w:rPr/>
            </w:pPr>
            <w:r>
              <w:rPr/>
              <w:t> </w:t>
            </w:r>
          </w:p>
        </w:tc>
      </w:tr>
      <w:tr>
        <w:trPr/>
        <w:tc>
          <w:tcPr>
            <w:tcW w:w="303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Investing activities</w:t>
            </w:r>
          </w:p>
        </w:tc>
        <w:tc>
          <w:tcPr>
            <w:tcW w:w="8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(563.3</w:t>
            </w:r>
          </w:p>
        </w:tc>
        <w:tc>
          <w:tcPr>
            <w:tcW w:w="9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(374.2</w:t>
            </w:r>
          </w:p>
        </w:tc>
        <w:tc>
          <w:tcPr>
            <w:tcW w:w="9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right"/>
              <w:rPr/>
            </w:pPr>
            <w:r>
              <w:rPr/>
              <w:t> </w:t>
            </w:r>
          </w:p>
        </w:tc>
        <w:tc>
          <w:tcPr>
            <w:tcW w:w="124" w:type="dxa"/>
            <w:tcBorders/>
            <w:shd w:fill="auto" w:val="clear"/>
            <w:vAlign w:val="bottom"/>
          </w:tcPr>
          <w:p>
            <w:pPr>
              <w:pStyle w:val="TableContents"/>
              <w:spacing w:before="0" w:after="283"/>
              <w:jc w:val="left"/>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(739.3</w:t>
            </w:r>
          </w:p>
        </w:tc>
        <w:tc>
          <w:tcPr>
            <w:tcW w:w="1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03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Financing activities</w:t>
            </w:r>
          </w:p>
        </w:tc>
        <w:tc>
          <w:tcPr>
            <w:tcW w:w="8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167.6</w:t>
            </w:r>
          </w:p>
        </w:tc>
        <w:tc>
          <w:tcPr>
            <w:tcW w:w="94"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9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 w:type="dxa"/>
            <w:tcBorders/>
            <w:shd w:fill="auto" w:val="clear"/>
            <w:vAlign w:val="bottom"/>
          </w:tcPr>
          <w:p>
            <w:pPr>
              <w:pStyle w:val="TableContents"/>
              <w:spacing w:before="0" w:after="283"/>
              <w:jc w:val="right"/>
              <w:rPr/>
            </w:pPr>
            <w:r>
              <w:rPr/>
              <w:t> </w:t>
            </w:r>
          </w:p>
        </w:tc>
        <w:tc>
          <w:tcPr>
            <w:tcW w:w="124" w:type="dxa"/>
            <w:tcBorders/>
            <w:shd w:fill="auto" w:val="clear"/>
            <w:vAlign w:val="bottom"/>
          </w:tcPr>
          <w:p>
            <w:pPr>
              <w:pStyle w:val="TableContents"/>
              <w:spacing w:before="0" w:after="283"/>
              <w:jc w:val="left"/>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187.9</w:t>
            </w:r>
          </w:p>
        </w:tc>
        <w:tc>
          <w:tcPr>
            <w:tcW w:w="111" w:type="dxa"/>
            <w:tcBorders/>
            <w:shd w:fill="auto"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Operating activities - The increase in cash provided by operating activities in 2010 was primarily due to higher earnings over the prior year, increased compensation-related accruals related to higher income levels in 2010 and increased intangible amortization related to recent acquisitions.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Investing activities - Cash used by investing activities during 2010, 2009, and 2008 were primarily business acquisitions.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Financing activities - Cash provided by financing activities during each of these years was primarily debt borrowings for acquisitions partially offset by debt payments made using cash from operations and in 2009 also included $121 million of proceeds from issuance of common stock, net of issuance costs.  Cash used by financing activities in all periods was primarily debt repayments.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working capital (current assets, excluding cash, less total current liabilities, excluding debt) was $281.4 million at December 31, 2010 compared to $337.8 million at December 31, 2009. We acquired negative net working capital of $5.9 million through business acquisitions during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Total debt was $1.3 billion at December 31, 2010 (32.8% of total capital) compared to $1.2 billion at December 31, 2009 (32.3% of total capital). Our increased debt at December 31, 2010 compared to December 31, 2009 was due to borrowings for 2010 acquisitions, partially offset by debt payments made using cash from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senior unsecured credit facility originally consisted of a two year $350 million term loan and a five year $750 million revolving loan; however, the term loan portion was repaid in September 2009 and cannot be reborrowed.  The weighted average interest rate on the revolver borrowings under the facility at December 31, 2010 was 1.56%. At December 31, 2010, our debt consisted of $91 million in senior subordinated convertible notes due in 2034, $500 million of senior notes due 2013, $500 million of senior notes due 2019, and $230 million outstanding under the revolving loan. In addition, we had $6.0 million of other debt in the form of capital leases and several smaller facilities that allow for borrowings or the issuance of letters of credit in foreign locations to support our non-U.S. businesses. The Company had $55.3 mill ion of outstanding letters of credit at December 31, 2010, of which $51.9 million were covered by our lending group, thereby reducing its remaining revolving credit capacity commensurately. We expect that our available borrowing capacity, combined with existing cash balances and cash flows expected to be generated from existing businesses, will be sufficient to fund normal operating requirements and finance additional acquisitions.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were in compliance with all debt covenants related to our credit facilities throughout the year ended December 31,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Capital expenditures of $28.6 million, $25.9 million and $30.0 million were incurred during 2010, 2009, and 2008, respectively. In the future, we expect capital expenditures as a percentage of sales to be between 1.0% and 1.5% of annual net sales.</w:t>
      </w:r>
    </w:p>
    <w:p>
      <w:pPr>
        <w:pStyle w:val="TextBody"/>
        <w:spacing w:before="0" w:after="0"/>
        <w:ind w:left="0" w:right="0" w:hanging="0"/>
        <w:rPr/>
      </w:pPr>
      <w:r>
        <w:rPr/>
        <w:t> </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b/>
          <w:sz w:val="20"/>
        </w:rPr>
        <w:t>Description of Certain Indebtedness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Senior Unsecured Credit Facility</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On July 7, 2008, the Company entered into a senior unsecured credit facility with JPMorgan Chase Bank, N.A., as administrative agent, and a syndicate of lenders.  The credit facility is composed of a five year $750 million revolving credit facility maturing July 7, 2013 and, as originally issued, a $350 million term loan facility originally maturing July 7, 2010. The $350 million term loan was repaid early in September 2009. The Company may also, subject to compliance with specified conditions, request additional term loans or revolving credit commitments in an aggregate amount not to exceed $350 million.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credit facility contains affirmative and negative covenants which, among other things, limit our ability to incur new debt, prepay subordinated debt, make certain investments and acquisitions, sell assets and grant liens, make restricted payments (including the payment of dividends on our common stock) and capital expenditures, or change our line of business. We also are subject to financial covenants which require us to limit our consolidated total leverage ratio and to maintain a consolidated interest coverage ratio. The most restrictive covenant is the consolidated total leverage ratio which is limited to 3.5.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 xml:space="preserve">Senior Notes due 2019 - </w:t>
      </w:r>
      <w:r>
        <w:rPr>
          <w:rFonts w:ascii="Times New Roman" w:hAnsi="Times New Roman"/>
          <w:sz w:val="20"/>
        </w:rPr>
        <w:t>In September 2009, we completed a public offering of $500 million aggregate principal amount of 6.25% senior unsecured notes due September 2019.  Net proceeds of $496 million were used to pay off our $350 million term loan originally due July 2010 and the outstanding revolver balance under our credit facility. We recorded a $0.4 million non-cash debt extinguishment charge related to the early repayment of the term loan portion of the facility.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notes bear interest at a fixed rate of 6.25% per year, payable semi-annually in arrears on March 1 and September 1 of each year, beginning March 1,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may redeem some of all of these notes at any time or from time to time, at 100% of their principal amount, plus a make-whole premium based on a spread to U.S. Treasury securities.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notes are unsecured senior obligations of the Company and rank equally in right of payment with all of our existing and future unsecured and unsubordinated indebtedness.  The notes are effectively subordinated to any of our existing and future secured indebtedness to the extent of the value of the collateral securing such indebtedness.  The notes are not guaranteed by any of our subsidiaries and are effectively subordinated to all existing and future indebtedness and other liabilities of our subsidiaries.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 xml:space="preserve">Senior Notes due 2013 - </w:t>
      </w:r>
      <w:r>
        <w:rPr>
          <w:rFonts w:ascii="Times New Roman" w:hAnsi="Times New Roman"/>
          <w:sz w:val="20"/>
        </w:rPr>
        <w:t>On August 6, 2008, we issued $500 million aggregate principal amount of 6.625% senior notes due August 15, 2013.  These notes bear interest at a fixed rate of 6.625% per year, payable semi-annually in arrears on February 15 and August 15 of each year, beginning February 15, 2009. The interest payable on the notes is subject to adjustment if either Moody’s Investors Service or Standard &amp; Poor’s Ratings Services downgrades the rating assigned to the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may redeem some or all of the notes at any time or from time to time, at 100% of their principal amount plus a make-whole premium based on a spread to U.S. Treasury securities as described in the indenture relating to the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notes are unsecured senior obligations of the Company and rank equally in right of payment with all of the Company’s existing and future unsecured and unsubordinated indebtedness. The notes are effectively subordinated to any of the Company’s existing and future secured indebtedness to the extent of the value of the collateral securing such indebtedness. The notes are not guaranteed by any of the Company’s subsidiaries and are effectively subordinated to all existing and future indebtedness and other liabilities of the Company’s subsidiaries.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2009 we entered into an aggregate notional amount of $500 million in interest rate swaps designated as fair value hedges , which effectively changed our $500 million senior notes due 2013 with a fixed interest rate of 6.625% to a variable rate obligation at a weighted average spread of 4.377% plus the three month London Interbank Offered Rate (“LIBOR”).  Due to the application of fair value hedge accounting for the swaps, the notes are shown in the balance sheet net of a $14.1 million fair value adjustment at December 31, 2010 and $(3.2) million at December 31, 2009.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 xml:space="preserve">Senior Subordinated Convertible Notes - </w:t>
      </w:r>
      <w:r>
        <w:rPr>
          <w:rFonts w:ascii="Times New Roman" w:hAnsi="Times New Roman"/>
          <w:sz w:val="20"/>
        </w:rPr>
        <w:t>In December 2003, we issued $230 million of senior subordinated convertible notes at an original issue discount of 60.498%, resulting in an effective yield of 3.75% per year to maturity. Interest on the notes was payable semiannually, beginning July 15, 2004, until January 15, 2009, after which cash interest will not be paid on the notes prior to maturity unless contingent cash interest becomes payable. Since January 15, 2009, interest is recognized at the effective rate of 3.75% and represents accrual of original issue discount, excluding any contingent cash interest that may become payable. We will pay contingent cash interest to the holders of the notes during any six month period commencing after January 15, 2009 if the average trading price of a note for a five trading day measurement period preceding the applicable six month period equals 120% or more of the sum of the issue price, accrued original issue discount and accrued cash interest, if any, for such note. The contingent cash interest payable per note in respect of any six month period will equal the annual rate of 0.25%. In accordance with this criterion, contingent interest has been paid for each six month period since January 15, 2009.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notes are unsecured senior subordinated obligations, rank junior to our existing and future senior secured indebtedness and rank equally with our existing and future senior subordinated indebtedness.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originally issued, each $1,000 principal amount of the notes will be convertible at the option of the holder into 12.422 shares of our common stock (giving effect to the 2-for-1 stock split effective August 26, 2005 and subject to further adjustment), if (i) the sale price of our common stock reaches, or the trading price of the notes falls below, specified thresholds, (ii) if the notes are called for redemption or (iii) if specified corporate transactions have occurred. Upon conversion, we would have the right to deliver, in lieu of common stock, cash or a combination of cash and common stock. On November 19, 2004, the Company began a consent solicitation to amend the notes such that the Company would pay the same conversion value upon conversion of the notes, but would change how the conversion value is paid. In lieu of receiving exclusively shares of common stock or cash upon conversion, noteholders would receive cash up to the value of the accreted principal amount of the notes converted and, at the Company’s option, any remainder of the conversion value would be paid in cash or shares of common stock. The consent solicitation was successfully completed on December 6, 2004 and the amended conversion provisions were adopted.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September 30, 2005, the senior subordinated convertible notes were reclassified from long term to short term debt as the notes became convertible on October 1, 2005 based upon the Company’s common stock trading above the trigger price for at least 20 trading days during the 30 consecutive trading-day period ending on September 30, 2005.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Holders may require us to purchase all or a portion of their notes on January 15, 2014, January 15, 2019, January 15, 2024, and January 15, 2029, at stated prices plus accrued cash interest, if any, including contingent cash interest, if any. We may only pay the purchase price of such notes in cash and not in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may redeem for cash all or a portion of the notes at any time at redemption prices equal to the sum of the issue price plus accrued original issue discount and accrued cash interest, if any, including contingent cash interest, if any, on such notes to the applicable redemption date.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includes in its diluted weighted-average common share calculation an increase in shares based upon the difference between the Company’s average closing stock price for the period and the conversion price of $31.80, plus accretion. This is calculated using the treasury stock method.</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Contractual Cash Obligations and Other Commercial Commitments and Contingencies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tables quantify our contractual cash obligations and commercial commitments at December 31, 2010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896"/>
        <w:gridCol w:w="93"/>
        <w:gridCol w:w="132"/>
        <w:gridCol w:w="1026"/>
        <w:gridCol w:w="93"/>
        <w:gridCol w:w="132"/>
        <w:gridCol w:w="937"/>
        <w:gridCol w:w="93"/>
        <w:gridCol w:w="132"/>
        <w:gridCol w:w="875"/>
        <w:gridCol w:w="93"/>
        <w:gridCol w:w="132"/>
        <w:gridCol w:w="937"/>
        <w:gridCol w:w="93"/>
        <w:gridCol w:w="132"/>
        <w:gridCol w:w="874"/>
        <w:gridCol w:w="93"/>
        <w:gridCol w:w="132"/>
        <w:gridCol w:w="875"/>
        <w:gridCol w:w="93"/>
        <w:gridCol w:w="142"/>
        <w:gridCol w:w="1112"/>
        <w:gridCol w:w="88"/>
      </w:tblGrid>
      <w:tr>
        <w:trPr/>
        <w:tc>
          <w:tcPr>
            <w:tcW w:w="1896" w:type="dxa"/>
            <w:vMerge w:val="restart"/>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Contractual</w:t>
            </w:r>
          </w:p>
          <w:p>
            <w:pPr>
              <w:pStyle w:val="TableContents"/>
              <w:spacing w:before="0" w:after="0"/>
              <w:ind w:left="0" w:right="0" w:hanging="0"/>
              <w:jc w:val="center"/>
              <w:rPr>
                <w:rFonts w:ascii="times new roman" w:hAnsi="times new roman"/>
                <w:b/>
                <w:sz w:val="20"/>
              </w:rPr>
            </w:pPr>
            <w:r>
              <w:rPr>
                <w:rFonts w:ascii="times new roman" w:hAnsi="times new roman"/>
                <w:b/>
                <w:sz w:val="20"/>
              </w:rPr>
              <w:t>Cash Obligations1</w:t>
            </w:r>
          </w:p>
        </w:tc>
        <w:tc>
          <w:tcPr>
            <w:tcW w:w="93" w:type="dxa"/>
            <w:tcBorders/>
            <w:shd w:fill="auto" w:val="clear"/>
            <w:vAlign w:val="bottom"/>
          </w:tcPr>
          <w:p>
            <w:pPr>
              <w:pStyle w:val="TableContents"/>
              <w:spacing w:before="0" w:after="283"/>
              <w:rPr/>
            </w:pPr>
            <w:r>
              <w:rPr/>
              <w:t xml:space="preserve">  </w:t>
            </w:r>
          </w:p>
        </w:tc>
        <w:tc>
          <w:tcPr>
            <w:tcW w:w="1158"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93" w:type="dxa"/>
            <w:tcBorders/>
            <w:shd w:fill="auto" w:val="clear"/>
            <w:vAlign w:val="bottom"/>
          </w:tcPr>
          <w:p>
            <w:pPr>
              <w:pStyle w:val="TableContents"/>
              <w:spacing w:before="0" w:after="283"/>
              <w:rPr/>
            </w:pPr>
            <w:r>
              <w:rPr/>
              <w:t xml:space="preserve">  </w:t>
            </w:r>
          </w:p>
        </w:tc>
        <w:tc>
          <w:tcPr>
            <w:tcW w:w="6877" w:type="dxa"/>
            <w:gridSpan w:val="17"/>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Payments Due in Fiscal Year</w:t>
            </w:r>
          </w:p>
        </w:tc>
        <w:tc>
          <w:tcPr>
            <w:tcW w:w="88" w:type="dxa"/>
            <w:tcBorders/>
            <w:shd w:fill="auto" w:val="clear"/>
            <w:vAlign w:val="bottom"/>
          </w:tcPr>
          <w:p>
            <w:pPr>
              <w:pStyle w:val="TableContents"/>
              <w:spacing w:before="0" w:after="283"/>
              <w:rPr/>
            </w:pPr>
            <w:r>
              <w:rPr/>
              <w:t xml:space="preserve">  </w:t>
            </w:r>
          </w:p>
        </w:tc>
      </w:tr>
      <w:tr>
        <w:trPr/>
        <w:tc>
          <w:tcPr>
            <w:tcW w:w="1896" w:type="dxa"/>
            <w:vMerge w:val="continue"/>
            <w:tcBorders/>
            <w:shd w:fill="auto" w:val="clear"/>
            <w:vAlign w:val="bottom"/>
          </w:tcPr>
          <w:p>
            <w:pPr>
              <w:pStyle w:val="Normal"/>
              <w:rPr/>
            </w:pPr>
            <w:r>
              <w:rPr/>
            </w:r>
          </w:p>
        </w:tc>
        <w:tc>
          <w:tcPr>
            <w:tcW w:w="93" w:type="dxa"/>
            <w:tcBorders/>
            <w:shd w:fill="auto" w:val="clear"/>
            <w:vAlign w:val="bottom"/>
          </w:tcPr>
          <w:p>
            <w:pPr>
              <w:pStyle w:val="TableContents"/>
              <w:spacing w:before="0" w:after="283"/>
              <w:rPr/>
            </w:pPr>
            <w:r>
              <w:rPr/>
              <w:t xml:space="preserve">  </w:t>
            </w:r>
          </w:p>
        </w:tc>
        <w:tc>
          <w:tcPr>
            <w:tcW w:w="1158" w:type="dxa"/>
            <w:gridSpan w:val="2"/>
            <w:vMerge w:val="continue"/>
            <w:tcBorders>
              <w:bottom w:val="single" w:sz="12" w:space="0" w:color="000000"/>
            </w:tcBorders>
            <w:shd w:fill="auto" w:val="clear"/>
            <w:tcMar>
              <w:bottom w:w="28" w:type="dxa"/>
            </w:tcMar>
            <w:vAlign w:val="bottom"/>
          </w:tcPr>
          <w:p>
            <w:pPr>
              <w:pStyle w:val="Normal"/>
              <w:rPr/>
            </w:pPr>
            <w:r>
              <w:rPr/>
            </w:r>
          </w:p>
        </w:tc>
        <w:tc>
          <w:tcPr>
            <w:tcW w:w="93" w:type="dxa"/>
            <w:tcBorders/>
            <w:shd w:fill="auto" w:val="clear"/>
            <w:vAlign w:val="bottom"/>
          </w:tcPr>
          <w:p>
            <w:pPr>
              <w:pStyle w:val="TableContents"/>
              <w:spacing w:before="0" w:after="283"/>
              <w:rPr/>
            </w:pPr>
            <w:r>
              <w:rPr/>
              <w:t xml:space="preserve">  </w:t>
            </w:r>
          </w:p>
        </w:tc>
        <w:tc>
          <w:tcPr>
            <w:tcW w:w="106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93" w:type="dxa"/>
            <w:tcBorders/>
            <w:shd w:fill="auto" w:val="clear"/>
            <w:vAlign w:val="bottom"/>
          </w:tcPr>
          <w:p>
            <w:pPr>
              <w:pStyle w:val="TableContents"/>
              <w:spacing w:before="0" w:after="283"/>
              <w:rPr/>
            </w:pPr>
            <w:r>
              <w:rPr/>
              <w:t xml:space="preserve">  </w:t>
            </w:r>
          </w:p>
        </w:tc>
        <w:tc>
          <w:tcPr>
            <w:tcW w:w="100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93" w:type="dxa"/>
            <w:tcBorders/>
            <w:shd w:fill="auto" w:val="clear"/>
            <w:vAlign w:val="bottom"/>
          </w:tcPr>
          <w:p>
            <w:pPr>
              <w:pStyle w:val="TableContents"/>
              <w:spacing w:before="0" w:after="283"/>
              <w:rPr/>
            </w:pPr>
            <w:r>
              <w:rPr/>
              <w:t xml:space="preserve">  </w:t>
            </w:r>
          </w:p>
        </w:tc>
        <w:tc>
          <w:tcPr>
            <w:tcW w:w="106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93" w:type="dxa"/>
            <w:tcBorders/>
            <w:shd w:fill="auto" w:val="clear"/>
            <w:vAlign w:val="bottom"/>
          </w:tcPr>
          <w:p>
            <w:pPr>
              <w:pStyle w:val="TableContents"/>
              <w:spacing w:before="0" w:after="283"/>
              <w:rPr/>
            </w:pPr>
            <w:r>
              <w:rPr/>
              <w:t xml:space="preserve">  </w:t>
            </w:r>
          </w:p>
        </w:tc>
        <w:tc>
          <w:tcPr>
            <w:tcW w:w="10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2014</w:t>
            </w:r>
          </w:p>
        </w:tc>
        <w:tc>
          <w:tcPr>
            <w:tcW w:w="93" w:type="dxa"/>
            <w:tcBorders/>
            <w:shd w:fill="auto" w:val="clear"/>
            <w:vAlign w:val="bottom"/>
          </w:tcPr>
          <w:p>
            <w:pPr>
              <w:pStyle w:val="TableContents"/>
              <w:spacing w:before="0" w:after="283"/>
              <w:rPr/>
            </w:pPr>
            <w:r>
              <w:rPr/>
              <w:t xml:space="preserve">  </w:t>
            </w:r>
          </w:p>
        </w:tc>
        <w:tc>
          <w:tcPr>
            <w:tcW w:w="100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2015</w:t>
            </w:r>
          </w:p>
        </w:tc>
        <w:tc>
          <w:tcPr>
            <w:tcW w:w="93" w:type="dxa"/>
            <w:tcBorders/>
            <w:shd w:fill="auto" w:val="clear"/>
            <w:vAlign w:val="bottom"/>
          </w:tcPr>
          <w:p>
            <w:pPr>
              <w:pStyle w:val="TableContents"/>
              <w:spacing w:before="0" w:after="283"/>
              <w:rPr/>
            </w:pPr>
            <w:r>
              <w:rPr/>
              <w:t xml:space="preserve">  </w:t>
            </w:r>
          </w:p>
        </w:tc>
        <w:tc>
          <w:tcPr>
            <w:tcW w:w="12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Thereafter</w:t>
            </w:r>
          </w:p>
        </w:tc>
        <w:tc>
          <w:tcPr>
            <w:tcW w:w="88" w:type="dxa"/>
            <w:tcBorders/>
            <w:shd w:fill="auto" w:val="clear"/>
            <w:vAlign w:val="bottom"/>
          </w:tcPr>
          <w:p>
            <w:pPr>
              <w:pStyle w:val="TableContents"/>
              <w:spacing w:before="0" w:after="283"/>
              <w:rPr/>
            </w:pPr>
            <w:r>
              <w:rPr/>
              <w:t xml:space="preserve">  </w:t>
            </w:r>
          </w:p>
        </w:tc>
      </w:tr>
      <w:tr>
        <w:trPr/>
        <w:tc>
          <w:tcPr>
            <w:tcW w:w="189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Long-term debt</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2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1,335,073</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3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90,981</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3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744,092</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3" w:type="dxa"/>
            <w:tcBorders/>
            <w:shd w:fill="auto" w:val="clear"/>
            <w:vAlign w:val="bottom"/>
          </w:tcPr>
          <w:p>
            <w:pPr>
              <w:pStyle w:val="TableContents"/>
              <w:spacing w:before="0" w:after="283"/>
              <w:rPr/>
            </w:pPr>
            <w:r>
              <w:rPr/>
              <w:t xml:space="preserve">  </w:t>
            </w:r>
          </w:p>
        </w:tc>
        <w:tc>
          <w:tcPr>
            <w:tcW w:w="14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500,000</w:t>
            </w:r>
          </w:p>
        </w:tc>
        <w:tc>
          <w:tcPr>
            <w:tcW w:w="88" w:type="dxa"/>
            <w:tcBorders/>
            <w:shd w:fill="auto" w:val="clear"/>
            <w:vAlign w:val="bottom"/>
          </w:tcPr>
          <w:p>
            <w:pPr>
              <w:pStyle w:val="TableContents"/>
              <w:spacing w:before="0" w:after="283"/>
              <w:rPr/>
            </w:pPr>
            <w:r>
              <w:rPr/>
              <w:t xml:space="preserve">  </w:t>
            </w:r>
          </w:p>
        </w:tc>
      </w:tr>
      <w:tr>
        <w:trPr/>
        <w:tc>
          <w:tcPr>
            <w:tcW w:w="189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Senior note interest2</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02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281,250</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3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31,250</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7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31,250</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3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31,250</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7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31,250</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7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31,250</w:t>
            </w:r>
          </w:p>
        </w:tc>
        <w:tc>
          <w:tcPr>
            <w:tcW w:w="93" w:type="dxa"/>
            <w:tcBorders/>
            <w:shd w:fill="auto" w:val="clear"/>
            <w:vAlign w:val="bottom"/>
          </w:tcPr>
          <w:p>
            <w:pPr>
              <w:pStyle w:val="TableContents"/>
              <w:spacing w:before="0" w:after="283"/>
              <w:rPr/>
            </w:pPr>
            <w:r>
              <w:rPr/>
              <w:t xml:space="preserve">  </w:t>
            </w:r>
          </w:p>
        </w:tc>
        <w:tc>
          <w:tcPr>
            <w:tcW w:w="142" w:type="dxa"/>
            <w:tcBorders/>
            <w:shd w:fill="auto" w:val="clear"/>
            <w:vAlign w:val="bottom"/>
          </w:tcPr>
          <w:p>
            <w:pPr>
              <w:pStyle w:val="TableContents"/>
              <w:spacing w:before="0" w:after="283"/>
              <w:rPr/>
            </w:pPr>
            <w:r>
              <w:rPr/>
              <w:t xml:space="preserve">  </w:t>
            </w:r>
          </w:p>
        </w:tc>
        <w:tc>
          <w:tcPr>
            <w:tcW w:w="11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125,000</w:t>
            </w:r>
          </w:p>
        </w:tc>
        <w:tc>
          <w:tcPr>
            <w:tcW w:w="88" w:type="dxa"/>
            <w:tcBorders/>
            <w:shd w:fill="auto" w:val="clear"/>
            <w:vAlign w:val="bottom"/>
          </w:tcPr>
          <w:p>
            <w:pPr>
              <w:pStyle w:val="TableContents"/>
              <w:spacing w:before="0" w:after="283"/>
              <w:rPr/>
            </w:pPr>
            <w:r>
              <w:rPr/>
              <w:t xml:space="preserve">  </w:t>
            </w:r>
          </w:p>
        </w:tc>
      </w:tr>
      <w:tr>
        <w:trPr/>
        <w:tc>
          <w:tcPr>
            <w:tcW w:w="189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leases</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02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5,972</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3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2,361</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7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1,331</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3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831</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7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416</w:t>
            </w:r>
          </w:p>
        </w:tc>
        <w:tc>
          <w:tcPr>
            <w:tcW w:w="93"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7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397</w:t>
            </w:r>
          </w:p>
        </w:tc>
        <w:tc>
          <w:tcPr>
            <w:tcW w:w="93" w:type="dxa"/>
            <w:tcBorders/>
            <w:shd w:fill="auto" w:val="clear"/>
            <w:vAlign w:val="bottom"/>
          </w:tcPr>
          <w:p>
            <w:pPr>
              <w:pStyle w:val="TableContents"/>
              <w:spacing w:before="0" w:after="283"/>
              <w:rPr/>
            </w:pPr>
            <w:r>
              <w:rPr/>
              <w:t xml:space="preserve">  </w:t>
            </w:r>
          </w:p>
        </w:tc>
        <w:tc>
          <w:tcPr>
            <w:tcW w:w="142" w:type="dxa"/>
            <w:tcBorders/>
            <w:shd w:fill="auto" w:val="clear"/>
            <w:vAlign w:val="bottom"/>
          </w:tcPr>
          <w:p>
            <w:pPr>
              <w:pStyle w:val="TableContents"/>
              <w:spacing w:before="0" w:after="283"/>
              <w:rPr/>
            </w:pPr>
            <w:r>
              <w:rPr/>
              <w:t xml:space="preserve">  </w:t>
            </w:r>
          </w:p>
        </w:tc>
        <w:tc>
          <w:tcPr>
            <w:tcW w:w="11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636</w:t>
            </w:r>
          </w:p>
        </w:tc>
        <w:tc>
          <w:tcPr>
            <w:tcW w:w="88" w:type="dxa"/>
            <w:tcBorders/>
            <w:shd w:fill="auto" w:val="clear"/>
            <w:vAlign w:val="bottom"/>
          </w:tcPr>
          <w:p>
            <w:pPr>
              <w:pStyle w:val="TableContents"/>
              <w:spacing w:before="0" w:after="283"/>
              <w:rPr/>
            </w:pPr>
            <w:r>
              <w:rPr/>
              <w:t xml:space="preserve">  </w:t>
            </w:r>
          </w:p>
        </w:tc>
      </w:tr>
      <w:tr>
        <w:trPr/>
        <w:tc>
          <w:tcPr>
            <w:tcW w:w="189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leases</w:t>
            </w:r>
          </w:p>
        </w:tc>
        <w:tc>
          <w:tcPr>
            <w:tcW w:w="93"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26"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119,387</w:t>
            </w:r>
          </w:p>
        </w:tc>
        <w:tc>
          <w:tcPr>
            <w:tcW w:w="93"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3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31,769</w:t>
            </w:r>
          </w:p>
        </w:tc>
        <w:tc>
          <w:tcPr>
            <w:tcW w:w="93"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7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25,084</w:t>
            </w:r>
          </w:p>
        </w:tc>
        <w:tc>
          <w:tcPr>
            <w:tcW w:w="93"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3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19,603</w:t>
            </w:r>
          </w:p>
        </w:tc>
        <w:tc>
          <w:tcPr>
            <w:tcW w:w="93"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74"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14,373</w:t>
            </w:r>
          </w:p>
        </w:tc>
        <w:tc>
          <w:tcPr>
            <w:tcW w:w="93"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7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10,742</w:t>
            </w:r>
          </w:p>
        </w:tc>
        <w:tc>
          <w:tcPr>
            <w:tcW w:w="93" w:type="dxa"/>
            <w:tcBorders/>
            <w:shd w:fill="auto" w:val="clear"/>
            <w:vAlign w:val="bottom"/>
          </w:tcPr>
          <w:p>
            <w:pPr>
              <w:pStyle w:val="TableContents"/>
              <w:spacing w:before="0" w:after="283"/>
              <w:rPr/>
            </w:pPr>
            <w:r>
              <w:rPr/>
              <w:t xml:space="preserve">  </w:t>
            </w:r>
          </w:p>
        </w:tc>
        <w:tc>
          <w:tcPr>
            <w:tcW w:w="14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12"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17,816</w:t>
            </w:r>
          </w:p>
        </w:tc>
        <w:tc>
          <w:tcPr>
            <w:tcW w:w="88" w:type="dxa"/>
            <w:tcBorders/>
            <w:shd w:fill="auto" w:val="clear"/>
            <w:vAlign w:val="bottom"/>
          </w:tcPr>
          <w:p>
            <w:pPr>
              <w:pStyle w:val="TableContents"/>
              <w:spacing w:before="0" w:after="283"/>
              <w:rPr/>
            </w:pPr>
            <w:r>
              <w:rPr/>
              <w:t xml:space="preserve">  </w:t>
            </w:r>
          </w:p>
        </w:tc>
      </w:tr>
      <w:tr>
        <w:trPr/>
        <w:tc>
          <w:tcPr>
            <w:tcW w:w="1896"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Total</w:t>
            </w:r>
          </w:p>
        </w:tc>
        <w:tc>
          <w:tcPr>
            <w:tcW w:w="93"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26"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1,741,682</w:t>
            </w:r>
          </w:p>
        </w:tc>
        <w:tc>
          <w:tcPr>
            <w:tcW w:w="93"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3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156,361</w:t>
            </w:r>
          </w:p>
        </w:tc>
        <w:tc>
          <w:tcPr>
            <w:tcW w:w="93"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57,665</w:t>
            </w:r>
          </w:p>
        </w:tc>
        <w:tc>
          <w:tcPr>
            <w:tcW w:w="93"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3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795,776</w:t>
            </w:r>
          </w:p>
        </w:tc>
        <w:tc>
          <w:tcPr>
            <w:tcW w:w="93"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4"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46,039</w:t>
            </w:r>
          </w:p>
        </w:tc>
        <w:tc>
          <w:tcPr>
            <w:tcW w:w="93"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42,389</w:t>
            </w:r>
          </w:p>
        </w:tc>
        <w:tc>
          <w:tcPr>
            <w:tcW w:w="93" w:type="dxa"/>
            <w:tcBorders/>
            <w:shd w:fill="auto" w:val="clear"/>
            <w:vAlign w:val="bottom"/>
          </w:tcPr>
          <w:p>
            <w:pPr>
              <w:pStyle w:val="TableContents"/>
              <w:spacing w:before="0" w:after="283"/>
              <w:rPr/>
            </w:pPr>
            <w:r>
              <w:rPr/>
              <w:t xml:space="preserve">  </w:t>
            </w:r>
          </w:p>
        </w:tc>
        <w:tc>
          <w:tcPr>
            <w:tcW w:w="14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2"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643,452</w:t>
            </w:r>
          </w:p>
        </w:tc>
        <w:tc>
          <w:tcPr>
            <w:tcW w:w="88"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1811"/>
        <w:gridCol w:w="78"/>
        <w:gridCol w:w="171"/>
        <w:gridCol w:w="956"/>
        <w:gridCol w:w="78"/>
        <w:gridCol w:w="161"/>
        <w:gridCol w:w="697"/>
        <w:gridCol w:w="78"/>
        <w:gridCol w:w="161"/>
        <w:gridCol w:w="607"/>
        <w:gridCol w:w="78"/>
        <w:gridCol w:w="160"/>
        <w:gridCol w:w="478"/>
        <w:gridCol w:w="78"/>
        <w:gridCol w:w="161"/>
        <w:gridCol w:w="478"/>
        <w:gridCol w:w="78"/>
        <w:gridCol w:w="161"/>
        <w:gridCol w:w="506"/>
        <w:gridCol w:w="77"/>
        <w:gridCol w:w="191"/>
        <w:gridCol w:w="829"/>
        <w:gridCol w:w="91"/>
      </w:tblGrid>
      <w:tr>
        <w:trPr/>
        <w:tc>
          <w:tcPr>
            <w:tcW w:w="1811" w:type="dxa"/>
            <w:vMerge w:val="restart"/>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Other Commercial</w:t>
            </w:r>
          </w:p>
          <w:p>
            <w:pPr>
              <w:pStyle w:val="TableContents"/>
              <w:spacing w:before="0" w:after="0"/>
              <w:ind w:left="0" w:right="0" w:hanging="0"/>
              <w:jc w:val="center"/>
              <w:rPr>
                <w:rFonts w:ascii="times new roman" w:hAnsi="times new roman"/>
                <w:b/>
                <w:sz w:val="20"/>
              </w:rPr>
            </w:pPr>
            <w:r>
              <w:rPr>
                <w:rFonts w:ascii="times new roman" w:hAnsi="times new roman"/>
                <w:b/>
                <w:sz w:val="20"/>
              </w:rPr>
              <w:t>Commitments</w:t>
            </w:r>
          </w:p>
        </w:tc>
        <w:tc>
          <w:tcPr>
            <w:tcW w:w="78" w:type="dxa"/>
            <w:tcBorders/>
            <w:shd w:fill="auto" w:val="clear"/>
            <w:vAlign w:val="bottom"/>
          </w:tcPr>
          <w:p>
            <w:pPr>
              <w:pStyle w:val="TableContents"/>
              <w:spacing w:before="0" w:after="283"/>
              <w:rPr/>
            </w:pPr>
            <w:r>
              <w:rPr/>
              <w:t xml:space="preserve">  </w:t>
            </w:r>
          </w:p>
        </w:tc>
        <w:tc>
          <w:tcPr>
            <w:tcW w:w="1127"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0" w:hanging="0"/>
              <w:jc w:val="center"/>
              <w:rPr>
                <w:rFonts w:ascii="times new roman" w:hAnsi="times new roman"/>
                <w:b/>
                <w:sz w:val="20"/>
              </w:rPr>
            </w:pPr>
            <w:r>
              <w:rPr>
                <w:rFonts w:ascii="times new roman" w:hAnsi="times new roman"/>
                <w:b/>
                <w:sz w:val="20"/>
              </w:rPr>
              <w:t>Amount</w:t>
            </w:r>
          </w:p>
          <w:p>
            <w:pPr>
              <w:pStyle w:val="TableContents"/>
              <w:spacing w:before="0" w:after="0"/>
              <w:ind w:left="0" w:right="0" w:hanging="0"/>
              <w:jc w:val="center"/>
              <w:rPr>
                <w:rFonts w:ascii="times new roman" w:hAnsi="times new roman"/>
                <w:b/>
                <w:sz w:val="20"/>
              </w:rPr>
            </w:pPr>
            <w:r>
              <w:rPr>
                <w:rFonts w:ascii="times new roman" w:hAnsi="times new roman"/>
                <w:b/>
                <w:sz w:val="20"/>
              </w:rPr>
              <w:t>Committed</w:t>
            </w:r>
          </w:p>
        </w:tc>
        <w:tc>
          <w:tcPr>
            <w:tcW w:w="78" w:type="dxa"/>
            <w:tcBorders/>
            <w:shd w:fill="auto" w:val="clear"/>
            <w:vAlign w:val="bottom"/>
          </w:tcPr>
          <w:p>
            <w:pPr>
              <w:pStyle w:val="TableContents"/>
              <w:spacing w:before="0" w:after="283"/>
              <w:rPr/>
            </w:pPr>
            <w:r>
              <w:rPr/>
              <w:t xml:space="preserve">  </w:t>
            </w:r>
          </w:p>
        </w:tc>
        <w:tc>
          <w:tcPr>
            <w:tcW w:w="4979" w:type="dxa"/>
            <w:gridSpan w:val="17"/>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Amounts Expiring in Fiscal Year</w:t>
            </w:r>
          </w:p>
        </w:tc>
        <w:tc>
          <w:tcPr>
            <w:tcW w:w="91" w:type="dxa"/>
            <w:tcBorders/>
            <w:shd w:fill="auto" w:val="clear"/>
            <w:vAlign w:val="bottom"/>
          </w:tcPr>
          <w:p>
            <w:pPr>
              <w:pStyle w:val="TableContents"/>
              <w:spacing w:before="0" w:after="283"/>
              <w:rPr/>
            </w:pPr>
            <w:r>
              <w:rPr/>
              <w:t xml:space="preserve">  </w:t>
            </w:r>
          </w:p>
        </w:tc>
      </w:tr>
      <w:tr>
        <w:trPr/>
        <w:tc>
          <w:tcPr>
            <w:tcW w:w="1811" w:type="dxa"/>
            <w:vMerge w:val="continue"/>
            <w:tcBorders/>
            <w:shd w:fill="auto" w:val="clear"/>
            <w:vAlign w:val="bottom"/>
          </w:tcPr>
          <w:p>
            <w:pPr>
              <w:pStyle w:val="Normal"/>
              <w:rPr/>
            </w:pPr>
            <w:r>
              <w:rPr/>
            </w:r>
          </w:p>
        </w:tc>
        <w:tc>
          <w:tcPr>
            <w:tcW w:w="78" w:type="dxa"/>
            <w:tcBorders/>
            <w:shd w:fill="auto" w:val="clear"/>
            <w:vAlign w:val="bottom"/>
          </w:tcPr>
          <w:p>
            <w:pPr>
              <w:pStyle w:val="TableContents"/>
              <w:spacing w:before="0" w:after="283"/>
              <w:rPr/>
            </w:pPr>
            <w:r>
              <w:rPr/>
              <w:t xml:space="preserve">  </w:t>
            </w:r>
          </w:p>
        </w:tc>
        <w:tc>
          <w:tcPr>
            <w:tcW w:w="1127" w:type="dxa"/>
            <w:gridSpan w:val="2"/>
            <w:vMerge w:val="continue"/>
            <w:tcBorders>
              <w:bottom w:val="single" w:sz="12" w:space="0" w:color="000000"/>
            </w:tcBorders>
            <w:shd w:fill="auto" w:val="clear"/>
            <w:tcMar>
              <w:bottom w:w="28" w:type="dxa"/>
            </w:tcMar>
            <w:vAlign w:val="bottom"/>
          </w:tcPr>
          <w:p>
            <w:pPr>
              <w:pStyle w:val="Normal"/>
              <w:rPr/>
            </w:pPr>
            <w:r>
              <w:rPr/>
            </w:r>
          </w:p>
        </w:tc>
        <w:tc>
          <w:tcPr>
            <w:tcW w:w="78" w:type="dxa"/>
            <w:tcBorders/>
            <w:shd w:fill="auto" w:val="clear"/>
            <w:vAlign w:val="bottom"/>
          </w:tcPr>
          <w:p>
            <w:pPr>
              <w:pStyle w:val="TableContents"/>
              <w:spacing w:before="0" w:after="283"/>
              <w:rPr/>
            </w:pPr>
            <w:r>
              <w:rPr/>
              <w:t xml:space="preserve">  </w:t>
            </w:r>
          </w:p>
        </w:tc>
        <w:tc>
          <w:tcPr>
            <w:tcW w:w="85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78" w:type="dxa"/>
            <w:tcBorders/>
            <w:shd w:fill="auto" w:val="clear"/>
            <w:vAlign w:val="bottom"/>
          </w:tcPr>
          <w:p>
            <w:pPr>
              <w:pStyle w:val="TableContents"/>
              <w:spacing w:before="0" w:after="283"/>
              <w:rPr/>
            </w:pPr>
            <w:r>
              <w:rPr/>
              <w:t xml:space="preserve">  </w:t>
            </w:r>
          </w:p>
        </w:tc>
        <w:tc>
          <w:tcPr>
            <w:tcW w:w="7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78" w:type="dxa"/>
            <w:tcBorders/>
            <w:shd w:fill="auto" w:val="clear"/>
            <w:vAlign w:val="bottom"/>
          </w:tcPr>
          <w:p>
            <w:pPr>
              <w:pStyle w:val="TableContents"/>
              <w:spacing w:before="0" w:after="283"/>
              <w:rPr/>
            </w:pPr>
            <w:r>
              <w:rPr/>
              <w:t xml:space="preserve">  </w:t>
            </w:r>
          </w:p>
        </w:tc>
        <w:tc>
          <w:tcPr>
            <w:tcW w:w="6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78" w:type="dxa"/>
            <w:tcBorders/>
            <w:shd w:fill="auto" w:val="clear"/>
            <w:vAlign w:val="bottom"/>
          </w:tcPr>
          <w:p>
            <w:pPr>
              <w:pStyle w:val="TableContents"/>
              <w:spacing w:before="0" w:after="283"/>
              <w:rPr/>
            </w:pPr>
            <w:r>
              <w:rPr/>
              <w:t xml:space="preserve">  </w:t>
            </w:r>
          </w:p>
        </w:tc>
        <w:tc>
          <w:tcPr>
            <w:tcW w:w="63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2014</w:t>
            </w:r>
          </w:p>
        </w:tc>
        <w:tc>
          <w:tcPr>
            <w:tcW w:w="78" w:type="dxa"/>
            <w:tcBorders/>
            <w:shd w:fill="auto" w:val="clear"/>
            <w:vAlign w:val="bottom"/>
          </w:tcPr>
          <w:p>
            <w:pPr>
              <w:pStyle w:val="TableContents"/>
              <w:spacing w:before="0" w:after="283"/>
              <w:rPr/>
            </w:pPr>
            <w:r>
              <w:rPr/>
              <w:t xml:space="preserve">  </w:t>
            </w:r>
          </w:p>
        </w:tc>
        <w:tc>
          <w:tcPr>
            <w:tcW w:w="6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2015</w:t>
            </w:r>
          </w:p>
        </w:tc>
        <w:tc>
          <w:tcPr>
            <w:tcW w:w="77" w:type="dxa"/>
            <w:tcBorders/>
            <w:shd w:fill="auto" w:val="clear"/>
            <w:vAlign w:val="bottom"/>
          </w:tcPr>
          <w:p>
            <w:pPr>
              <w:pStyle w:val="TableContents"/>
              <w:spacing w:before="0" w:after="283"/>
              <w:rPr/>
            </w:pPr>
            <w:r>
              <w:rPr/>
              <w:t xml:space="preserve">  </w:t>
            </w:r>
          </w:p>
        </w:tc>
        <w:tc>
          <w:tcPr>
            <w:tcW w:w="10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Thereafter</w:t>
            </w:r>
          </w:p>
        </w:tc>
        <w:tc>
          <w:tcPr>
            <w:tcW w:w="91" w:type="dxa"/>
            <w:tcBorders/>
            <w:shd w:fill="auto" w:val="clear"/>
            <w:vAlign w:val="bottom"/>
          </w:tcPr>
          <w:p>
            <w:pPr>
              <w:pStyle w:val="TableContents"/>
              <w:spacing w:before="0" w:after="283"/>
              <w:rPr/>
            </w:pPr>
            <w:r>
              <w:rPr/>
              <w:t xml:space="preserve">  </w:t>
            </w:r>
          </w:p>
        </w:tc>
      </w:tr>
      <w:tr>
        <w:trPr/>
        <w:tc>
          <w:tcPr>
            <w:tcW w:w="181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Standby letters of credit and bank guarantees</w:t>
            </w:r>
          </w:p>
        </w:tc>
        <w:tc>
          <w:tcPr>
            <w:tcW w:w="78" w:type="dxa"/>
            <w:tcBorders/>
            <w:shd w:fill="auto" w:val="clear"/>
            <w:vAlign w:val="bottom"/>
          </w:tcPr>
          <w:p>
            <w:pPr>
              <w:pStyle w:val="TableContents"/>
              <w:spacing w:before="0" w:after="283"/>
              <w:rPr/>
            </w:pPr>
            <w:r>
              <w:rPr/>
              <w:t xml:space="preserve">  </w:t>
            </w:r>
          </w:p>
        </w:tc>
        <w:tc>
          <w:tcPr>
            <w:tcW w:w="17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56"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55,333</w:t>
            </w:r>
          </w:p>
        </w:tc>
        <w:tc>
          <w:tcPr>
            <w:tcW w:w="78" w:type="dxa"/>
            <w:tcBorders/>
            <w:shd w:fill="auto" w:val="clear"/>
            <w:vAlign w:val="bottom"/>
          </w:tcPr>
          <w:p>
            <w:pPr>
              <w:pStyle w:val="TableContents"/>
              <w:spacing w:before="0" w:after="283"/>
              <w:rPr/>
            </w:pPr>
            <w:r>
              <w:rPr/>
              <w:t xml:space="preserve">  </w:t>
            </w:r>
          </w:p>
        </w:tc>
        <w:tc>
          <w:tcPr>
            <w:tcW w:w="16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69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47,939</w:t>
            </w:r>
          </w:p>
        </w:tc>
        <w:tc>
          <w:tcPr>
            <w:tcW w:w="78" w:type="dxa"/>
            <w:tcBorders/>
            <w:shd w:fill="auto" w:val="clear"/>
            <w:vAlign w:val="bottom"/>
          </w:tcPr>
          <w:p>
            <w:pPr>
              <w:pStyle w:val="TableContents"/>
              <w:spacing w:before="0" w:after="283"/>
              <w:rPr/>
            </w:pPr>
            <w:r>
              <w:rPr/>
              <w:t xml:space="preserve">  </w:t>
            </w:r>
          </w:p>
        </w:tc>
        <w:tc>
          <w:tcPr>
            <w:tcW w:w="16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60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1,125</w:t>
            </w:r>
          </w:p>
        </w:tc>
        <w:tc>
          <w:tcPr>
            <w:tcW w:w="78" w:type="dxa"/>
            <w:tcBorders/>
            <w:shd w:fill="auto" w:val="clear"/>
            <w:vAlign w:val="bottom"/>
          </w:tcPr>
          <w:p>
            <w:pPr>
              <w:pStyle w:val="TableContents"/>
              <w:spacing w:before="0" w:after="283"/>
              <w:rPr/>
            </w:pPr>
            <w:r>
              <w:rPr/>
              <w:t xml:space="preserve">  </w:t>
            </w:r>
          </w:p>
        </w:tc>
        <w:tc>
          <w:tcPr>
            <w:tcW w:w="16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478"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502</w:t>
            </w:r>
          </w:p>
        </w:tc>
        <w:tc>
          <w:tcPr>
            <w:tcW w:w="78" w:type="dxa"/>
            <w:tcBorders/>
            <w:shd w:fill="auto" w:val="clear"/>
            <w:vAlign w:val="bottom"/>
          </w:tcPr>
          <w:p>
            <w:pPr>
              <w:pStyle w:val="TableContents"/>
              <w:spacing w:before="0" w:after="283"/>
              <w:rPr/>
            </w:pPr>
            <w:r>
              <w:rPr/>
              <w:t xml:space="preserve">  </w:t>
            </w:r>
          </w:p>
        </w:tc>
        <w:tc>
          <w:tcPr>
            <w:tcW w:w="16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478"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339</w:t>
            </w:r>
          </w:p>
        </w:tc>
        <w:tc>
          <w:tcPr>
            <w:tcW w:w="78" w:type="dxa"/>
            <w:tcBorders/>
            <w:shd w:fill="auto" w:val="clear"/>
            <w:vAlign w:val="bottom"/>
          </w:tcPr>
          <w:p>
            <w:pPr>
              <w:pStyle w:val="TableContents"/>
              <w:spacing w:before="0" w:after="283"/>
              <w:rPr/>
            </w:pPr>
            <w:r>
              <w:rPr/>
              <w:t xml:space="preserve">  </w:t>
            </w:r>
          </w:p>
        </w:tc>
        <w:tc>
          <w:tcPr>
            <w:tcW w:w="16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506"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139</w:t>
            </w:r>
          </w:p>
        </w:tc>
        <w:tc>
          <w:tcPr>
            <w:tcW w:w="77" w:type="dxa"/>
            <w:tcBorders/>
            <w:shd w:fill="auto" w:val="clear"/>
            <w:vAlign w:val="bottom"/>
          </w:tcPr>
          <w:p>
            <w:pPr>
              <w:pStyle w:val="TableContents"/>
              <w:spacing w:before="0" w:after="283"/>
              <w:rPr/>
            </w:pPr>
            <w:r>
              <w:rPr/>
              <w:t xml:space="preserve">  </w:t>
            </w:r>
          </w:p>
        </w:tc>
        <w:tc>
          <w:tcPr>
            <w:tcW w:w="19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2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5,288</w:t>
            </w:r>
          </w:p>
        </w:tc>
        <w:tc>
          <w:tcPr>
            <w:tcW w:w="91"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Normal"/>
        <w:spacing w:before="0" w:after="0"/>
        <w:rPr>
          <w:sz w:val="4"/>
          <w:szCs w:val="4"/>
        </w:rPr>
      </w:pPr>
      <w:r>
        <w:rPr>
          <w:sz w:val="4"/>
          <w:szCs w:val="4"/>
        </w:rPr>
      </w:r>
      <w:bookmarkStart w:id="182" w:name="hangingindent25"/>
      <w:bookmarkStart w:id="183" w:name="hangingindent25"/>
      <w:bookmarkEnd w:id="183"/>
    </w:p>
    <w:tbl>
      <w:tblPr>
        <w:tblW w:w="5000" w:type="pct"/>
        <w:jc w:val="center"/>
        <w:tblInd w:w="0" w:type="dxa"/>
        <w:tblCellMar>
          <w:top w:w="0" w:type="dxa"/>
          <w:left w:w="0" w:type="dxa"/>
          <w:bottom w:w="0" w:type="dxa"/>
          <w:right w:w="0" w:type="dxa"/>
        </w:tblCellMar>
      </w:tblPr>
      <w:tblGrid>
        <w:gridCol w:w="87"/>
        <w:gridCol w:w="10118"/>
      </w:tblGrid>
      <w:tr>
        <w:trPr/>
        <w:tc>
          <w:tcPr>
            <w:tcW w:w="87" w:type="dxa"/>
            <w:tcBorders/>
            <w:shd w:fill="auto" w:val="clear"/>
          </w:tcPr>
          <w:p>
            <w:pPr>
              <w:pStyle w:val="TableContents"/>
              <w:spacing w:before="0" w:after="0"/>
              <w:rPr/>
            </w:pPr>
            <w:r>
              <w:rPr/>
              <w:t xml:space="preserve">  </w:t>
            </w:r>
          </w:p>
        </w:tc>
        <w:tc>
          <w:tcPr>
            <w:tcW w:w="10118" w:type="dxa"/>
            <w:tcBorders/>
            <w:shd w:fill="auto" w:val="clear"/>
          </w:tcPr>
          <w:p>
            <w:pPr>
              <w:pStyle w:val="TableContents"/>
              <w:spacing w:before="0" w:after="0"/>
              <w:ind w:left="180" w:right="0" w:hanging="180"/>
              <w:jc w:val="both"/>
              <w:rPr>
                <w:rFonts w:ascii="Times New Roman" w:hAnsi="Times New Roman"/>
                <w:sz w:val="20"/>
              </w:rPr>
            </w:pPr>
            <w:r>
              <w:rPr>
                <w:rFonts w:ascii="Times New Roman" w:hAnsi="Times New Roman"/>
                <w:sz w:val="20"/>
              </w:rPr>
              <w:t>1.  </w:t>
            </w:r>
            <w:r>
              <w:rPr>
                <w:rFonts w:ascii="Times New Roman" w:hAnsi="Times New Roman"/>
                <w:sz w:val="16"/>
              </w:rPr>
              <w:t>We have excluded $29 million related to the liability for uncertain tax positions from the tables as the current portion is not material, and we are not able to reasonably estimate the timing of the long term portion of the liability. See Note 8 of the notes to Consolidated Financial Statements.</w:t>
            </w:r>
          </w:p>
        </w:tc>
      </w:tr>
    </w:tbl>
    <w:p>
      <w:pPr>
        <w:pStyle w:val="Normal"/>
        <w:spacing w:before="0" w:after="0"/>
        <w:rPr>
          <w:sz w:val="4"/>
          <w:szCs w:val="4"/>
        </w:rPr>
      </w:pPr>
      <w:r>
        <w:rPr>
          <w:sz w:val="4"/>
          <w:szCs w:val="4"/>
        </w:rPr>
      </w:r>
      <w:bookmarkStart w:id="184" w:name="hangingindent26"/>
      <w:bookmarkStart w:id="185" w:name="hangingindent26"/>
      <w:bookmarkEnd w:id="185"/>
    </w:p>
    <w:tbl>
      <w:tblPr>
        <w:tblW w:w="5000" w:type="pct"/>
        <w:jc w:val="center"/>
        <w:tblInd w:w="0" w:type="dxa"/>
        <w:tblCellMar>
          <w:top w:w="0" w:type="dxa"/>
          <w:left w:w="0" w:type="dxa"/>
          <w:bottom w:w="0" w:type="dxa"/>
          <w:right w:w="0" w:type="dxa"/>
        </w:tblCellMar>
      </w:tblPr>
      <w:tblGrid>
        <w:gridCol w:w="101"/>
        <w:gridCol w:w="10104"/>
      </w:tblGrid>
      <w:tr>
        <w:trPr/>
        <w:tc>
          <w:tcPr>
            <w:tcW w:w="101" w:type="dxa"/>
            <w:tcBorders/>
            <w:shd w:fill="auto" w:val="clear"/>
          </w:tcPr>
          <w:p>
            <w:pPr>
              <w:pStyle w:val="TableContents"/>
              <w:spacing w:before="0" w:after="0"/>
              <w:rPr/>
            </w:pPr>
            <w:r>
              <w:rPr/>
              <w:t xml:space="preserve">  </w:t>
            </w:r>
          </w:p>
        </w:tc>
        <w:tc>
          <w:tcPr>
            <w:tcW w:w="10104"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2.  We have excluded interest on the Senior notes due 2013, as they have been effectively converted to variable rate debt due to interest rate swaps.  See “Description of Certain Indebtedness” above.</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December 31, 2010, we had outstanding surety bonds of $317 million.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December 31, 2010 and 2009,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believe that internally generated cash flows and the remaining availability under our credit facilities will be adequate to finance normal operating requirements and future acquisition activities. Although we maintain an active acquisition program, any future acquisitions will be dependent on numerous factors and it is not feasible to reasonably estimate if or when any such acquisitions will occur and what the impact will be on our activities, financial condition and results of operations. We may also explore alternatives to attract additional capital resources.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anticipate that our recently acquired businesses as well as our other businesses will generate positive cash flows from operating activities, and that these cash flows will permit the reduction of currently outstanding debt in accordance with the repayment schedule. However, the rate at which we can reduce our debt during 2011 (and reduce the associated interest expense) will be affected by, among other things, the financing and operating requirements of any new acquisitions and the financial performance of our existing companies. None of these factors can be predicted with certainty.</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Recently Issued Accounting Standards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See Note 1 of our notes to Consolidated Financial Statements for information regarding the effect of new accounting pronouncements on our financial statements.</w:t>
      </w:r>
    </w:p>
    <w:p>
      <w:pPr>
        <w:pStyle w:val="TextBody"/>
        <w:spacing w:before="0" w:after="0"/>
        <w:ind w:left="0" w:right="0" w:hanging="0"/>
        <w:rPr/>
      </w:pPr>
      <w:r>
        <w:rPr/>
        <w:br/>
        <w:t> </w:t>
      </w:r>
    </w:p>
    <w:p>
      <w:pPr>
        <w:pStyle w:val="TextBody"/>
        <w:spacing w:before="0" w:after="0"/>
        <w:ind w:left="0" w:right="0" w:hanging="0"/>
        <w:jc w:val="both"/>
        <w:rPr>
          <w:rFonts w:ascii="Times New Roman" w:hAnsi="Times New Roman"/>
          <w:b/>
          <w:sz w:val="20"/>
        </w:rPr>
      </w:pPr>
      <w:r>
        <w:rPr>
          <w:rFonts w:ascii="Times New Roman" w:hAnsi="Times New Roman"/>
          <w:b/>
          <w:sz w:val="20"/>
        </w:rPr>
        <w:t>ITEM 7A.                      QUANTITATIVE AND QUALITATIVE DISCLOSURES ABOUT MARKET RISK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exposed to interest rate risks on our outstanding borrowings, and to foreign currency exchange risks on our transactions denominated in currencies other than the U.S. dollar. We are also exposed to equity market risks pertaining to the traded price of our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December 31, 2010, we had a combination of fixed and floating rate borrowings. Our credit facility contains a $750 million variable rate revolver.  At December 31, 2010, the weighted average interest rate was 1.56% on the outstanding revolver balance of $230 million. Our $500 million senior notes due 2019 have a fixed interest rate of 6.25%, and our $91 million senior unsecured convertible notes have a fixed interest rate of 3.75%. Our $500 million senior notes due 2013 have a fixed interest rate of 6.625%; however, in October 2009 we entered into three interest rate swap agreements totaling $500 million that expire August 2013.  The swaps, which are designated as fair value hedges, effectively convert the notes to a weighted average variable rate obligation with a spread of 4.377% plus LIBOR.  At Decem ber 31, 2010, the prevailing market rates for our long term notes were between 1.5% and 4.1% lower than the fixed rates on our debt instruments.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December 31, 2010, our outstanding variable-rate borrowings were $230 million in revolver borrowings and the $500 million senior notes due 2013.  An increase in interest rates of 1% would increase our annualized interest costs by $7.3 million.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Several of our businesses have transactions and balances denominated in currencies other than the U.S. dollar. Most of these transactions or balances are denominated in euros, Canadian dollars, British pounds or Danish krone. Sales by companies whose functional currency was not the U.S. dollar were 25% of our total sales and 64% of these sales were by companies with a European functional currency. The U.S. dollar strengthened against most currencies and weakened against the Canadian dollar throughout 2010, which resulted in an increase in sales of less than 1% due to foreign currency exchange. If these currency exchange rates had been 10% different throughout 2010 compared to currency exchange rates actually experienced, the impact on our net earnings would have been approximately 3.2%.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changes in these currency exchange rates relative to the U.S. dollar during 2010 compared to currency exchange rates at December 31, 2009 resulted in a decrease in net assets of $19.8 million that was reported as a component of comprehensive earnings, $15.5 million of which was attributed to goodwill. Goodwill changes from currency exchange rate changes do not directly affect our reported earnings or cash flows.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trading price of our common stock influences the valuation of stock award grants and the effects these grants have on our results of operations. The stock price also influences the computation of potentially dilutive common stock which includes both stock awards and the premium over the conversion price on senior subordinated convertible notes to determine diluted earnings per share. The stock price also affects our employees’ perceptions of programs that involve our common stock. We believe the quantification of the effects of these changing prices on our future earnings and cash flows is not readily determinable.</w:t>
      </w:r>
    </w:p>
    <w:p>
      <w:pPr>
        <w:pStyle w:val="TextBody"/>
        <w:spacing w:before="0" w:after="0"/>
        <w:rPr/>
      </w:pPr>
      <w:r>
        <w:rPr/>
        <w:br/>
        <w:t> </w:t>
      </w:r>
    </w:p>
    <w:p>
      <w:pPr>
        <w:pStyle w:val="TextBody"/>
        <w:spacing w:before="0" w:after="0"/>
        <w:ind w:left="0" w:right="0" w:hanging="0"/>
        <w:jc w:val="both"/>
        <w:rPr>
          <w:rFonts w:ascii="Times New Roman" w:hAnsi="Times New Roman"/>
          <w:b/>
          <w:sz w:val="20"/>
        </w:rPr>
      </w:pPr>
      <w:r>
        <w:rPr>
          <w:rFonts w:ascii="Times New Roman" w:hAnsi="Times New Roman"/>
          <w:b/>
          <w:sz w:val="20"/>
        </w:rPr>
        <w:t>ITEM 8.                      FINANCIAL STATEMENTS AND SUPPLEMENTARY DATA</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INDEX TO CONSOLIDATED FINANCIAL STATEMENTS AND SUPPLEMENTARY DATA</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583"/>
        <w:gridCol w:w="622"/>
      </w:tblGrid>
      <w:tr>
        <w:trPr/>
        <w:tc>
          <w:tcPr>
            <w:tcW w:w="9583" w:type="dxa"/>
            <w:tcBorders/>
            <w:shd w:fill="auto" w:val="clear"/>
            <w:vAlign w:val="bottom"/>
          </w:tcPr>
          <w:p>
            <w:pPr>
              <w:pStyle w:val="TableContents"/>
              <w:spacing w:before="0" w:after="283"/>
              <w:rPr/>
            </w:pPr>
            <w:r>
              <w:rPr/>
              <w:t xml:space="preserve">  </w:t>
            </w:r>
          </w:p>
        </w:tc>
        <w:tc>
          <w:tcPr>
            <w:tcW w:w="622"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Page</w:t>
            </w:r>
          </w:p>
        </w:tc>
      </w:tr>
      <w:tr>
        <w:trPr/>
        <w:tc>
          <w:tcPr>
            <w:tcW w:w="958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Consolidated Financial Statements:</w:t>
            </w:r>
          </w:p>
        </w:tc>
        <w:tc>
          <w:tcPr>
            <w:tcW w:w="622" w:type="dxa"/>
            <w:tcBorders/>
            <w:shd w:fill="auto" w:val="clear"/>
            <w:vAlign w:val="bottom"/>
          </w:tcPr>
          <w:p>
            <w:pPr>
              <w:pStyle w:val="TableContents"/>
              <w:spacing w:before="0" w:after="283"/>
              <w:rPr/>
            </w:pPr>
            <w:r>
              <w:rPr/>
              <w:t xml:space="preserve">  </w:t>
            </w:r>
          </w:p>
        </w:tc>
      </w:tr>
      <w:tr>
        <w:trPr/>
        <w:tc>
          <w:tcPr>
            <w:tcW w:w="9583"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Report of Independent Registered Public Accounting Firm (PricewaterhouseCoopers LLP)</w:t>
            </w:r>
          </w:p>
        </w:tc>
        <w:tc>
          <w:tcPr>
            <w:tcW w:w="62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w:t>
            </w:r>
          </w:p>
        </w:tc>
      </w:tr>
      <w:tr>
        <w:trPr/>
        <w:tc>
          <w:tcPr>
            <w:tcW w:w="9583"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Consolidated Balance Sheets as of December 31, 2010 and 2009</w:t>
            </w:r>
          </w:p>
        </w:tc>
        <w:tc>
          <w:tcPr>
            <w:tcW w:w="62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w:t>
            </w:r>
          </w:p>
        </w:tc>
      </w:tr>
      <w:tr>
        <w:trPr/>
        <w:tc>
          <w:tcPr>
            <w:tcW w:w="9583" w:type="dxa"/>
            <w:tcBorders/>
            <w:shd w:fill="auto" w:val="clear"/>
            <w:vAlign w:val="bottom"/>
          </w:tcPr>
          <w:p>
            <w:pPr>
              <w:pStyle w:val="TableContents"/>
              <w:spacing w:before="0" w:after="0"/>
              <w:ind w:left="360" w:right="720" w:hanging="0"/>
              <w:jc w:val="left"/>
              <w:rPr>
                <w:rFonts w:ascii="times new roman" w:hAnsi="times new roman"/>
                <w:sz w:val="20"/>
              </w:rPr>
            </w:pPr>
            <w:r>
              <w:rPr>
                <w:rFonts w:ascii="times new roman" w:hAnsi="times new roman"/>
                <w:sz w:val="20"/>
              </w:rPr>
              <w:t>Consolidated Statements of Earnings for the Years ended December 31, 2010, 2009 and 2008</w:t>
            </w:r>
          </w:p>
        </w:tc>
        <w:tc>
          <w:tcPr>
            <w:tcW w:w="62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w:t>
            </w:r>
          </w:p>
        </w:tc>
      </w:tr>
      <w:tr>
        <w:trPr/>
        <w:tc>
          <w:tcPr>
            <w:tcW w:w="9583"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Consolidated Statements of Stockholders’ Equity and Comprehensive Earnings for the Years ended December 31, 2010, 2009 and 2008</w:t>
            </w:r>
          </w:p>
        </w:tc>
        <w:tc>
          <w:tcPr>
            <w:tcW w:w="62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w:t>
            </w:r>
          </w:p>
        </w:tc>
      </w:tr>
      <w:tr>
        <w:trPr/>
        <w:tc>
          <w:tcPr>
            <w:tcW w:w="9583" w:type="dxa"/>
            <w:tcBorders/>
            <w:shd w:fill="auto" w:val="clear"/>
            <w:vAlign w:val="bottom"/>
          </w:tcPr>
          <w:p>
            <w:pPr>
              <w:pStyle w:val="TableContents"/>
              <w:spacing w:before="0" w:after="0"/>
              <w:ind w:left="360" w:right="720" w:hanging="0"/>
              <w:jc w:val="left"/>
              <w:rPr>
                <w:rFonts w:ascii="times new roman" w:hAnsi="times new roman"/>
                <w:sz w:val="20"/>
              </w:rPr>
            </w:pPr>
            <w:r>
              <w:rPr>
                <w:rFonts w:ascii="times new roman" w:hAnsi="times new roman"/>
                <w:sz w:val="20"/>
              </w:rPr>
              <w:t>Consolidated Statements of Cash Flows for the Years ended December 31, 2010, 2009 and 2008</w:t>
            </w:r>
          </w:p>
        </w:tc>
        <w:tc>
          <w:tcPr>
            <w:tcW w:w="62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w:t>
            </w:r>
          </w:p>
        </w:tc>
      </w:tr>
      <w:tr>
        <w:trPr/>
        <w:tc>
          <w:tcPr>
            <w:tcW w:w="9583"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Notes to Consolidated Financial Statements</w:t>
            </w:r>
          </w:p>
        </w:tc>
        <w:tc>
          <w:tcPr>
            <w:tcW w:w="62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w:t>
            </w:r>
          </w:p>
        </w:tc>
      </w:tr>
      <w:tr>
        <w:trPr/>
        <w:tc>
          <w:tcPr>
            <w:tcW w:w="958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Supplementary Data:</w:t>
            </w:r>
          </w:p>
        </w:tc>
        <w:tc>
          <w:tcPr>
            <w:tcW w:w="622" w:type="dxa"/>
            <w:tcBorders/>
            <w:shd w:fill="auto" w:val="clear"/>
            <w:vAlign w:val="bottom"/>
          </w:tcPr>
          <w:p>
            <w:pPr>
              <w:pStyle w:val="TableContents"/>
              <w:spacing w:before="0" w:after="283"/>
              <w:rPr/>
            </w:pPr>
            <w:r>
              <w:rPr/>
              <w:t xml:space="preserve">  </w:t>
            </w:r>
          </w:p>
        </w:tc>
      </w:tr>
      <w:tr>
        <w:trPr/>
        <w:tc>
          <w:tcPr>
            <w:tcW w:w="9583" w:type="dxa"/>
            <w:tcBorders/>
            <w:shd w:fill="auto" w:val="clear"/>
            <w:vAlign w:val="bottom"/>
          </w:tcPr>
          <w:p>
            <w:pPr>
              <w:pStyle w:val="TableContents"/>
              <w:spacing w:before="0" w:after="0"/>
              <w:ind w:left="360" w:right="720" w:hanging="0"/>
              <w:jc w:val="left"/>
              <w:rPr>
                <w:rFonts w:ascii="times new roman" w:hAnsi="times new roman"/>
                <w:sz w:val="20"/>
              </w:rPr>
            </w:pPr>
            <w:r>
              <w:rPr>
                <w:rFonts w:ascii="times new roman" w:hAnsi="times new roman"/>
                <w:sz w:val="20"/>
              </w:rPr>
              <w:t>Schedule II - Consolidated Valuation and Qualifying Accounts for the Years ended December 31, 2010, 2009 and 2008</w:t>
            </w:r>
          </w:p>
        </w:tc>
        <w:tc>
          <w:tcPr>
            <w:tcW w:w="62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w:t>
            </w:r>
          </w:p>
        </w:tc>
      </w:tr>
    </w:tbl>
    <w:p>
      <w:pPr>
        <w:pStyle w:val="TextBody"/>
        <w:spacing w:before="0" w:after="0"/>
        <w:ind w:left="0" w:right="0" w:hanging="0"/>
        <w:rPr/>
      </w:pPr>
      <w:r>
        <w:rPr/>
        <w:t> </w:t>
      </w: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Report of Independent Registered Public Accounting Firm</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To the Shareholders of Roper Industries, Inc.: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 our opinion, the accompanying consolidated balance sheets and the related consolidated statements of earnings, of stockholders' equity and comprehensive earnings and of cash flows, present fairly, in all material respects, the financial position of Roper Industries, Inc. and its subsidiaries at December 31, 2010 and December 31, 2009, and the results of their operations and their cash flows for each of the three years in the period ended December 31, 2010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 n our opinion, the Company maintained, in all material respects, effective internal control over financial reporting as of December 31, 2010, based on criteria established in </w:t>
      </w:r>
      <w:r>
        <w:rPr>
          <w:rFonts w:ascii="Times New Roman" w:hAnsi="Times New Roman"/>
          <w:i/>
          <w:sz w:val="20"/>
        </w:rPr>
        <w:t>Internal Control - Integrated Framework</w:t>
      </w:r>
      <w:r>
        <w:rPr>
          <w:rFonts w:ascii="Times New Roman" w:hAnsi="Times New Roman"/>
          <w:sz w:val="20"/>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 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 er procedures as we considered necessary in the circumstances. We believe that our audits provide a reasonable basis for our opinions.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 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described in Management's Report on Internal Control Over Financial Reporting, management has excluded iTradeNetwork, Inc. from its assessment of internal control over financial reporting as of December 31, 2010, because it was acquired by the Company in a purchase business combination during 2010.  We have also excluded iTradeNetwork, Inc. from our audit of internal control over financial reporting.  iTradeNetwork, Inc. is a wholly-owned subsidiary whose total assets and total revenues represent 0.3% and 1.4% respectively, of the related consolidated financial statement amounts as of and for the year ended December 31, 2010.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PricewaterhouseCoopers LLP</w:t>
      </w:r>
    </w:p>
    <w:p>
      <w:pPr>
        <w:pStyle w:val="TextBody"/>
        <w:spacing w:before="0" w:after="0"/>
        <w:ind w:left="0" w:right="0" w:hanging="0"/>
        <w:jc w:val="left"/>
        <w:rPr>
          <w:rFonts w:ascii="Times New Roman" w:hAnsi="Times New Roman"/>
          <w:sz w:val="20"/>
        </w:rPr>
      </w:pPr>
      <w:r>
        <w:rPr>
          <w:rFonts w:ascii="Times New Roman" w:hAnsi="Times New Roman"/>
          <w:sz w:val="20"/>
        </w:rPr>
        <w:t>Atlanta, Georgia</w:t>
      </w:r>
    </w:p>
    <w:p>
      <w:pPr>
        <w:pStyle w:val="TextBody"/>
        <w:spacing w:before="0" w:after="0"/>
        <w:ind w:left="0" w:right="0" w:hanging="0"/>
        <w:jc w:val="left"/>
        <w:rPr>
          <w:rFonts w:ascii="Times New Roman" w:hAnsi="Times New Roman"/>
          <w:sz w:val="20"/>
        </w:rPr>
      </w:pPr>
      <w:r>
        <w:rPr>
          <w:rFonts w:ascii="Times New Roman" w:hAnsi="Times New Roman"/>
          <w:sz w:val="20"/>
        </w:rPr>
        <w:t>February 25, 2011</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6" w:name="PGBRK7"/>
      <w:bookmarkStart w:id="187" w:name="PGBRK7"/>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88" w:name="FTR7"/>
      <w:bookmarkEnd w:id="18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9" w:name="GLFTR7"/>
      <w:bookmarkEnd w:id="1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0" w:name="PN7"/>
      <w:bookmarkEnd w:id="190"/>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 w:name="HDR7"/>
      <w:bookmarkStart w:id="192" w:name="HDR7"/>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3" w:name="GLHDR7"/>
      <w:bookmarkEnd w:id="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94" w:hanging="0"/>
        <w:jc w:val="center"/>
        <w:rPr>
          <w:rFonts w:ascii="Times New Roman" w:hAnsi="Times New Roman"/>
          <w:sz w:val="20"/>
        </w:rPr>
      </w:pPr>
      <w:r>
        <w:rPr>
          <w:rFonts w:ascii="Times New Roman" w:hAnsi="Times New Roman"/>
          <w:sz w:val="20"/>
        </w:rPr>
        <w:t>ROPER INDUSTRIES, INC. AND SUBSIDIARIES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CONSOLIDATED BALANCE SHEETS</w:t>
      </w:r>
    </w:p>
    <w:p>
      <w:pPr>
        <w:pStyle w:val="TextBody"/>
        <w:spacing w:before="0" w:after="0"/>
        <w:ind w:left="0" w:right="0" w:hanging="0"/>
        <w:jc w:val="center"/>
        <w:rPr>
          <w:rFonts w:ascii="Times New Roman" w:hAnsi="Times New Roman"/>
          <w:sz w:val="20"/>
        </w:rPr>
      </w:pPr>
      <w:r>
        <w:rPr>
          <w:rFonts w:ascii="Times New Roman" w:hAnsi="Times New Roman"/>
          <w:sz w:val="20"/>
        </w:rPr>
        <w:t>December 31, 2010 and 2009</w:t>
      </w:r>
    </w:p>
    <w:p>
      <w:pPr>
        <w:pStyle w:val="TextBody"/>
        <w:spacing w:before="0" w:after="0"/>
        <w:ind w:left="0" w:right="0" w:hanging="0"/>
        <w:jc w:val="center"/>
        <w:rPr>
          <w:rFonts w:ascii="Times New Roman" w:hAnsi="Times New Roman"/>
          <w:sz w:val="20"/>
        </w:rPr>
      </w:pPr>
      <w:r>
        <w:rPr>
          <w:rFonts w:ascii="Times New Roman" w:hAnsi="Times New Roman"/>
          <w:sz w:val="20"/>
        </w:rPr>
        <w:t>(in thousands, except per share data)</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6867"/>
        <w:gridCol w:w="106"/>
        <w:gridCol w:w="132"/>
        <w:gridCol w:w="1306"/>
        <w:gridCol w:w="114"/>
        <w:gridCol w:w="106"/>
        <w:gridCol w:w="132"/>
        <w:gridCol w:w="1235"/>
        <w:gridCol w:w="207"/>
      </w:tblGrid>
      <w:tr>
        <w:trPr/>
        <w:tc>
          <w:tcPr>
            <w:tcW w:w="6867"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4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Assets</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283"/>
              <w:rPr/>
            </w:pPr>
            <w:r>
              <w:rPr/>
              <w:t xml:space="preserve">  </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360" w:right="0" w:hanging="180"/>
              <w:jc w:val="both"/>
              <w:rPr>
                <w:rFonts w:ascii="times new roman" w:hAnsi="times new roman"/>
                <w:sz w:val="20"/>
              </w:rPr>
            </w:pPr>
            <w:r>
              <w:rPr>
                <w:rFonts w:ascii="times new roman" w:hAnsi="times new roman"/>
                <w:sz w:val="20"/>
              </w:rPr>
              <w:t>Cash and cash equivalents</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270,394</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167,708</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360" w:right="0" w:hanging="180"/>
              <w:jc w:val="both"/>
              <w:rPr>
                <w:rFonts w:ascii="times new roman" w:hAnsi="times new roman"/>
                <w:sz w:val="20"/>
              </w:rPr>
            </w:pPr>
            <w:r>
              <w:rPr>
                <w:rFonts w:ascii="times new roman" w:hAnsi="times new roman"/>
                <w:sz w:val="20"/>
              </w:rPr>
              <w:t>Accounts receivable, net</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403,337</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381,658</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360" w:right="0" w:hanging="180"/>
              <w:jc w:val="both"/>
              <w:rPr>
                <w:rFonts w:ascii="times new roman" w:hAnsi="times new roman"/>
                <w:sz w:val="20"/>
              </w:rPr>
            </w:pPr>
            <w:r>
              <w:rPr>
                <w:rFonts w:ascii="times new roman" w:hAnsi="times new roman"/>
                <w:sz w:val="20"/>
              </w:rPr>
              <w:t>Inventories, net</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178,559</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178,795</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360" w:right="0" w:hanging="180"/>
              <w:jc w:val="both"/>
              <w:rPr>
                <w:rFonts w:ascii="times new roman" w:hAnsi="times new roman"/>
                <w:sz w:val="20"/>
              </w:rPr>
            </w:pPr>
            <w:r>
              <w:rPr>
                <w:rFonts w:ascii="times new roman" w:hAnsi="times new roman"/>
                <w:sz w:val="20"/>
              </w:rPr>
              <w:t>Deferred taxes</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32,894</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27,306</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360" w:right="0" w:hanging="180"/>
              <w:jc w:val="both"/>
              <w:rPr>
                <w:rFonts w:ascii="times new roman" w:hAnsi="times new roman"/>
                <w:sz w:val="20"/>
              </w:rPr>
            </w:pPr>
            <w:r>
              <w:rPr>
                <w:rFonts w:ascii="times new roman" w:hAnsi="times new roman"/>
                <w:sz w:val="20"/>
              </w:rPr>
              <w:t>Unbilled receivables</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75,620</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57,153</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360" w:right="0" w:hanging="180"/>
              <w:jc w:val="both"/>
              <w:rPr>
                <w:rFonts w:ascii="times new roman" w:hAnsi="times new roman"/>
                <w:sz w:val="20"/>
              </w:rPr>
            </w:pPr>
            <w:r>
              <w:rPr>
                <w:rFonts w:ascii="times new roman" w:hAnsi="times new roman"/>
                <w:sz w:val="20"/>
              </w:rPr>
              <w:t>Other current assets</w:t>
            </w:r>
          </w:p>
        </w:tc>
        <w:tc>
          <w:tcPr>
            <w:tcW w:w="106"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306"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37,287</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3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58,125</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360" w:right="0" w:firstLine="360"/>
              <w:jc w:val="both"/>
              <w:rPr>
                <w:rFonts w:ascii="times new roman" w:hAnsi="times new roman"/>
                <w:sz w:val="20"/>
              </w:rPr>
            </w:pPr>
            <w:r>
              <w:rPr>
                <w:rFonts w:ascii="times new roman" w:hAnsi="times new roman"/>
                <w:sz w:val="20"/>
              </w:rPr>
              <w:t>Total current assets</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998,091</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870,745</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283"/>
              <w:rPr/>
            </w:pPr>
            <w:r>
              <w:rPr/>
              <w:t xml:space="preserve">  </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Property, plant and equipment, net</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103,487</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109,493</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Goodwill</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2,727,780</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2,388,432</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Other intangible assets, net</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1,104,513</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868,900</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Deferred taxes</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57,850</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33,123</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Other assets</w:t>
            </w:r>
          </w:p>
        </w:tc>
        <w:tc>
          <w:tcPr>
            <w:tcW w:w="106"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306" w:type="dxa"/>
            <w:tcBorders>
              <w:bottom w:val="single" w:sz="12" w:space="0" w:color="000000"/>
            </w:tcBorders>
            <w:shd w:fill="auto" w:val="clear"/>
            <w:tcMar>
              <w:bottom w:w="28" w:type="dxa"/>
            </w:tcMar>
            <w:vAlign w:val="bottom"/>
          </w:tcPr>
          <w:p>
            <w:pPr>
              <w:pStyle w:val="TableContents"/>
              <w:spacing w:before="0" w:after="0"/>
              <w:ind w:left="0" w:right="0" w:firstLine="540"/>
              <w:jc w:val="right"/>
              <w:rPr>
                <w:rFonts w:ascii="times new roman" w:hAnsi="times new roman"/>
                <w:sz w:val="20"/>
              </w:rPr>
            </w:pPr>
            <w:r>
              <w:rPr>
                <w:rFonts w:ascii="times new roman" w:hAnsi="times new roman"/>
                <w:sz w:val="20"/>
              </w:rPr>
              <w:t>77,803</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35" w:type="dxa"/>
            <w:tcBorders>
              <w:bottom w:val="single" w:sz="12" w:space="0" w:color="000000"/>
            </w:tcBorders>
            <w:shd w:fill="auto" w:val="clear"/>
            <w:tcMar>
              <w:bottom w:w="28" w:type="dxa"/>
            </w:tcMar>
            <w:vAlign w:val="bottom"/>
          </w:tcPr>
          <w:p>
            <w:pPr>
              <w:pStyle w:val="TableContents"/>
              <w:spacing w:before="0" w:after="0"/>
              <w:ind w:left="0" w:right="0" w:firstLine="540"/>
              <w:jc w:val="right"/>
              <w:rPr>
                <w:rFonts w:ascii="times new roman" w:hAnsi="times new roman"/>
                <w:sz w:val="20"/>
              </w:rPr>
            </w:pPr>
            <w:r>
              <w:rPr>
                <w:rFonts w:ascii="times new roman" w:hAnsi="times new roman"/>
                <w:sz w:val="20"/>
              </w:rPr>
              <w:t>57,043</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283"/>
              <w:rPr/>
            </w:pPr>
            <w:r>
              <w:rPr/>
              <w:t xml:space="preserve">  </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720" w:right="0" w:hanging="0"/>
              <w:jc w:val="both"/>
              <w:rPr>
                <w:rFonts w:ascii="times new roman" w:hAnsi="times new roman"/>
                <w:sz w:val="20"/>
              </w:rPr>
            </w:pPr>
            <w:r>
              <w:rPr>
                <w:rFonts w:ascii="times new roman" w:hAnsi="times new roman"/>
                <w:sz w:val="20"/>
              </w:rPr>
              <w:t>Total assets</w:t>
            </w:r>
          </w:p>
        </w:tc>
        <w:tc>
          <w:tcPr>
            <w:tcW w:w="106"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06"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5,069,524</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3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4,327,736</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283"/>
              <w:rPr/>
            </w:pPr>
            <w:r>
              <w:rPr/>
              <w:t xml:space="preserve">  </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Liabilities and Stockholders' Equity</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283"/>
              <w:rPr/>
            </w:pPr>
            <w:r>
              <w:rPr/>
              <w:t xml:space="preserve">  </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Accounts payable</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137,778</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110,103</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Accrued liabilities</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298,080</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253,441</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Income taxes payable</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Deferred taxes</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10,445</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1,671</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Current portion of long-term debt, net</w:t>
            </w:r>
          </w:p>
        </w:tc>
        <w:tc>
          <w:tcPr>
            <w:tcW w:w="106"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306" w:type="dxa"/>
            <w:tcBorders>
              <w:bottom w:val="single" w:sz="12" w:space="0" w:color="000000"/>
            </w:tcBorders>
            <w:shd w:fill="auto" w:val="clear"/>
            <w:tcMar>
              <w:bottom w:w="28" w:type="dxa"/>
            </w:tcMar>
            <w:vAlign w:val="bottom"/>
          </w:tcPr>
          <w:p>
            <w:pPr>
              <w:pStyle w:val="TableContents"/>
              <w:spacing w:before="0" w:after="0"/>
              <w:ind w:left="0" w:right="0" w:firstLine="540"/>
              <w:jc w:val="right"/>
              <w:rPr>
                <w:rFonts w:ascii="times new roman" w:hAnsi="times new roman"/>
                <w:sz w:val="20"/>
              </w:rPr>
            </w:pPr>
            <w:r>
              <w:rPr>
                <w:rFonts w:ascii="times new roman" w:hAnsi="times new roman"/>
                <w:sz w:val="20"/>
              </w:rPr>
              <w:t>93,342</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35" w:type="dxa"/>
            <w:tcBorders>
              <w:bottom w:val="single" w:sz="12" w:space="0" w:color="000000"/>
            </w:tcBorders>
            <w:shd w:fill="auto" w:val="clear"/>
            <w:tcMar>
              <w:bottom w:w="28" w:type="dxa"/>
            </w:tcMar>
            <w:vAlign w:val="bottom"/>
          </w:tcPr>
          <w:p>
            <w:pPr>
              <w:pStyle w:val="TableContents"/>
              <w:spacing w:before="0" w:after="0"/>
              <w:ind w:left="0" w:right="0" w:firstLine="540"/>
              <w:jc w:val="right"/>
              <w:rPr>
                <w:rFonts w:ascii="times new roman" w:hAnsi="times new roman"/>
                <w:sz w:val="20"/>
              </w:rPr>
            </w:pPr>
            <w:r>
              <w:rPr>
                <w:rFonts w:ascii="times new roman" w:hAnsi="times new roman"/>
                <w:sz w:val="20"/>
              </w:rPr>
              <w:t>112,796</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firstLine="720"/>
              <w:jc w:val="both"/>
              <w:rPr>
                <w:rFonts w:ascii="times new roman" w:hAnsi="times new roman"/>
                <w:sz w:val="20"/>
              </w:rPr>
            </w:pPr>
            <w:r>
              <w:rPr>
                <w:rFonts w:ascii="times new roman" w:hAnsi="times new roman"/>
                <w:sz w:val="20"/>
              </w:rPr>
              <w:t>Total current liabilities</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539,645</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478,011</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283"/>
              <w:rPr/>
            </w:pPr>
            <w:r>
              <w:rPr/>
              <w:t xml:space="preserve">  </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Long-term debt, net of current portion</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1,247,703</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1,040,962</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Deferred taxes</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465,001</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328,299</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Other liabilities</w:t>
            </w:r>
          </w:p>
        </w:tc>
        <w:tc>
          <w:tcPr>
            <w:tcW w:w="106"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306" w:type="dxa"/>
            <w:tcBorders>
              <w:bottom w:val="single" w:sz="12" w:space="0" w:color="000000"/>
            </w:tcBorders>
            <w:shd w:fill="auto" w:val="clear"/>
            <w:tcMar>
              <w:bottom w:w="28" w:type="dxa"/>
            </w:tcMar>
            <w:vAlign w:val="bottom"/>
          </w:tcPr>
          <w:p>
            <w:pPr>
              <w:pStyle w:val="TableContents"/>
              <w:spacing w:before="0" w:after="0"/>
              <w:ind w:left="0" w:right="0" w:firstLine="540"/>
              <w:jc w:val="right"/>
              <w:rPr>
                <w:rFonts w:ascii="times new roman" w:hAnsi="times new roman"/>
                <w:sz w:val="20"/>
              </w:rPr>
            </w:pPr>
            <w:r>
              <w:rPr>
                <w:rFonts w:ascii="times new roman" w:hAnsi="times new roman"/>
                <w:sz w:val="20"/>
              </w:rPr>
              <w:t>66,268</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35" w:type="dxa"/>
            <w:tcBorders>
              <w:bottom w:val="single" w:sz="12" w:space="0" w:color="000000"/>
            </w:tcBorders>
            <w:shd w:fill="auto" w:val="clear"/>
            <w:tcMar>
              <w:bottom w:w="28" w:type="dxa"/>
            </w:tcMar>
            <w:vAlign w:val="bottom"/>
          </w:tcPr>
          <w:p>
            <w:pPr>
              <w:pStyle w:val="TableContents"/>
              <w:spacing w:before="0" w:after="0"/>
              <w:ind w:left="0" w:right="0" w:firstLine="540"/>
              <w:jc w:val="right"/>
              <w:rPr>
                <w:rFonts w:ascii="times new roman" w:hAnsi="times new roman"/>
                <w:sz w:val="20"/>
              </w:rPr>
            </w:pPr>
            <w:r>
              <w:rPr>
                <w:rFonts w:ascii="times new roman" w:hAnsi="times new roman"/>
                <w:sz w:val="20"/>
              </w:rPr>
              <w:t>58,974</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firstLine="720"/>
              <w:jc w:val="both"/>
              <w:rPr>
                <w:rFonts w:ascii="times new roman" w:hAnsi="times new roman"/>
                <w:sz w:val="20"/>
              </w:rPr>
            </w:pPr>
            <w:r>
              <w:rPr>
                <w:rFonts w:ascii="times new roman" w:hAnsi="times new roman"/>
                <w:sz w:val="20"/>
              </w:rPr>
              <w:t>Total liabilities</w:t>
            </w:r>
          </w:p>
        </w:tc>
        <w:tc>
          <w:tcPr>
            <w:tcW w:w="106"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306" w:type="dxa"/>
            <w:tcBorders>
              <w:bottom w:val="single" w:sz="12" w:space="0" w:color="000000"/>
            </w:tcBorders>
            <w:shd w:fill="auto" w:val="clear"/>
            <w:tcMar>
              <w:bottom w:w="28" w:type="dxa"/>
            </w:tcMar>
            <w:vAlign w:val="bottom"/>
          </w:tcPr>
          <w:p>
            <w:pPr>
              <w:pStyle w:val="TableContents"/>
              <w:spacing w:before="0" w:after="0"/>
              <w:ind w:left="0" w:right="0" w:firstLine="360"/>
              <w:jc w:val="right"/>
              <w:rPr>
                <w:rFonts w:ascii="times new roman" w:hAnsi="times new roman"/>
                <w:sz w:val="20"/>
              </w:rPr>
            </w:pPr>
            <w:r>
              <w:rPr>
                <w:rFonts w:ascii="times new roman" w:hAnsi="times new roman"/>
                <w:sz w:val="20"/>
              </w:rPr>
              <w:t>2,318,617</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35" w:type="dxa"/>
            <w:tcBorders>
              <w:bottom w:val="single" w:sz="12" w:space="0" w:color="000000"/>
            </w:tcBorders>
            <w:shd w:fill="auto" w:val="clear"/>
            <w:tcMar>
              <w:bottom w:w="28" w:type="dxa"/>
            </w:tcMar>
            <w:vAlign w:val="bottom"/>
          </w:tcPr>
          <w:p>
            <w:pPr>
              <w:pStyle w:val="TableContents"/>
              <w:spacing w:before="0" w:after="0"/>
              <w:ind w:left="0" w:right="0" w:firstLine="360"/>
              <w:jc w:val="right"/>
              <w:rPr>
                <w:rFonts w:ascii="times new roman" w:hAnsi="times new roman"/>
                <w:sz w:val="20"/>
              </w:rPr>
            </w:pPr>
            <w:r>
              <w:rPr>
                <w:rFonts w:ascii="times new roman" w:hAnsi="times new roman"/>
                <w:sz w:val="20"/>
              </w:rPr>
              <w:t>1,906,246</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283"/>
              <w:rPr/>
            </w:pPr>
            <w:r>
              <w:rPr/>
              <w:t xml:space="preserve">  </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Commitments and contingencies (Note 14)</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283"/>
              <w:rPr/>
            </w:pPr>
            <w:r>
              <w:rPr/>
              <w:t xml:space="preserve">  </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283"/>
              <w:rPr/>
            </w:pPr>
            <w:r>
              <w:rPr/>
              <w:t xml:space="preserve">  </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equity:</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283"/>
              <w:rPr/>
            </w:pPr>
            <w:r>
              <w:rPr/>
              <w:t xml:space="preserve">  </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Preferred stock, $0.01 par value per share; 2,000 shares authorized; none outstanding</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Common stock, $0.01 par value per share; 350,000 shares authorized; 97,122 shares issued and 95,088 outstanding at December 31, 2010 and 95,768 shares issued and 93,618 outstanding at December 31, 2009.</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971</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958</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Additional paid-in capital</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1,045,286</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982,321</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Retained earnings</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1,680,849</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1,395,586</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Accumulated other comprehensive earnings</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43,978</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63,945</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180" w:right="116" w:hanging="0"/>
              <w:jc w:val="left"/>
              <w:rPr>
                <w:rFonts w:ascii="times new roman" w:hAnsi="times new roman"/>
                <w:sz w:val="20"/>
              </w:rPr>
            </w:pPr>
            <w:r>
              <w:rPr>
                <w:rFonts w:ascii="times new roman" w:hAnsi="times new roman"/>
                <w:sz w:val="20"/>
              </w:rPr>
              <w:t>Treasury stock 2,034 shares at December 31, 2010 and 2,150 shares at December 31, 2009.</w:t>
            </w:r>
          </w:p>
        </w:tc>
        <w:tc>
          <w:tcPr>
            <w:tcW w:w="106"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306" w:type="dxa"/>
            <w:tcBorders>
              <w:bottom w:val="single" w:sz="12" w:space="0" w:color="000000"/>
            </w:tcBorders>
            <w:shd w:fill="auto" w:val="clear"/>
            <w:tcMar>
              <w:bottom w:w="28" w:type="dxa"/>
            </w:tcMar>
            <w:vAlign w:val="bottom"/>
          </w:tcPr>
          <w:p>
            <w:pPr>
              <w:pStyle w:val="TableContents"/>
              <w:spacing w:before="0" w:after="0"/>
              <w:ind w:left="0" w:right="0" w:firstLine="540"/>
              <w:jc w:val="right"/>
              <w:rPr>
                <w:rFonts w:ascii="times new roman" w:hAnsi="times new roman"/>
                <w:sz w:val="20"/>
              </w:rPr>
            </w:pPr>
            <w:r>
              <w:rPr>
                <w:rFonts w:ascii="times new roman" w:hAnsi="times new roman"/>
                <w:sz w:val="20"/>
              </w:rPr>
              <w:t>(20,177</w:t>
            </w:r>
          </w:p>
        </w:tc>
        <w:tc>
          <w:tcPr>
            <w:tcW w:w="11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35" w:type="dxa"/>
            <w:tcBorders>
              <w:bottom w:val="single" w:sz="12" w:space="0" w:color="000000"/>
            </w:tcBorders>
            <w:shd w:fill="auto" w:val="clear"/>
            <w:tcMar>
              <w:bottom w:w="28" w:type="dxa"/>
            </w:tcMar>
            <w:vAlign w:val="bottom"/>
          </w:tcPr>
          <w:p>
            <w:pPr>
              <w:pStyle w:val="TableContents"/>
              <w:spacing w:before="0" w:after="0"/>
              <w:ind w:left="0" w:right="0" w:firstLine="540"/>
              <w:jc w:val="right"/>
              <w:rPr>
                <w:rFonts w:ascii="times new roman" w:hAnsi="times new roman"/>
                <w:sz w:val="20"/>
              </w:rPr>
            </w:pPr>
            <w:r>
              <w:rPr>
                <w:rFonts w:ascii="times new roman" w:hAnsi="times new roman"/>
                <w:sz w:val="20"/>
              </w:rPr>
              <w:t>(21,320</w:t>
            </w:r>
          </w:p>
        </w:tc>
        <w:tc>
          <w:tcPr>
            <w:tcW w:w="20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6867" w:type="dxa"/>
            <w:tcBorders/>
            <w:shd w:fill="auto" w:val="clear"/>
            <w:vAlign w:val="bottom"/>
          </w:tcPr>
          <w:p>
            <w:pPr>
              <w:pStyle w:val="TableContents"/>
              <w:spacing w:before="0" w:after="0"/>
              <w:ind w:left="0" w:right="0" w:firstLine="720"/>
              <w:jc w:val="left"/>
              <w:rPr>
                <w:rFonts w:ascii="times new roman" w:hAnsi="times new roman"/>
                <w:sz w:val="20"/>
              </w:rPr>
            </w:pPr>
            <w:r>
              <w:rPr>
                <w:rFonts w:ascii="times new roman" w:hAnsi="times new roman"/>
                <w:sz w:val="20"/>
              </w:rPr>
              <w:t>Total stockholders' equity</w:t>
            </w:r>
          </w:p>
        </w:tc>
        <w:tc>
          <w:tcPr>
            <w:tcW w:w="106"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306"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2,750,907</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3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2,421,490</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306"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1235" w:type="dxa"/>
            <w:tcBorders/>
            <w:shd w:fill="auto" w:val="clear"/>
            <w:vAlign w:val="bottom"/>
          </w:tcPr>
          <w:p>
            <w:pPr>
              <w:pStyle w:val="TableContents"/>
              <w:spacing w:before="0" w:after="283"/>
              <w:rPr/>
            </w:pPr>
            <w:r>
              <w:rPr/>
              <w:t xml:space="preserve">  </w:t>
            </w:r>
          </w:p>
        </w:tc>
        <w:tc>
          <w:tcPr>
            <w:tcW w:w="207" w:type="dxa"/>
            <w:tcBorders/>
            <w:shd w:fill="auto" w:val="clear"/>
            <w:vAlign w:val="bottom"/>
          </w:tcPr>
          <w:p>
            <w:pPr>
              <w:pStyle w:val="TableContents"/>
              <w:spacing w:before="0" w:after="283"/>
              <w:rPr/>
            </w:pPr>
            <w:r>
              <w:rPr/>
              <w:t xml:space="preserve">  </w:t>
            </w:r>
          </w:p>
        </w:tc>
      </w:tr>
      <w:tr>
        <w:trPr/>
        <w:tc>
          <w:tcPr>
            <w:tcW w:w="6867" w:type="dxa"/>
            <w:tcBorders/>
            <w:shd w:fill="auto" w:val="clear"/>
            <w:vAlign w:val="bottom"/>
          </w:tcPr>
          <w:p>
            <w:pPr>
              <w:pStyle w:val="TableContents"/>
              <w:spacing w:before="0" w:after="0"/>
              <w:ind w:left="0" w:right="0" w:firstLine="720"/>
              <w:jc w:val="left"/>
              <w:rPr>
                <w:rFonts w:ascii="times new roman" w:hAnsi="times new roman"/>
                <w:sz w:val="20"/>
              </w:rPr>
            </w:pPr>
            <w:r>
              <w:rPr>
                <w:rFonts w:ascii="times new roman" w:hAnsi="times new roman"/>
                <w:sz w:val="20"/>
              </w:rPr>
              <w:t>Total liabilities and stockholders' equity</w:t>
            </w:r>
          </w:p>
        </w:tc>
        <w:tc>
          <w:tcPr>
            <w:tcW w:w="106"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06" w:type="dxa"/>
            <w:tcBorders>
              <w:bottom w:val="double" w:sz="8" w:space="0" w:color="000000"/>
            </w:tcBorders>
            <w:shd w:fill="auto" w:val="clear"/>
            <w:tcMar>
              <w:bottom w:w="28" w:type="dxa"/>
            </w:tcMar>
            <w:vAlign w:val="bottom"/>
          </w:tcPr>
          <w:p>
            <w:pPr>
              <w:pStyle w:val="TableContents"/>
              <w:spacing w:before="0" w:after="0"/>
              <w:ind w:left="0" w:right="0" w:firstLine="180"/>
              <w:jc w:val="right"/>
              <w:rPr>
                <w:rFonts w:ascii="times new roman" w:hAnsi="times new roman"/>
                <w:sz w:val="20"/>
              </w:rPr>
            </w:pPr>
            <w:r>
              <w:rPr>
                <w:rFonts w:ascii="times new roman" w:hAnsi="times new roman"/>
                <w:sz w:val="20"/>
              </w:rPr>
              <w:t>5,069,524</w:t>
            </w:r>
          </w:p>
        </w:tc>
        <w:tc>
          <w:tcPr>
            <w:tcW w:w="114"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35" w:type="dxa"/>
            <w:tcBorders>
              <w:bottom w:val="double" w:sz="8" w:space="0" w:color="000000"/>
            </w:tcBorders>
            <w:shd w:fill="auto" w:val="clear"/>
            <w:tcMar>
              <w:bottom w:w="28" w:type="dxa"/>
            </w:tcMar>
            <w:vAlign w:val="bottom"/>
          </w:tcPr>
          <w:p>
            <w:pPr>
              <w:pStyle w:val="TableContents"/>
              <w:spacing w:before="0" w:after="0"/>
              <w:ind w:left="0" w:right="0" w:firstLine="180"/>
              <w:jc w:val="right"/>
              <w:rPr>
                <w:rFonts w:ascii="times new roman" w:hAnsi="times new roman"/>
                <w:sz w:val="20"/>
              </w:rPr>
            </w:pPr>
            <w:r>
              <w:rPr>
                <w:rFonts w:ascii="times new roman" w:hAnsi="times new roman"/>
                <w:sz w:val="20"/>
              </w:rPr>
              <w:t>4,327,736</w:t>
            </w:r>
          </w:p>
        </w:tc>
        <w:tc>
          <w:tcPr>
            <w:tcW w:w="207"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4" w:name="PGBRK8"/>
      <w:bookmarkStart w:id="195" w:name="PGBRK8"/>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96" w:name="FTR8"/>
      <w:bookmarkEnd w:id="19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7" w:name="GLFTR8"/>
      <w:bookmarkEnd w:id="1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8" w:name="PN8"/>
      <w:bookmarkEnd w:id="198"/>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 w:name="HDR8"/>
      <w:bookmarkStart w:id="200" w:name="HDR8"/>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1" w:name="GLHDR8"/>
      <w:bookmarkEnd w:id="2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ROPER INDUSTRIES, INC. AND SUBSIDIARIES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CONSOLIDATED STATEMENTS OF EARNINGS</w:t>
      </w:r>
    </w:p>
    <w:p>
      <w:pPr>
        <w:pStyle w:val="TextBody"/>
        <w:spacing w:before="0" w:after="0"/>
        <w:ind w:left="0" w:right="0" w:hanging="0"/>
        <w:jc w:val="center"/>
        <w:rPr>
          <w:rFonts w:ascii="Times New Roman" w:hAnsi="Times New Roman"/>
          <w:sz w:val="20"/>
        </w:rPr>
      </w:pPr>
      <w:r>
        <w:rPr>
          <w:rFonts w:ascii="Times New Roman" w:hAnsi="Times New Roman"/>
          <w:sz w:val="20"/>
        </w:rPr>
        <w:t>Years ended December 31, 2010, 2009 and 2008</w:t>
      </w:r>
    </w:p>
    <w:p>
      <w:pPr>
        <w:pStyle w:val="TextBody"/>
        <w:spacing w:before="0" w:after="0"/>
        <w:ind w:left="0" w:right="0" w:hanging="0"/>
        <w:jc w:val="center"/>
        <w:rPr>
          <w:rFonts w:ascii="Times New Roman" w:hAnsi="Times New Roman"/>
          <w:sz w:val="20"/>
        </w:rPr>
      </w:pPr>
      <w:r>
        <w:rPr>
          <w:rFonts w:ascii="Times New Roman" w:hAnsi="Times New Roman"/>
          <w:sz w:val="20"/>
        </w:rPr>
        <w:t>(Dollar and share amounts in thousands, except per share data)</w:t>
      </w:r>
    </w:p>
    <w:p>
      <w:pPr>
        <w:pStyle w:val="TextBody"/>
        <w:spacing w:before="0" w:after="0"/>
        <w:ind w:left="0" w:right="0" w:hanging="0"/>
        <w:rPr/>
      </w:pPr>
      <w:r>
        <w:rPr/>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828"/>
        <w:gridCol w:w="234"/>
        <w:gridCol w:w="126"/>
        <w:gridCol w:w="1115"/>
        <w:gridCol w:w="234"/>
        <w:gridCol w:w="120"/>
        <w:gridCol w:w="234"/>
        <w:gridCol w:w="126"/>
        <w:gridCol w:w="1115"/>
        <w:gridCol w:w="234"/>
        <w:gridCol w:w="120"/>
        <w:gridCol w:w="234"/>
        <w:gridCol w:w="126"/>
        <w:gridCol w:w="1114"/>
        <w:gridCol w:w="245"/>
      </w:tblGrid>
      <w:tr>
        <w:trPr/>
        <w:tc>
          <w:tcPr>
            <w:tcW w:w="4828"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4898" w:type="dxa"/>
            <w:gridSpan w:val="1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Years ended December 31,</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4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2008</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sales</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2,386,112</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2,049,668</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2,306,371</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Cost of sales</w:t>
            </w:r>
          </w:p>
        </w:tc>
        <w:tc>
          <w:tcPr>
            <w:tcW w:w="234" w:type="dxa"/>
            <w:tcBorders/>
            <w:shd w:fill="auto" w:val="clear"/>
            <w:vAlign w:val="bottom"/>
          </w:tcPr>
          <w:p>
            <w:pPr>
              <w:pStyle w:val="TableContents"/>
              <w:spacing w:before="0" w:after="283"/>
              <w:rPr/>
            </w:pPr>
            <w:r>
              <w:rPr/>
              <w:t xml:space="preserve">  </w:t>
            </w:r>
          </w:p>
        </w:tc>
        <w:tc>
          <w:tcPr>
            <w:tcW w:w="12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1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1,110,986</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1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1,006,530</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14"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1,118,083</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Gross profit</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1,275,126</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1,043,138</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1,188,288</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Selling, general and administrative expenses</w:t>
            </w:r>
          </w:p>
        </w:tc>
        <w:tc>
          <w:tcPr>
            <w:tcW w:w="234" w:type="dxa"/>
            <w:tcBorders/>
            <w:shd w:fill="auto" w:val="clear"/>
            <w:vAlign w:val="bottom"/>
          </w:tcPr>
          <w:p>
            <w:pPr>
              <w:pStyle w:val="TableContents"/>
              <w:spacing w:before="0" w:after="283"/>
              <w:rPr/>
            </w:pPr>
            <w:r>
              <w:rPr/>
              <w:t xml:space="preserve">  </w:t>
            </w:r>
          </w:p>
        </w:tc>
        <w:tc>
          <w:tcPr>
            <w:tcW w:w="12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1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760,832</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1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647,742</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14"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702,127</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Income from operations</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514,294</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395,396</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486,161</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Interest expense</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66,533</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58,544</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60,819</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Loss on extinguishment of debt</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403</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3,133</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Other income</w:t>
            </w:r>
          </w:p>
        </w:tc>
        <w:tc>
          <w:tcPr>
            <w:tcW w:w="234" w:type="dxa"/>
            <w:tcBorders/>
            <w:shd w:fill="auto" w:val="clear"/>
            <w:vAlign w:val="bottom"/>
          </w:tcPr>
          <w:p>
            <w:pPr>
              <w:pStyle w:val="TableContents"/>
              <w:spacing w:before="0" w:after="283"/>
              <w:rPr/>
            </w:pPr>
            <w:r>
              <w:rPr/>
              <w:t xml:space="preserve">  </w:t>
            </w:r>
          </w:p>
        </w:tc>
        <w:tc>
          <w:tcPr>
            <w:tcW w:w="12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1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633</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1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3,319</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14"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6,607</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180" w:right="0" w:hanging="180"/>
              <w:jc w:val="both"/>
              <w:rPr>
                <w:rFonts w:ascii="times new roman" w:hAnsi="times new roman"/>
                <w:sz w:val="20"/>
              </w:rPr>
            </w:pPr>
            <w:r>
              <w:rPr>
                <w:rFonts w:ascii="times new roman" w:hAnsi="times new roman"/>
                <w:sz w:val="20"/>
              </w:rPr>
              <w:t>Earnings before income taxes</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448,394</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339,768</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428,816</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Income taxes</w:t>
            </w:r>
          </w:p>
        </w:tc>
        <w:tc>
          <w:tcPr>
            <w:tcW w:w="234" w:type="dxa"/>
            <w:tcBorders/>
            <w:shd w:fill="auto" w:val="clear"/>
            <w:vAlign w:val="bottom"/>
          </w:tcPr>
          <w:p>
            <w:pPr>
              <w:pStyle w:val="TableContents"/>
              <w:spacing w:before="0" w:after="283"/>
              <w:rPr/>
            </w:pPr>
            <w:r>
              <w:rPr/>
              <w:t xml:space="preserve">  </w:t>
            </w:r>
          </w:p>
        </w:tc>
        <w:tc>
          <w:tcPr>
            <w:tcW w:w="12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1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125,814</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1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100,287</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14"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146,942</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4" w:type="dxa"/>
            <w:tcBorders/>
            <w:shd w:fill="auto" w:val="clear"/>
            <w:vAlign w:val="bottom"/>
          </w:tcPr>
          <w:p>
            <w:pPr>
              <w:pStyle w:val="TableContents"/>
              <w:spacing w:before="0" w:after="283"/>
              <w:rPr/>
            </w:pPr>
            <w:r>
              <w:rPr/>
              <w:t xml:space="preserve">  </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earnings</w:t>
            </w:r>
          </w:p>
        </w:tc>
        <w:tc>
          <w:tcPr>
            <w:tcW w:w="234" w:type="dxa"/>
            <w:tcBorders/>
            <w:shd w:fill="auto" w:val="clear"/>
            <w:vAlign w:val="bottom"/>
          </w:tcPr>
          <w:p>
            <w:pPr>
              <w:pStyle w:val="TableContents"/>
              <w:spacing w:before="0" w:after="283"/>
              <w:rPr/>
            </w:pPr>
            <w:r>
              <w:rPr/>
              <w:t xml:space="preserve">  </w:t>
            </w:r>
          </w:p>
        </w:tc>
        <w:tc>
          <w:tcPr>
            <w:tcW w:w="12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322,580</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239,481</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4"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281,874</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4" w:type="dxa"/>
            <w:tcBorders/>
            <w:shd w:fill="auto" w:val="clear"/>
            <w:vAlign w:val="bottom"/>
          </w:tcPr>
          <w:p>
            <w:pPr>
              <w:pStyle w:val="TableContents"/>
              <w:spacing w:before="0" w:after="283"/>
              <w:rPr/>
            </w:pPr>
            <w:r>
              <w:rPr/>
              <w:t xml:space="preserve">  </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Earnings per share:</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4" w:type="dxa"/>
            <w:tcBorders/>
            <w:shd w:fill="auto" w:val="clear"/>
            <w:vAlign w:val="bottom"/>
          </w:tcPr>
          <w:p>
            <w:pPr>
              <w:pStyle w:val="TableContents"/>
              <w:spacing w:before="0" w:after="283"/>
              <w:rPr/>
            </w:pPr>
            <w:r>
              <w:rPr/>
              <w:t xml:space="preserve">  </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Basic</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3.42</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2.64</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3.15</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Diluted</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3.34</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2.58</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3.01</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4" w:type="dxa"/>
            <w:tcBorders/>
            <w:shd w:fill="auto" w:val="clear"/>
            <w:vAlign w:val="bottom"/>
          </w:tcPr>
          <w:p>
            <w:pPr>
              <w:pStyle w:val="TableContents"/>
              <w:spacing w:before="0" w:after="283"/>
              <w:rPr/>
            </w:pPr>
            <w:r>
              <w:rPr/>
              <w:t xml:space="preserve">  </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Weighted average common shares outstanding:</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4" w:type="dxa"/>
            <w:tcBorders/>
            <w:shd w:fill="auto" w:val="clear"/>
            <w:vAlign w:val="bottom"/>
          </w:tcPr>
          <w:p>
            <w:pPr>
              <w:pStyle w:val="TableContents"/>
              <w:spacing w:before="0" w:after="283"/>
              <w:rPr/>
            </w:pPr>
            <w:r>
              <w:rPr/>
              <w:t xml:space="preserve">  </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Basic</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94,242</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90,685</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89,468</w:t>
            </w:r>
          </w:p>
        </w:tc>
        <w:tc>
          <w:tcPr>
            <w:tcW w:w="245" w:type="dxa"/>
            <w:tcBorders/>
            <w:shd w:fill="auto" w:val="clear"/>
            <w:vAlign w:val="bottom"/>
          </w:tcPr>
          <w:p>
            <w:pPr>
              <w:pStyle w:val="TableContents"/>
              <w:spacing w:before="0" w:after="283"/>
              <w:rPr/>
            </w:pPr>
            <w:r>
              <w:rPr/>
              <w:t xml:space="preserve">  </w:t>
            </w:r>
          </w:p>
        </w:tc>
      </w:tr>
      <w:tr>
        <w:trPr/>
        <w:tc>
          <w:tcPr>
            <w:tcW w:w="4828" w:type="dxa"/>
            <w:tcBorders/>
            <w:shd w:fill="auto"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Diluted</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96,653</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92,820</w:t>
            </w:r>
          </w:p>
        </w:tc>
        <w:tc>
          <w:tcPr>
            <w:tcW w:w="23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234"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11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93,699</w:t>
            </w:r>
          </w:p>
        </w:tc>
        <w:tc>
          <w:tcPr>
            <w:tcW w:w="245"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2" w:name="PGBRK9"/>
      <w:bookmarkStart w:id="203" w:name="PGBRK9"/>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04" w:name="FTR9"/>
      <w:bookmarkEnd w:id="20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5" w:name="GLFTR9"/>
      <w:bookmarkEnd w:id="2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6" w:name="PN9"/>
      <w:bookmarkEnd w:id="206"/>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 w:name="HDR9"/>
      <w:bookmarkStart w:id="208" w:name="HDR9"/>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9" w:name="GLHDR9"/>
      <w:bookmarkEnd w:id="2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ROPER INDUSTRIES, INC. AND SUBSIDIARIES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CONSOLIDATED STATEMENTS OF STOCKHOLDERS’ EQUITY AND COMPREHENSIVE EARNINGS</w:t>
      </w:r>
    </w:p>
    <w:p>
      <w:pPr>
        <w:pStyle w:val="TextBody"/>
        <w:spacing w:before="0" w:after="0"/>
        <w:ind w:left="0" w:right="0" w:hanging="0"/>
        <w:jc w:val="center"/>
        <w:rPr>
          <w:rFonts w:ascii="Times New Roman" w:hAnsi="Times New Roman"/>
          <w:sz w:val="20"/>
        </w:rPr>
      </w:pPr>
      <w:r>
        <w:rPr>
          <w:rFonts w:ascii="Times New Roman" w:hAnsi="Times New Roman"/>
          <w:sz w:val="20"/>
        </w:rPr>
        <w:t>Years ended December 31, 2010, 2009 and 2008</w:t>
      </w:r>
    </w:p>
    <w:p>
      <w:pPr>
        <w:pStyle w:val="TextBody"/>
        <w:spacing w:before="0" w:after="0"/>
        <w:ind w:left="0" w:right="0" w:hanging="0"/>
        <w:jc w:val="center"/>
        <w:rPr/>
      </w:pPr>
      <w:r>
        <w:rPr/>
        <w:t> </w:t>
      </w:r>
      <w:r>
        <w:rPr>
          <w:rFonts w:ascii="Times New Roman" w:hAnsi="Times New Roman"/>
          <w:sz w:val="20"/>
        </w:rPr>
        <w:t>(in thousands, except per share data)</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647"/>
        <w:gridCol w:w="629"/>
        <w:gridCol w:w="71"/>
        <w:gridCol w:w="132"/>
        <w:gridCol w:w="813"/>
        <w:gridCol w:w="71"/>
        <w:gridCol w:w="132"/>
        <w:gridCol w:w="913"/>
        <w:gridCol w:w="90"/>
        <w:gridCol w:w="131"/>
        <w:gridCol w:w="899"/>
        <w:gridCol w:w="90"/>
        <w:gridCol w:w="170"/>
        <w:gridCol w:w="984"/>
        <w:gridCol w:w="90"/>
        <w:gridCol w:w="132"/>
        <w:gridCol w:w="700"/>
        <w:gridCol w:w="90"/>
        <w:gridCol w:w="132"/>
        <w:gridCol w:w="899"/>
        <w:gridCol w:w="89"/>
        <w:gridCol w:w="185"/>
        <w:gridCol w:w="1010"/>
        <w:gridCol w:w="106"/>
      </w:tblGrid>
      <w:tr>
        <w:trPr/>
        <w:tc>
          <w:tcPr>
            <w:tcW w:w="1647" w:type="dxa"/>
            <w:vMerge w:val="restart"/>
            <w:tcBorders/>
            <w:shd w:fill="auto" w:val="clear"/>
            <w:vAlign w:val="bottom"/>
          </w:tcPr>
          <w:p>
            <w:pPr>
              <w:pStyle w:val="TableContents"/>
              <w:spacing w:before="0" w:after="283"/>
              <w:rPr/>
            </w:pPr>
            <w:r>
              <w:rPr/>
              <w:t xml:space="preserve">  </w:t>
            </w:r>
          </w:p>
        </w:tc>
        <w:tc>
          <w:tcPr>
            <w:tcW w:w="1645" w:type="dxa"/>
            <w:gridSpan w:val="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Common Stock</w:t>
            </w:r>
          </w:p>
        </w:tc>
        <w:tc>
          <w:tcPr>
            <w:tcW w:w="71" w:type="dxa"/>
            <w:tcBorders/>
            <w:shd w:fill="auto" w:val="clear"/>
            <w:vAlign w:val="bottom"/>
          </w:tcPr>
          <w:p>
            <w:pPr>
              <w:pStyle w:val="TableContents"/>
              <w:spacing w:before="0" w:after="283"/>
              <w:rPr/>
            </w:pPr>
            <w:r>
              <w:rPr/>
              <w:t xml:space="preserve">  </w:t>
            </w:r>
          </w:p>
        </w:tc>
        <w:tc>
          <w:tcPr>
            <w:tcW w:w="1045"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Additional paid-in capital</w:t>
            </w:r>
          </w:p>
        </w:tc>
        <w:tc>
          <w:tcPr>
            <w:tcW w:w="90" w:type="dxa"/>
            <w:tcBorders/>
            <w:shd w:fill="auto" w:val="clear"/>
            <w:vAlign w:val="bottom"/>
          </w:tcPr>
          <w:p>
            <w:pPr>
              <w:pStyle w:val="TableContents"/>
              <w:spacing w:before="0" w:after="283"/>
              <w:rPr/>
            </w:pPr>
            <w:r>
              <w:rPr/>
              <w:t xml:space="preserve">  </w:t>
            </w:r>
          </w:p>
        </w:tc>
        <w:tc>
          <w:tcPr>
            <w:tcW w:w="1030"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Retained earnings</w:t>
            </w:r>
          </w:p>
        </w:tc>
        <w:tc>
          <w:tcPr>
            <w:tcW w:w="90" w:type="dxa"/>
            <w:tcBorders/>
            <w:shd w:fill="auto" w:val="clear"/>
            <w:vAlign w:val="bottom"/>
          </w:tcPr>
          <w:p>
            <w:pPr>
              <w:pStyle w:val="TableContents"/>
              <w:spacing w:before="0" w:after="283"/>
              <w:rPr/>
            </w:pPr>
            <w:r>
              <w:rPr/>
              <w:t xml:space="preserve">  </w:t>
            </w:r>
          </w:p>
        </w:tc>
        <w:tc>
          <w:tcPr>
            <w:tcW w:w="1154"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Accumulated other comprehensive earnings</w:t>
            </w:r>
          </w:p>
        </w:tc>
        <w:tc>
          <w:tcPr>
            <w:tcW w:w="90" w:type="dxa"/>
            <w:tcBorders/>
            <w:shd w:fill="auto" w:val="clear"/>
            <w:vAlign w:val="bottom"/>
          </w:tcPr>
          <w:p>
            <w:pPr>
              <w:pStyle w:val="TableContents"/>
              <w:spacing w:before="0" w:after="283"/>
              <w:rPr/>
            </w:pPr>
            <w:r>
              <w:rPr/>
              <w:t xml:space="preserve">  </w:t>
            </w:r>
          </w:p>
        </w:tc>
        <w:tc>
          <w:tcPr>
            <w:tcW w:w="832"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Treasury stock</w:t>
            </w:r>
          </w:p>
        </w:tc>
        <w:tc>
          <w:tcPr>
            <w:tcW w:w="90" w:type="dxa"/>
            <w:tcBorders/>
            <w:shd w:fill="auto" w:val="clear"/>
            <w:vAlign w:val="bottom"/>
          </w:tcPr>
          <w:p>
            <w:pPr>
              <w:pStyle w:val="TableContents"/>
              <w:spacing w:before="0" w:after="283"/>
              <w:rPr/>
            </w:pPr>
            <w:r>
              <w:rPr/>
              <w:t xml:space="preserve">  </w:t>
            </w:r>
          </w:p>
        </w:tc>
        <w:tc>
          <w:tcPr>
            <w:tcW w:w="1031"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Total stockholders equity</w:t>
            </w:r>
          </w:p>
        </w:tc>
        <w:tc>
          <w:tcPr>
            <w:tcW w:w="89" w:type="dxa"/>
            <w:tcBorders/>
            <w:shd w:fill="auto" w:val="clear"/>
            <w:vAlign w:val="bottom"/>
          </w:tcPr>
          <w:p>
            <w:pPr>
              <w:pStyle w:val="TableContents"/>
              <w:spacing w:before="0" w:after="283"/>
              <w:rPr/>
            </w:pPr>
            <w:r>
              <w:rPr/>
              <w:t xml:space="preserve">  </w:t>
            </w:r>
          </w:p>
        </w:tc>
        <w:tc>
          <w:tcPr>
            <w:tcW w:w="1195"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Compre-hensive earnings</w:t>
            </w:r>
          </w:p>
        </w:tc>
        <w:tc>
          <w:tcPr>
            <w:tcW w:w="106" w:type="dxa"/>
            <w:tcBorders/>
            <w:shd w:fill="auto" w:val="clear"/>
            <w:vAlign w:val="bottom"/>
          </w:tcPr>
          <w:p>
            <w:pPr>
              <w:pStyle w:val="TableContents"/>
              <w:spacing w:before="0" w:after="283"/>
              <w:rPr/>
            </w:pPr>
            <w:r>
              <w:rPr/>
              <w:t xml:space="preserve">  </w:t>
            </w:r>
          </w:p>
        </w:tc>
      </w:tr>
      <w:tr>
        <w:trPr/>
        <w:tc>
          <w:tcPr>
            <w:tcW w:w="1647" w:type="dxa"/>
            <w:vMerge w:val="continue"/>
            <w:tcBorders/>
            <w:shd w:fill="auto" w:val="clear"/>
            <w:vAlign w:val="bottom"/>
          </w:tcPr>
          <w:p>
            <w:pPr>
              <w:pStyle w:val="Normal"/>
              <w:rPr/>
            </w:pPr>
            <w:r>
              <w:rPr/>
            </w:r>
          </w:p>
        </w:tc>
        <w:tc>
          <w:tcPr>
            <w:tcW w:w="629"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Shares</w:t>
            </w:r>
          </w:p>
        </w:tc>
        <w:tc>
          <w:tcPr>
            <w:tcW w:w="71" w:type="dxa"/>
            <w:tcBorders/>
            <w:shd w:fill="auto" w:val="clear"/>
            <w:vAlign w:val="bottom"/>
          </w:tcPr>
          <w:p>
            <w:pPr>
              <w:pStyle w:val="TableContents"/>
              <w:spacing w:before="0" w:after="283"/>
              <w:rPr/>
            </w:pPr>
            <w:r>
              <w:rPr/>
              <w:t xml:space="preserve">  </w:t>
            </w:r>
          </w:p>
        </w:tc>
        <w:tc>
          <w:tcPr>
            <w:tcW w:w="9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Amount</w:t>
            </w:r>
          </w:p>
        </w:tc>
        <w:tc>
          <w:tcPr>
            <w:tcW w:w="71" w:type="dxa"/>
            <w:tcBorders/>
            <w:shd w:fill="auto" w:val="clear"/>
            <w:vAlign w:val="bottom"/>
          </w:tcPr>
          <w:p>
            <w:pPr>
              <w:pStyle w:val="TableContents"/>
              <w:spacing w:before="0" w:after="283"/>
              <w:rPr/>
            </w:pPr>
            <w:r>
              <w:rPr/>
              <w:t xml:space="preserve">  </w:t>
            </w:r>
          </w:p>
        </w:tc>
        <w:tc>
          <w:tcPr>
            <w:tcW w:w="1045" w:type="dxa"/>
            <w:gridSpan w:val="2"/>
            <w:vMerge w:val="continue"/>
            <w:tcBorders>
              <w:bottom w:val="single" w:sz="12" w:space="0" w:color="000000"/>
            </w:tcBorders>
            <w:shd w:fill="auto" w:val="clear"/>
            <w:tcMar>
              <w:bottom w:w="28" w:type="dxa"/>
            </w:tcMar>
            <w:vAlign w:val="bottom"/>
          </w:tcPr>
          <w:p>
            <w:pPr>
              <w:pStyle w:val="Normal"/>
              <w:rPr/>
            </w:pPr>
            <w:r>
              <w:rPr/>
            </w:r>
          </w:p>
        </w:tc>
        <w:tc>
          <w:tcPr>
            <w:tcW w:w="90" w:type="dxa"/>
            <w:tcBorders/>
            <w:shd w:fill="auto" w:val="clear"/>
            <w:vAlign w:val="bottom"/>
          </w:tcPr>
          <w:p>
            <w:pPr>
              <w:pStyle w:val="TableContents"/>
              <w:spacing w:before="0" w:after="283"/>
              <w:rPr/>
            </w:pPr>
            <w:r>
              <w:rPr/>
              <w:t xml:space="preserve">  </w:t>
            </w:r>
          </w:p>
        </w:tc>
        <w:tc>
          <w:tcPr>
            <w:tcW w:w="1030" w:type="dxa"/>
            <w:gridSpan w:val="2"/>
            <w:vMerge w:val="continue"/>
            <w:tcBorders>
              <w:bottom w:val="single" w:sz="12" w:space="0" w:color="000000"/>
            </w:tcBorders>
            <w:shd w:fill="auto" w:val="clear"/>
            <w:tcMar>
              <w:bottom w:w="28" w:type="dxa"/>
            </w:tcMar>
            <w:vAlign w:val="bottom"/>
          </w:tcPr>
          <w:p>
            <w:pPr>
              <w:pStyle w:val="Normal"/>
              <w:rPr/>
            </w:pPr>
            <w:r>
              <w:rPr/>
            </w:r>
          </w:p>
        </w:tc>
        <w:tc>
          <w:tcPr>
            <w:tcW w:w="90" w:type="dxa"/>
            <w:tcBorders/>
            <w:shd w:fill="auto" w:val="clear"/>
            <w:vAlign w:val="bottom"/>
          </w:tcPr>
          <w:p>
            <w:pPr>
              <w:pStyle w:val="TableContents"/>
              <w:spacing w:before="0" w:after="283"/>
              <w:rPr/>
            </w:pPr>
            <w:r>
              <w:rPr/>
              <w:t xml:space="preserve">  </w:t>
            </w:r>
          </w:p>
        </w:tc>
        <w:tc>
          <w:tcPr>
            <w:tcW w:w="1154" w:type="dxa"/>
            <w:gridSpan w:val="2"/>
            <w:vMerge w:val="continue"/>
            <w:tcBorders>
              <w:bottom w:val="single" w:sz="12" w:space="0" w:color="000000"/>
            </w:tcBorders>
            <w:shd w:fill="auto" w:val="clear"/>
            <w:tcMar>
              <w:bottom w:w="28" w:type="dxa"/>
            </w:tcMar>
            <w:vAlign w:val="bottom"/>
          </w:tcPr>
          <w:p>
            <w:pPr>
              <w:pStyle w:val="Normal"/>
              <w:rPr/>
            </w:pPr>
            <w:r>
              <w:rPr/>
            </w:r>
          </w:p>
        </w:tc>
        <w:tc>
          <w:tcPr>
            <w:tcW w:w="90" w:type="dxa"/>
            <w:tcBorders/>
            <w:shd w:fill="auto" w:val="clear"/>
            <w:vAlign w:val="bottom"/>
          </w:tcPr>
          <w:p>
            <w:pPr>
              <w:pStyle w:val="TableContents"/>
              <w:spacing w:before="0" w:after="283"/>
              <w:rPr/>
            </w:pPr>
            <w:r>
              <w:rPr/>
              <w:t xml:space="preserve">  </w:t>
            </w:r>
          </w:p>
        </w:tc>
        <w:tc>
          <w:tcPr>
            <w:tcW w:w="832" w:type="dxa"/>
            <w:gridSpan w:val="2"/>
            <w:vMerge w:val="continue"/>
            <w:tcBorders>
              <w:bottom w:val="single" w:sz="12" w:space="0" w:color="000000"/>
            </w:tcBorders>
            <w:shd w:fill="auto" w:val="clear"/>
            <w:tcMar>
              <w:bottom w:w="28" w:type="dxa"/>
            </w:tcMar>
            <w:vAlign w:val="bottom"/>
          </w:tcPr>
          <w:p>
            <w:pPr>
              <w:pStyle w:val="Normal"/>
              <w:rPr/>
            </w:pPr>
            <w:r>
              <w:rPr/>
            </w:r>
          </w:p>
        </w:tc>
        <w:tc>
          <w:tcPr>
            <w:tcW w:w="90" w:type="dxa"/>
            <w:tcBorders/>
            <w:shd w:fill="auto" w:val="clear"/>
            <w:vAlign w:val="bottom"/>
          </w:tcPr>
          <w:p>
            <w:pPr>
              <w:pStyle w:val="TableContents"/>
              <w:spacing w:before="0" w:after="283"/>
              <w:rPr/>
            </w:pPr>
            <w:r>
              <w:rPr/>
              <w:t xml:space="preserve">  </w:t>
            </w:r>
          </w:p>
        </w:tc>
        <w:tc>
          <w:tcPr>
            <w:tcW w:w="1031" w:type="dxa"/>
            <w:gridSpan w:val="2"/>
            <w:vMerge w:val="continue"/>
            <w:tcBorders>
              <w:bottom w:val="single" w:sz="12" w:space="0" w:color="000000"/>
            </w:tcBorders>
            <w:shd w:fill="auto" w:val="clear"/>
            <w:tcMar>
              <w:bottom w:w="28" w:type="dxa"/>
            </w:tcMar>
            <w:vAlign w:val="bottom"/>
          </w:tcPr>
          <w:p>
            <w:pPr>
              <w:pStyle w:val="Normal"/>
              <w:rPr/>
            </w:pPr>
            <w:r>
              <w:rPr/>
            </w:r>
          </w:p>
        </w:tc>
        <w:tc>
          <w:tcPr>
            <w:tcW w:w="89" w:type="dxa"/>
            <w:tcBorders/>
            <w:shd w:fill="auto" w:val="clear"/>
            <w:vAlign w:val="bottom"/>
          </w:tcPr>
          <w:p>
            <w:pPr>
              <w:pStyle w:val="TableContents"/>
              <w:spacing w:before="0" w:after="283"/>
              <w:rPr/>
            </w:pPr>
            <w:r>
              <w:rPr/>
              <w:t xml:space="preserve">  </w:t>
            </w:r>
          </w:p>
        </w:tc>
        <w:tc>
          <w:tcPr>
            <w:tcW w:w="1195" w:type="dxa"/>
            <w:gridSpan w:val="2"/>
            <w:vMerge w:val="continue"/>
            <w:tcBorders>
              <w:bottom w:val="single" w:sz="12" w:space="0" w:color="000000"/>
            </w:tcBorders>
            <w:shd w:fill="auto" w:val="clear"/>
            <w:tcMar>
              <w:bottom w:w="28" w:type="dxa"/>
            </w:tcMar>
            <w:vAlign w:val="bottom"/>
          </w:tcPr>
          <w:p>
            <w:pPr>
              <w:pStyle w:val="Normal"/>
              <w:rPr/>
            </w:pPr>
            <w:r>
              <w:rPr/>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December 31, 2007</w:t>
            </w:r>
          </w:p>
        </w:tc>
        <w:tc>
          <w:tcPr>
            <w:tcW w:w="62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88,773</w:t>
            </w:r>
          </w:p>
        </w:tc>
        <w:tc>
          <w:tcPr>
            <w:tcW w:w="71"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1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910</w:t>
            </w:r>
          </w:p>
        </w:tc>
        <w:tc>
          <w:tcPr>
            <w:tcW w:w="71"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774,568</w:t>
            </w:r>
          </w:p>
        </w:tc>
        <w:tc>
          <w:tcPr>
            <w:tcW w:w="90" w:type="dxa"/>
            <w:tcBorders/>
            <w:shd w:fill="auto" w:val="clear"/>
            <w:vAlign w:val="bottom"/>
          </w:tcPr>
          <w:p>
            <w:pPr>
              <w:pStyle w:val="TableContents"/>
              <w:spacing w:before="0" w:after="283"/>
              <w:rPr/>
            </w:pPr>
            <w:r>
              <w:rPr/>
              <w:t xml:space="preserve">  </w:t>
            </w:r>
          </w:p>
        </w:tc>
        <w:tc>
          <w:tcPr>
            <w:tcW w:w="1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9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932,473</w:t>
            </w:r>
          </w:p>
        </w:tc>
        <w:tc>
          <w:tcPr>
            <w:tcW w:w="90" w:type="dxa"/>
            <w:tcBorders/>
            <w:shd w:fill="auto" w:val="clear"/>
            <w:vAlign w:val="bottom"/>
          </w:tcPr>
          <w:p>
            <w:pPr>
              <w:pStyle w:val="TableContents"/>
              <w:spacing w:before="0" w:after="283"/>
              <w:rPr/>
            </w:pPr>
            <w:r>
              <w:rPr/>
              <w:t xml:space="preserve">  </w:t>
            </w:r>
          </w:p>
        </w:tc>
        <w:tc>
          <w:tcPr>
            <w:tcW w:w="17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108,732</w:t>
            </w:r>
          </w:p>
        </w:tc>
        <w:tc>
          <w:tcPr>
            <w:tcW w:w="90"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0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(22,040</w:t>
            </w:r>
          </w:p>
        </w:tc>
        <w:tc>
          <w:tcPr>
            <w:tcW w:w="9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9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1,794,643</w:t>
            </w:r>
          </w:p>
        </w:tc>
        <w:tc>
          <w:tcPr>
            <w:tcW w:w="89" w:type="dxa"/>
            <w:tcBorders/>
            <w:shd w:fill="auto" w:val="clear"/>
            <w:vAlign w:val="bottom"/>
          </w:tcPr>
          <w:p>
            <w:pPr>
              <w:pStyle w:val="TableContents"/>
              <w:spacing w:before="0" w:after="283"/>
              <w:rPr/>
            </w:pPr>
            <w:r>
              <w:rPr/>
              <w:t xml:space="preserve">  </w:t>
            </w:r>
          </w:p>
        </w:tc>
        <w:tc>
          <w:tcPr>
            <w:tcW w:w="18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285,771</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Net earnings</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281,874</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281,874</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281,874</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Stock option exercises</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462</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11,032</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11,037</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Treasury stock sold</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1,555</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339</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1,894</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Currency translation adjustments, net of $9,404 tax</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(86,679</w:t>
            </w:r>
          </w:p>
        </w:tc>
        <w:tc>
          <w:tcPr>
            <w:tcW w:w="9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(86,679</w:t>
            </w:r>
          </w:p>
        </w:tc>
        <w:tc>
          <w:tcPr>
            <w:tcW w:w="8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(86,679</w:t>
            </w:r>
          </w:p>
        </w:tc>
        <w:tc>
          <w:tcPr>
            <w:tcW w:w="10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Stock based compensation</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30,905</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30,905</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Restricted stock grants</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452</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(7,967</w:t>
            </w:r>
          </w:p>
        </w:tc>
        <w:tc>
          <w:tcPr>
            <w:tcW w:w="9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(7,963</w:t>
            </w:r>
          </w:p>
        </w:tc>
        <w:tc>
          <w:tcPr>
            <w:tcW w:w="8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Stock option tax benefit</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5,643</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5,643</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Reduction in unrealized gain on derivative, shown net of $(291) tax</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(540</w:t>
            </w:r>
          </w:p>
        </w:tc>
        <w:tc>
          <w:tcPr>
            <w:tcW w:w="9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(540</w:t>
            </w:r>
          </w:p>
        </w:tc>
        <w:tc>
          <w:tcPr>
            <w:tcW w:w="8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(540</w:t>
            </w:r>
          </w:p>
        </w:tc>
        <w:tc>
          <w:tcPr>
            <w:tcW w:w="10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Dividends declared ($0.30 per share)</w:t>
            </w:r>
          </w:p>
        </w:tc>
        <w:tc>
          <w:tcPr>
            <w:tcW w:w="62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13" w:type="dxa"/>
            <w:tcBorders>
              <w:bottom w:val="single" w:sz="12" w:space="0" w:color="000000"/>
            </w:tcBorders>
            <w:shd w:fill="auto" w:val="clear"/>
            <w:tcMar>
              <w:bottom w:w="28" w:type="dxa"/>
            </w:tcMar>
            <w:vAlign w:val="bottom"/>
          </w:tcPr>
          <w:p>
            <w:pPr>
              <w:pStyle w:val="TableContents"/>
              <w:spacing w:before="0" w:after="0"/>
              <w:ind w:left="0" w:right="0" w:firstLine="72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1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9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(26,880</w:t>
            </w:r>
          </w:p>
        </w:tc>
        <w:tc>
          <w:tcPr>
            <w:tcW w:w="9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70"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84"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700"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9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(26,880</w:t>
            </w:r>
          </w:p>
        </w:tc>
        <w:tc>
          <w:tcPr>
            <w:tcW w:w="8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10"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December 31, 2008</w:t>
            </w:r>
          </w:p>
        </w:tc>
        <w:tc>
          <w:tcPr>
            <w:tcW w:w="62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89,721</w:t>
            </w:r>
          </w:p>
        </w:tc>
        <w:tc>
          <w:tcPr>
            <w:tcW w:w="71"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1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919</w:t>
            </w:r>
          </w:p>
        </w:tc>
        <w:tc>
          <w:tcPr>
            <w:tcW w:w="71"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815,736</w:t>
            </w:r>
          </w:p>
        </w:tc>
        <w:tc>
          <w:tcPr>
            <w:tcW w:w="90" w:type="dxa"/>
            <w:tcBorders/>
            <w:shd w:fill="auto" w:val="clear"/>
            <w:vAlign w:val="bottom"/>
          </w:tcPr>
          <w:p>
            <w:pPr>
              <w:pStyle w:val="TableContents"/>
              <w:spacing w:before="0" w:after="283"/>
              <w:rPr/>
            </w:pPr>
            <w:r>
              <w:rPr/>
              <w:t xml:space="preserve">  </w:t>
            </w:r>
          </w:p>
        </w:tc>
        <w:tc>
          <w:tcPr>
            <w:tcW w:w="1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9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1,187,467</w:t>
            </w:r>
          </w:p>
        </w:tc>
        <w:tc>
          <w:tcPr>
            <w:tcW w:w="90" w:type="dxa"/>
            <w:tcBorders/>
            <w:shd w:fill="auto" w:val="clear"/>
            <w:vAlign w:val="bottom"/>
          </w:tcPr>
          <w:p>
            <w:pPr>
              <w:pStyle w:val="TableContents"/>
              <w:spacing w:before="0" w:after="283"/>
              <w:rPr/>
            </w:pPr>
            <w:r>
              <w:rPr/>
              <w:t xml:space="preserve">  </w:t>
            </w:r>
          </w:p>
        </w:tc>
        <w:tc>
          <w:tcPr>
            <w:tcW w:w="17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21,513</w:t>
            </w:r>
          </w:p>
        </w:tc>
        <w:tc>
          <w:tcPr>
            <w:tcW w:w="90"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0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(21,701</w:t>
            </w:r>
          </w:p>
        </w:tc>
        <w:tc>
          <w:tcPr>
            <w:tcW w:w="9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9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2,003,934</w:t>
            </w:r>
          </w:p>
        </w:tc>
        <w:tc>
          <w:tcPr>
            <w:tcW w:w="89" w:type="dxa"/>
            <w:tcBorders/>
            <w:shd w:fill="auto" w:val="clear"/>
            <w:vAlign w:val="bottom"/>
          </w:tcPr>
          <w:p>
            <w:pPr>
              <w:pStyle w:val="TableContents"/>
              <w:spacing w:before="0" w:after="283"/>
              <w:rPr/>
            </w:pPr>
            <w:r>
              <w:rPr/>
              <w:t xml:space="preserve">  </w:t>
            </w:r>
          </w:p>
        </w:tc>
        <w:tc>
          <w:tcPr>
            <w:tcW w:w="18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194,655</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Net earnings</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239,481</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239,481</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239,481</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Stock option exercises</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421</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10,502</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10,506</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Treasury stock sold</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1,312</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381</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1,693</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Currency translation adjustments, net of $5,257 tax</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42,432</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42,432</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42,432</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Stock based compensation</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26,660</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26,660</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Restricted stock grants</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87</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(3,648</w:t>
            </w:r>
          </w:p>
        </w:tc>
        <w:tc>
          <w:tcPr>
            <w:tcW w:w="9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(3,647</w:t>
            </w:r>
          </w:p>
        </w:tc>
        <w:tc>
          <w:tcPr>
            <w:tcW w:w="8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Stock option tax benefit, net of shortfalls</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2,032</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2,032</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Issuance of common stock, net of issue costs</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2,300</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121,427</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121,450</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Conversion of senior subordinated convertible notes</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1,051</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8,300</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8,311</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Dividends declared ($0.34 per share)</w:t>
            </w:r>
          </w:p>
        </w:tc>
        <w:tc>
          <w:tcPr>
            <w:tcW w:w="62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13" w:type="dxa"/>
            <w:tcBorders>
              <w:bottom w:val="single" w:sz="12" w:space="0" w:color="000000"/>
            </w:tcBorders>
            <w:shd w:fill="auto" w:val="clear"/>
            <w:tcMar>
              <w:bottom w:w="28" w:type="dxa"/>
            </w:tcMar>
            <w:vAlign w:val="bottom"/>
          </w:tcPr>
          <w:p>
            <w:pPr>
              <w:pStyle w:val="TableContents"/>
              <w:spacing w:before="0" w:after="0"/>
              <w:ind w:left="0" w:right="0" w:firstLine="72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1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9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(31,362</w:t>
            </w:r>
          </w:p>
        </w:tc>
        <w:tc>
          <w:tcPr>
            <w:tcW w:w="9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70"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84"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700"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9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(31,362</w:t>
            </w:r>
          </w:p>
        </w:tc>
        <w:tc>
          <w:tcPr>
            <w:tcW w:w="8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10"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December 31, 2009</w:t>
            </w:r>
          </w:p>
        </w:tc>
        <w:tc>
          <w:tcPr>
            <w:tcW w:w="62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93,618</w:t>
            </w:r>
          </w:p>
        </w:tc>
        <w:tc>
          <w:tcPr>
            <w:tcW w:w="71"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1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958</w:t>
            </w:r>
          </w:p>
        </w:tc>
        <w:tc>
          <w:tcPr>
            <w:tcW w:w="71"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982,321</w:t>
            </w:r>
          </w:p>
        </w:tc>
        <w:tc>
          <w:tcPr>
            <w:tcW w:w="90" w:type="dxa"/>
            <w:tcBorders/>
            <w:shd w:fill="auto" w:val="clear"/>
            <w:vAlign w:val="bottom"/>
          </w:tcPr>
          <w:p>
            <w:pPr>
              <w:pStyle w:val="TableContents"/>
              <w:spacing w:before="0" w:after="283"/>
              <w:rPr/>
            </w:pPr>
            <w:r>
              <w:rPr/>
              <w:t xml:space="preserve">  </w:t>
            </w:r>
          </w:p>
        </w:tc>
        <w:tc>
          <w:tcPr>
            <w:tcW w:w="1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9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1,395,586</w:t>
            </w:r>
          </w:p>
        </w:tc>
        <w:tc>
          <w:tcPr>
            <w:tcW w:w="90" w:type="dxa"/>
            <w:tcBorders/>
            <w:shd w:fill="auto" w:val="clear"/>
            <w:vAlign w:val="bottom"/>
          </w:tcPr>
          <w:p>
            <w:pPr>
              <w:pStyle w:val="TableContents"/>
              <w:spacing w:before="0" w:after="283"/>
              <w:rPr/>
            </w:pPr>
            <w:r>
              <w:rPr/>
              <w:t xml:space="preserve">  </w:t>
            </w:r>
          </w:p>
        </w:tc>
        <w:tc>
          <w:tcPr>
            <w:tcW w:w="17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63,945</w:t>
            </w:r>
          </w:p>
        </w:tc>
        <w:tc>
          <w:tcPr>
            <w:tcW w:w="90"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0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(21,320</w:t>
            </w:r>
          </w:p>
        </w:tc>
        <w:tc>
          <w:tcPr>
            <w:tcW w:w="9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9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2,421,490</w:t>
            </w:r>
          </w:p>
        </w:tc>
        <w:tc>
          <w:tcPr>
            <w:tcW w:w="89" w:type="dxa"/>
            <w:tcBorders/>
            <w:shd w:fill="auto" w:val="clear"/>
            <w:vAlign w:val="bottom"/>
          </w:tcPr>
          <w:p>
            <w:pPr>
              <w:pStyle w:val="TableContents"/>
              <w:spacing w:before="0" w:after="283"/>
              <w:rPr/>
            </w:pPr>
            <w:r>
              <w:rPr/>
              <w:t xml:space="preserve">  </w:t>
            </w:r>
          </w:p>
        </w:tc>
        <w:tc>
          <w:tcPr>
            <w:tcW w:w="18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281,913</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Net earnings</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322,580</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322,580</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322,580</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Stock option exercises</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864</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29,039</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29,047</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Stock issued for Lumenera contingent consideration</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4,740</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851</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5,591</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Treasury stock sold</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1,405</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292</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1,697</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Currency translation adjustments, net of $153 tax</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(19,967</w:t>
            </w:r>
          </w:p>
        </w:tc>
        <w:tc>
          <w:tcPr>
            <w:tcW w:w="9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(19,967</w:t>
            </w:r>
          </w:p>
        </w:tc>
        <w:tc>
          <w:tcPr>
            <w:tcW w:w="8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(19,967</w:t>
            </w:r>
          </w:p>
        </w:tc>
        <w:tc>
          <w:tcPr>
            <w:tcW w:w="10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Stock based compensation</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23,980</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23,980</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Restricted stock grants</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165</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(4,547</w:t>
            </w:r>
          </w:p>
        </w:tc>
        <w:tc>
          <w:tcPr>
            <w:tcW w:w="9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(4,545</w:t>
            </w:r>
          </w:p>
        </w:tc>
        <w:tc>
          <w:tcPr>
            <w:tcW w:w="8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Stock option tax benefit, net of shortfalls</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7,282</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7,282</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Conversion of senior subordinated convertible notes</w:t>
            </w:r>
          </w:p>
        </w:tc>
        <w:tc>
          <w:tcPr>
            <w:tcW w:w="6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326</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w:t>
            </w:r>
          </w:p>
        </w:tc>
        <w:tc>
          <w:tcPr>
            <w:tcW w:w="71"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9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1,066</w:t>
            </w:r>
          </w:p>
        </w:tc>
        <w:tc>
          <w:tcPr>
            <w:tcW w:w="90"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70" w:type="dxa"/>
            <w:tcBorders/>
            <w:shd w:fill="auto" w:val="clear"/>
            <w:vAlign w:val="bottom"/>
          </w:tcPr>
          <w:p>
            <w:pPr>
              <w:pStyle w:val="TableContents"/>
              <w:spacing w:before="0" w:after="283"/>
              <w:rPr/>
            </w:pPr>
            <w:r>
              <w:rPr/>
              <w:t xml:space="preserve">  </w:t>
            </w:r>
          </w:p>
        </w:tc>
        <w:tc>
          <w:tcPr>
            <w:tcW w:w="98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7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shd w:fill="auto" w:val="clear"/>
            <w:vAlign w:val="bottom"/>
          </w:tcPr>
          <w:p>
            <w:pPr>
              <w:pStyle w:val="TableContents"/>
              <w:spacing w:before="0" w:after="283"/>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1,069</w:t>
            </w:r>
          </w:p>
        </w:tc>
        <w:tc>
          <w:tcPr>
            <w:tcW w:w="89"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xml:space="preserve">  </w:t>
            </w:r>
          </w:p>
        </w:tc>
        <w:tc>
          <w:tcPr>
            <w:tcW w:w="101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Dividends declared ($0.40 per share)</w:t>
            </w:r>
          </w:p>
        </w:tc>
        <w:tc>
          <w:tcPr>
            <w:tcW w:w="62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13" w:type="dxa"/>
            <w:tcBorders>
              <w:bottom w:val="single" w:sz="12" w:space="0" w:color="000000"/>
            </w:tcBorders>
            <w:shd w:fill="auto" w:val="clear"/>
            <w:tcMar>
              <w:bottom w:w="28" w:type="dxa"/>
            </w:tcMar>
            <w:vAlign w:val="bottom"/>
          </w:tcPr>
          <w:p>
            <w:pPr>
              <w:pStyle w:val="TableContents"/>
              <w:spacing w:before="0" w:after="0"/>
              <w:ind w:left="0" w:right="0" w:firstLine="720"/>
              <w:jc w:val="right"/>
              <w:rPr>
                <w:rFonts w:ascii="times new roman" w:hAnsi="times new roman"/>
                <w:sz w:val="20"/>
              </w:rPr>
            </w:pPr>
            <w:r>
              <w:rPr>
                <w:rFonts w:ascii="times new roman" w:hAnsi="times new roman"/>
                <w:sz w:val="20"/>
              </w:rPr>
              <w:t>-</w:t>
            </w:r>
          </w:p>
        </w:tc>
        <w:tc>
          <w:tcPr>
            <w:tcW w:w="71"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1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9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(37,317</w:t>
            </w:r>
          </w:p>
        </w:tc>
        <w:tc>
          <w:tcPr>
            <w:tcW w:w="9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70"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84"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700"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9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(37,317</w:t>
            </w:r>
          </w:p>
        </w:tc>
        <w:tc>
          <w:tcPr>
            <w:tcW w:w="8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10"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rPr/>
            </w:pPr>
            <w:r>
              <w:rPr/>
              <w:t xml:space="preserve">  </w:t>
            </w:r>
          </w:p>
        </w:tc>
      </w:tr>
      <w:tr>
        <w:trPr/>
        <w:tc>
          <w:tcPr>
            <w:tcW w:w="164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December 31, 2010</w:t>
            </w:r>
          </w:p>
        </w:tc>
        <w:tc>
          <w:tcPr>
            <w:tcW w:w="62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95,088</w:t>
            </w:r>
          </w:p>
        </w:tc>
        <w:tc>
          <w:tcPr>
            <w:tcW w:w="71"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1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971</w:t>
            </w:r>
          </w:p>
        </w:tc>
        <w:tc>
          <w:tcPr>
            <w:tcW w:w="71"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1,045,286</w:t>
            </w:r>
          </w:p>
        </w:tc>
        <w:tc>
          <w:tcPr>
            <w:tcW w:w="90" w:type="dxa"/>
            <w:tcBorders/>
            <w:shd w:fill="auto" w:val="clear"/>
            <w:vAlign w:val="bottom"/>
          </w:tcPr>
          <w:p>
            <w:pPr>
              <w:pStyle w:val="TableContents"/>
              <w:spacing w:before="0" w:after="283"/>
              <w:rPr/>
            </w:pPr>
            <w:r>
              <w:rPr/>
              <w:t xml:space="preserve">  </w:t>
            </w:r>
          </w:p>
        </w:tc>
        <w:tc>
          <w:tcPr>
            <w:tcW w:w="1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9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1,680,849</w:t>
            </w:r>
          </w:p>
        </w:tc>
        <w:tc>
          <w:tcPr>
            <w:tcW w:w="90" w:type="dxa"/>
            <w:tcBorders/>
            <w:shd w:fill="auto" w:val="clear"/>
            <w:vAlign w:val="bottom"/>
          </w:tcPr>
          <w:p>
            <w:pPr>
              <w:pStyle w:val="TableContents"/>
              <w:spacing w:before="0" w:after="283"/>
              <w:rPr/>
            </w:pPr>
            <w:r>
              <w:rPr/>
              <w:t xml:space="preserve">  </w:t>
            </w:r>
          </w:p>
        </w:tc>
        <w:tc>
          <w:tcPr>
            <w:tcW w:w="17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43,978</w:t>
            </w:r>
          </w:p>
        </w:tc>
        <w:tc>
          <w:tcPr>
            <w:tcW w:w="90" w:type="dxa"/>
            <w:tcBorders/>
            <w:shd w:fill="auto" w:val="clear"/>
            <w:vAlign w:val="bottom"/>
          </w:tcPr>
          <w:p>
            <w:pPr>
              <w:pStyle w:val="TableContents"/>
              <w:spacing w:before="0" w:after="283"/>
              <w:rPr/>
            </w:pPr>
            <w:r>
              <w:rPr/>
              <w:t xml:space="preserve">  </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0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(20,177</w:t>
            </w:r>
          </w:p>
        </w:tc>
        <w:tc>
          <w:tcPr>
            <w:tcW w:w="9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9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2,750,907</w:t>
            </w:r>
          </w:p>
        </w:tc>
        <w:tc>
          <w:tcPr>
            <w:tcW w:w="89" w:type="dxa"/>
            <w:tcBorders/>
            <w:shd w:fill="auto" w:val="clear"/>
            <w:vAlign w:val="bottom"/>
          </w:tcPr>
          <w:p>
            <w:pPr>
              <w:pStyle w:val="TableContents"/>
              <w:spacing w:before="0" w:after="283"/>
              <w:rPr/>
            </w:pPr>
            <w:r>
              <w:rPr/>
              <w:t xml:space="preserve">  </w:t>
            </w:r>
          </w:p>
        </w:tc>
        <w:tc>
          <w:tcPr>
            <w:tcW w:w="18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302,613</w:t>
            </w:r>
          </w:p>
        </w:tc>
        <w:tc>
          <w:tcPr>
            <w:tcW w:w="106"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0" w:name="PGBRK10"/>
      <w:bookmarkStart w:id="211" w:name="PGBRK10"/>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12" w:name="FTR10"/>
      <w:bookmarkEnd w:id="21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3" w:name="GLFTR10"/>
      <w:bookmarkEnd w:id="2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4" w:name="PN10"/>
      <w:bookmarkEnd w:id="214"/>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 w:name="HDR10"/>
      <w:bookmarkStart w:id="216" w:name="HDR10"/>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7" w:name="GLHDR10"/>
      <w:bookmarkEnd w:id="2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ROPER INDUSTRIES, INC. AND SUBSIDIARIES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CONSOLIDATED STATEMENTS OF CASH FLOWS</w:t>
      </w:r>
    </w:p>
    <w:p>
      <w:pPr>
        <w:pStyle w:val="TextBody"/>
        <w:spacing w:before="0" w:after="0"/>
        <w:ind w:left="0" w:right="0" w:hanging="0"/>
        <w:jc w:val="center"/>
        <w:rPr>
          <w:rFonts w:ascii="Times New Roman" w:hAnsi="Times New Roman"/>
          <w:sz w:val="20"/>
        </w:rPr>
      </w:pPr>
      <w:r>
        <w:rPr>
          <w:rFonts w:ascii="Times New Roman" w:hAnsi="Times New Roman"/>
          <w:sz w:val="20"/>
        </w:rPr>
        <w:t>Years ended December 31, 2010, 2009 and 2008</w:t>
      </w:r>
    </w:p>
    <w:p>
      <w:pPr>
        <w:pStyle w:val="TextBody"/>
        <w:spacing w:before="0" w:after="0"/>
        <w:ind w:left="0" w:right="0" w:hanging="0"/>
        <w:jc w:val="center"/>
        <w:rPr/>
      </w:pPr>
      <w:r>
        <w:rPr/>
        <w:t> </w:t>
      </w:r>
      <w:r>
        <w:rPr>
          <w:rFonts w:ascii="Times New Roman" w:hAnsi="Times New Roman"/>
          <w:sz w:val="20"/>
        </w:rPr>
        <w:t>(in thousands)</w:t>
      </w:r>
    </w:p>
    <w:p>
      <w:pPr>
        <w:pStyle w:val="TextBody"/>
        <w:spacing w:before="0" w:after="0"/>
        <w:ind w:left="0" w:right="0" w:hanging="0"/>
        <w:rPr/>
      </w:pPr>
      <w:r>
        <w:rPr/>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763"/>
        <w:gridCol w:w="228"/>
        <w:gridCol w:w="134"/>
        <w:gridCol w:w="1055"/>
        <w:gridCol w:w="124"/>
        <w:gridCol w:w="134"/>
        <w:gridCol w:w="1173"/>
        <w:gridCol w:w="232"/>
        <w:gridCol w:w="134"/>
        <w:gridCol w:w="1093"/>
        <w:gridCol w:w="135"/>
      </w:tblGrid>
      <w:tr>
        <w:trPr/>
        <w:tc>
          <w:tcPr>
            <w:tcW w:w="5763"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4079" w:type="dxa"/>
            <w:gridSpan w:val="8"/>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Years ended December 31,</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11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24" w:type="dxa"/>
            <w:tcBorders/>
            <w:shd w:fill="auto" w:val="clear"/>
            <w:vAlign w:val="bottom"/>
          </w:tcPr>
          <w:p>
            <w:pPr>
              <w:pStyle w:val="TableContents"/>
              <w:spacing w:before="0" w:after="283"/>
              <w:rPr/>
            </w:pPr>
            <w:r>
              <w:rPr/>
              <w:t xml:space="preserve">  </w:t>
            </w:r>
          </w:p>
        </w:tc>
        <w:tc>
          <w:tcPr>
            <w:tcW w:w="130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232" w:type="dxa"/>
            <w:tcBorders/>
            <w:shd w:fill="auto" w:val="clear"/>
            <w:vAlign w:val="bottom"/>
          </w:tcPr>
          <w:p>
            <w:pPr>
              <w:pStyle w:val="TableContents"/>
              <w:spacing w:before="0" w:after="283"/>
              <w:rPr/>
            </w:pPr>
            <w:r>
              <w:rPr/>
              <w:t xml:space="preserve">  </w:t>
            </w:r>
          </w:p>
        </w:tc>
        <w:tc>
          <w:tcPr>
            <w:tcW w:w="122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2008</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Cash flows from operating activities: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283"/>
              <w:rPr/>
            </w:pPr>
            <w:r>
              <w:rPr/>
              <w:t xml:space="preserve">  </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283"/>
              <w:rPr/>
            </w:pPr>
            <w:r>
              <w:rPr/>
              <w:t xml:space="preserve">  </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Net earnings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322,580</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239,481</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281,874</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Adjustments to reconcile net earnings to cash flows from operating activities: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283"/>
              <w:rPr/>
            </w:pPr>
            <w:r>
              <w:rPr/>
              <w:t xml:space="preserve">  </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283"/>
              <w:rPr/>
            </w:pPr>
            <w:r>
              <w:rPr/>
              <w:t xml:space="preserve">  </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360" w:right="0" w:hanging="180"/>
              <w:jc w:val="both"/>
              <w:rPr>
                <w:rFonts w:ascii="times new roman" w:hAnsi="times new roman"/>
                <w:sz w:val="20"/>
              </w:rPr>
            </w:pPr>
            <w:r>
              <w:rPr>
                <w:rFonts w:ascii="times new roman" w:hAnsi="times new roman"/>
                <w:sz w:val="20"/>
              </w:rPr>
              <w:t>Depreciation and amortization of property, plant and equipment</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36,728</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34,163</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33,900</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360" w:right="0" w:hanging="180"/>
              <w:jc w:val="both"/>
              <w:rPr>
                <w:rFonts w:ascii="times new roman" w:hAnsi="times new roman"/>
                <w:sz w:val="20"/>
              </w:rPr>
            </w:pPr>
            <w:r>
              <w:rPr>
                <w:rFonts w:ascii="times new roman" w:hAnsi="times new roman"/>
                <w:sz w:val="20"/>
              </w:rPr>
              <w:t>Amortization of intangible assets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86,293</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69,285</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66,941</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360" w:right="0" w:hanging="180"/>
              <w:jc w:val="both"/>
              <w:rPr>
                <w:rFonts w:ascii="times new roman" w:hAnsi="times new roman"/>
                <w:sz w:val="20"/>
              </w:rPr>
            </w:pPr>
            <w:r>
              <w:rPr>
                <w:rFonts w:ascii="times new roman" w:hAnsi="times new roman"/>
                <w:sz w:val="20"/>
              </w:rPr>
              <w:t>Amortization of deferred financing costs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2,362</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2,573</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2,267</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Non-cash stock compensation</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25,150</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27,476</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30,905</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Changes in operating assets and liabilities, net of acquired businesses: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283"/>
              <w:rPr/>
            </w:pPr>
            <w:r>
              <w:rPr/>
              <w:t xml:space="preserve">  </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283"/>
              <w:rPr/>
            </w:pPr>
            <w:r>
              <w:rPr/>
              <w:t xml:space="preserve">  </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firstLine="360"/>
              <w:jc w:val="left"/>
              <w:rPr>
                <w:rFonts w:ascii="times new roman" w:hAnsi="times new roman"/>
                <w:sz w:val="20"/>
              </w:rPr>
            </w:pPr>
            <w:r>
              <w:rPr>
                <w:rFonts w:ascii="times new roman" w:hAnsi="times new roman"/>
                <w:sz w:val="20"/>
              </w:rPr>
              <w:t>Accounts receivable</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(9,697</w:t>
            </w:r>
          </w:p>
        </w:tc>
        <w:tc>
          <w:tcPr>
            <w:tcW w:w="12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26,978</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14,609</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0" w:right="0" w:firstLine="540"/>
              <w:jc w:val="left"/>
              <w:rPr>
                <w:rFonts w:ascii="times new roman" w:hAnsi="times new roman"/>
                <w:sz w:val="20"/>
              </w:rPr>
            </w:pPr>
            <w:r>
              <w:rPr>
                <w:rFonts w:ascii="times new roman" w:hAnsi="times new roman"/>
                <w:sz w:val="20"/>
              </w:rPr>
              <w:t>Inventories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(5,687</w:t>
            </w:r>
          </w:p>
        </w:tc>
        <w:tc>
          <w:tcPr>
            <w:tcW w:w="12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31,081</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(8,728</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763" w:type="dxa"/>
            <w:tcBorders/>
            <w:shd w:fill="auto" w:val="clear"/>
            <w:vAlign w:val="bottom"/>
          </w:tcPr>
          <w:p>
            <w:pPr>
              <w:pStyle w:val="TableContents"/>
              <w:spacing w:before="0" w:after="0"/>
              <w:ind w:left="0" w:right="0" w:firstLine="540"/>
              <w:jc w:val="left"/>
              <w:rPr>
                <w:rFonts w:ascii="times new roman" w:hAnsi="times new roman"/>
                <w:sz w:val="20"/>
              </w:rPr>
            </w:pPr>
            <w:r>
              <w:rPr>
                <w:rFonts w:ascii="times new roman" w:hAnsi="times new roman"/>
                <w:sz w:val="20"/>
              </w:rPr>
              <w:t>Unbilled receivables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(16,115</w:t>
            </w:r>
          </w:p>
        </w:tc>
        <w:tc>
          <w:tcPr>
            <w:tcW w:w="12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4,015</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(950</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763" w:type="dxa"/>
            <w:tcBorders/>
            <w:shd w:fill="auto" w:val="clear"/>
            <w:vAlign w:val="bottom"/>
          </w:tcPr>
          <w:p>
            <w:pPr>
              <w:pStyle w:val="TableContents"/>
              <w:spacing w:before="0" w:after="0"/>
              <w:ind w:left="0" w:right="0" w:firstLine="540"/>
              <w:jc w:val="left"/>
              <w:rPr>
                <w:rFonts w:ascii="times new roman" w:hAnsi="times new roman"/>
                <w:sz w:val="20"/>
              </w:rPr>
            </w:pPr>
            <w:r>
              <w:rPr>
                <w:rFonts w:ascii="times new roman" w:hAnsi="times new roman"/>
                <w:sz w:val="20"/>
              </w:rPr>
              <w:t>Accounts payable and accrued liabilities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52,540</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(58,801</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9,209</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0" w:right="0" w:firstLine="540"/>
              <w:jc w:val="left"/>
              <w:rPr>
                <w:rFonts w:ascii="times new roman" w:hAnsi="times new roman"/>
                <w:sz w:val="20"/>
              </w:rPr>
            </w:pPr>
            <w:r>
              <w:rPr>
                <w:rFonts w:ascii="times new roman" w:hAnsi="times new roman"/>
                <w:sz w:val="20"/>
              </w:rPr>
              <w:t>Income taxes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10,123</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(6,225</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(2,675</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763" w:type="dxa"/>
            <w:tcBorders/>
            <w:shd w:fill="auto" w:val="clear"/>
            <w:vAlign w:val="bottom"/>
          </w:tcPr>
          <w:p>
            <w:pPr>
              <w:pStyle w:val="TableContents"/>
              <w:spacing w:before="0" w:after="0"/>
              <w:ind w:left="0" w:right="0" w:firstLine="540"/>
              <w:jc w:val="left"/>
              <w:rPr>
                <w:rFonts w:ascii="times new roman" w:hAnsi="times new roman"/>
                <w:sz w:val="20"/>
              </w:rPr>
            </w:pPr>
            <w:r>
              <w:rPr>
                <w:rFonts w:ascii="times new roman" w:hAnsi="times new roman"/>
                <w:sz w:val="20"/>
              </w:rPr>
              <w:t>Other, net</w:t>
            </w:r>
          </w:p>
        </w:tc>
        <w:tc>
          <w:tcPr>
            <w:tcW w:w="228" w:type="dxa"/>
            <w:tcBorders/>
            <w:shd w:fill="auto" w:val="clear"/>
            <w:vAlign w:val="bottom"/>
          </w:tcPr>
          <w:p>
            <w:pPr>
              <w:pStyle w:val="TableContents"/>
              <w:spacing w:before="0" w:after="283"/>
              <w:rPr/>
            </w:pPr>
            <w:r>
              <w:rPr/>
              <w:t xml:space="preserve">  </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55" w:type="dxa"/>
            <w:tcBorders>
              <w:bottom w:val="single" w:sz="12" w:space="0" w:color="000000"/>
            </w:tcBorders>
            <w:shd w:fill="auto" w:val="clear"/>
            <w:tcMar>
              <w:bottom w:w="28" w:type="dxa"/>
            </w:tcMar>
            <w:vAlign w:val="bottom"/>
          </w:tcPr>
          <w:p>
            <w:pPr>
              <w:pStyle w:val="TableContents"/>
              <w:spacing w:before="0" w:after="0"/>
              <w:ind w:left="0" w:right="0" w:firstLine="360"/>
              <w:jc w:val="right"/>
              <w:rPr>
                <w:rFonts w:ascii="times new roman" w:hAnsi="times new roman"/>
                <w:sz w:val="20"/>
              </w:rPr>
            </w:pPr>
            <w:r>
              <w:rPr>
                <w:rFonts w:ascii="times new roman" w:hAnsi="times new roman"/>
                <w:sz w:val="20"/>
              </w:rPr>
              <w:t>(4,737</w:t>
            </w:r>
          </w:p>
        </w:tc>
        <w:tc>
          <w:tcPr>
            <w:tcW w:w="12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73" w:type="dxa"/>
            <w:tcBorders>
              <w:bottom w:val="single" w:sz="12" w:space="0" w:color="000000"/>
            </w:tcBorders>
            <w:shd w:fill="auto" w:val="clear"/>
            <w:tcMar>
              <w:bottom w:w="28" w:type="dxa"/>
            </w:tcMar>
            <w:vAlign w:val="bottom"/>
          </w:tcPr>
          <w:p>
            <w:pPr>
              <w:pStyle w:val="TableContents"/>
              <w:spacing w:before="0" w:after="0"/>
              <w:ind w:left="0" w:right="0" w:firstLine="360"/>
              <w:jc w:val="right"/>
              <w:rPr>
                <w:rFonts w:ascii="times new roman" w:hAnsi="times new roman"/>
                <w:sz w:val="20"/>
              </w:rPr>
            </w:pPr>
            <w:r>
              <w:rPr>
                <w:rFonts w:ascii="times new roman" w:hAnsi="times new roman"/>
                <w:sz w:val="20"/>
              </w:rPr>
              <w:t>(2,527</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93" w:type="dxa"/>
            <w:tcBorders>
              <w:bottom w:val="single" w:sz="12" w:space="0" w:color="000000"/>
            </w:tcBorders>
            <w:shd w:fill="auto" w:val="clear"/>
            <w:tcMar>
              <w:bottom w:w="28" w:type="dxa"/>
            </w:tcMar>
            <w:vAlign w:val="bottom"/>
          </w:tcPr>
          <w:p>
            <w:pPr>
              <w:pStyle w:val="TableContents"/>
              <w:spacing w:before="0" w:after="0"/>
              <w:ind w:left="0" w:right="0" w:firstLine="360"/>
              <w:jc w:val="right"/>
              <w:rPr>
                <w:rFonts w:ascii="times new roman" w:hAnsi="times new roman"/>
                <w:sz w:val="20"/>
              </w:rPr>
            </w:pPr>
            <w:r>
              <w:rPr>
                <w:rFonts w:ascii="times new roman" w:hAnsi="times new roman"/>
                <w:sz w:val="20"/>
              </w:rPr>
              <w:t>7,086</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0" w:right="0" w:firstLine="900"/>
              <w:jc w:val="left"/>
              <w:rPr>
                <w:rFonts w:ascii="times new roman" w:hAnsi="times new roman"/>
                <w:sz w:val="20"/>
              </w:rPr>
            </w:pPr>
            <w:r>
              <w:rPr>
                <w:rFonts w:ascii="times new roman" w:hAnsi="times new roman"/>
                <w:sz w:val="20"/>
              </w:rPr>
              <w:t>Cash provided by operating activities</w:t>
            </w:r>
          </w:p>
        </w:tc>
        <w:tc>
          <w:tcPr>
            <w:tcW w:w="228" w:type="dxa"/>
            <w:tcBorders/>
            <w:shd w:fill="auto" w:val="clear"/>
            <w:vAlign w:val="bottom"/>
          </w:tcPr>
          <w:p>
            <w:pPr>
              <w:pStyle w:val="TableContents"/>
              <w:spacing w:before="0" w:after="283"/>
              <w:rPr/>
            </w:pPr>
            <w:r>
              <w:rPr/>
              <w:t xml:space="preserve">  </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5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499,540</w:t>
            </w:r>
          </w:p>
        </w:tc>
        <w:tc>
          <w:tcPr>
            <w:tcW w:w="124" w:type="dxa"/>
            <w:tcBorders/>
            <w:shd w:fill="auto" w:val="clear"/>
            <w:vAlign w:val="bottom"/>
          </w:tcPr>
          <w:p>
            <w:pPr>
              <w:pStyle w:val="TableContents"/>
              <w:spacing w:before="0" w:after="283"/>
              <w:rPr/>
            </w:pPr>
            <w:r>
              <w:rPr/>
              <w:t xml:space="preserve">  </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7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367,499</w:t>
            </w:r>
          </w:p>
        </w:tc>
        <w:tc>
          <w:tcPr>
            <w:tcW w:w="232" w:type="dxa"/>
            <w:tcBorders/>
            <w:shd w:fill="auto" w:val="clear"/>
            <w:vAlign w:val="bottom"/>
          </w:tcPr>
          <w:p>
            <w:pPr>
              <w:pStyle w:val="TableContents"/>
              <w:spacing w:before="0" w:after="283"/>
              <w:rPr/>
            </w:pPr>
            <w:r>
              <w:rPr/>
              <w:t xml:space="preserve">  </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9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434,438</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283"/>
              <w:rPr/>
            </w:pPr>
            <w:r>
              <w:rPr/>
              <w:t xml:space="preserve">  </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283"/>
              <w:rPr/>
            </w:pPr>
            <w:r>
              <w:rPr/>
              <w:t xml:space="preserve">  </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Cash flows from investing activities: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283"/>
              <w:rPr/>
            </w:pPr>
            <w:r>
              <w:rPr/>
              <w:t xml:space="preserve">  </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283"/>
              <w:rPr/>
            </w:pPr>
            <w:r>
              <w:rPr/>
              <w:t xml:space="preserve">  </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Acquisitions of businesses, net of cash acquired</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(536,413</w:t>
            </w:r>
          </w:p>
        </w:tc>
        <w:tc>
          <w:tcPr>
            <w:tcW w:w="12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(354,561</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(704,764</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763"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Capital expenditures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(28,591</w:t>
            </w:r>
          </w:p>
        </w:tc>
        <w:tc>
          <w:tcPr>
            <w:tcW w:w="12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(25,885</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(30,047</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763"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Proceeds from sale of assets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firstLine="360"/>
              <w:jc w:val="right"/>
              <w:rPr>
                <w:rFonts w:ascii="times new roman" w:hAnsi="times new roman"/>
                <w:sz w:val="20"/>
              </w:rPr>
            </w:pPr>
            <w:r>
              <w:rPr>
                <w:rFonts w:ascii="times new roman" w:hAnsi="times new roman"/>
                <w:sz w:val="20"/>
              </w:rPr>
              <w:t>6,068</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firstLine="360"/>
              <w:jc w:val="right"/>
              <w:rPr>
                <w:rFonts w:ascii="times new roman" w:hAnsi="times new roman"/>
                <w:sz w:val="20"/>
              </w:rPr>
            </w:pPr>
            <w:r>
              <w:rPr>
                <w:rFonts w:ascii="times new roman" w:hAnsi="times new roman"/>
                <w:sz w:val="20"/>
              </w:rPr>
              <w:t>11,218</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firstLine="540"/>
              <w:jc w:val="right"/>
              <w:rPr>
                <w:rFonts w:ascii="times new roman" w:hAnsi="times new roman"/>
                <w:sz w:val="20"/>
              </w:rPr>
            </w:pPr>
            <w:r>
              <w:rPr>
                <w:rFonts w:ascii="times new roman" w:hAnsi="times new roman"/>
                <w:sz w:val="20"/>
              </w:rPr>
              <w:t>1,746</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Other, net</w:t>
            </w:r>
          </w:p>
        </w:tc>
        <w:tc>
          <w:tcPr>
            <w:tcW w:w="228" w:type="dxa"/>
            <w:tcBorders/>
            <w:shd w:fill="auto" w:val="clear"/>
            <w:vAlign w:val="bottom"/>
          </w:tcPr>
          <w:p>
            <w:pPr>
              <w:pStyle w:val="TableContents"/>
              <w:spacing w:before="0" w:after="283"/>
              <w:rPr/>
            </w:pPr>
            <w:r>
              <w:rPr/>
              <w:t xml:space="preserve">  </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55" w:type="dxa"/>
            <w:tcBorders>
              <w:bottom w:val="single" w:sz="12" w:space="0" w:color="000000"/>
            </w:tcBorders>
            <w:shd w:fill="auto" w:val="clear"/>
            <w:tcMar>
              <w:bottom w:w="28" w:type="dxa"/>
            </w:tcMar>
            <w:vAlign w:val="bottom"/>
          </w:tcPr>
          <w:p>
            <w:pPr>
              <w:pStyle w:val="TableContents"/>
              <w:spacing w:before="0" w:after="0"/>
              <w:ind w:left="0" w:right="0" w:firstLine="360"/>
              <w:jc w:val="right"/>
              <w:rPr>
                <w:rFonts w:ascii="times new roman" w:hAnsi="times new roman"/>
                <w:sz w:val="20"/>
              </w:rPr>
            </w:pPr>
            <w:r>
              <w:rPr>
                <w:rFonts w:ascii="times new roman" w:hAnsi="times new roman"/>
                <w:sz w:val="20"/>
              </w:rPr>
              <w:t>(4,338</w:t>
            </w:r>
          </w:p>
        </w:tc>
        <w:tc>
          <w:tcPr>
            <w:tcW w:w="12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73" w:type="dxa"/>
            <w:tcBorders>
              <w:bottom w:val="single" w:sz="12" w:space="0" w:color="000000"/>
            </w:tcBorders>
            <w:shd w:fill="auto" w:val="clear"/>
            <w:tcMar>
              <w:bottom w:w="28" w:type="dxa"/>
            </w:tcMar>
            <w:vAlign w:val="bottom"/>
          </w:tcPr>
          <w:p>
            <w:pPr>
              <w:pStyle w:val="TableContents"/>
              <w:spacing w:before="0" w:after="0"/>
              <w:ind w:left="0" w:right="0" w:firstLine="360"/>
              <w:jc w:val="right"/>
              <w:rPr>
                <w:rFonts w:ascii="times new roman" w:hAnsi="times new roman"/>
                <w:sz w:val="20"/>
              </w:rPr>
            </w:pPr>
            <w:r>
              <w:rPr>
                <w:rFonts w:ascii="times new roman" w:hAnsi="times new roman"/>
                <w:sz w:val="20"/>
              </w:rPr>
              <w:t>(4,964</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93" w:type="dxa"/>
            <w:tcBorders>
              <w:bottom w:val="single" w:sz="12" w:space="0" w:color="000000"/>
            </w:tcBorders>
            <w:shd w:fill="auto" w:val="clear"/>
            <w:tcMar>
              <w:bottom w:w="28" w:type="dxa"/>
            </w:tcMar>
            <w:vAlign w:val="bottom"/>
          </w:tcPr>
          <w:p>
            <w:pPr>
              <w:pStyle w:val="TableContents"/>
              <w:spacing w:before="0" w:after="0"/>
              <w:ind w:left="0" w:right="0" w:firstLine="540"/>
              <w:jc w:val="right"/>
              <w:rPr>
                <w:rFonts w:ascii="times new roman" w:hAnsi="times new roman"/>
                <w:sz w:val="20"/>
              </w:rPr>
            </w:pPr>
            <w:r>
              <w:rPr>
                <w:rFonts w:ascii="times new roman" w:hAnsi="times new roman"/>
                <w:sz w:val="20"/>
              </w:rPr>
              <w:t>(6,229</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763" w:type="dxa"/>
            <w:tcBorders/>
            <w:shd w:fill="auto" w:val="clear"/>
            <w:vAlign w:val="bottom"/>
          </w:tcPr>
          <w:p>
            <w:pPr>
              <w:pStyle w:val="TableContents"/>
              <w:spacing w:before="0" w:after="0"/>
              <w:ind w:left="180" w:right="0" w:firstLine="720"/>
              <w:jc w:val="left"/>
              <w:rPr>
                <w:rFonts w:ascii="times new roman" w:hAnsi="times new roman"/>
                <w:sz w:val="20"/>
              </w:rPr>
            </w:pPr>
            <w:r>
              <w:rPr>
                <w:rFonts w:ascii="times new roman" w:hAnsi="times new roman"/>
                <w:sz w:val="20"/>
              </w:rPr>
              <w:t>Cash used in investing activities</w:t>
            </w:r>
          </w:p>
        </w:tc>
        <w:tc>
          <w:tcPr>
            <w:tcW w:w="228" w:type="dxa"/>
            <w:tcBorders/>
            <w:shd w:fill="auto" w:val="clear"/>
            <w:vAlign w:val="bottom"/>
          </w:tcPr>
          <w:p>
            <w:pPr>
              <w:pStyle w:val="TableContents"/>
              <w:spacing w:before="0" w:after="283"/>
              <w:rPr/>
            </w:pPr>
            <w:r>
              <w:rPr/>
              <w:t xml:space="preserve">  </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5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(563,274</w:t>
            </w:r>
          </w:p>
        </w:tc>
        <w:tc>
          <w:tcPr>
            <w:tcW w:w="12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7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(374,192</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9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(739,294</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763"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283"/>
              <w:rPr/>
            </w:pPr>
            <w:r>
              <w:rPr/>
              <w:t xml:space="preserve">  </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283"/>
              <w:rPr/>
            </w:pPr>
            <w:r>
              <w:rPr/>
              <w:t xml:space="preserve">  </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Cash flows from financing activities: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283"/>
              <w:rPr/>
            </w:pPr>
            <w:r>
              <w:rPr/>
              <w:t xml:space="preserve">  </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283"/>
              <w:rPr/>
            </w:pPr>
            <w:r>
              <w:rPr/>
              <w:t xml:space="preserve">  </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0" w:right="0" w:firstLine="180"/>
              <w:jc w:val="left"/>
              <w:rPr>
                <w:rFonts w:ascii="times new roman" w:hAnsi="times new roman"/>
                <w:sz w:val="20"/>
              </w:rPr>
            </w:pPr>
            <w:r>
              <w:rPr>
                <w:rFonts w:ascii="times new roman" w:hAnsi="times new roman"/>
                <w:sz w:val="20"/>
              </w:rPr>
              <w:t>Proceeds from senior notes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500,000</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500,000</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0" w:right="0" w:firstLine="180"/>
              <w:jc w:val="left"/>
              <w:rPr>
                <w:rFonts w:ascii="times new roman" w:hAnsi="times new roman"/>
                <w:sz w:val="20"/>
              </w:rPr>
            </w:pPr>
            <w:r>
              <w:rPr>
                <w:rFonts w:ascii="times new roman" w:hAnsi="times new roman"/>
                <w:sz w:val="20"/>
              </w:rPr>
              <w:t>Proceeds from/(payments on) senior unsecured term loan</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(350,000</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350,000</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0" w:right="0" w:firstLine="180"/>
              <w:jc w:val="left"/>
              <w:rPr>
                <w:rFonts w:ascii="times new roman" w:hAnsi="times new roman"/>
                <w:sz w:val="20"/>
              </w:rPr>
            </w:pPr>
            <w:r>
              <w:rPr>
                <w:rFonts w:ascii="times new roman" w:hAnsi="times new roman"/>
                <w:sz w:val="20"/>
              </w:rPr>
              <w:t>Borrowings/(payments) under revolving line of credit, net</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190,000</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(139,000</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313,000</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0" w:right="0" w:firstLine="180"/>
              <w:jc w:val="left"/>
              <w:rPr>
                <w:rFonts w:ascii="times new roman" w:hAnsi="times new roman"/>
                <w:sz w:val="20"/>
              </w:rPr>
            </w:pPr>
            <w:r>
              <w:rPr>
                <w:rFonts w:ascii="times new roman" w:hAnsi="times new roman"/>
                <w:sz w:val="20"/>
              </w:rPr>
              <w:t>Principal payments on convertible notes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(23,411</w:t>
            </w:r>
          </w:p>
        </w:tc>
        <w:tc>
          <w:tcPr>
            <w:tcW w:w="12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(124,270</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0" w:right="0" w:firstLine="180"/>
              <w:jc w:val="left"/>
              <w:rPr>
                <w:rFonts w:ascii="times new roman" w:hAnsi="times new roman"/>
                <w:sz w:val="20"/>
              </w:rPr>
            </w:pPr>
            <w:r>
              <w:rPr>
                <w:rFonts w:ascii="times new roman" w:hAnsi="times new roman"/>
                <w:sz w:val="20"/>
              </w:rPr>
              <w:t>Repayment of borrowings under prior credit facility</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(908,620</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763"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Principal payments on term notes under prior credit facility</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(49,125</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763" w:type="dxa"/>
            <w:tcBorders/>
            <w:shd w:fill="auto" w:val="clear"/>
            <w:vAlign w:val="bottom"/>
          </w:tcPr>
          <w:p>
            <w:pPr>
              <w:pStyle w:val="TableContents"/>
              <w:spacing w:before="0" w:after="0"/>
              <w:ind w:left="0" w:right="0" w:firstLine="180"/>
              <w:jc w:val="left"/>
              <w:rPr>
                <w:rFonts w:ascii="times new roman" w:hAnsi="times new roman"/>
                <w:sz w:val="20"/>
              </w:rPr>
            </w:pPr>
            <w:r>
              <w:rPr>
                <w:rFonts w:ascii="times new roman" w:hAnsi="times new roman"/>
                <w:sz w:val="20"/>
              </w:rPr>
              <w:t>Debt issuance costs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(4,708</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(10,226</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763" w:type="dxa"/>
            <w:tcBorders/>
            <w:shd w:fill="auto" w:val="clear"/>
            <w:vAlign w:val="bottom"/>
          </w:tcPr>
          <w:p>
            <w:pPr>
              <w:pStyle w:val="TableContents"/>
              <w:spacing w:before="0" w:after="0"/>
              <w:ind w:left="0" w:right="0" w:firstLine="180"/>
              <w:jc w:val="left"/>
              <w:rPr>
                <w:rFonts w:ascii="times new roman" w:hAnsi="times new roman"/>
                <w:sz w:val="20"/>
              </w:rPr>
            </w:pPr>
            <w:r>
              <w:rPr>
                <w:rFonts w:ascii="times new roman" w:hAnsi="times new roman"/>
                <w:sz w:val="20"/>
              </w:rPr>
              <w:t>Cash dividends to stockholders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(35,706</w:t>
            </w:r>
          </w:p>
        </w:tc>
        <w:tc>
          <w:tcPr>
            <w:tcW w:w="12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(29,823</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(25,887</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763" w:type="dxa"/>
            <w:tcBorders/>
            <w:shd w:fill="auto" w:val="clear"/>
            <w:vAlign w:val="bottom"/>
          </w:tcPr>
          <w:p>
            <w:pPr>
              <w:pStyle w:val="TableContents"/>
              <w:spacing w:before="0" w:after="0"/>
              <w:ind w:left="180" w:right="0" w:firstLine="180"/>
              <w:jc w:val="left"/>
              <w:rPr>
                <w:rFonts w:ascii="times new roman" w:hAnsi="times new roman"/>
                <w:sz w:val="20"/>
              </w:rPr>
            </w:pPr>
            <w:r>
              <w:rPr>
                <w:rFonts w:ascii="times new roman" w:hAnsi="times new roman"/>
                <w:sz w:val="20"/>
              </w:rPr>
              <w:t>Treasury stock sales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1,697</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1,693</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1,894</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0" w:right="0" w:firstLine="180"/>
              <w:jc w:val="left"/>
              <w:rPr>
                <w:rFonts w:ascii="times new roman" w:hAnsi="times new roman"/>
                <w:sz w:val="20"/>
              </w:rPr>
            </w:pPr>
            <w:r>
              <w:rPr>
                <w:rFonts w:ascii="times new roman" w:hAnsi="times new roman"/>
                <w:sz w:val="20"/>
              </w:rPr>
              <w:t>Stock award tax excess windfall benefit</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6,364</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2,813</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5,359</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0" w:right="0" w:firstLine="180"/>
              <w:jc w:val="left"/>
              <w:rPr>
                <w:rFonts w:ascii="times new roman" w:hAnsi="times new roman"/>
                <w:sz w:val="20"/>
              </w:rPr>
            </w:pPr>
            <w:r>
              <w:rPr>
                <w:rFonts w:ascii="times new roman" w:hAnsi="times new roman"/>
                <w:sz w:val="20"/>
              </w:rPr>
              <w:t>Proceeds from issuance of common stock, net of issue costs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121,450</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0" w:right="0" w:firstLine="180"/>
              <w:jc w:val="left"/>
              <w:rPr>
                <w:rFonts w:ascii="times new roman" w:hAnsi="times new roman"/>
                <w:sz w:val="20"/>
              </w:rPr>
            </w:pPr>
            <w:r>
              <w:rPr>
                <w:rFonts w:ascii="times new roman" w:hAnsi="times new roman"/>
                <w:sz w:val="20"/>
              </w:rPr>
              <w:t>Proceeds from stock option exercises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29,047</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10,506</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11,037</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0" w:right="0" w:firstLine="180"/>
              <w:jc w:val="left"/>
              <w:rPr>
                <w:rFonts w:ascii="times new roman" w:hAnsi="times new roman"/>
                <w:sz w:val="20"/>
              </w:rPr>
            </w:pPr>
            <w:r>
              <w:rPr>
                <w:rFonts w:ascii="times new roman" w:hAnsi="times new roman"/>
                <w:sz w:val="20"/>
              </w:rPr>
              <w:t>Other</w:t>
            </w:r>
          </w:p>
        </w:tc>
        <w:tc>
          <w:tcPr>
            <w:tcW w:w="228" w:type="dxa"/>
            <w:tcBorders/>
            <w:shd w:fill="auto" w:val="clear"/>
            <w:vAlign w:val="bottom"/>
          </w:tcPr>
          <w:p>
            <w:pPr>
              <w:pStyle w:val="TableContents"/>
              <w:spacing w:before="0" w:after="283"/>
              <w:rPr/>
            </w:pPr>
            <w:r>
              <w:rPr/>
              <w:t xml:space="preserve">  </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5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(382</w:t>
            </w:r>
          </w:p>
        </w:tc>
        <w:tc>
          <w:tcPr>
            <w:tcW w:w="12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7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(2,258</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9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487</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firstLine="720"/>
              <w:jc w:val="left"/>
              <w:rPr>
                <w:rFonts w:ascii="times new roman" w:hAnsi="times new roman"/>
                <w:sz w:val="20"/>
              </w:rPr>
            </w:pPr>
            <w:r>
              <w:rPr>
                <w:rFonts w:ascii="times new roman" w:hAnsi="times new roman"/>
                <w:sz w:val="20"/>
              </w:rPr>
              <w:t>Cash provided by/(used in) financing activities</w:t>
            </w:r>
          </w:p>
        </w:tc>
        <w:tc>
          <w:tcPr>
            <w:tcW w:w="228" w:type="dxa"/>
            <w:tcBorders/>
            <w:shd w:fill="auto" w:val="clear"/>
            <w:vAlign w:val="bottom"/>
          </w:tcPr>
          <w:p>
            <w:pPr>
              <w:pStyle w:val="TableContents"/>
              <w:spacing w:before="0" w:after="283"/>
              <w:rPr/>
            </w:pPr>
            <w:r>
              <w:rPr/>
              <w:t xml:space="preserve">  </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5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167,609</w:t>
            </w:r>
          </w:p>
        </w:tc>
        <w:tc>
          <w:tcPr>
            <w:tcW w:w="124" w:type="dxa"/>
            <w:tcBorders/>
            <w:shd w:fill="auto" w:val="clear"/>
            <w:vAlign w:val="bottom"/>
          </w:tcPr>
          <w:p>
            <w:pPr>
              <w:pStyle w:val="TableContents"/>
              <w:spacing w:before="0" w:after="283"/>
              <w:rPr/>
            </w:pPr>
            <w:r>
              <w:rPr/>
              <w:t xml:space="preserve">  </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7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(13,597</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9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187,919</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Effect of exchange rate changes on cash</w:t>
            </w:r>
          </w:p>
        </w:tc>
        <w:tc>
          <w:tcPr>
            <w:tcW w:w="228" w:type="dxa"/>
            <w:tcBorders/>
            <w:shd w:fill="auto" w:val="clear"/>
            <w:vAlign w:val="bottom"/>
          </w:tcPr>
          <w:p>
            <w:pPr>
              <w:pStyle w:val="TableContents"/>
              <w:spacing w:before="0" w:after="283"/>
              <w:rPr/>
            </w:pPr>
            <w:r>
              <w:rPr/>
              <w:t xml:space="preserve">  </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5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(1,189</w:t>
            </w:r>
          </w:p>
        </w:tc>
        <w:tc>
          <w:tcPr>
            <w:tcW w:w="12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7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9,929</w:t>
            </w:r>
          </w:p>
        </w:tc>
        <w:tc>
          <w:tcPr>
            <w:tcW w:w="232" w:type="dxa"/>
            <w:tcBorders/>
            <w:shd w:fill="auto" w:val="clear"/>
            <w:vAlign w:val="bottom"/>
          </w:tcPr>
          <w:p>
            <w:pPr>
              <w:pStyle w:val="TableContents"/>
              <w:spacing w:before="0" w:after="283"/>
              <w:rPr/>
            </w:pPr>
            <w:r>
              <w:rPr/>
              <w:t xml:space="preserve">  </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9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(13,762</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763"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283"/>
              <w:rPr/>
            </w:pPr>
            <w:r>
              <w:rPr/>
              <w:t xml:space="preserve">  </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283"/>
              <w:rPr/>
            </w:pPr>
            <w:r>
              <w:rPr/>
              <w:t xml:space="preserve">  </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increase/(decrease) in cash and cash equivalents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102,686</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(10,361</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(130,699</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763"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Cash and cash equivalents, beginning of year</w:t>
            </w:r>
          </w:p>
        </w:tc>
        <w:tc>
          <w:tcPr>
            <w:tcW w:w="228" w:type="dxa"/>
            <w:tcBorders/>
            <w:shd w:fill="auto" w:val="clear"/>
            <w:vAlign w:val="bottom"/>
          </w:tcPr>
          <w:p>
            <w:pPr>
              <w:pStyle w:val="TableContents"/>
              <w:spacing w:before="0" w:after="283"/>
              <w:rPr/>
            </w:pPr>
            <w:r>
              <w:rPr/>
              <w:t xml:space="preserve">  </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5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167,708</w:t>
            </w:r>
          </w:p>
        </w:tc>
        <w:tc>
          <w:tcPr>
            <w:tcW w:w="124" w:type="dxa"/>
            <w:tcBorders/>
            <w:shd w:fill="auto" w:val="clear"/>
            <w:vAlign w:val="bottom"/>
          </w:tcPr>
          <w:p>
            <w:pPr>
              <w:pStyle w:val="TableContents"/>
              <w:spacing w:before="0" w:after="283"/>
              <w:rPr/>
            </w:pPr>
            <w:r>
              <w:rPr/>
              <w:t xml:space="preserve">  </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7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178,069</w:t>
            </w:r>
          </w:p>
        </w:tc>
        <w:tc>
          <w:tcPr>
            <w:tcW w:w="232" w:type="dxa"/>
            <w:tcBorders/>
            <w:shd w:fill="auto" w:val="clear"/>
            <w:vAlign w:val="bottom"/>
          </w:tcPr>
          <w:p>
            <w:pPr>
              <w:pStyle w:val="TableContents"/>
              <w:spacing w:before="0" w:after="283"/>
              <w:rPr/>
            </w:pPr>
            <w:r>
              <w:rPr/>
              <w:t xml:space="preserve">  </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9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308,768</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283"/>
              <w:rPr/>
            </w:pPr>
            <w:r>
              <w:rPr/>
              <w:t xml:space="preserve">  </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283"/>
              <w:rPr/>
            </w:pPr>
            <w:r>
              <w:rPr/>
              <w:t xml:space="preserve">  </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Cash and cash equivalents, end of year</w:t>
            </w:r>
          </w:p>
        </w:tc>
        <w:tc>
          <w:tcPr>
            <w:tcW w:w="228" w:type="dxa"/>
            <w:tcBorders/>
            <w:shd w:fill="auto" w:val="clear"/>
            <w:vAlign w:val="bottom"/>
          </w:tcPr>
          <w:p>
            <w:pPr>
              <w:pStyle w:val="TableContents"/>
              <w:spacing w:before="0" w:after="283"/>
              <w:rPr/>
            </w:pPr>
            <w:r>
              <w:rPr/>
              <w:t xml:space="preserve">  </w:t>
            </w:r>
          </w:p>
        </w:tc>
        <w:tc>
          <w:tcPr>
            <w:tcW w:w="13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270,394</w:t>
            </w:r>
          </w:p>
        </w:tc>
        <w:tc>
          <w:tcPr>
            <w:tcW w:w="124" w:type="dxa"/>
            <w:tcBorders/>
            <w:shd w:fill="auto" w:val="clear"/>
            <w:vAlign w:val="bottom"/>
          </w:tcPr>
          <w:p>
            <w:pPr>
              <w:pStyle w:val="TableContents"/>
              <w:spacing w:before="0" w:after="283"/>
              <w:rPr/>
            </w:pPr>
            <w:r>
              <w:rPr/>
              <w:t xml:space="preserve">  </w:t>
            </w:r>
          </w:p>
        </w:tc>
        <w:tc>
          <w:tcPr>
            <w:tcW w:w="13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7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167,708</w:t>
            </w:r>
          </w:p>
        </w:tc>
        <w:tc>
          <w:tcPr>
            <w:tcW w:w="232" w:type="dxa"/>
            <w:tcBorders/>
            <w:shd w:fill="auto" w:val="clear"/>
            <w:vAlign w:val="bottom"/>
          </w:tcPr>
          <w:p>
            <w:pPr>
              <w:pStyle w:val="TableContents"/>
              <w:spacing w:before="0" w:after="283"/>
              <w:rPr/>
            </w:pPr>
            <w:r>
              <w:rPr/>
              <w:t xml:space="preserve">  </w:t>
            </w:r>
          </w:p>
        </w:tc>
        <w:tc>
          <w:tcPr>
            <w:tcW w:w="13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178,069</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283"/>
              <w:rPr/>
            </w:pPr>
            <w:r>
              <w:rPr/>
              <w:t xml:space="preserve">  </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283"/>
              <w:rPr/>
            </w:pPr>
            <w:r>
              <w:rPr/>
              <w:t xml:space="preserve">  </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Supplemental disclosures: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283"/>
              <w:rPr/>
            </w:pPr>
            <w:r>
              <w:rPr/>
              <w:t xml:space="preserve">  </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283"/>
              <w:rPr/>
            </w:pPr>
            <w:r>
              <w:rPr/>
              <w:t xml:space="preserve">  </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firstLine="180"/>
              <w:jc w:val="left"/>
              <w:rPr>
                <w:rFonts w:ascii="times new roman" w:hAnsi="times new roman"/>
                <w:sz w:val="20"/>
              </w:rPr>
            </w:pPr>
            <w:r>
              <w:rPr>
                <w:rFonts w:ascii="times new roman" w:hAnsi="times new roman"/>
                <w:sz w:val="20"/>
              </w:rPr>
              <w:t>Cash paid for:</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283"/>
              <w:rPr/>
            </w:pPr>
            <w:r>
              <w:rPr/>
              <w:t xml:space="preserve">  </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283"/>
              <w:rPr/>
            </w:pPr>
            <w:r>
              <w:rPr/>
              <w:t xml:space="preserve">  </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firstLine="360"/>
              <w:jc w:val="left"/>
              <w:rPr>
                <w:rFonts w:ascii="times new roman" w:hAnsi="times new roman"/>
                <w:sz w:val="20"/>
              </w:rPr>
            </w:pPr>
            <w:r>
              <w:rPr>
                <w:rFonts w:ascii="times new roman" w:hAnsi="times new roman"/>
                <w:sz w:val="20"/>
              </w:rPr>
              <w:t>Interest</w:t>
            </w:r>
          </w:p>
        </w:tc>
        <w:tc>
          <w:tcPr>
            <w:tcW w:w="228" w:type="dxa"/>
            <w:tcBorders/>
            <w:shd w:fill="auto" w:val="clear"/>
            <w:vAlign w:val="bottom"/>
          </w:tcPr>
          <w:p>
            <w:pPr>
              <w:pStyle w:val="TableContents"/>
              <w:spacing w:before="0" w:after="283"/>
              <w:rPr/>
            </w:pPr>
            <w:r>
              <w:rPr/>
              <w:t xml:space="preserve">  </w:t>
            </w:r>
          </w:p>
        </w:tc>
        <w:tc>
          <w:tcPr>
            <w:tcW w:w="13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64,831</w:t>
            </w:r>
          </w:p>
        </w:tc>
        <w:tc>
          <w:tcPr>
            <w:tcW w:w="124" w:type="dxa"/>
            <w:tcBorders/>
            <w:shd w:fill="auto" w:val="clear"/>
            <w:vAlign w:val="bottom"/>
          </w:tcPr>
          <w:p>
            <w:pPr>
              <w:pStyle w:val="TableContents"/>
              <w:spacing w:before="0" w:after="283"/>
              <w:rPr/>
            </w:pPr>
            <w:r>
              <w:rPr/>
              <w:t xml:space="preserve">  </w:t>
            </w:r>
          </w:p>
        </w:tc>
        <w:tc>
          <w:tcPr>
            <w:tcW w:w="13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7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47,867</w:t>
            </w:r>
          </w:p>
        </w:tc>
        <w:tc>
          <w:tcPr>
            <w:tcW w:w="232" w:type="dxa"/>
            <w:tcBorders/>
            <w:shd w:fill="auto" w:val="clear"/>
            <w:vAlign w:val="bottom"/>
          </w:tcPr>
          <w:p>
            <w:pPr>
              <w:pStyle w:val="TableContents"/>
              <w:spacing w:before="0" w:after="283"/>
              <w:rPr/>
            </w:pPr>
            <w:r>
              <w:rPr/>
              <w:t xml:space="preserve">  </w:t>
            </w:r>
          </w:p>
        </w:tc>
        <w:tc>
          <w:tcPr>
            <w:tcW w:w="13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39,063</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firstLine="360"/>
              <w:jc w:val="left"/>
              <w:rPr>
                <w:rFonts w:ascii="times new roman" w:hAnsi="times new roman"/>
                <w:sz w:val="20"/>
              </w:rPr>
            </w:pPr>
            <w:r>
              <w:rPr>
                <w:rFonts w:ascii="times new roman" w:hAnsi="times new roman"/>
                <w:sz w:val="20"/>
              </w:rPr>
              <w:t>Income taxes, net of refunds received</w:t>
            </w:r>
          </w:p>
        </w:tc>
        <w:tc>
          <w:tcPr>
            <w:tcW w:w="228" w:type="dxa"/>
            <w:tcBorders/>
            <w:shd w:fill="auto" w:val="clear"/>
            <w:vAlign w:val="bottom"/>
          </w:tcPr>
          <w:p>
            <w:pPr>
              <w:pStyle w:val="TableContents"/>
              <w:spacing w:before="0" w:after="283"/>
              <w:rPr/>
            </w:pPr>
            <w:r>
              <w:rPr/>
              <w:t xml:space="preserve">  </w:t>
            </w:r>
          </w:p>
        </w:tc>
        <w:tc>
          <w:tcPr>
            <w:tcW w:w="13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109,327</w:t>
            </w:r>
          </w:p>
        </w:tc>
        <w:tc>
          <w:tcPr>
            <w:tcW w:w="124" w:type="dxa"/>
            <w:tcBorders/>
            <w:shd w:fill="auto" w:val="clear"/>
            <w:vAlign w:val="bottom"/>
          </w:tcPr>
          <w:p>
            <w:pPr>
              <w:pStyle w:val="TableContents"/>
              <w:spacing w:before="0" w:after="283"/>
              <w:rPr/>
            </w:pPr>
            <w:r>
              <w:rPr/>
              <w:t xml:space="preserve">  </w:t>
            </w:r>
          </w:p>
        </w:tc>
        <w:tc>
          <w:tcPr>
            <w:tcW w:w="13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7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103,699</w:t>
            </w:r>
          </w:p>
        </w:tc>
        <w:tc>
          <w:tcPr>
            <w:tcW w:w="232" w:type="dxa"/>
            <w:tcBorders/>
            <w:shd w:fill="auto" w:val="clear"/>
            <w:vAlign w:val="bottom"/>
          </w:tcPr>
          <w:p>
            <w:pPr>
              <w:pStyle w:val="TableContents"/>
              <w:spacing w:before="0" w:after="283"/>
              <w:rPr/>
            </w:pPr>
            <w:r>
              <w:rPr/>
              <w:t xml:space="preserve">  </w:t>
            </w:r>
          </w:p>
        </w:tc>
        <w:tc>
          <w:tcPr>
            <w:tcW w:w="13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144,258</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283"/>
              <w:rPr/>
            </w:pPr>
            <w:r>
              <w:rPr/>
              <w:t xml:space="preserve">  </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283"/>
              <w:rPr/>
            </w:pPr>
            <w:r>
              <w:rPr/>
              <w:t xml:space="preserve">  </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firstLine="360"/>
              <w:jc w:val="left"/>
              <w:rPr>
                <w:rFonts w:ascii="times new roman" w:hAnsi="times new roman"/>
                <w:sz w:val="20"/>
              </w:rPr>
            </w:pPr>
            <w:r>
              <w:rPr>
                <w:rFonts w:ascii="times new roman" w:hAnsi="times new roman"/>
                <w:sz w:val="20"/>
              </w:rPr>
              <w:t>Noncash investing activities:</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283"/>
              <w:rPr/>
            </w:pPr>
            <w:r>
              <w:rPr/>
              <w:t xml:space="preserve">  </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283"/>
              <w:rPr/>
            </w:pPr>
            <w:r>
              <w:rPr/>
              <w:t xml:space="preserve">  </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firstLine="540"/>
              <w:jc w:val="left"/>
              <w:rPr>
                <w:rFonts w:ascii="times new roman" w:hAnsi="times new roman"/>
                <w:sz w:val="20"/>
              </w:rPr>
            </w:pPr>
            <w:r>
              <w:rPr>
                <w:rFonts w:ascii="times new roman" w:hAnsi="times new roman"/>
                <w:sz w:val="20"/>
              </w:rPr>
              <w:t>Net assets of businesses acquired:</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283"/>
              <w:rPr/>
            </w:pPr>
            <w:r>
              <w:rPr/>
              <w:t xml:space="preserve">  </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73" w:type="dxa"/>
            <w:tcBorders/>
            <w:shd w:fill="auto" w:val="clear"/>
            <w:vAlign w:val="bottom"/>
          </w:tcPr>
          <w:p>
            <w:pPr>
              <w:pStyle w:val="TableContents"/>
              <w:spacing w:before="0" w:after="283"/>
              <w:rPr/>
            </w:pPr>
            <w:r>
              <w:rPr/>
              <w:t xml:space="preserve">  </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093"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firstLine="540"/>
              <w:jc w:val="left"/>
              <w:rPr>
                <w:rFonts w:ascii="times new roman" w:hAnsi="times new roman"/>
                <w:sz w:val="20"/>
              </w:rPr>
            </w:pPr>
            <w:r>
              <w:rPr>
                <w:rFonts w:ascii="times new roman" w:hAnsi="times new roman"/>
                <w:sz w:val="20"/>
              </w:rPr>
              <w:t>Fair value of assets, including goodwill</w:t>
            </w:r>
          </w:p>
        </w:tc>
        <w:tc>
          <w:tcPr>
            <w:tcW w:w="228"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687,017</w:t>
            </w:r>
          </w:p>
        </w:tc>
        <w:tc>
          <w:tcPr>
            <w:tcW w:w="124"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7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384,055</w:t>
            </w:r>
          </w:p>
        </w:tc>
        <w:tc>
          <w:tcPr>
            <w:tcW w:w="232" w:type="dxa"/>
            <w:tcBorders/>
            <w:shd w:fill="auto" w:val="cle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774,164</w:t>
            </w:r>
          </w:p>
        </w:tc>
        <w:tc>
          <w:tcPr>
            <w:tcW w:w="135" w:type="dxa"/>
            <w:tcBorders/>
            <w:shd w:fill="auto" w:val="clear"/>
            <w:vAlign w:val="bottom"/>
          </w:tcPr>
          <w:p>
            <w:pPr>
              <w:pStyle w:val="TableContents"/>
              <w:spacing w:before="0" w:after="283"/>
              <w:rPr/>
            </w:pPr>
            <w:r>
              <w:rPr/>
              <w:t xml:space="preserve">  </w:t>
            </w:r>
          </w:p>
        </w:tc>
      </w:tr>
      <w:tr>
        <w:trPr/>
        <w:tc>
          <w:tcPr>
            <w:tcW w:w="5763" w:type="dxa"/>
            <w:tcBorders/>
            <w:shd w:fill="auto" w:val="clear"/>
            <w:vAlign w:val="bottom"/>
          </w:tcPr>
          <w:p>
            <w:pPr>
              <w:pStyle w:val="TableContents"/>
              <w:spacing w:before="0" w:after="0"/>
              <w:ind w:left="180" w:right="0" w:firstLine="540"/>
              <w:jc w:val="left"/>
              <w:rPr>
                <w:rFonts w:ascii="times new roman" w:hAnsi="times new roman"/>
                <w:sz w:val="20"/>
              </w:rPr>
            </w:pPr>
            <w:r>
              <w:rPr>
                <w:rFonts w:ascii="times new roman" w:hAnsi="times new roman"/>
                <w:sz w:val="20"/>
              </w:rPr>
              <w:t>Liabilities assumed</w:t>
            </w:r>
          </w:p>
        </w:tc>
        <w:tc>
          <w:tcPr>
            <w:tcW w:w="228" w:type="dxa"/>
            <w:tcBorders/>
            <w:shd w:fill="auto" w:val="clear"/>
            <w:vAlign w:val="bottom"/>
          </w:tcPr>
          <w:p>
            <w:pPr>
              <w:pStyle w:val="TableContents"/>
              <w:spacing w:before="0" w:after="283"/>
              <w:rPr/>
            </w:pPr>
            <w:r>
              <w:rPr/>
              <w:t xml:space="preserve">  </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5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(150,604</w:t>
            </w:r>
          </w:p>
        </w:tc>
        <w:tc>
          <w:tcPr>
            <w:tcW w:w="12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7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(29,494</w:t>
            </w:r>
          </w:p>
        </w:tc>
        <w:tc>
          <w:tcPr>
            <w:tcW w:w="2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9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(69,400</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763" w:type="dxa"/>
            <w:tcBorders/>
            <w:shd w:fill="auto" w:val="clear"/>
            <w:vAlign w:val="bottom"/>
          </w:tcPr>
          <w:p>
            <w:pPr>
              <w:pStyle w:val="TableContents"/>
              <w:spacing w:before="0" w:after="0"/>
              <w:ind w:left="180" w:right="0" w:firstLine="540"/>
              <w:jc w:val="left"/>
              <w:rPr>
                <w:rFonts w:ascii="times new roman" w:hAnsi="times new roman"/>
                <w:sz w:val="20"/>
              </w:rPr>
            </w:pPr>
            <w:r>
              <w:rPr>
                <w:rFonts w:ascii="times new roman" w:hAnsi="times new roman"/>
                <w:sz w:val="20"/>
              </w:rPr>
              <w:t>Cash paid, net of cash acquired</w:t>
            </w:r>
          </w:p>
        </w:tc>
        <w:tc>
          <w:tcPr>
            <w:tcW w:w="228" w:type="dxa"/>
            <w:tcBorders/>
            <w:shd w:fill="auto" w:val="clear"/>
            <w:vAlign w:val="bottom"/>
          </w:tcPr>
          <w:p>
            <w:pPr>
              <w:pStyle w:val="TableContents"/>
              <w:spacing w:before="0" w:after="283"/>
              <w:rPr/>
            </w:pPr>
            <w:r>
              <w:rPr/>
              <w:t xml:space="preserve">  </w:t>
            </w:r>
          </w:p>
        </w:tc>
        <w:tc>
          <w:tcPr>
            <w:tcW w:w="13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536,413</w:t>
            </w:r>
          </w:p>
        </w:tc>
        <w:tc>
          <w:tcPr>
            <w:tcW w:w="124" w:type="dxa"/>
            <w:tcBorders/>
            <w:shd w:fill="auto" w:val="clear"/>
            <w:vAlign w:val="bottom"/>
          </w:tcPr>
          <w:p>
            <w:pPr>
              <w:pStyle w:val="TableContents"/>
              <w:spacing w:before="0" w:after="283"/>
              <w:rPr/>
            </w:pPr>
            <w:r>
              <w:rPr/>
              <w:t xml:space="preserve">  </w:t>
            </w:r>
          </w:p>
        </w:tc>
        <w:tc>
          <w:tcPr>
            <w:tcW w:w="13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7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354,561</w:t>
            </w:r>
          </w:p>
        </w:tc>
        <w:tc>
          <w:tcPr>
            <w:tcW w:w="232" w:type="dxa"/>
            <w:tcBorders/>
            <w:shd w:fill="auto" w:val="clear"/>
            <w:vAlign w:val="bottom"/>
          </w:tcPr>
          <w:p>
            <w:pPr>
              <w:pStyle w:val="TableContents"/>
              <w:spacing w:before="0" w:after="283"/>
              <w:rPr/>
            </w:pPr>
            <w:r>
              <w:rPr/>
              <w:t xml:space="preserve">  </w:t>
            </w:r>
          </w:p>
        </w:tc>
        <w:tc>
          <w:tcPr>
            <w:tcW w:w="13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704,764</w:t>
            </w:r>
          </w:p>
        </w:tc>
        <w:tc>
          <w:tcPr>
            <w:tcW w:w="135"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8" w:name="PGBRK11"/>
      <w:bookmarkStart w:id="219" w:name="PGBRK11"/>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0" w:name="FTR11"/>
      <w:bookmarkStart w:id="221" w:name="FTR11"/>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2" w:name="GLFTR11"/>
      <w:bookmarkEnd w:id="2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3" w:name="PN11"/>
      <w:bookmarkEnd w:id="223"/>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 w:name="HDR11"/>
      <w:bookmarkStart w:id="225" w:name="HDR11"/>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6" w:name="GLHDR11"/>
      <w:bookmarkEnd w:id="2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sz w:val="20"/>
        </w:rPr>
      </w:pPr>
      <w:r>
        <w:rPr>
          <w:rFonts w:ascii="Times New Roman" w:hAnsi="Times New Roman"/>
          <w:sz w:val="20"/>
        </w:rPr>
        <w:t>ROPER INDUSTRIES, INC. AND SUBSIDIARIES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Notes to Consolidated Financial Statements</w:t>
      </w:r>
    </w:p>
    <w:p>
      <w:pPr>
        <w:pStyle w:val="TextBody"/>
        <w:spacing w:before="0" w:after="0"/>
        <w:ind w:left="0" w:right="0" w:hanging="0"/>
        <w:jc w:val="center"/>
        <w:rPr>
          <w:rFonts w:ascii="Times New Roman" w:hAnsi="Times New Roman"/>
          <w:sz w:val="20"/>
        </w:rPr>
      </w:pPr>
      <w:r>
        <w:rPr>
          <w:rFonts w:ascii="Times New Roman" w:hAnsi="Times New Roman"/>
          <w:sz w:val="20"/>
        </w:rPr>
        <w:t>Years ended December 31, 2010, 2009 and 2008</w:t>
      </w:r>
    </w:p>
    <w:p>
      <w:pPr>
        <w:pStyle w:val="TextBody"/>
        <w:spacing w:before="0" w:after="0"/>
        <w:rPr/>
      </w:pPr>
      <w:r>
        <w:rPr/>
        <w:t> </w:t>
      </w:r>
    </w:p>
    <w:p>
      <w:pPr>
        <w:pStyle w:val="Normal"/>
        <w:spacing w:before="0" w:after="0"/>
        <w:rPr>
          <w:sz w:val="4"/>
          <w:szCs w:val="4"/>
        </w:rPr>
      </w:pPr>
      <w:r>
        <w:rPr>
          <w:sz w:val="4"/>
          <w:szCs w:val="4"/>
        </w:rPr>
      </w:r>
      <w:bookmarkStart w:id="227" w:name="list34"/>
      <w:bookmarkStart w:id="228" w:name="list34"/>
      <w:bookmarkEnd w:id="228"/>
    </w:p>
    <w:tbl>
      <w:tblPr>
        <w:tblW w:w="5000" w:type="pct"/>
        <w:jc w:val="left"/>
        <w:tblInd w:w="0" w:type="dxa"/>
        <w:tblCellMar>
          <w:top w:w="0" w:type="dxa"/>
          <w:left w:w="0" w:type="dxa"/>
          <w:bottom w:w="0" w:type="dxa"/>
          <w:right w:w="0" w:type="dxa"/>
        </w:tblCellMar>
      </w:tblPr>
      <w:tblGrid>
        <w:gridCol w:w="1169"/>
        <w:gridCol w:w="9036"/>
      </w:tblGrid>
      <w:tr>
        <w:trPr/>
        <w:tc>
          <w:tcPr>
            <w:tcW w:w="116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036"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Summary of Accounting Policies</w:t>
            </w:r>
          </w:p>
        </w:tc>
      </w:tr>
    </w:tbl>
    <w:p>
      <w:pPr>
        <w:pStyle w:val="TextBody"/>
        <w:spacing w:before="0" w:after="0"/>
        <w:ind w:left="0" w:right="0" w:hanging="0"/>
        <w:rPr/>
      </w:pPr>
      <w:r>
        <w:rPr/>
      </w:r>
    </w:p>
    <w:p>
      <w:pPr>
        <w:pStyle w:val="Normal"/>
        <w:spacing w:before="0" w:after="0"/>
        <w:rPr>
          <w:sz w:val="4"/>
          <w:szCs w:val="4"/>
        </w:rPr>
      </w:pPr>
      <w:r>
        <w:rPr>
          <w:sz w:val="4"/>
          <w:szCs w:val="4"/>
        </w:rPr>
      </w:r>
      <w:bookmarkStart w:id="229" w:name="hangingindent27"/>
      <w:bookmarkStart w:id="230" w:name="hangingindent27"/>
      <w:bookmarkEnd w:id="230"/>
    </w:p>
    <w:tbl>
      <w:tblPr>
        <w:tblW w:w="5000" w:type="pct"/>
        <w:jc w:val="center"/>
        <w:tblInd w:w="0" w:type="dxa"/>
        <w:tblCellMar>
          <w:top w:w="0" w:type="dxa"/>
          <w:left w:w="0" w:type="dxa"/>
          <w:bottom w:w="0" w:type="dxa"/>
          <w:right w:w="0" w:type="dxa"/>
        </w:tblCellMar>
      </w:tblPr>
      <w:tblGrid>
        <w:gridCol w:w="88"/>
        <w:gridCol w:w="10117"/>
      </w:tblGrid>
      <w:tr>
        <w:trPr/>
        <w:tc>
          <w:tcPr>
            <w:tcW w:w="88" w:type="dxa"/>
            <w:tcBorders/>
            <w:shd w:fill="auto" w:val="clear"/>
          </w:tcPr>
          <w:p>
            <w:pPr>
              <w:pStyle w:val="TableContents"/>
              <w:spacing w:before="0" w:after="0"/>
              <w:rPr/>
            </w:pPr>
            <w:r>
              <w:rPr/>
              <w:t xml:space="preserve">  </w:t>
            </w:r>
          </w:p>
        </w:tc>
        <w:tc>
          <w:tcPr>
            <w:tcW w:w="10117"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Basis of Presentation</w:t>
            </w:r>
            <w:r>
              <w:rPr>
                <w:rFonts w:ascii="Times New Roman" w:hAnsi="Times New Roman"/>
                <w:sz w:val="20"/>
              </w:rPr>
              <w:t xml:space="preserve"> – These financial statements present consolidated information for Roper Industries, Inc. and its subsidiaries (“Roper” or the “Company”). All significant intercompany accounts and transactions have been eliminated.</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Nature of the Business</w:t>
      </w:r>
      <w:r>
        <w:rPr>
          <w:rFonts w:ascii="Times New Roman" w:hAnsi="Times New Roman"/>
          <w:sz w:val="20"/>
        </w:rPr>
        <w:t xml:space="preserve"> – Roper is a diversified growth company that designs, manufactures and distributes energy systems and controls, medical and scientific imaging products and software, industrial technology products and radio frequency products and services. Roper markets these products and services to selected segments of a broad range of markets, including radio frequency applications, medical, water, energy, research, education, food and food services, security and other niche markets.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Accounts Receivable</w:t>
      </w:r>
      <w:r>
        <w:rPr>
          <w:rFonts w:ascii="Times New Roman" w:hAnsi="Times New Roman"/>
          <w:sz w:val="20"/>
        </w:rPr>
        <w:t xml:space="preserve"> - Accounts receivable were stated net of an allowance for doubtful accounts and sales allowances of $10.3 million and $11.2 million at December 31, 2010 and 2009, respectively. Outstanding accounts receivable balances are reviewed periodically, and allowances are provided at such time that management believes reasonable doubt exists that such balances will be collected within a reasonable period of time. The returns and other sales credit allowance is an estimate of customer returns, exchanges, discounts or other forms of anticipated concessions and is treated as a reduction in revenue.</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Cash and Cash Equivalents</w:t>
      </w:r>
      <w:r>
        <w:rPr>
          <w:rFonts w:ascii="Times New Roman" w:hAnsi="Times New Roman"/>
          <w:sz w:val="20"/>
        </w:rPr>
        <w:t xml:space="preserve"> - Roper considers highly liquid financial instruments with remaining maturities at acquisition of three months or less to be cash equivalents. Roper had $10 million in cash equivalents at December 31, 2010 and none at December 31, 2009.</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Earnings per Share</w:t>
      </w:r>
      <w:r>
        <w:rPr>
          <w:rFonts w:ascii="Times New Roman" w:hAnsi="Times New Roman"/>
          <w:sz w:val="20"/>
        </w:rPr>
        <w:t xml:space="preserve"> – Basic earnings per share were calculated using net earnings and the weighted average number of shares of common stock outstanding during the respective year. Diluted earnings per share were calculated using net earnings and the weighted average number of shares of common stock and potential common stock outstanding during the respective year. Potentially dilutive common stock consisted of stock options and the premium over the conversion price on our senior subordinated convertible notes based upon the trading price of the Company’s common stock. The effects of potential common stock were determined using the treasury stock method (in thousands):</w:t>
      </w:r>
    </w:p>
    <w:p>
      <w:pPr>
        <w:pStyle w:val="TextBody"/>
        <w:spacing w:before="0" w:after="0"/>
        <w:ind w:left="0" w:right="0" w:hanging="0"/>
        <w:rPr/>
      </w:pPr>
      <w:r>
        <w:rPr/>
      </w:r>
    </w:p>
    <w:tbl>
      <w:tblPr>
        <w:tblW w:w="2500" w:type="pct"/>
        <w:jc w:val="center"/>
        <w:tblInd w:w="0" w:type="dxa"/>
        <w:tblCellMar>
          <w:top w:w="0" w:type="dxa"/>
          <w:left w:w="0" w:type="dxa"/>
          <w:bottom w:w="0" w:type="dxa"/>
          <w:right w:w="0" w:type="dxa"/>
        </w:tblCellMar>
      </w:tblPr>
      <w:tblGrid>
        <w:gridCol w:w="2844"/>
        <w:gridCol w:w="752"/>
        <w:gridCol w:w="753"/>
        <w:gridCol w:w="753"/>
      </w:tblGrid>
      <w:tr>
        <w:trPr/>
        <w:tc>
          <w:tcPr>
            <w:tcW w:w="2844" w:type="dxa"/>
            <w:tcBorders/>
            <w:shd w:fill="auto" w:val="clear"/>
          </w:tcPr>
          <w:p>
            <w:pPr>
              <w:pStyle w:val="TableContents"/>
              <w:spacing w:before="0" w:after="283"/>
              <w:rPr/>
            </w:pPr>
            <w:r>
              <w:rPr/>
              <w:t xml:space="preserve">  </w:t>
            </w:r>
          </w:p>
        </w:tc>
        <w:tc>
          <w:tcPr>
            <w:tcW w:w="2258"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Years ended December 31,</w:t>
            </w:r>
          </w:p>
        </w:tc>
      </w:tr>
      <w:tr>
        <w:trPr/>
        <w:tc>
          <w:tcPr>
            <w:tcW w:w="2844" w:type="dxa"/>
            <w:tcBorders/>
            <w:shd w:fill="auto" w:val="clear"/>
          </w:tcPr>
          <w:p>
            <w:pPr>
              <w:pStyle w:val="TableContents"/>
              <w:spacing w:before="0" w:after="283"/>
              <w:rPr/>
            </w:pPr>
            <w:r>
              <w:rPr/>
              <w:t xml:space="preserve">  </w:t>
            </w:r>
          </w:p>
        </w:tc>
        <w:tc>
          <w:tcPr>
            <w:tcW w:w="75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753"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753"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2008</w:t>
            </w:r>
          </w:p>
        </w:tc>
      </w:tr>
      <w:tr>
        <w:trPr/>
        <w:tc>
          <w:tcPr>
            <w:tcW w:w="2844"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Basic shares outstanding</w:t>
            </w:r>
          </w:p>
        </w:tc>
        <w:tc>
          <w:tcPr>
            <w:tcW w:w="752" w:type="dxa"/>
            <w:tcBorders/>
            <w:shd w:fill="auto" w:val="clear"/>
            <w:vAlign w:val="bottom"/>
          </w:tcPr>
          <w:p>
            <w:pPr>
              <w:pStyle w:val="TableContents"/>
              <w:spacing w:before="0" w:after="0"/>
              <w:ind w:left="360" w:right="0" w:hanging="0"/>
              <w:jc w:val="right"/>
              <w:rPr>
                <w:rFonts w:ascii="times new roman" w:hAnsi="times new roman"/>
                <w:sz w:val="20"/>
              </w:rPr>
            </w:pPr>
            <w:r>
              <w:rPr>
                <w:rFonts w:ascii="times new roman" w:hAnsi="times new roman"/>
                <w:sz w:val="20"/>
              </w:rPr>
              <w:t>94,242</w:t>
            </w:r>
          </w:p>
        </w:tc>
        <w:tc>
          <w:tcPr>
            <w:tcW w:w="753" w:type="dxa"/>
            <w:tcBorders/>
            <w:shd w:fill="auto" w:val="clear"/>
            <w:vAlign w:val="bottom"/>
          </w:tcPr>
          <w:p>
            <w:pPr>
              <w:pStyle w:val="TableContents"/>
              <w:spacing w:before="0" w:after="0"/>
              <w:ind w:left="360" w:right="0" w:hanging="0"/>
              <w:jc w:val="right"/>
              <w:rPr>
                <w:rFonts w:ascii="times new roman" w:hAnsi="times new roman"/>
                <w:sz w:val="20"/>
              </w:rPr>
            </w:pPr>
            <w:r>
              <w:rPr>
                <w:rFonts w:ascii="times new roman" w:hAnsi="times new roman"/>
                <w:sz w:val="20"/>
              </w:rPr>
              <w:t>90,685</w:t>
            </w:r>
          </w:p>
        </w:tc>
        <w:tc>
          <w:tcPr>
            <w:tcW w:w="753" w:type="dxa"/>
            <w:tcBorders/>
            <w:shd w:fill="auto" w:val="clear"/>
            <w:vAlign w:val="bottom"/>
          </w:tcPr>
          <w:p>
            <w:pPr>
              <w:pStyle w:val="TableContents"/>
              <w:spacing w:before="0" w:after="0"/>
              <w:ind w:left="360" w:right="0" w:hanging="0"/>
              <w:jc w:val="right"/>
              <w:rPr>
                <w:rFonts w:ascii="times new roman" w:hAnsi="times new roman"/>
                <w:sz w:val="20"/>
              </w:rPr>
            </w:pPr>
            <w:r>
              <w:rPr>
                <w:rFonts w:ascii="times new roman" w:hAnsi="times new roman"/>
                <w:sz w:val="20"/>
              </w:rPr>
              <w:t>89,468</w:t>
            </w:r>
          </w:p>
        </w:tc>
      </w:tr>
      <w:tr>
        <w:trPr/>
        <w:tc>
          <w:tcPr>
            <w:tcW w:w="28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Effect of potential common stock</w:t>
            </w:r>
          </w:p>
        </w:tc>
        <w:tc>
          <w:tcPr>
            <w:tcW w:w="752" w:type="dxa"/>
            <w:tcBorders/>
            <w:shd w:fill="auto" w:val="clear"/>
          </w:tcPr>
          <w:p>
            <w:pPr>
              <w:pStyle w:val="TableContents"/>
              <w:spacing w:before="0" w:after="283"/>
              <w:rPr/>
            </w:pPr>
            <w:r>
              <w:rPr/>
              <w:t xml:space="preserve">  </w:t>
            </w:r>
          </w:p>
        </w:tc>
        <w:tc>
          <w:tcPr>
            <w:tcW w:w="753" w:type="dxa"/>
            <w:tcBorders/>
            <w:shd w:fill="auto" w:val="clear"/>
          </w:tcPr>
          <w:p>
            <w:pPr>
              <w:pStyle w:val="TableContents"/>
              <w:spacing w:before="0" w:after="283"/>
              <w:rPr/>
            </w:pPr>
            <w:r>
              <w:rPr/>
              <w:t xml:space="preserve">  </w:t>
            </w:r>
          </w:p>
        </w:tc>
        <w:tc>
          <w:tcPr>
            <w:tcW w:w="753" w:type="dxa"/>
            <w:tcBorders/>
            <w:shd w:fill="auto" w:val="clear"/>
          </w:tcPr>
          <w:p>
            <w:pPr>
              <w:pStyle w:val="TableContents"/>
              <w:spacing w:before="0" w:after="283"/>
              <w:rPr/>
            </w:pPr>
            <w:r>
              <w:rPr/>
              <w:t xml:space="preserve">  </w:t>
            </w:r>
          </w:p>
        </w:tc>
      </w:tr>
      <w:tr>
        <w:trPr/>
        <w:tc>
          <w:tcPr>
            <w:tcW w:w="2844" w:type="dxa"/>
            <w:tcBorders/>
            <w:shd w:fill="auto" w:val="clear"/>
          </w:tcPr>
          <w:p>
            <w:pPr>
              <w:pStyle w:val="TableContents"/>
              <w:spacing w:before="0" w:after="0"/>
              <w:ind w:left="360" w:right="0" w:hanging="0"/>
              <w:jc w:val="both"/>
              <w:rPr>
                <w:rFonts w:ascii="times new roman" w:hAnsi="times new roman"/>
                <w:sz w:val="20"/>
              </w:rPr>
            </w:pPr>
            <w:r>
              <w:rPr>
                <w:rFonts w:ascii="times new roman" w:hAnsi="times new roman"/>
                <w:sz w:val="20"/>
              </w:rPr>
              <w:t>Common stock awards</w:t>
            </w:r>
          </w:p>
        </w:tc>
        <w:tc>
          <w:tcPr>
            <w:tcW w:w="752" w:type="dxa"/>
            <w:tcBorders/>
            <w:shd w:fill="auto" w:val="clear"/>
          </w:tcPr>
          <w:p>
            <w:pPr>
              <w:pStyle w:val="TableContents"/>
              <w:spacing w:before="0" w:after="0"/>
              <w:ind w:left="360" w:right="0" w:hanging="0"/>
              <w:jc w:val="right"/>
              <w:rPr>
                <w:rFonts w:ascii="times new roman" w:hAnsi="times new roman"/>
                <w:sz w:val="20"/>
              </w:rPr>
            </w:pPr>
            <w:r>
              <w:rPr>
                <w:rFonts w:ascii="times new roman" w:hAnsi="times new roman"/>
                <w:sz w:val="20"/>
              </w:rPr>
              <w:t>1,009</w:t>
            </w:r>
          </w:p>
        </w:tc>
        <w:tc>
          <w:tcPr>
            <w:tcW w:w="753" w:type="dxa"/>
            <w:tcBorders/>
            <w:shd w:fill="auto" w:val="clear"/>
          </w:tcPr>
          <w:p>
            <w:pPr>
              <w:pStyle w:val="TableContents"/>
              <w:spacing w:before="0" w:after="0"/>
              <w:ind w:left="360" w:right="0" w:hanging="0"/>
              <w:jc w:val="right"/>
              <w:rPr>
                <w:rFonts w:ascii="times new roman" w:hAnsi="times new roman"/>
                <w:sz w:val="20"/>
              </w:rPr>
            </w:pPr>
            <w:r>
              <w:rPr>
                <w:rFonts w:ascii="times new roman" w:hAnsi="times new roman"/>
                <w:sz w:val="20"/>
              </w:rPr>
              <w:t>853</w:t>
            </w:r>
          </w:p>
        </w:tc>
        <w:tc>
          <w:tcPr>
            <w:tcW w:w="753" w:type="dxa"/>
            <w:tcBorders/>
            <w:shd w:fill="auto" w:val="clear"/>
          </w:tcPr>
          <w:p>
            <w:pPr>
              <w:pStyle w:val="TableContents"/>
              <w:spacing w:before="0" w:after="0"/>
              <w:ind w:left="360" w:right="0" w:hanging="0"/>
              <w:jc w:val="right"/>
              <w:rPr>
                <w:rFonts w:ascii="times new roman" w:hAnsi="times new roman"/>
                <w:sz w:val="20"/>
              </w:rPr>
            </w:pPr>
            <w:r>
              <w:rPr>
                <w:rFonts w:ascii="times new roman" w:hAnsi="times new roman"/>
                <w:sz w:val="20"/>
              </w:rPr>
              <w:t>1,155</w:t>
            </w:r>
          </w:p>
        </w:tc>
      </w:tr>
      <w:tr>
        <w:trPr/>
        <w:tc>
          <w:tcPr>
            <w:tcW w:w="2844" w:type="dxa"/>
            <w:tcBorders/>
            <w:shd w:fill="auto" w:val="clear"/>
          </w:tcPr>
          <w:p>
            <w:pPr>
              <w:pStyle w:val="TableContents"/>
              <w:spacing w:before="0" w:after="0"/>
              <w:ind w:left="360" w:right="0" w:hanging="0"/>
              <w:jc w:val="both"/>
              <w:rPr>
                <w:rFonts w:ascii="times new roman" w:hAnsi="times new roman"/>
                <w:sz w:val="20"/>
              </w:rPr>
            </w:pPr>
            <w:r>
              <w:rPr>
                <w:rFonts w:ascii="times new roman" w:hAnsi="times new roman"/>
                <w:sz w:val="20"/>
              </w:rPr>
              <w:t>Senior subordinated convertible notes</w:t>
            </w:r>
          </w:p>
        </w:tc>
        <w:tc>
          <w:tcPr>
            <w:tcW w:w="752" w:type="dxa"/>
            <w:tcBorders>
              <w:bottom w:val="single" w:sz="12" w:space="0" w:color="000000"/>
            </w:tcBorders>
            <w:shd w:fill="auto" w:val="clear"/>
            <w:tcMar>
              <w:bottom w:w="28" w:type="dxa"/>
            </w:tcMar>
          </w:tcPr>
          <w:p>
            <w:pPr>
              <w:pStyle w:val="TableContents"/>
              <w:spacing w:before="0" w:after="0"/>
              <w:ind w:left="360" w:right="0" w:hanging="0"/>
              <w:jc w:val="right"/>
              <w:rPr>
                <w:rFonts w:ascii="times new roman" w:hAnsi="times new roman"/>
                <w:sz w:val="20"/>
              </w:rPr>
            </w:pPr>
            <w:r>
              <w:rPr>
                <w:rFonts w:ascii="times new roman" w:hAnsi="times new roman"/>
                <w:sz w:val="20"/>
              </w:rPr>
              <w:t>1,402</w:t>
            </w:r>
          </w:p>
        </w:tc>
        <w:tc>
          <w:tcPr>
            <w:tcW w:w="753" w:type="dxa"/>
            <w:tcBorders>
              <w:bottom w:val="single" w:sz="12" w:space="0" w:color="000000"/>
            </w:tcBorders>
            <w:shd w:fill="auto" w:val="clear"/>
            <w:tcMar>
              <w:bottom w:w="28" w:type="dxa"/>
            </w:tcMar>
          </w:tcPr>
          <w:p>
            <w:pPr>
              <w:pStyle w:val="TableContents"/>
              <w:spacing w:before="0" w:after="0"/>
              <w:ind w:left="360" w:right="0" w:hanging="0"/>
              <w:jc w:val="right"/>
              <w:rPr>
                <w:rFonts w:ascii="times new roman" w:hAnsi="times new roman"/>
                <w:sz w:val="20"/>
              </w:rPr>
            </w:pPr>
            <w:r>
              <w:rPr>
                <w:rFonts w:ascii="times new roman" w:hAnsi="times new roman"/>
                <w:sz w:val="20"/>
              </w:rPr>
              <w:t>1,282</w:t>
            </w:r>
          </w:p>
        </w:tc>
        <w:tc>
          <w:tcPr>
            <w:tcW w:w="753" w:type="dxa"/>
            <w:tcBorders>
              <w:bottom w:val="single" w:sz="12" w:space="0" w:color="000000"/>
            </w:tcBorders>
            <w:shd w:fill="auto" w:val="clear"/>
            <w:tcMar>
              <w:bottom w:w="28" w:type="dxa"/>
            </w:tcMar>
          </w:tcPr>
          <w:p>
            <w:pPr>
              <w:pStyle w:val="TableContents"/>
              <w:spacing w:before="0" w:after="0"/>
              <w:ind w:left="360" w:right="0" w:hanging="0"/>
              <w:jc w:val="right"/>
              <w:rPr>
                <w:rFonts w:ascii="times new roman" w:hAnsi="times new roman"/>
                <w:sz w:val="20"/>
              </w:rPr>
            </w:pPr>
            <w:r>
              <w:rPr>
                <w:rFonts w:ascii="times new roman" w:hAnsi="times new roman"/>
                <w:sz w:val="20"/>
              </w:rPr>
              <w:t>3,076</w:t>
            </w:r>
          </w:p>
        </w:tc>
      </w:tr>
      <w:tr>
        <w:trPr/>
        <w:tc>
          <w:tcPr>
            <w:tcW w:w="28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Diluted shares outstanding</w:t>
            </w:r>
          </w:p>
        </w:tc>
        <w:tc>
          <w:tcPr>
            <w:tcW w:w="752" w:type="dxa"/>
            <w:tcBorders>
              <w:bottom w:val="double" w:sz="8" w:space="0" w:color="000000"/>
            </w:tcBorders>
            <w:shd w:fill="auto" w:val="clear"/>
            <w:tcMar>
              <w:bottom w:w="28" w:type="dxa"/>
            </w:tcMar>
          </w:tcPr>
          <w:p>
            <w:pPr>
              <w:pStyle w:val="TableContents"/>
              <w:spacing w:before="0" w:after="0"/>
              <w:ind w:left="360" w:right="0" w:hanging="0"/>
              <w:jc w:val="right"/>
              <w:rPr>
                <w:rFonts w:ascii="times new roman" w:hAnsi="times new roman"/>
                <w:sz w:val="20"/>
              </w:rPr>
            </w:pPr>
            <w:r>
              <w:rPr>
                <w:rFonts w:ascii="times new roman" w:hAnsi="times new roman"/>
                <w:sz w:val="20"/>
              </w:rPr>
              <w:t>96,653</w:t>
            </w:r>
          </w:p>
        </w:tc>
        <w:tc>
          <w:tcPr>
            <w:tcW w:w="753" w:type="dxa"/>
            <w:tcBorders>
              <w:bottom w:val="double" w:sz="8" w:space="0" w:color="000000"/>
            </w:tcBorders>
            <w:shd w:fill="auto" w:val="clear"/>
            <w:tcMar>
              <w:bottom w:w="28" w:type="dxa"/>
            </w:tcMar>
          </w:tcPr>
          <w:p>
            <w:pPr>
              <w:pStyle w:val="TableContents"/>
              <w:spacing w:before="0" w:after="0"/>
              <w:ind w:left="360" w:right="0" w:hanging="0"/>
              <w:jc w:val="right"/>
              <w:rPr>
                <w:rFonts w:ascii="times new roman" w:hAnsi="times new roman"/>
                <w:sz w:val="20"/>
              </w:rPr>
            </w:pPr>
            <w:r>
              <w:rPr>
                <w:rFonts w:ascii="times new roman" w:hAnsi="times new roman"/>
                <w:sz w:val="20"/>
              </w:rPr>
              <w:t>92,820</w:t>
            </w:r>
          </w:p>
        </w:tc>
        <w:tc>
          <w:tcPr>
            <w:tcW w:w="753" w:type="dxa"/>
            <w:tcBorders>
              <w:bottom w:val="double" w:sz="8" w:space="0" w:color="000000"/>
            </w:tcBorders>
            <w:shd w:fill="auto" w:val="clear"/>
            <w:tcMar>
              <w:bottom w:w="28" w:type="dxa"/>
            </w:tcMar>
          </w:tcPr>
          <w:p>
            <w:pPr>
              <w:pStyle w:val="TableContents"/>
              <w:spacing w:before="0" w:after="0"/>
              <w:ind w:left="360" w:right="0" w:hanging="0"/>
              <w:jc w:val="right"/>
              <w:rPr>
                <w:rFonts w:ascii="times new roman" w:hAnsi="times new roman"/>
                <w:sz w:val="20"/>
              </w:rPr>
            </w:pPr>
            <w:r>
              <w:rPr>
                <w:rFonts w:ascii="times new roman" w:hAnsi="times new roman"/>
                <w:sz w:val="20"/>
              </w:rPr>
              <w:t>93,699</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As of and for the years ended December 31, 2010, 2009 and 2008, there were 1,143,000, 2,125,000 and 190,000 outstanding stock options, respectively, that were not included in the determination of diluted earnings per share because doing so would have been antidilutive.</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Estimates</w:t>
      </w:r>
      <w:r>
        <w:rPr>
          <w:rFonts w:ascii="Times New Roman" w:hAnsi="Times New Roman"/>
          <w:sz w:val="20"/>
        </w:rPr>
        <w:t xml:space="preserve"> – The preparation of financial statements in conformity with accounting principles generally accepted in the United States requires management to make estimates and assumptions that affect the reported amounts of assets and liabilities and the disclosure of contingent assets and liabilities. Actual results could differ from those estimates.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Foreign Currency Translation</w:t>
      </w:r>
      <w:r>
        <w:rPr>
          <w:rFonts w:ascii="Times New Roman" w:hAnsi="Times New Roman"/>
          <w:sz w:val="20"/>
        </w:rPr>
        <w:t xml:space="preserve"> - Assets and liabilities of subsidiaries whose functional currency is not the U.S. dollar were translated at the exchange rate in effect at the balance sheet date, and revenues and expenses were translated at average exchange rates for the period in which those entities were included in Roper’s financial results. Translation adjustments are reflected as a component of other comprehensive earnings.</w:t>
      </w:r>
    </w:p>
    <w:p>
      <w:pPr>
        <w:pStyle w:val="TextBody"/>
        <w:spacing w:before="0" w:after="0"/>
        <w:ind w:left="360" w:right="0" w:hanging="0"/>
        <w:jc w:val="both"/>
        <w:rPr/>
      </w:pPr>
      <w:r>
        <w:rPr/>
        <w:t> </w:t>
      </w:r>
      <w:r>
        <w:rPr/>
        <w:br/>
        <w:t> </w:t>
      </w:r>
    </w:p>
    <w:p>
      <w:pPr>
        <w:pStyle w:val="TextBody"/>
        <w:spacing w:before="0" w:after="0"/>
        <w:ind w:left="360" w:right="0" w:hanging="0"/>
        <w:jc w:val="both"/>
        <w:rPr>
          <w:rFonts w:ascii="Times New Roman" w:hAnsi="Times New Roman"/>
          <w:sz w:val="20"/>
        </w:rPr>
      </w:pPr>
      <w:r>
        <w:rPr>
          <w:rFonts w:ascii="Times New Roman" w:hAnsi="Times New Roman"/>
          <w:sz w:val="20"/>
          <w:u w:val="single"/>
        </w:rPr>
        <w:t>Goodwill and Other Intangibles</w:t>
      </w:r>
      <w:r>
        <w:rPr>
          <w:rFonts w:ascii="Times New Roman" w:hAnsi="Times New Roman"/>
          <w:sz w:val="20"/>
        </w:rPr>
        <w:t xml:space="preserve"> – Roper accounts for goodwill in a purchase business combination as the excess of the cost over the fair value of net assets acquired. Business combinations can also result in other intangible assets being recognized. Amortization of intangible assets, if applicable, occurs over their estimated useful lives. Goodwill, which is not amortized, is tested for impairment using a two-step method on an annual basis (or an interim basis if an event occurs that might reduce the fair value of a reporting unit below its carrying value). Total goodwill includes 25 different business components with individual amounts ranging from zero to approximately $536 million. Identifiable intangible assets that are determined to have an indefinite useful ec onomic life are not amortized, but separately tested for impairment annually using a one-step fair value based approach. Roper conducts these reviews for all of its reporting units during the fourth quarter of the fiscal year. No impairment resulted from the annual reviews performed in 2010.</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Impairment of Long-Lived Assets</w:t>
      </w:r>
      <w:r>
        <w:rPr>
          <w:rFonts w:ascii="Times New Roman" w:hAnsi="Times New Roman"/>
          <w:sz w:val="20"/>
        </w:rPr>
        <w:t xml:space="preserve"> – The Company determines whether there has been an impairment of long-lived assets, excluding goodwill and identifiable intangible assets that are determined to have indefinite useful economic lives, when certain indicators of impairment are present. In the event that facts and circumstances indicate that the cost of any long-lived assets may be impaired, an evaluation of recoverability would be performed. If an evaluation is required, the estimated future gross, undiscounted cash flows associated with the asset would be compared to the asset’s carrying amount to determine if a write-down to market value is required. Future adverse changes in market conditions or poor operating results of underlying long-lived assets could resu lt in losses or an inability to recover the carrying value of the long-lived assets that may not be reflected in the assets’ current carrying value, thereby possibly requiring an impairment charge in the future.</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Income Taxes</w:t>
      </w:r>
      <w:r>
        <w:rPr>
          <w:rFonts w:ascii="Times New Roman" w:hAnsi="Times New Roman"/>
          <w:sz w:val="20"/>
        </w:rPr>
        <w:t xml:space="preserve"> – Roper is a U.S.-based multinational company and the calculation of its worldwide provision for income taxes requires analysis of many factors, including income tax systems that vary from country to country, and the United States’ treatment of non-U.S. earnings. The Company provides U.S. income taxes for unremitted earnings of foreign subsidiaries that are not considered permanently reinvested overseas. As of December 31, 2010, the approximate amount of earnings of foreign subsidiaries that the Company considers permanently reinvested and for which deferred taxes have not been provided was approximately $616 million. Because of the availability of U.S. foreign tax credits, it is not practicable to determine the U.S. federal income tax liability that would be payable if such earnings were not reinvested indefinitely.</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Certain assets and liabilities have different bases for financial reporting and income tax purposes. Deferred income taxes have been provided for these differences.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Interest Rate Risk</w:t>
      </w:r>
      <w:r>
        <w:rPr>
          <w:rFonts w:ascii="Times New Roman" w:hAnsi="Times New Roman"/>
          <w:sz w:val="20"/>
        </w:rPr>
        <w:t xml:space="preserve"> – The Company manages interest rate risk by maintaining a combination of fixed and variable rate debt, which may include interest rate swaps to convert fixed rate debt to variable rate debt, or to convert variable rate debt to fixed rate debt.  Interest rate swaps are recorded at fair value in the balance sheet as an asset or liability, and the changes in fair values of both the swap and the hedged item are recorded as interest expense in current earnings.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Inventories</w:t>
      </w:r>
      <w:r>
        <w:rPr>
          <w:rFonts w:ascii="Times New Roman" w:hAnsi="Times New Roman"/>
          <w:sz w:val="20"/>
        </w:rPr>
        <w:t xml:space="preserve"> - Inventories are valued at the lower of cost or market. Cost is determined using the first-in, first-out method. The Company writes down its inventory for estimated obsolescence or excess inventory equal to the difference between the cost of inventory and the estimated market value based upon assumptions about future demand and market conditions.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Other Comprehensive Earnings</w:t>
      </w:r>
      <w:r>
        <w:rPr>
          <w:rFonts w:ascii="Times New Roman" w:hAnsi="Times New Roman"/>
          <w:sz w:val="20"/>
        </w:rPr>
        <w:t xml:space="preserve"> – Comprehensive earnings includes net earnings and all other non-owner sources of changes in a company’s net assets. The differences between net earnings and comprehensive earnings were currency translation adjustments, net of tax.</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Property, Plant and Equipment and Depreciation and Amortization</w:t>
      </w:r>
      <w:r>
        <w:rPr>
          <w:rFonts w:ascii="Times New Roman" w:hAnsi="Times New Roman"/>
          <w:sz w:val="20"/>
        </w:rPr>
        <w:t xml:space="preserve"> - Property, plant and equipment is stated at cost less accumulated depreciation and amortization. Depreciation and amortization are provided for using principally the straight-line method over the estimated useful lives of the assets as follows:</w:t>
      </w:r>
    </w:p>
    <w:p>
      <w:pPr>
        <w:pStyle w:val="TextBody"/>
        <w:spacing w:before="0" w:after="0"/>
        <w:ind w:left="0" w:right="0" w:hanging="0"/>
        <w:rPr/>
      </w:pPr>
      <w:r>
        <w:rPr/>
      </w:r>
    </w:p>
    <w:tbl>
      <w:tblPr>
        <w:tblW w:w="2500" w:type="pct"/>
        <w:jc w:val="center"/>
        <w:tblInd w:w="0" w:type="dxa"/>
        <w:tblCellMar>
          <w:top w:w="0" w:type="dxa"/>
          <w:left w:w="0" w:type="dxa"/>
          <w:bottom w:w="0" w:type="dxa"/>
          <w:right w:w="0" w:type="dxa"/>
        </w:tblCellMar>
      </w:tblPr>
      <w:tblGrid>
        <w:gridCol w:w="2891"/>
        <w:gridCol w:w="2211"/>
      </w:tblGrid>
      <w:tr>
        <w:trPr/>
        <w:tc>
          <w:tcPr>
            <w:tcW w:w="28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Buildings</w:t>
            </w:r>
          </w:p>
        </w:tc>
        <w:tc>
          <w:tcPr>
            <w:tcW w:w="2211"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20-30 years</w:t>
            </w:r>
          </w:p>
        </w:tc>
      </w:tr>
      <w:tr>
        <w:trPr/>
        <w:tc>
          <w:tcPr>
            <w:tcW w:w="28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Machinery</w:t>
            </w:r>
          </w:p>
        </w:tc>
        <w:tc>
          <w:tcPr>
            <w:tcW w:w="2211"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8-12 years</w:t>
            </w:r>
          </w:p>
        </w:tc>
      </w:tr>
      <w:tr>
        <w:trPr/>
        <w:tc>
          <w:tcPr>
            <w:tcW w:w="28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Other equipment</w:t>
            </w:r>
          </w:p>
        </w:tc>
        <w:tc>
          <w:tcPr>
            <w:tcW w:w="2211"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3-5 years</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Capitalized Software</w:t>
      </w:r>
      <w:r>
        <w:rPr>
          <w:rFonts w:ascii="Times New Roman" w:hAnsi="Times New Roman"/>
          <w:sz w:val="20"/>
        </w:rPr>
        <w:t xml:space="preserve"> – The Company accounts for capitalized software under applicable accounting guidance which, among other provisions, requires capitalization of certain internal-use software costs once certain criteria are met.  Overhead, general and administrative and training costs are not capitalized. Capitalized software was $17.3 million and $16.0 million at December 31, 2010 and 2009, respectively.</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Research and Development</w:t>
      </w:r>
      <w:r>
        <w:rPr>
          <w:rFonts w:ascii="Times New Roman" w:hAnsi="Times New Roman"/>
          <w:sz w:val="20"/>
        </w:rPr>
        <w:t xml:space="preserve"> - Research and development costs include salaries and benefits, rents, supplies, and other costs related to products under development. Research and development costs are expensed in the period incurred and totaled $102.4 million, $83.4 million and $87.4 million for the years ended December 31, 2010, 2009 and 2008, respectively.</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Revenue Recognition and Product Warranties</w:t>
      </w:r>
      <w:r>
        <w:rPr>
          <w:rFonts w:ascii="Times New Roman" w:hAnsi="Times New Roman"/>
          <w:sz w:val="20"/>
        </w:rPr>
        <w:t xml:space="preserve"> – The Company recognizes revenue when all of the following criteria are met:</w:t>
      </w:r>
    </w:p>
    <w:p>
      <w:pPr>
        <w:pStyle w:val="TextBody"/>
        <w:spacing w:before="0" w:after="0"/>
        <w:ind w:left="360" w:right="0" w:hanging="0"/>
        <w:jc w:val="both"/>
        <w:rPr/>
      </w:pPr>
      <w:r>
        <w:rPr/>
        <w:t> </w:t>
      </w:r>
    </w:p>
    <w:p>
      <w:pPr>
        <w:pStyle w:val="Normal"/>
        <w:spacing w:before="0" w:after="0"/>
        <w:rPr>
          <w:sz w:val="4"/>
          <w:szCs w:val="4"/>
        </w:rPr>
      </w:pPr>
      <w:r>
        <w:rPr>
          <w:sz w:val="4"/>
          <w:szCs w:val="4"/>
        </w:rPr>
      </w:r>
      <w:bookmarkStart w:id="231" w:name="list35"/>
      <w:bookmarkStart w:id="232" w:name="list35"/>
      <w:bookmarkEnd w:id="232"/>
    </w:p>
    <w:tbl>
      <w:tblPr>
        <w:tblW w:w="5000" w:type="pct"/>
        <w:jc w:val="left"/>
        <w:tblInd w:w="0" w:type="dxa"/>
        <w:tblCellMar>
          <w:top w:w="0" w:type="dxa"/>
          <w:left w:w="0" w:type="dxa"/>
          <w:bottom w:w="0" w:type="dxa"/>
          <w:right w:w="0" w:type="dxa"/>
        </w:tblCellMar>
      </w:tblPr>
      <w:tblGrid>
        <w:gridCol w:w="1022"/>
        <w:gridCol w:w="9183"/>
      </w:tblGrid>
      <w:tr>
        <w:trPr/>
        <w:tc>
          <w:tcPr>
            <w:tcW w:w="102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persuasive evidence of an arrangement exists</w:t>
            </w:r>
          </w:p>
        </w:tc>
      </w:tr>
    </w:tbl>
    <w:p>
      <w:pPr>
        <w:pStyle w:val="Normal"/>
        <w:spacing w:before="0" w:after="0"/>
        <w:rPr>
          <w:sz w:val="4"/>
          <w:szCs w:val="4"/>
        </w:rPr>
      </w:pPr>
      <w:r>
        <w:rPr>
          <w:sz w:val="4"/>
          <w:szCs w:val="4"/>
        </w:rPr>
      </w:r>
      <w:bookmarkStart w:id="233" w:name="list36"/>
      <w:bookmarkStart w:id="234" w:name="list36"/>
      <w:bookmarkEnd w:id="234"/>
    </w:p>
    <w:tbl>
      <w:tblPr>
        <w:tblW w:w="5000" w:type="pct"/>
        <w:jc w:val="left"/>
        <w:tblInd w:w="0" w:type="dxa"/>
        <w:tblCellMar>
          <w:top w:w="0" w:type="dxa"/>
          <w:left w:w="0" w:type="dxa"/>
          <w:bottom w:w="0" w:type="dxa"/>
          <w:right w:w="0" w:type="dxa"/>
        </w:tblCellMar>
      </w:tblPr>
      <w:tblGrid>
        <w:gridCol w:w="889"/>
        <w:gridCol w:w="9316"/>
      </w:tblGrid>
      <w:tr>
        <w:trPr/>
        <w:tc>
          <w:tcPr>
            <w:tcW w:w="88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delivery has occurred or services have been rendered</w:t>
            </w:r>
          </w:p>
        </w:tc>
      </w:tr>
    </w:tbl>
    <w:p>
      <w:pPr>
        <w:pStyle w:val="Normal"/>
        <w:spacing w:before="0" w:after="0"/>
        <w:rPr>
          <w:sz w:val="4"/>
          <w:szCs w:val="4"/>
        </w:rPr>
      </w:pPr>
      <w:r>
        <w:rPr>
          <w:sz w:val="4"/>
          <w:szCs w:val="4"/>
        </w:rPr>
      </w:r>
      <w:bookmarkStart w:id="235" w:name="list37"/>
      <w:bookmarkStart w:id="236" w:name="list37"/>
      <w:bookmarkEnd w:id="236"/>
    </w:p>
    <w:tbl>
      <w:tblPr>
        <w:tblW w:w="5000" w:type="pct"/>
        <w:jc w:val="left"/>
        <w:tblInd w:w="0" w:type="dxa"/>
        <w:tblCellMar>
          <w:top w:w="0" w:type="dxa"/>
          <w:left w:w="0" w:type="dxa"/>
          <w:bottom w:w="0" w:type="dxa"/>
          <w:right w:w="0" w:type="dxa"/>
        </w:tblCellMar>
      </w:tblPr>
      <w:tblGrid>
        <w:gridCol w:w="813"/>
        <w:gridCol w:w="9392"/>
      </w:tblGrid>
      <w:tr>
        <w:trPr/>
        <w:tc>
          <w:tcPr>
            <w:tcW w:w="81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seller’s price to the buyer is fixed or determinable, and</w:t>
            </w:r>
          </w:p>
        </w:tc>
      </w:tr>
    </w:tbl>
    <w:p>
      <w:pPr>
        <w:pStyle w:val="Normal"/>
        <w:spacing w:before="0" w:after="0"/>
        <w:rPr>
          <w:sz w:val="4"/>
          <w:szCs w:val="4"/>
        </w:rPr>
      </w:pPr>
      <w:r>
        <w:rPr>
          <w:sz w:val="4"/>
          <w:szCs w:val="4"/>
        </w:rPr>
      </w:r>
      <w:bookmarkStart w:id="237" w:name="list38"/>
      <w:bookmarkStart w:id="238" w:name="list38"/>
      <w:bookmarkEnd w:id="238"/>
    </w:p>
    <w:tbl>
      <w:tblPr>
        <w:tblW w:w="5000" w:type="pct"/>
        <w:jc w:val="left"/>
        <w:tblInd w:w="0" w:type="dxa"/>
        <w:tblCellMar>
          <w:top w:w="0" w:type="dxa"/>
          <w:left w:w="0" w:type="dxa"/>
          <w:bottom w:w="0" w:type="dxa"/>
          <w:right w:w="0" w:type="dxa"/>
        </w:tblCellMar>
      </w:tblPr>
      <w:tblGrid>
        <w:gridCol w:w="1263"/>
        <w:gridCol w:w="8942"/>
      </w:tblGrid>
      <w:tr>
        <w:trPr/>
        <w:tc>
          <w:tcPr>
            <w:tcW w:w="126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collectibility is reasonably assured.</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In addition, the Company recognizes revenue from the sale of product when title and risk of loss pass to the customer, which is generally when product is shipped. The Company recognizes revenue from services when such services are rendered or, if applicable, upon customer acceptance. Revenues under certain relatively long-term and relatively large-value construction projects are recognized under the percentage-of-completion method using the ratio of costs incurred to total estimated costs as the measure of performance. The Company recognized revenues of approximately $131.0 million, $142.5 million and $127.9 million for the years ended December 31, 2010, 2009 and 2008, respectively, using this method. Estimated losses on any projects are recognized as soon as such losses become known.</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Company sells certain of its products to customers with a product warranty that allows customers to return a defective product during a specified warranty period following the purchase in exchange for a replacement product, repair at no cost to the customer or the issuance of a credit to the customer. The Company accrues its estimated exposure to warranty claims based upon current and historical product sales data, warranty costs incurred and any other related information known to the Company.</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Stock-Based Compensation</w:t>
      </w:r>
      <w:r>
        <w:rPr>
          <w:rFonts w:ascii="Times New Roman" w:hAnsi="Times New Roman"/>
          <w:sz w:val="20"/>
        </w:rPr>
        <w:t xml:space="preserve"> – The Company recognizes expense for the grant date fair value of its employee stock option awards on a straight-line basis over the employee’s requisite service period (generally the vesting period of the award).  The fair value of its option awards is estimated using the Black-Scholes option valuation model and recognizes the expense of all share-based awards.  The Company presents the cash flows resulting from the tax benefits arising from tax deductions in excess of the compensation cost recognized for stock award exercises (excess tax benefits) as financing cash flows.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u w:val="single"/>
        </w:rPr>
        <w:t>Recently Released Accounting Pronouncements</w:t>
      </w:r>
      <w:r>
        <w:rPr>
          <w:rFonts w:ascii="Times New Roman" w:hAnsi="Times New Roman"/>
          <w:sz w:val="20"/>
        </w:rPr>
        <w:t xml:space="preserve"> - In October 2009, the FASB issued amendments to the accounting and disclosure for revenue recognition. These amendments, effective for fiscal years beginning on or after June 15, 2010 (early adoption is permitted), modify the criteria for recognizing revenue in multiple element arrangements and the scope of what constitutes a non-software </w:t>
      </w:r>
      <w:bookmarkStart w:id="239" w:name="lastkeyword"/>
      <w:bookmarkEnd w:id="239"/>
      <w:r>
        <w:rPr>
          <w:rFonts w:ascii="Times New Roman" w:hAnsi="Times New Roman"/>
          <w:sz w:val="20"/>
        </w:rPr>
        <w:t>deliverable.  The Company implemented the amendments on January 1, 2011, and expects that the impact on its results of operations, financial condition and cash flows will be immaterial.</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In September 2009, the FASB issued guidance on the measurement of liabilities at fair value, effective as of the beginning of the next interim or annual reporting period after issuance.  The adoption of this guidance did not have an impact on Roper’s results of operations, financial condition or cash flows.</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240" w:name="list39"/>
      <w:bookmarkStart w:id="241" w:name="list39"/>
      <w:bookmarkEnd w:id="241"/>
    </w:p>
    <w:tbl>
      <w:tblPr>
        <w:tblW w:w="5000" w:type="pct"/>
        <w:jc w:val="left"/>
        <w:tblInd w:w="0" w:type="dxa"/>
        <w:tblCellMar>
          <w:top w:w="0" w:type="dxa"/>
          <w:left w:w="0" w:type="dxa"/>
          <w:bottom w:w="0" w:type="dxa"/>
          <w:right w:w="0" w:type="dxa"/>
        </w:tblCellMar>
      </w:tblPr>
      <w:tblGrid>
        <w:gridCol w:w="1634"/>
        <w:gridCol w:w="8571"/>
      </w:tblGrid>
      <w:tr>
        <w:trPr/>
        <w:tc>
          <w:tcPr>
            <w:tcW w:w="1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8571"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Business Acquisitions</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i/>
          <w:sz w:val="20"/>
        </w:rPr>
        <w:t>2010 Acquisitions –</w:t>
      </w:r>
      <w:r>
        <w:rPr>
          <w:rFonts w:ascii="Times New Roman" w:hAnsi="Times New Roman"/>
          <w:sz w:val="20"/>
        </w:rPr>
        <w:t xml:space="preserve"> During the year ended December 31, 2010, Roper completed two business combinations.  The results of operations of the acquired companies have been included in Roper’s consolidated results since the date of each acquisition.  Supplemental pro forma information has not been provided as the acquisitions did not have a material impact on Roper’s consolidated results of operations individually or in aggregate.</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aggregate purchase price of 2010 acquisitions totaled $538 million of cash.  The Company recorded approximately $320 million in other identifiable intangibles and $350 million in goodwill, $115 million of which was recorded due to a deferred tax liability related to intangible assets, in connection with these acquisitions.  The majority of the goodwill is not expected to be deductible for tax purposes.  The Company expensed transaction costs of $1.9 million related to these acquisitions.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iTrade Acquisition - The largest of the 2010 acquisitions was the purchase of all outstanding shares of iTradeNetwork, Inc. on July 27, 2010.  iTrade, whose operations are reported in the RF Technology segment, is a global provider of software as a service ("SaaS")-based trading network and business intelligence solutions primarily to the perishable food market. iTrade's principal facilities are located in Pleasanton, California. The aggregate gross purchase price was $523 million of cash.</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Company acquired iTrade in order to complement and expand existing software services at other Roper businesses.  The following table (in thousands) summarizes the fair values of the assets acquired and liabilities assumed at the date of acquisition.</w:t>
      </w:r>
    </w:p>
    <w:p>
      <w:pPr>
        <w:pStyle w:val="TextBody"/>
        <w:spacing w:before="0" w:after="0"/>
        <w:ind w:left="0" w:right="0" w:hanging="0"/>
        <w:rPr/>
      </w:pPr>
      <w:r>
        <w:rPr/>
      </w:r>
    </w:p>
    <w:tbl>
      <w:tblPr>
        <w:tblW w:w="2000" w:type="pct"/>
        <w:jc w:val="center"/>
        <w:tblInd w:w="0" w:type="dxa"/>
        <w:tblCellMar>
          <w:top w:w="0" w:type="dxa"/>
          <w:left w:w="0" w:type="dxa"/>
          <w:bottom w:w="0" w:type="dxa"/>
          <w:right w:w="0" w:type="dxa"/>
        </w:tblCellMar>
      </w:tblPr>
      <w:tblGrid>
        <w:gridCol w:w="2282"/>
        <w:gridCol w:w="251"/>
        <w:gridCol w:w="128"/>
        <w:gridCol w:w="1290"/>
        <w:gridCol w:w="131"/>
      </w:tblGrid>
      <w:tr>
        <w:trPr/>
        <w:tc>
          <w:tcPr>
            <w:tcW w:w="2282" w:type="dxa"/>
            <w:tcBorders/>
            <w:shd w:fill="auto" w:val="clear"/>
            <w:vAlign w:val="bottom"/>
          </w:tcPr>
          <w:p>
            <w:pPr>
              <w:pStyle w:val="TableContents"/>
              <w:spacing w:before="0" w:after="283"/>
              <w:rPr/>
            </w:pPr>
            <w:r>
              <w:rPr/>
              <w:t xml:space="preserve">  </w:t>
            </w:r>
          </w:p>
        </w:tc>
        <w:tc>
          <w:tcPr>
            <w:tcW w:w="251" w:type="dxa"/>
            <w:tcBorders/>
            <w:shd w:fill="auto" w:val="clear"/>
            <w:vAlign w:val="bottom"/>
          </w:tcPr>
          <w:p>
            <w:pPr>
              <w:pStyle w:val="TableContents"/>
              <w:spacing w:before="0" w:after="283"/>
              <w:rPr/>
            </w:pPr>
            <w:r>
              <w:rPr/>
              <w:t xml:space="preserve">  </w:t>
            </w:r>
          </w:p>
        </w:tc>
        <w:tc>
          <w:tcPr>
            <w:tcW w:w="141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July 27, 2010</w:t>
            </w:r>
          </w:p>
        </w:tc>
        <w:tc>
          <w:tcPr>
            <w:tcW w:w="131" w:type="dxa"/>
            <w:tcBorders/>
            <w:shd w:fill="auto" w:val="clear"/>
            <w:vAlign w:val="bottom"/>
          </w:tcPr>
          <w:p>
            <w:pPr>
              <w:pStyle w:val="TableContents"/>
              <w:spacing w:before="0" w:after="283"/>
              <w:rPr/>
            </w:pPr>
            <w:r>
              <w:rPr/>
              <w:t xml:space="preserve">  </w:t>
            </w:r>
          </w:p>
        </w:tc>
      </w:tr>
      <w:tr>
        <w:trPr/>
        <w:tc>
          <w:tcPr>
            <w:tcW w:w="2282"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Current assets</w:t>
            </w:r>
          </w:p>
        </w:tc>
        <w:tc>
          <w:tcPr>
            <w:tcW w:w="251" w:type="dxa"/>
            <w:tcBorders/>
            <w:shd w:fill="auto" w:val="clear"/>
            <w:vAlign w:val="bottom"/>
          </w:tcPr>
          <w:p>
            <w:pPr>
              <w:pStyle w:val="TableContents"/>
              <w:spacing w:before="0" w:after="283"/>
              <w:rPr/>
            </w:pPr>
            <w:r>
              <w:rPr/>
              <w:t xml:space="preserve">  </w:t>
            </w:r>
          </w:p>
        </w:tc>
        <w:tc>
          <w:tcPr>
            <w:tcW w:w="12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9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14,174</w:t>
            </w:r>
          </w:p>
        </w:tc>
        <w:tc>
          <w:tcPr>
            <w:tcW w:w="131" w:type="dxa"/>
            <w:tcBorders/>
            <w:shd w:fill="auto" w:val="clear"/>
            <w:vAlign w:val="bottom"/>
          </w:tcPr>
          <w:p>
            <w:pPr>
              <w:pStyle w:val="TableContents"/>
              <w:spacing w:before="0" w:after="283"/>
              <w:rPr/>
            </w:pPr>
            <w:r>
              <w:rPr/>
              <w:t xml:space="preserve">  </w:t>
            </w:r>
          </w:p>
        </w:tc>
      </w:tr>
      <w:tr>
        <w:trPr/>
        <w:tc>
          <w:tcPr>
            <w:tcW w:w="2282"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Other assets</w:t>
            </w:r>
          </w:p>
        </w:tc>
        <w:tc>
          <w:tcPr>
            <w:tcW w:w="251" w:type="dxa"/>
            <w:tcBorders/>
            <w:shd w:fill="auto" w:val="clear"/>
            <w:vAlign w:val="bottom"/>
          </w:tcPr>
          <w:p>
            <w:pPr>
              <w:pStyle w:val="TableContents"/>
              <w:spacing w:before="0" w:after="283"/>
              <w:rPr/>
            </w:pPr>
            <w:r>
              <w:rPr/>
              <w:t xml:space="preserve">  </w:t>
            </w:r>
          </w:p>
        </w:tc>
        <w:tc>
          <w:tcPr>
            <w:tcW w:w="128" w:type="dxa"/>
            <w:tcBorders/>
            <w:shd w:fill="auto" w:val="clear"/>
            <w:vAlign w:val="bottom"/>
          </w:tcPr>
          <w:p>
            <w:pPr>
              <w:pStyle w:val="TableContents"/>
              <w:spacing w:before="0" w:after="283"/>
              <w:rPr/>
            </w:pPr>
            <w:r>
              <w:rPr/>
              <w:t xml:space="preserve">  </w:t>
            </w:r>
          </w:p>
        </w:tc>
        <w:tc>
          <w:tcPr>
            <w:tcW w:w="129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2,998</w:t>
            </w:r>
          </w:p>
        </w:tc>
        <w:tc>
          <w:tcPr>
            <w:tcW w:w="131" w:type="dxa"/>
            <w:tcBorders/>
            <w:shd w:fill="auto" w:val="clear"/>
            <w:vAlign w:val="bottom"/>
          </w:tcPr>
          <w:p>
            <w:pPr>
              <w:pStyle w:val="TableContents"/>
              <w:spacing w:before="0" w:after="283"/>
              <w:rPr/>
            </w:pPr>
            <w:r>
              <w:rPr/>
              <w:t xml:space="preserve">  </w:t>
            </w:r>
          </w:p>
        </w:tc>
      </w:tr>
      <w:tr>
        <w:trPr/>
        <w:tc>
          <w:tcPr>
            <w:tcW w:w="2282"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Intangible assets</w:t>
            </w:r>
          </w:p>
        </w:tc>
        <w:tc>
          <w:tcPr>
            <w:tcW w:w="251" w:type="dxa"/>
            <w:tcBorders/>
            <w:shd w:fill="auto" w:val="clear"/>
            <w:vAlign w:val="bottom"/>
          </w:tcPr>
          <w:p>
            <w:pPr>
              <w:pStyle w:val="TableContents"/>
              <w:spacing w:before="0" w:after="283"/>
              <w:rPr/>
            </w:pPr>
            <w:r>
              <w:rPr/>
              <w:t xml:space="preserve">  </w:t>
            </w:r>
          </w:p>
        </w:tc>
        <w:tc>
          <w:tcPr>
            <w:tcW w:w="128" w:type="dxa"/>
            <w:tcBorders/>
            <w:shd w:fill="auto" w:val="clear"/>
            <w:vAlign w:val="bottom"/>
          </w:tcPr>
          <w:p>
            <w:pPr>
              <w:pStyle w:val="TableContents"/>
              <w:spacing w:before="0" w:after="283"/>
              <w:rPr/>
            </w:pPr>
            <w:r>
              <w:rPr/>
              <w:t xml:space="preserve">  </w:t>
            </w:r>
          </w:p>
        </w:tc>
        <w:tc>
          <w:tcPr>
            <w:tcW w:w="129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313,600</w:t>
            </w:r>
          </w:p>
        </w:tc>
        <w:tc>
          <w:tcPr>
            <w:tcW w:w="131" w:type="dxa"/>
            <w:tcBorders/>
            <w:shd w:fill="auto" w:val="clear"/>
            <w:vAlign w:val="bottom"/>
          </w:tcPr>
          <w:p>
            <w:pPr>
              <w:pStyle w:val="TableContents"/>
              <w:spacing w:before="0" w:after="283"/>
              <w:rPr/>
            </w:pPr>
            <w:r>
              <w:rPr/>
              <w:t xml:space="preserve">  </w:t>
            </w:r>
          </w:p>
        </w:tc>
      </w:tr>
      <w:tr>
        <w:trPr/>
        <w:tc>
          <w:tcPr>
            <w:tcW w:w="2282"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Goodwill</w:t>
            </w:r>
          </w:p>
        </w:tc>
        <w:tc>
          <w:tcPr>
            <w:tcW w:w="251" w:type="dxa"/>
            <w:tcBorders/>
            <w:shd w:fill="auto" w:val="clear"/>
            <w:vAlign w:val="bottom"/>
          </w:tcPr>
          <w:p>
            <w:pPr>
              <w:pStyle w:val="TableContents"/>
              <w:spacing w:before="0" w:after="283"/>
              <w:rPr/>
            </w:pPr>
            <w:r>
              <w:rPr/>
              <w:t xml:space="preserve">  </w:t>
            </w:r>
          </w:p>
        </w:tc>
        <w:tc>
          <w:tcPr>
            <w:tcW w:w="128"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90" w:type="dxa"/>
            <w:tcBorders>
              <w:bottom w:val="single" w:sz="12" w:space="0" w:color="000000"/>
            </w:tcBorders>
            <w:shd w:fill="auto" w:val="clear"/>
            <w:tcMar>
              <w:bottom w:w="28" w:type="dxa"/>
            </w:tcMar>
            <w:vAlign w:val="bottom"/>
          </w:tcPr>
          <w:p>
            <w:pPr>
              <w:pStyle w:val="TableContents"/>
              <w:spacing w:before="0" w:after="0"/>
              <w:ind w:left="0" w:right="0" w:firstLine="360"/>
              <w:jc w:val="right"/>
              <w:rPr>
                <w:rFonts w:ascii="times new roman" w:hAnsi="times new roman"/>
                <w:sz w:val="20"/>
              </w:rPr>
            </w:pPr>
            <w:r>
              <w:rPr>
                <w:rFonts w:ascii="times new roman" w:hAnsi="times new roman"/>
                <w:sz w:val="20"/>
              </w:rPr>
              <w:t>341,243</w:t>
            </w:r>
          </w:p>
        </w:tc>
        <w:tc>
          <w:tcPr>
            <w:tcW w:w="131" w:type="dxa"/>
            <w:tcBorders/>
            <w:shd w:fill="auto" w:val="clear"/>
            <w:vAlign w:val="bottom"/>
          </w:tcPr>
          <w:p>
            <w:pPr>
              <w:pStyle w:val="TableContents"/>
              <w:spacing w:before="0" w:after="283"/>
              <w:rPr/>
            </w:pPr>
            <w:r>
              <w:rPr/>
              <w:t xml:space="preserve">  </w:t>
            </w:r>
          </w:p>
        </w:tc>
      </w:tr>
      <w:tr>
        <w:trPr/>
        <w:tc>
          <w:tcPr>
            <w:tcW w:w="2282"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Total assets acquired</w:t>
            </w:r>
          </w:p>
        </w:tc>
        <w:tc>
          <w:tcPr>
            <w:tcW w:w="251" w:type="dxa"/>
            <w:tcBorders/>
            <w:shd w:fill="auto" w:val="clear"/>
            <w:vAlign w:val="bottom"/>
          </w:tcPr>
          <w:p>
            <w:pPr>
              <w:pStyle w:val="TableContents"/>
              <w:spacing w:before="0" w:after="283"/>
              <w:rPr/>
            </w:pPr>
            <w:r>
              <w:rPr/>
              <w:t xml:space="preserve">  </w:t>
            </w:r>
          </w:p>
        </w:tc>
        <w:tc>
          <w:tcPr>
            <w:tcW w:w="128" w:type="dxa"/>
            <w:tcBorders/>
            <w:shd w:fill="auto" w:val="clear"/>
            <w:vAlign w:val="bottom"/>
          </w:tcPr>
          <w:p>
            <w:pPr>
              <w:pStyle w:val="TableContents"/>
              <w:spacing w:before="0" w:after="283"/>
              <w:rPr/>
            </w:pPr>
            <w:r>
              <w:rPr/>
              <w:t xml:space="preserve">  </w:t>
            </w:r>
          </w:p>
        </w:tc>
        <w:tc>
          <w:tcPr>
            <w:tcW w:w="129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672,015</w:t>
            </w:r>
          </w:p>
        </w:tc>
        <w:tc>
          <w:tcPr>
            <w:tcW w:w="131" w:type="dxa"/>
            <w:tcBorders/>
            <w:shd w:fill="auto" w:val="clear"/>
            <w:vAlign w:val="bottom"/>
          </w:tcPr>
          <w:p>
            <w:pPr>
              <w:pStyle w:val="TableContents"/>
              <w:spacing w:before="0" w:after="283"/>
              <w:rPr/>
            </w:pPr>
            <w:r>
              <w:rPr/>
              <w:t xml:space="preserve">  </w:t>
            </w:r>
          </w:p>
        </w:tc>
      </w:tr>
      <w:tr>
        <w:trPr/>
        <w:tc>
          <w:tcPr>
            <w:tcW w:w="2282"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Current liabilities</w:t>
            </w:r>
          </w:p>
        </w:tc>
        <w:tc>
          <w:tcPr>
            <w:tcW w:w="251" w:type="dxa"/>
            <w:tcBorders/>
            <w:shd w:fill="auto" w:val="clear"/>
            <w:vAlign w:val="bottom"/>
          </w:tcPr>
          <w:p>
            <w:pPr>
              <w:pStyle w:val="TableContents"/>
              <w:spacing w:before="0" w:after="283"/>
              <w:rPr/>
            </w:pPr>
            <w:r>
              <w:rPr/>
              <w:t xml:space="preserve">  </w:t>
            </w:r>
          </w:p>
        </w:tc>
        <w:tc>
          <w:tcPr>
            <w:tcW w:w="128" w:type="dxa"/>
            <w:tcBorders/>
            <w:shd w:fill="auto" w:val="clear"/>
            <w:vAlign w:val="bottom"/>
          </w:tcPr>
          <w:p>
            <w:pPr>
              <w:pStyle w:val="TableContents"/>
              <w:spacing w:before="0" w:after="283"/>
              <w:rPr/>
            </w:pPr>
            <w:r>
              <w:rPr/>
              <w:t xml:space="preserve">  </w:t>
            </w:r>
          </w:p>
        </w:tc>
        <w:tc>
          <w:tcPr>
            <w:tcW w:w="1290" w:type="dxa"/>
            <w:tcBorders/>
            <w:shd w:fill="auto" w:val="clear"/>
            <w:vAlign w:val="bottom"/>
          </w:tcPr>
          <w:p>
            <w:pPr>
              <w:pStyle w:val="TableContents"/>
              <w:spacing w:before="0" w:after="0"/>
              <w:ind w:left="0" w:right="0" w:firstLine="360"/>
              <w:jc w:val="right"/>
              <w:rPr/>
            </w:pPr>
            <w:r>
              <w:rPr/>
              <w:t> </w:t>
            </w:r>
            <w:r>
              <w:rPr>
                <w:rFonts w:ascii="times new roman" w:hAnsi="times new roman"/>
                <w:sz w:val="20"/>
              </w:rPr>
              <w:t>(20,225</w:t>
            </w:r>
          </w:p>
        </w:tc>
        <w:tc>
          <w:tcPr>
            <w:tcW w:w="13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2282"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Other liabilities</w:t>
            </w:r>
          </w:p>
        </w:tc>
        <w:tc>
          <w:tcPr>
            <w:tcW w:w="251" w:type="dxa"/>
            <w:tcBorders/>
            <w:shd w:fill="auto" w:val="clear"/>
            <w:vAlign w:val="bottom"/>
          </w:tcPr>
          <w:p>
            <w:pPr>
              <w:pStyle w:val="TableContents"/>
              <w:spacing w:before="0" w:after="283"/>
              <w:rPr/>
            </w:pPr>
            <w:r>
              <w:rPr/>
              <w:t xml:space="preserve">  </w:t>
            </w:r>
          </w:p>
        </w:tc>
        <w:tc>
          <w:tcPr>
            <w:tcW w:w="128"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90" w:type="dxa"/>
            <w:tcBorders>
              <w:bottom w:val="single" w:sz="12" w:space="0" w:color="000000"/>
            </w:tcBorders>
            <w:shd w:fill="auto" w:val="clear"/>
            <w:tcMar>
              <w:bottom w:w="28" w:type="dxa"/>
            </w:tcMar>
            <w:vAlign w:val="bottom"/>
          </w:tcPr>
          <w:p>
            <w:pPr>
              <w:pStyle w:val="TableContents"/>
              <w:spacing w:before="0" w:after="0"/>
              <w:ind w:left="0" w:right="0" w:firstLine="360"/>
              <w:jc w:val="right"/>
              <w:rPr/>
            </w:pPr>
            <w:r>
              <w:rPr/>
              <w:t> </w:t>
            </w:r>
            <w:r>
              <w:rPr>
                <w:rFonts w:ascii="times new roman" w:hAnsi="times new roman"/>
                <w:sz w:val="20"/>
              </w:rPr>
              <w:t>(128,841</w:t>
            </w:r>
          </w:p>
        </w:tc>
        <w:tc>
          <w:tcPr>
            <w:tcW w:w="13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2282"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Net assets acquired</w:t>
            </w:r>
          </w:p>
        </w:tc>
        <w:tc>
          <w:tcPr>
            <w:tcW w:w="251" w:type="dxa"/>
            <w:tcBorders/>
            <w:shd w:fill="auto" w:val="clear"/>
            <w:vAlign w:val="bottom"/>
          </w:tcPr>
          <w:p>
            <w:pPr>
              <w:pStyle w:val="TableContents"/>
              <w:spacing w:before="0" w:after="283"/>
              <w:rPr/>
            </w:pPr>
            <w:r>
              <w:rPr/>
              <w:t xml:space="preserve">  </w:t>
            </w:r>
          </w:p>
        </w:tc>
        <w:tc>
          <w:tcPr>
            <w:tcW w:w="12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9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522,949</w:t>
            </w:r>
          </w:p>
        </w:tc>
        <w:tc>
          <w:tcPr>
            <w:tcW w:w="131"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On February 22, 2010, Roper purchased the assets of Heartscape, Inc, including a technology with the capability to improve the speed and accuracy of detecting heart attacks.  The operations of Heartscape are reported in the Medical &amp; Scientific Imaging segment.</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Of the $320 million of acquired intangible assets acquired in 2010, $35 million was assigned to trade names that are not subject to amortization. The remaining $285 million of acquired intangible assets have a weighted-average useful life of approximately 14 years. The intangible assets that make up that amount include customer relationships of $234 million (15 year weighted-average useful life) and unpatented technology of $51 million (8 year weighted-average useful life).</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i/>
          <w:sz w:val="20"/>
        </w:rPr>
        <w:t>2009 Acquisitions –</w:t>
      </w:r>
      <w:r>
        <w:rPr>
          <w:rFonts w:ascii="Times New Roman" w:hAnsi="Times New Roman"/>
          <w:sz w:val="20"/>
        </w:rPr>
        <w:t xml:space="preserve"> During the year ended December 31, 2009, Roper completed two business combinations.  The results of operations of the acquired companies have been included in Roper’s consolidated results since the date of each acquisition.  Supplemental pro forma information has not been provided as the acquisitions did not have a material impact on Roper’s consolidated results of operations individually or in aggregate.</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aggregate purchase price of 2009 acquisitions totaled $353 million.  Roper recorded approximately $246 million in goodwill and $126 million in other identifiable intangibles in connection with these acquisitions.  The majority of the goodwill is not expected to be deductible for tax purposes.  The Company recorded $2.2 million in transaction costs related to these acquisitions.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On October 30, 2009, Roper purchased the assets of United Toll Systems, LLC, which provides software and in-lane hardware systems for toll and traffic markets. The operations of UTS are reported in the RF Technology segment.</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On December 3, 2009, Roper purchased Verathon, Inc., a leading global provider of proprietary medical devices and services, in order to expand our medical product lines.  The results of Verathon are reported in the Medical &amp; Scientific Imaging segment.</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Of the $126 million of acquired intangible assets, $27 million was assigned to trade names that are not subject to amortization. The remaining $99 million of acquired intangible assets have a weighted-average useful life of approximately 10 years. The intangible assets that make up that amount include customer relationships of $46 million (14 year weighted-average useful life), unpatented technology of $53 million (7 year weighted-average useful life) and protective rights of $0.5 million (3 year weighted-average useful life).</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i/>
          <w:sz w:val="20"/>
        </w:rPr>
        <w:t>2008 Acquisitions -</w:t>
      </w:r>
      <w:r>
        <w:rPr>
          <w:rFonts w:ascii="Times New Roman" w:hAnsi="Times New Roman"/>
          <w:sz w:val="20"/>
        </w:rPr>
        <w:t xml:space="preserve"> During the year ended December 31, 2008, Roper completed six business combinations.  The results of operations of the acquired companies have been included in Roper’s consolidated results since the date of each acquisition.  Supplemental pro forma information has not been provided as the acquisitions did not have a material impact on Roper’s consolidated results of operations individually or in aggregate.</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i/>
          <w:sz w:val="20"/>
        </w:rPr>
        <w:t xml:space="preserve">CBORD Acquisition - </w:t>
      </w:r>
      <w:r>
        <w:rPr>
          <w:rFonts w:ascii="Times New Roman" w:hAnsi="Times New Roman"/>
          <w:sz w:val="20"/>
        </w:rPr>
        <w:t>The largest of the 2008 acquisitions was the purchase of all outstanding shares of CBORD Holdings Corporation on February 20, 2008. CBORD, whose operations are reported in the RF Technology segment, is a provider of card systems and integrated security solutions to higher education, healthcare and other markets. CBORD’s principal facilities are located in Ithaca, New York. The aggregate gross purchase price was $375 million of cash, which includes amounts incurred for direct external transaction costs associated with the acquisition.</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Roper acquired CBORD due to growth prospects in CBORD’s end markets of education and health care. In addition, CBORD has excellent customer retention and strong recurring revenues. Roper also sees opportunities to realize complementary technologies within the RF Technology segment to CBORD’s product offerings.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allocation of the purchase resulted in $158 million of identifiable intangible assets, and $257 million of goodwill. The following table (in thousands) summarizes the fair values of the assets acquired and liabilities assumed at the date of acquisition.</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2" w:name="PGBRK12"/>
      <w:bookmarkStart w:id="243" w:name="PGBRK12"/>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4" w:name="FTR12"/>
      <w:bookmarkStart w:id="245" w:name="FTR12"/>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6" w:name="GLFTR12"/>
      <w:bookmarkEnd w:id="2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7" w:name="PN12"/>
      <w:bookmarkEnd w:id="247"/>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8" w:name="HDR12"/>
      <w:bookmarkStart w:id="249" w:name="HDR12"/>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0" w:name="GLHDR12"/>
      <w:bookmarkEnd w:id="2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tbl>
      <w:tblPr>
        <w:tblW w:w="2000" w:type="pct"/>
        <w:jc w:val="center"/>
        <w:tblInd w:w="0" w:type="dxa"/>
        <w:tblCellMar>
          <w:top w:w="0" w:type="dxa"/>
          <w:left w:w="0" w:type="dxa"/>
          <w:bottom w:w="0" w:type="dxa"/>
          <w:right w:w="0" w:type="dxa"/>
        </w:tblCellMar>
      </w:tblPr>
      <w:tblGrid>
        <w:gridCol w:w="2295"/>
        <w:gridCol w:w="244"/>
        <w:gridCol w:w="125"/>
        <w:gridCol w:w="1292"/>
        <w:gridCol w:w="126"/>
      </w:tblGrid>
      <w:tr>
        <w:trPr/>
        <w:tc>
          <w:tcPr>
            <w:tcW w:w="2295" w:type="dxa"/>
            <w:tcBorders/>
            <w:shd w:fill="auto" w:val="clear"/>
            <w:vAlign w:val="bottom"/>
          </w:tcPr>
          <w:p>
            <w:pPr>
              <w:pStyle w:val="TableContents"/>
              <w:spacing w:before="0" w:after="283"/>
              <w:rPr/>
            </w:pPr>
            <w:r>
              <w:rPr/>
              <w:t xml:space="preserve">  </w:t>
            </w:r>
          </w:p>
        </w:tc>
        <w:tc>
          <w:tcPr>
            <w:tcW w:w="244" w:type="dxa"/>
            <w:tcBorders/>
            <w:shd w:fill="auto" w:val="clear"/>
            <w:vAlign w:val="bottom"/>
          </w:tcPr>
          <w:p>
            <w:pPr>
              <w:pStyle w:val="TableContents"/>
              <w:spacing w:before="0" w:after="283"/>
              <w:rPr/>
            </w:pPr>
            <w:r>
              <w:rPr/>
              <w:t xml:space="preserve">  </w:t>
            </w:r>
          </w:p>
        </w:tc>
        <w:tc>
          <w:tcPr>
            <w:tcW w:w="141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February 20, 2008</w:t>
            </w:r>
          </w:p>
        </w:tc>
        <w:tc>
          <w:tcPr>
            <w:tcW w:w="126" w:type="dxa"/>
            <w:tcBorders/>
            <w:shd w:fill="auto" w:val="clear"/>
            <w:vAlign w:val="bottom"/>
          </w:tcPr>
          <w:p>
            <w:pPr>
              <w:pStyle w:val="TableContents"/>
              <w:spacing w:before="0" w:after="283"/>
              <w:rPr/>
            </w:pPr>
            <w:r>
              <w:rPr/>
              <w:t xml:space="preserve">  </w:t>
            </w:r>
          </w:p>
        </w:tc>
      </w:tr>
      <w:tr>
        <w:trPr/>
        <w:tc>
          <w:tcPr>
            <w:tcW w:w="229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Current assets</w:t>
            </w:r>
          </w:p>
        </w:tc>
        <w:tc>
          <w:tcPr>
            <w:tcW w:w="244"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9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32,831</w:t>
            </w:r>
          </w:p>
        </w:tc>
        <w:tc>
          <w:tcPr>
            <w:tcW w:w="126" w:type="dxa"/>
            <w:tcBorders/>
            <w:shd w:fill="auto" w:val="clear"/>
            <w:vAlign w:val="bottom"/>
          </w:tcPr>
          <w:p>
            <w:pPr>
              <w:pStyle w:val="TableContents"/>
              <w:spacing w:before="0" w:after="283"/>
              <w:rPr/>
            </w:pPr>
            <w:r>
              <w:rPr/>
              <w:t xml:space="preserve">  </w:t>
            </w:r>
          </w:p>
        </w:tc>
      </w:tr>
      <w:tr>
        <w:trPr/>
        <w:tc>
          <w:tcPr>
            <w:tcW w:w="229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Other assets</w:t>
            </w:r>
          </w:p>
        </w:tc>
        <w:tc>
          <w:tcPr>
            <w:tcW w:w="244"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9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4,916</w:t>
            </w:r>
          </w:p>
        </w:tc>
        <w:tc>
          <w:tcPr>
            <w:tcW w:w="126" w:type="dxa"/>
            <w:tcBorders/>
            <w:shd w:fill="auto" w:val="clear"/>
            <w:vAlign w:val="bottom"/>
          </w:tcPr>
          <w:p>
            <w:pPr>
              <w:pStyle w:val="TableContents"/>
              <w:spacing w:before="0" w:after="283"/>
              <w:rPr/>
            </w:pPr>
            <w:r>
              <w:rPr/>
              <w:t xml:space="preserve">  </w:t>
            </w:r>
          </w:p>
        </w:tc>
      </w:tr>
      <w:tr>
        <w:trPr/>
        <w:tc>
          <w:tcPr>
            <w:tcW w:w="229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Intangible assets</w:t>
            </w:r>
          </w:p>
        </w:tc>
        <w:tc>
          <w:tcPr>
            <w:tcW w:w="244"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9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158,180</w:t>
            </w:r>
          </w:p>
        </w:tc>
        <w:tc>
          <w:tcPr>
            <w:tcW w:w="126" w:type="dxa"/>
            <w:tcBorders/>
            <w:shd w:fill="auto" w:val="clear"/>
            <w:vAlign w:val="bottom"/>
          </w:tcPr>
          <w:p>
            <w:pPr>
              <w:pStyle w:val="TableContents"/>
              <w:spacing w:before="0" w:after="283"/>
              <w:rPr/>
            </w:pPr>
            <w:r>
              <w:rPr/>
              <w:t xml:space="preserve">  </w:t>
            </w:r>
          </w:p>
        </w:tc>
      </w:tr>
      <w:tr>
        <w:trPr/>
        <w:tc>
          <w:tcPr>
            <w:tcW w:w="229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Goodwill</w:t>
            </w:r>
          </w:p>
        </w:tc>
        <w:tc>
          <w:tcPr>
            <w:tcW w:w="244" w:type="dxa"/>
            <w:tcBorders/>
            <w:shd w:fill="auto" w:val="clear"/>
            <w:vAlign w:val="bottom"/>
          </w:tcPr>
          <w:p>
            <w:pPr>
              <w:pStyle w:val="TableContents"/>
              <w:spacing w:before="0" w:after="283"/>
              <w:rPr/>
            </w:pPr>
            <w:r>
              <w:rPr/>
              <w:t xml:space="preserve">  </w:t>
            </w:r>
          </w:p>
        </w:tc>
        <w:tc>
          <w:tcPr>
            <w:tcW w:w="12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92" w:type="dxa"/>
            <w:tcBorders>
              <w:bottom w:val="single" w:sz="12" w:space="0" w:color="000000"/>
            </w:tcBorders>
            <w:shd w:fill="auto" w:val="clear"/>
            <w:tcMar>
              <w:bottom w:w="28" w:type="dxa"/>
            </w:tcMar>
            <w:vAlign w:val="bottom"/>
          </w:tcPr>
          <w:p>
            <w:pPr>
              <w:pStyle w:val="TableContents"/>
              <w:spacing w:before="0" w:after="0"/>
              <w:ind w:left="0" w:right="0" w:firstLine="360"/>
              <w:jc w:val="right"/>
              <w:rPr>
                <w:rFonts w:ascii="times new roman" w:hAnsi="times new roman"/>
                <w:sz w:val="20"/>
              </w:rPr>
            </w:pPr>
            <w:r>
              <w:rPr>
                <w:rFonts w:ascii="times new roman" w:hAnsi="times new roman"/>
                <w:sz w:val="20"/>
              </w:rPr>
              <w:t>256,693</w:t>
            </w:r>
          </w:p>
        </w:tc>
        <w:tc>
          <w:tcPr>
            <w:tcW w:w="126" w:type="dxa"/>
            <w:tcBorders/>
            <w:shd w:fill="auto" w:val="clear"/>
            <w:vAlign w:val="bottom"/>
          </w:tcPr>
          <w:p>
            <w:pPr>
              <w:pStyle w:val="TableContents"/>
              <w:spacing w:before="0" w:after="283"/>
              <w:rPr/>
            </w:pPr>
            <w:r>
              <w:rPr/>
              <w:t xml:space="preserve">  </w:t>
            </w:r>
          </w:p>
        </w:tc>
      </w:tr>
      <w:tr>
        <w:trPr/>
        <w:tc>
          <w:tcPr>
            <w:tcW w:w="229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Total assets acquired</w:t>
            </w:r>
          </w:p>
        </w:tc>
        <w:tc>
          <w:tcPr>
            <w:tcW w:w="244"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9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452,620</w:t>
            </w:r>
          </w:p>
        </w:tc>
        <w:tc>
          <w:tcPr>
            <w:tcW w:w="126" w:type="dxa"/>
            <w:tcBorders/>
            <w:shd w:fill="auto" w:val="clear"/>
            <w:vAlign w:val="bottom"/>
          </w:tcPr>
          <w:p>
            <w:pPr>
              <w:pStyle w:val="TableContents"/>
              <w:spacing w:before="0" w:after="283"/>
              <w:rPr/>
            </w:pPr>
            <w:r>
              <w:rPr/>
              <w:t xml:space="preserve">  </w:t>
            </w:r>
          </w:p>
        </w:tc>
      </w:tr>
      <w:tr>
        <w:trPr/>
        <w:tc>
          <w:tcPr>
            <w:tcW w:w="229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Current liabilities</w:t>
            </w:r>
          </w:p>
        </w:tc>
        <w:tc>
          <w:tcPr>
            <w:tcW w:w="244"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292" w:type="dxa"/>
            <w:tcBorders/>
            <w:shd w:fill="auto" w:val="clear"/>
            <w:vAlign w:val="bottom"/>
          </w:tcPr>
          <w:p>
            <w:pPr>
              <w:pStyle w:val="TableContents"/>
              <w:spacing w:before="0" w:after="0"/>
              <w:ind w:left="0" w:right="0" w:firstLine="360"/>
              <w:jc w:val="right"/>
              <w:rPr/>
            </w:pPr>
            <w:r>
              <w:rPr/>
              <w:t> </w:t>
            </w:r>
            <w:r>
              <w:rPr>
                <w:rFonts w:ascii="times new roman" w:hAnsi="times new roman"/>
                <w:sz w:val="20"/>
              </w:rPr>
              <w:t>(34,823</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229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Other liabilities</w:t>
            </w:r>
          </w:p>
        </w:tc>
        <w:tc>
          <w:tcPr>
            <w:tcW w:w="244" w:type="dxa"/>
            <w:tcBorders/>
            <w:shd w:fill="auto" w:val="clear"/>
            <w:vAlign w:val="bottom"/>
          </w:tcPr>
          <w:p>
            <w:pPr>
              <w:pStyle w:val="TableContents"/>
              <w:spacing w:before="0" w:after="283"/>
              <w:rPr/>
            </w:pPr>
            <w:r>
              <w:rPr/>
              <w:t xml:space="preserve">  </w:t>
            </w:r>
          </w:p>
        </w:tc>
        <w:tc>
          <w:tcPr>
            <w:tcW w:w="12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92" w:type="dxa"/>
            <w:tcBorders>
              <w:bottom w:val="single" w:sz="12" w:space="0" w:color="000000"/>
            </w:tcBorders>
            <w:shd w:fill="auto" w:val="clear"/>
            <w:tcMar>
              <w:bottom w:w="28" w:type="dxa"/>
            </w:tcMar>
            <w:vAlign w:val="bottom"/>
          </w:tcPr>
          <w:p>
            <w:pPr>
              <w:pStyle w:val="TableContents"/>
              <w:spacing w:before="0" w:after="0"/>
              <w:ind w:left="0" w:right="0" w:firstLine="360"/>
              <w:jc w:val="right"/>
              <w:rPr/>
            </w:pPr>
            <w:r>
              <w:rPr/>
              <w:t> </w:t>
            </w:r>
            <w:r>
              <w:rPr>
                <w:rFonts w:ascii="times new roman" w:hAnsi="times new roman"/>
                <w:sz w:val="20"/>
              </w:rPr>
              <w:t>(42,887</w:t>
            </w:r>
          </w:p>
        </w:tc>
        <w:tc>
          <w:tcPr>
            <w:tcW w:w="1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229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Net assets acquired</w:t>
            </w:r>
          </w:p>
        </w:tc>
        <w:tc>
          <w:tcPr>
            <w:tcW w:w="244" w:type="dxa"/>
            <w:tcBorders/>
            <w:shd w:fill="auto" w:val="clear"/>
            <w:vAlign w:val="bottom"/>
          </w:tcPr>
          <w:p>
            <w:pPr>
              <w:pStyle w:val="TableContents"/>
              <w:spacing w:before="0" w:after="283"/>
              <w:rPr/>
            </w:pPr>
            <w:r>
              <w:rPr/>
              <w:t xml:space="preserve">  </w:t>
            </w:r>
          </w:p>
        </w:tc>
        <w:tc>
          <w:tcPr>
            <w:tcW w:w="12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92"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374,910</w:t>
            </w:r>
          </w:p>
        </w:tc>
        <w:tc>
          <w:tcPr>
            <w:tcW w:w="126"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Of the $158 million of acquired intangible assets, $28 million was assigned to trade names that are not subject to amortization. The remaining $130 million of acquired intangible assets have a weighted-average useful life of approximately 15 years. The intangible assets that make up that amount include customer relationships of $114 million (20 year weighted-average useful life), unpatented technology of $12 million (6 year weighted-average useful life), and protective rights of $4 million (5 year weighted-average useful life).</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majority of the $257 million of goodwill is not expected to be deductible for tax purposes.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i/>
          <w:sz w:val="20"/>
        </w:rPr>
        <w:t xml:space="preserve">Other 2008 acquisitions - </w:t>
      </w:r>
      <w:r>
        <w:rPr>
          <w:rFonts w:ascii="Times New Roman" w:hAnsi="Times New Roman"/>
          <w:sz w:val="20"/>
        </w:rPr>
        <w:t>The aggregate purchase price of all other acquisitions made in 2008 totaled $331 million, which includes amounts incurred for direct external transaction costs associated with the acquisitions.  Roper recorded approximately $219 million in goodwill and $122 million in other identifiable intangibles in connection with these acquisitions.  The majority of the goodwill is not expected to be deductible for tax purposes.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On March 20, 2008, Roper acquired the assets of Tech-Pro, Inc. a provider of industrial test instruments and software in our Energy Systems &amp; Controls segment.</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On June 18, 2008, Roper acquired all of the outstanding shares of Chalwyn Limited, a U.K.-based air shut-off valve provider in our Energy Systems &amp; Controls segment.</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On July 17, 2008, Roper acquired the assets, intellectual property and domain name of Getloaded.com, LLC, which adds new subscribers for our freight matching services in the RF Technology segment.</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On August 27, 2008, Roper acquired the assets of Horizon Software Holdings, Inc., a leading provider of comprehensive software solutions and related services that complements CBORD’s higher education business to allow us to better serve the entire education spectrum. The operations of Horizon are reported in the RF Technology segment.</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On September 10, 2008, Roper acquired all of the outstanding shares of Technolog Holdings Limited, a U.K.-based end-to-end solutions provider for network monitoring, pressure management, automatic meter reading and smart metering solutions. The operations of Technolog are reported in the RF Technology segment.</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Of the $122 million of acquired intangible assets, $22 million was assigned to trade names that are not subject to amortization. The remaining $100 million of acquired intangible assets have a weighted-average useful life of approximately 13 years. The intangible assets that make up that amount include customer relationships of $82 million (14 year weighted-average useful life), unpatented technology of $14 million (9 year weighted-average useful life), protective rights of $2 million (7 year weighted-average useful life) and backlog of $2 million (1 year weighted-average useful life).</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251" w:name="list40"/>
      <w:bookmarkStart w:id="252" w:name="list40"/>
      <w:bookmarkEnd w:id="252"/>
    </w:p>
    <w:tbl>
      <w:tblPr>
        <w:tblW w:w="5000" w:type="pct"/>
        <w:jc w:val="left"/>
        <w:tblInd w:w="0" w:type="dxa"/>
        <w:tblCellMar>
          <w:top w:w="0" w:type="dxa"/>
          <w:left w:w="0" w:type="dxa"/>
          <w:bottom w:w="0" w:type="dxa"/>
          <w:right w:w="0" w:type="dxa"/>
        </w:tblCellMar>
      </w:tblPr>
      <w:tblGrid>
        <w:gridCol w:w="2747"/>
        <w:gridCol w:w="7458"/>
      </w:tblGrid>
      <w:tr>
        <w:trPr/>
        <w:tc>
          <w:tcPr>
            <w:tcW w:w="274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7458"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Inventories</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components of inventories at December 31 were as follows (in thousands):</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4084"/>
        <w:gridCol w:w="355"/>
        <w:gridCol w:w="176"/>
        <w:gridCol w:w="1421"/>
        <w:gridCol w:w="176"/>
        <w:gridCol w:w="177"/>
        <w:gridCol w:w="1420"/>
        <w:gridCol w:w="355"/>
      </w:tblGrid>
      <w:tr>
        <w:trPr/>
        <w:tc>
          <w:tcPr>
            <w:tcW w:w="4084" w:type="dxa"/>
            <w:tcBorders/>
            <w:shd w:fill="auto" w:val="clear"/>
            <w:vAlign w:val="bottom"/>
          </w:tcPr>
          <w:p>
            <w:pPr>
              <w:pStyle w:val="TableContents"/>
              <w:spacing w:before="0" w:after="283"/>
              <w:rPr/>
            </w:pPr>
            <w:r>
              <w:rPr/>
              <w:t xml:space="preserve">  </w:t>
            </w:r>
          </w:p>
        </w:tc>
        <w:tc>
          <w:tcPr>
            <w:tcW w:w="355" w:type="dxa"/>
            <w:tcBorders/>
            <w:shd w:fill="auto" w:val="clear"/>
            <w:vAlign w:val="bottom"/>
          </w:tcPr>
          <w:p>
            <w:pPr>
              <w:pStyle w:val="TableContents"/>
              <w:spacing w:before="0" w:after="283"/>
              <w:rPr/>
            </w:pPr>
            <w:r>
              <w:rPr/>
              <w:t xml:space="preserve">  </w:t>
            </w:r>
          </w:p>
        </w:tc>
        <w:tc>
          <w:tcPr>
            <w:tcW w:w="15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76" w:type="dxa"/>
            <w:tcBorders/>
            <w:shd w:fill="auto" w:val="clear"/>
            <w:vAlign w:val="bottom"/>
          </w:tcPr>
          <w:p>
            <w:pPr>
              <w:pStyle w:val="TableContents"/>
              <w:spacing w:before="0" w:after="283"/>
              <w:rPr/>
            </w:pPr>
            <w:r>
              <w:rPr/>
              <w:t xml:space="preserve">  </w:t>
            </w:r>
          </w:p>
        </w:tc>
        <w:tc>
          <w:tcPr>
            <w:tcW w:w="15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355" w:type="dxa"/>
            <w:tcBorders/>
            <w:shd w:fill="auto" w:val="clear"/>
            <w:vAlign w:val="bottom"/>
          </w:tcPr>
          <w:p>
            <w:pPr>
              <w:pStyle w:val="TableContents"/>
              <w:spacing w:before="0" w:after="283"/>
              <w:rPr/>
            </w:pPr>
            <w:r>
              <w:rPr/>
              <w:t xml:space="preserve">  </w:t>
            </w:r>
          </w:p>
        </w:tc>
      </w:tr>
      <w:tr>
        <w:trPr/>
        <w:tc>
          <w:tcPr>
            <w:tcW w:w="4084"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Raw materials and supplies</w:t>
            </w:r>
          </w:p>
        </w:tc>
        <w:tc>
          <w:tcPr>
            <w:tcW w:w="355" w:type="dxa"/>
            <w:tcBorders/>
            <w:shd w:fill="auto" w:val="clear"/>
            <w:vAlign w:val="bottom"/>
          </w:tcPr>
          <w:p>
            <w:pPr>
              <w:pStyle w:val="TableContents"/>
              <w:spacing w:before="0" w:after="283"/>
              <w:rPr/>
            </w:pPr>
            <w:r>
              <w:rPr/>
              <w:t xml:space="preserve">  </w:t>
            </w:r>
          </w:p>
        </w:tc>
        <w:tc>
          <w:tcPr>
            <w:tcW w:w="17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42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113,415</w:t>
            </w:r>
          </w:p>
        </w:tc>
        <w:tc>
          <w:tcPr>
            <w:tcW w:w="176" w:type="dxa"/>
            <w:tcBorders/>
            <w:shd w:fill="auto" w:val="clear"/>
            <w:vAlign w:val="bottom"/>
          </w:tcPr>
          <w:p>
            <w:pPr>
              <w:pStyle w:val="TableContents"/>
              <w:spacing w:before="0" w:after="283"/>
              <w:rPr/>
            </w:pPr>
            <w:r>
              <w:rPr/>
              <w:t xml:space="preserve">  </w:t>
            </w:r>
          </w:p>
        </w:tc>
        <w:tc>
          <w:tcPr>
            <w:tcW w:w="17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4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111,546</w:t>
            </w:r>
          </w:p>
        </w:tc>
        <w:tc>
          <w:tcPr>
            <w:tcW w:w="355" w:type="dxa"/>
            <w:tcBorders/>
            <w:shd w:fill="auto" w:val="clear"/>
            <w:vAlign w:val="bottom"/>
          </w:tcPr>
          <w:p>
            <w:pPr>
              <w:pStyle w:val="TableContents"/>
              <w:spacing w:before="0" w:after="283"/>
              <w:rPr/>
            </w:pPr>
            <w:r>
              <w:rPr/>
              <w:t xml:space="preserve">  </w:t>
            </w:r>
          </w:p>
        </w:tc>
      </w:tr>
      <w:tr>
        <w:trPr/>
        <w:tc>
          <w:tcPr>
            <w:tcW w:w="4084"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Work in process</w:t>
            </w:r>
          </w:p>
        </w:tc>
        <w:tc>
          <w:tcPr>
            <w:tcW w:w="355" w:type="dxa"/>
            <w:tcBorders/>
            <w:shd w:fill="auto" w:val="clear"/>
            <w:vAlign w:val="bottom"/>
          </w:tcPr>
          <w:p>
            <w:pPr>
              <w:pStyle w:val="TableContents"/>
              <w:spacing w:before="0" w:after="283"/>
              <w:rPr/>
            </w:pPr>
            <w:r>
              <w:rPr/>
              <w:t xml:space="preserve">  </w:t>
            </w:r>
          </w:p>
        </w:tc>
        <w:tc>
          <w:tcPr>
            <w:tcW w:w="176" w:type="dxa"/>
            <w:tcBorders/>
            <w:shd w:fill="auto" w:val="clear"/>
            <w:vAlign w:val="bottom"/>
          </w:tcPr>
          <w:p>
            <w:pPr>
              <w:pStyle w:val="TableContents"/>
              <w:spacing w:before="0" w:after="283"/>
              <w:rPr/>
            </w:pPr>
            <w:r>
              <w:rPr/>
              <w:t xml:space="preserve">  </w:t>
            </w:r>
          </w:p>
        </w:tc>
        <w:tc>
          <w:tcPr>
            <w:tcW w:w="142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26,358</w:t>
            </w:r>
          </w:p>
        </w:tc>
        <w:tc>
          <w:tcPr>
            <w:tcW w:w="176" w:type="dxa"/>
            <w:tcBorders/>
            <w:shd w:fill="auto" w:val="clear"/>
            <w:vAlign w:val="bottom"/>
          </w:tcPr>
          <w:p>
            <w:pPr>
              <w:pStyle w:val="TableContents"/>
              <w:spacing w:before="0" w:after="283"/>
              <w:rPr/>
            </w:pPr>
            <w:r>
              <w:rPr/>
              <w:t xml:space="preserve">  </w:t>
            </w:r>
          </w:p>
        </w:tc>
        <w:tc>
          <w:tcPr>
            <w:tcW w:w="177" w:type="dxa"/>
            <w:tcBorders/>
            <w:shd w:fill="auto" w:val="clear"/>
            <w:vAlign w:val="bottom"/>
          </w:tcPr>
          <w:p>
            <w:pPr>
              <w:pStyle w:val="TableContents"/>
              <w:spacing w:before="0" w:after="283"/>
              <w:rPr/>
            </w:pPr>
            <w:r>
              <w:rPr/>
              <w:t xml:space="preserve">  </w:t>
            </w:r>
          </w:p>
        </w:tc>
        <w:tc>
          <w:tcPr>
            <w:tcW w:w="14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24,557</w:t>
            </w:r>
          </w:p>
        </w:tc>
        <w:tc>
          <w:tcPr>
            <w:tcW w:w="355" w:type="dxa"/>
            <w:tcBorders/>
            <w:shd w:fill="auto" w:val="clear"/>
            <w:vAlign w:val="bottom"/>
          </w:tcPr>
          <w:p>
            <w:pPr>
              <w:pStyle w:val="TableContents"/>
              <w:spacing w:before="0" w:after="283"/>
              <w:rPr/>
            </w:pPr>
            <w:r>
              <w:rPr/>
              <w:t xml:space="preserve">  </w:t>
            </w:r>
          </w:p>
        </w:tc>
      </w:tr>
      <w:tr>
        <w:trPr/>
        <w:tc>
          <w:tcPr>
            <w:tcW w:w="4084"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Finished products</w:t>
            </w:r>
          </w:p>
        </w:tc>
        <w:tc>
          <w:tcPr>
            <w:tcW w:w="355" w:type="dxa"/>
            <w:tcBorders/>
            <w:shd w:fill="auto" w:val="clear"/>
            <w:vAlign w:val="bottom"/>
          </w:tcPr>
          <w:p>
            <w:pPr>
              <w:pStyle w:val="TableContents"/>
              <w:spacing w:before="0" w:after="283"/>
              <w:rPr/>
            </w:pPr>
            <w:r>
              <w:rPr/>
              <w:t xml:space="preserve">  </w:t>
            </w:r>
          </w:p>
        </w:tc>
        <w:tc>
          <w:tcPr>
            <w:tcW w:w="176" w:type="dxa"/>
            <w:tcBorders/>
            <w:shd w:fill="auto" w:val="clear"/>
            <w:vAlign w:val="bottom"/>
          </w:tcPr>
          <w:p>
            <w:pPr>
              <w:pStyle w:val="TableContents"/>
              <w:spacing w:before="0" w:after="283"/>
              <w:rPr/>
            </w:pPr>
            <w:r>
              <w:rPr/>
              <w:t xml:space="preserve">  </w:t>
            </w:r>
          </w:p>
        </w:tc>
        <w:tc>
          <w:tcPr>
            <w:tcW w:w="142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71,302</w:t>
            </w:r>
          </w:p>
        </w:tc>
        <w:tc>
          <w:tcPr>
            <w:tcW w:w="176" w:type="dxa"/>
            <w:tcBorders/>
            <w:shd w:fill="auto" w:val="clear"/>
            <w:vAlign w:val="bottom"/>
          </w:tcPr>
          <w:p>
            <w:pPr>
              <w:pStyle w:val="TableContents"/>
              <w:spacing w:before="0" w:after="283"/>
              <w:rPr/>
            </w:pPr>
            <w:r>
              <w:rPr/>
              <w:t xml:space="preserve">  </w:t>
            </w:r>
          </w:p>
        </w:tc>
        <w:tc>
          <w:tcPr>
            <w:tcW w:w="177" w:type="dxa"/>
            <w:tcBorders/>
            <w:shd w:fill="auto" w:val="clear"/>
            <w:vAlign w:val="bottom"/>
          </w:tcPr>
          <w:p>
            <w:pPr>
              <w:pStyle w:val="TableContents"/>
              <w:spacing w:before="0" w:after="283"/>
              <w:rPr/>
            </w:pPr>
            <w:r>
              <w:rPr/>
              <w:t xml:space="preserve">  </w:t>
            </w:r>
          </w:p>
        </w:tc>
        <w:tc>
          <w:tcPr>
            <w:tcW w:w="14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71,729</w:t>
            </w:r>
          </w:p>
        </w:tc>
        <w:tc>
          <w:tcPr>
            <w:tcW w:w="355" w:type="dxa"/>
            <w:tcBorders/>
            <w:shd w:fill="auto" w:val="clear"/>
            <w:vAlign w:val="bottom"/>
          </w:tcPr>
          <w:p>
            <w:pPr>
              <w:pStyle w:val="TableContents"/>
              <w:spacing w:before="0" w:after="283"/>
              <w:rPr/>
            </w:pPr>
            <w:r>
              <w:rPr/>
              <w:t xml:space="preserve">  </w:t>
            </w:r>
          </w:p>
        </w:tc>
      </w:tr>
      <w:tr>
        <w:trPr/>
        <w:tc>
          <w:tcPr>
            <w:tcW w:w="4084"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Inventory reserves</w:t>
            </w:r>
          </w:p>
        </w:tc>
        <w:tc>
          <w:tcPr>
            <w:tcW w:w="355" w:type="dxa"/>
            <w:tcBorders/>
            <w:shd w:fill="auto" w:val="clear"/>
            <w:vAlign w:val="bottom"/>
          </w:tcPr>
          <w:p>
            <w:pPr>
              <w:pStyle w:val="TableContents"/>
              <w:spacing w:before="0" w:after="283"/>
              <w:rPr/>
            </w:pPr>
            <w:r>
              <w:rPr/>
              <w:t xml:space="preserve">  </w:t>
            </w:r>
          </w:p>
        </w:tc>
        <w:tc>
          <w:tcPr>
            <w:tcW w:w="17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421"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(32,516</w:t>
            </w:r>
          </w:p>
        </w:tc>
        <w:tc>
          <w:tcPr>
            <w:tcW w:w="17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7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420"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(29,037</w:t>
            </w:r>
          </w:p>
        </w:tc>
        <w:tc>
          <w:tcPr>
            <w:tcW w:w="35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084" w:type="dxa"/>
            <w:tcBorders/>
            <w:shd w:fill="auto" w:val="clear"/>
            <w:vAlign w:val="bottom"/>
          </w:tcPr>
          <w:p>
            <w:pPr>
              <w:pStyle w:val="TableContents"/>
              <w:spacing w:before="0" w:after="283"/>
              <w:rPr/>
            </w:pPr>
            <w:r>
              <w:rPr/>
              <w:t xml:space="preserve">  </w:t>
            </w:r>
          </w:p>
        </w:tc>
        <w:tc>
          <w:tcPr>
            <w:tcW w:w="355" w:type="dxa"/>
            <w:tcBorders/>
            <w:shd w:fill="auto" w:val="clear"/>
            <w:vAlign w:val="bottom"/>
          </w:tcPr>
          <w:p>
            <w:pPr>
              <w:pStyle w:val="TableContents"/>
              <w:spacing w:before="0" w:after="283"/>
              <w:rPr/>
            </w:pPr>
            <w:r>
              <w:rPr/>
              <w:t xml:space="preserve">  </w:t>
            </w:r>
          </w:p>
        </w:tc>
        <w:tc>
          <w:tcPr>
            <w:tcW w:w="17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42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178,559</w:t>
            </w:r>
          </w:p>
        </w:tc>
        <w:tc>
          <w:tcPr>
            <w:tcW w:w="176" w:type="dxa"/>
            <w:tcBorders/>
            <w:shd w:fill="auto" w:val="clear"/>
            <w:vAlign w:val="bottom"/>
          </w:tcPr>
          <w:p>
            <w:pPr>
              <w:pStyle w:val="TableContents"/>
              <w:spacing w:before="0" w:after="283"/>
              <w:rPr/>
            </w:pPr>
            <w:r>
              <w:rPr/>
              <w:t xml:space="preserve">  </w:t>
            </w:r>
          </w:p>
        </w:tc>
        <w:tc>
          <w:tcPr>
            <w:tcW w:w="17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42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178,795</w:t>
            </w:r>
          </w:p>
        </w:tc>
        <w:tc>
          <w:tcPr>
            <w:tcW w:w="355"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253" w:name="list41"/>
      <w:bookmarkStart w:id="254" w:name="list41"/>
      <w:bookmarkEnd w:id="254"/>
    </w:p>
    <w:tbl>
      <w:tblPr>
        <w:tblW w:w="5000" w:type="pct"/>
        <w:jc w:val="left"/>
        <w:tblInd w:w="0" w:type="dxa"/>
        <w:tblCellMar>
          <w:top w:w="0" w:type="dxa"/>
          <w:left w:w="0" w:type="dxa"/>
          <w:bottom w:w="0" w:type="dxa"/>
          <w:right w:w="0" w:type="dxa"/>
        </w:tblCellMar>
      </w:tblPr>
      <w:tblGrid>
        <w:gridCol w:w="1242"/>
        <w:gridCol w:w="8963"/>
      </w:tblGrid>
      <w:tr>
        <w:trPr/>
        <w:tc>
          <w:tcPr>
            <w:tcW w:w="124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  </w:t>
            </w:r>
          </w:p>
        </w:tc>
        <w:tc>
          <w:tcPr>
            <w:tcW w:w="8963"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Property, Plant and Equipment</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components of property, plant and equipment at December 31 were as follows (in thousands):</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4900"/>
        <w:gridCol w:w="148"/>
        <w:gridCol w:w="147"/>
        <w:gridCol w:w="1188"/>
        <w:gridCol w:w="297"/>
        <w:gridCol w:w="147"/>
        <w:gridCol w:w="1040"/>
        <w:gridCol w:w="297"/>
      </w:tblGrid>
      <w:tr>
        <w:trPr/>
        <w:tc>
          <w:tcPr>
            <w:tcW w:w="4900" w:type="dxa"/>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rPr/>
            </w:pPr>
            <w:r>
              <w:rPr/>
              <w:t xml:space="preserve">  </w:t>
            </w:r>
          </w:p>
        </w:tc>
        <w:tc>
          <w:tcPr>
            <w:tcW w:w="13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297" w:type="dxa"/>
            <w:tcBorders/>
            <w:shd w:fill="auto" w:val="clear"/>
            <w:vAlign w:val="bottom"/>
          </w:tcPr>
          <w:p>
            <w:pPr>
              <w:pStyle w:val="TableContents"/>
              <w:spacing w:before="0" w:after="283"/>
              <w:rPr/>
            </w:pPr>
            <w:r>
              <w:rPr/>
              <w:t xml:space="preserve">  </w:t>
            </w:r>
          </w:p>
        </w:tc>
        <w:tc>
          <w:tcPr>
            <w:tcW w:w="11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297" w:type="dxa"/>
            <w:tcBorders/>
            <w:shd w:fill="auto" w:val="clear"/>
            <w:vAlign w:val="bottom"/>
          </w:tcPr>
          <w:p>
            <w:pPr>
              <w:pStyle w:val="TableContents"/>
              <w:spacing w:before="0" w:after="283"/>
              <w:rPr/>
            </w:pPr>
            <w:r>
              <w:rPr/>
              <w:t xml:space="preserve">  </w:t>
            </w:r>
          </w:p>
        </w:tc>
      </w:tr>
      <w:tr>
        <w:trPr/>
        <w:tc>
          <w:tcPr>
            <w:tcW w:w="4900"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Land</w:t>
            </w:r>
          </w:p>
        </w:tc>
        <w:tc>
          <w:tcPr>
            <w:tcW w:w="148" w:type="dxa"/>
            <w:tcBorders/>
            <w:shd w:fill="auto" w:val="clear"/>
            <w:vAlign w:val="bottom"/>
          </w:tcPr>
          <w:p>
            <w:pPr>
              <w:pStyle w:val="TableContents"/>
              <w:spacing w:before="0" w:after="283"/>
              <w:rPr/>
            </w:pPr>
            <w:r>
              <w:rPr/>
              <w:t xml:space="preserve">  </w:t>
            </w:r>
          </w:p>
        </w:tc>
        <w:tc>
          <w:tcPr>
            <w:tcW w:w="14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8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4,194</w:t>
            </w:r>
          </w:p>
        </w:tc>
        <w:tc>
          <w:tcPr>
            <w:tcW w:w="297" w:type="dxa"/>
            <w:tcBorders/>
            <w:shd w:fill="auto" w:val="clear"/>
            <w:vAlign w:val="bottom"/>
          </w:tcPr>
          <w:p>
            <w:pPr>
              <w:pStyle w:val="TableContents"/>
              <w:spacing w:before="0" w:after="283"/>
              <w:rPr/>
            </w:pPr>
            <w:r>
              <w:rPr/>
              <w:t xml:space="preserve">  </w:t>
            </w:r>
          </w:p>
        </w:tc>
        <w:tc>
          <w:tcPr>
            <w:tcW w:w="14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5,068</w:t>
            </w:r>
          </w:p>
        </w:tc>
        <w:tc>
          <w:tcPr>
            <w:tcW w:w="297" w:type="dxa"/>
            <w:tcBorders/>
            <w:shd w:fill="auto" w:val="clear"/>
            <w:vAlign w:val="bottom"/>
          </w:tcPr>
          <w:p>
            <w:pPr>
              <w:pStyle w:val="TableContents"/>
              <w:spacing w:before="0" w:after="283"/>
              <w:rPr/>
            </w:pPr>
            <w:r>
              <w:rPr/>
              <w:t xml:space="preserve">  </w:t>
            </w:r>
          </w:p>
        </w:tc>
      </w:tr>
      <w:tr>
        <w:trPr/>
        <w:tc>
          <w:tcPr>
            <w:tcW w:w="4900"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Buildings</w:t>
            </w:r>
          </w:p>
        </w:tc>
        <w:tc>
          <w:tcPr>
            <w:tcW w:w="148" w:type="dxa"/>
            <w:tcBorders/>
            <w:shd w:fill="auto" w:val="clear"/>
            <w:vAlign w:val="bottom"/>
          </w:tcPr>
          <w:p>
            <w:pPr>
              <w:pStyle w:val="TableContents"/>
              <w:spacing w:before="0" w:after="283"/>
              <w:rPr/>
            </w:pPr>
            <w:r>
              <w:rPr/>
              <w:t xml:space="preserve">  </w:t>
            </w:r>
          </w:p>
        </w:tc>
        <w:tc>
          <w:tcPr>
            <w:tcW w:w="147" w:type="dxa"/>
            <w:tcBorders/>
            <w:shd w:fill="auto" w:val="clear"/>
            <w:vAlign w:val="bottom"/>
          </w:tcPr>
          <w:p>
            <w:pPr>
              <w:pStyle w:val="TableContents"/>
              <w:spacing w:before="0" w:after="283"/>
              <w:rPr/>
            </w:pPr>
            <w:r>
              <w:rPr/>
              <w:t xml:space="preserve">  </w:t>
            </w:r>
          </w:p>
        </w:tc>
        <w:tc>
          <w:tcPr>
            <w:tcW w:w="118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68,077</w:t>
            </w:r>
          </w:p>
        </w:tc>
        <w:tc>
          <w:tcPr>
            <w:tcW w:w="297" w:type="dxa"/>
            <w:tcBorders/>
            <w:shd w:fill="auto" w:val="clear"/>
            <w:vAlign w:val="bottom"/>
          </w:tcPr>
          <w:p>
            <w:pPr>
              <w:pStyle w:val="TableContents"/>
              <w:spacing w:before="0" w:after="283"/>
              <w:rPr/>
            </w:pPr>
            <w:r>
              <w:rPr/>
              <w:t xml:space="preserve">  </w:t>
            </w:r>
          </w:p>
        </w:tc>
        <w:tc>
          <w:tcPr>
            <w:tcW w:w="147" w:type="dxa"/>
            <w:tcBorders/>
            <w:shd w:fill="auto" w:val="clear"/>
            <w:vAlign w:val="bottom"/>
          </w:tcPr>
          <w:p>
            <w:pPr>
              <w:pStyle w:val="TableContents"/>
              <w:spacing w:before="0" w:after="283"/>
              <w:rPr/>
            </w:pPr>
            <w:r>
              <w:rPr/>
              <w:t xml:space="preserve">  </w:t>
            </w:r>
          </w:p>
        </w:tc>
        <w:tc>
          <w:tcPr>
            <w:tcW w:w="10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68,912</w:t>
            </w:r>
          </w:p>
        </w:tc>
        <w:tc>
          <w:tcPr>
            <w:tcW w:w="297" w:type="dxa"/>
            <w:tcBorders/>
            <w:shd w:fill="auto" w:val="clear"/>
            <w:vAlign w:val="bottom"/>
          </w:tcPr>
          <w:p>
            <w:pPr>
              <w:pStyle w:val="TableContents"/>
              <w:spacing w:before="0" w:after="283"/>
              <w:rPr/>
            </w:pPr>
            <w:r>
              <w:rPr/>
              <w:t xml:space="preserve">  </w:t>
            </w:r>
          </w:p>
        </w:tc>
      </w:tr>
      <w:tr>
        <w:trPr/>
        <w:tc>
          <w:tcPr>
            <w:tcW w:w="4900"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Machinery and other equipment</w:t>
            </w:r>
          </w:p>
        </w:tc>
        <w:tc>
          <w:tcPr>
            <w:tcW w:w="148" w:type="dxa"/>
            <w:tcBorders/>
            <w:shd w:fill="auto" w:val="clear"/>
            <w:vAlign w:val="bottom"/>
          </w:tcPr>
          <w:p>
            <w:pPr>
              <w:pStyle w:val="TableContents"/>
              <w:spacing w:before="0" w:after="283"/>
              <w:rPr/>
            </w:pPr>
            <w:r>
              <w:rPr/>
              <w:t xml:space="preserve">  </w:t>
            </w:r>
          </w:p>
        </w:tc>
        <w:tc>
          <w:tcPr>
            <w:tcW w:w="14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88"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239,940</w:t>
            </w:r>
          </w:p>
        </w:tc>
        <w:tc>
          <w:tcPr>
            <w:tcW w:w="297" w:type="dxa"/>
            <w:tcBorders/>
            <w:shd w:fill="auto" w:val="clear"/>
            <w:vAlign w:val="bottom"/>
          </w:tcPr>
          <w:p>
            <w:pPr>
              <w:pStyle w:val="TableContents"/>
              <w:spacing w:before="0" w:after="283"/>
              <w:rPr/>
            </w:pPr>
            <w:r>
              <w:rPr/>
              <w:t xml:space="preserve">  </w:t>
            </w:r>
          </w:p>
        </w:tc>
        <w:tc>
          <w:tcPr>
            <w:tcW w:w="14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40"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231,768</w:t>
            </w:r>
          </w:p>
        </w:tc>
        <w:tc>
          <w:tcPr>
            <w:tcW w:w="297" w:type="dxa"/>
            <w:tcBorders/>
            <w:shd w:fill="auto" w:val="clear"/>
            <w:vAlign w:val="bottom"/>
          </w:tcPr>
          <w:p>
            <w:pPr>
              <w:pStyle w:val="TableContents"/>
              <w:spacing w:before="0" w:after="283"/>
              <w:rPr/>
            </w:pPr>
            <w:r>
              <w:rPr/>
              <w:t xml:space="preserve">  </w:t>
            </w:r>
          </w:p>
        </w:tc>
      </w:tr>
      <w:tr>
        <w:trPr/>
        <w:tc>
          <w:tcPr>
            <w:tcW w:w="4900" w:type="dxa"/>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rPr/>
            </w:pPr>
            <w:r>
              <w:rPr/>
              <w:t xml:space="preserve">  </w:t>
            </w:r>
          </w:p>
        </w:tc>
        <w:tc>
          <w:tcPr>
            <w:tcW w:w="147" w:type="dxa"/>
            <w:tcBorders/>
            <w:shd w:fill="auto" w:val="clear"/>
            <w:vAlign w:val="bottom"/>
          </w:tcPr>
          <w:p>
            <w:pPr>
              <w:pStyle w:val="TableContents"/>
              <w:spacing w:before="0" w:after="283"/>
              <w:rPr/>
            </w:pPr>
            <w:r>
              <w:rPr/>
              <w:t xml:space="preserve">  </w:t>
            </w:r>
          </w:p>
        </w:tc>
        <w:tc>
          <w:tcPr>
            <w:tcW w:w="118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312,211</w:t>
            </w:r>
          </w:p>
        </w:tc>
        <w:tc>
          <w:tcPr>
            <w:tcW w:w="297" w:type="dxa"/>
            <w:tcBorders/>
            <w:shd w:fill="auto" w:val="clear"/>
            <w:vAlign w:val="bottom"/>
          </w:tcPr>
          <w:p>
            <w:pPr>
              <w:pStyle w:val="TableContents"/>
              <w:spacing w:before="0" w:after="283"/>
              <w:rPr/>
            </w:pPr>
            <w:r>
              <w:rPr/>
              <w:t xml:space="preserve">  </w:t>
            </w:r>
          </w:p>
        </w:tc>
        <w:tc>
          <w:tcPr>
            <w:tcW w:w="147" w:type="dxa"/>
            <w:tcBorders/>
            <w:shd w:fill="auto" w:val="clear"/>
            <w:vAlign w:val="bottom"/>
          </w:tcPr>
          <w:p>
            <w:pPr>
              <w:pStyle w:val="TableContents"/>
              <w:spacing w:before="0" w:after="283"/>
              <w:rPr/>
            </w:pPr>
            <w:r>
              <w:rPr/>
              <w:t xml:space="preserve">  </w:t>
            </w:r>
          </w:p>
        </w:tc>
        <w:tc>
          <w:tcPr>
            <w:tcW w:w="10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305,748</w:t>
            </w:r>
          </w:p>
        </w:tc>
        <w:tc>
          <w:tcPr>
            <w:tcW w:w="297" w:type="dxa"/>
            <w:tcBorders/>
            <w:shd w:fill="auto" w:val="clear"/>
            <w:vAlign w:val="bottom"/>
          </w:tcPr>
          <w:p>
            <w:pPr>
              <w:pStyle w:val="TableContents"/>
              <w:spacing w:before="0" w:after="283"/>
              <w:rPr/>
            </w:pPr>
            <w:r>
              <w:rPr/>
              <w:t xml:space="preserve">  </w:t>
            </w:r>
          </w:p>
        </w:tc>
      </w:tr>
      <w:tr>
        <w:trPr/>
        <w:tc>
          <w:tcPr>
            <w:tcW w:w="4900"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Accumulated depreciation and amortization</w:t>
            </w:r>
          </w:p>
        </w:tc>
        <w:tc>
          <w:tcPr>
            <w:tcW w:w="148" w:type="dxa"/>
            <w:tcBorders/>
            <w:shd w:fill="auto" w:val="clear"/>
            <w:vAlign w:val="bottom"/>
          </w:tcPr>
          <w:p>
            <w:pPr>
              <w:pStyle w:val="TableContents"/>
              <w:spacing w:before="0" w:after="283"/>
              <w:rPr/>
            </w:pPr>
            <w:r>
              <w:rPr/>
              <w:t xml:space="preserve">  </w:t>
            </w:r>
          </w:p>
        </w:tc>
        <w:tc>
          <w:tcPr>
            <w:tcW w:w="14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88"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(208,724</w:t>
            </w:r>
          </w:p>
        </w:tc>
        <w:tc>
          <w:tcPr>
            <w:tcW w:w="2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4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40"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(196,255</w:t>
            </w:r>
          </w:p>
        </w:tc>
        <w:tc>
          <w:tcPr>
            <w:tcW w:w="2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900" w:type="dxa"/>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rPr/>
            </w:pPr>
            <w:r>
              <w:rPr/>
              <w:t xml:space="preserve">  </w:t>
            </w:r>
          </w:p>
        </w:tc>
        <w:tc>
          <w:tcPr>
            <w:tcW w:w="14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88"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103,487</w:t>
            </w:r>
          </w:p>
        </w:tc>
        <w:tc>
          <w:tcPr>
            <w:tcW w:w="297" w:type="dxa"/>
            <w:tcBorders/>
            <w:shd w:fill="auto" w:val="clear"/>
            <w:vAlign w:val="bottom"/>
          </w:tcPr>
          <w:p>
            <w:pPr>
              <w:pStyle w:val="TableContents"/>
              <w:spacing w:before="0" w:after="283"/>
              <w:rPr/>
            </w:pPr>
            <w:r>
              <w:rPr/>
              <w:t xml:space="preserve">  </w:t>
            </w:r>
          </w:p>
        </w:tc>
        <w:tc>
          <w:tcPr>
            <w:tcW w:w="14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4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109,493</w:t>
            </w:r>
          </w:p>
        </w:tc>
        <w:tc>
          <w:tcPr>
            <w:tcW w:w="297"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Depreciation expense was $36,728, $34,163 and $33,900 for the years ended December 31, 2010, 2009 and 2008, respectively.</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Normal"/>
        <w:spacing w:before="0" w:after="0"/>
        <w:rPr>
          <w:sz w:val="4"/>
          <w:szCs w:val="4"/>
        </w:rPr>
      </w:pPr>
      <w:r>
        <w:rPr>
          <w:sz w:val="4"/>
          <w:szCs w:val="4"/>
        </w:rPr>
      </w:r>
      <w:bookmarkStart w:id="255" w:name="list42"/>
      <w:bookmarkStart w:id="256" w:name="list42"/>
      <w:bookmarkEnd w:id="256"/>
    </w:p>
    <w:tbl>
      <w:tblPr>
        <w:tblW w:w="5000" w:type="pct"/>
        <w:jc w:val="left"/>
        <w:tblInd w:w="0" w:type="dxa"/>
        <w:tblCellMar>
          <w:top w:w="0" w:type="dxa"/>
          <w:left w:w="0" w:type="dxa"/>
          <w:bottom w:w="0" w:type="dxa"/>
          <w:right w:w="0" w:type="dxa"/>
        </w:tblCellMar>
      </w:tblPr>
      <w:tblGrid>
        <w:gridCol w:w="3105"/>
        <w:gridCol w:w="7100"/>
      </w:tblGrid>
      <w:tr>
        <w:trPr/>
        <w:tc>
          <w:tcPr>
            <w:tcW w:w="31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(5)  </w:t>
            </w:r>
          </w:p>
        </w:tc>
        <w:tc>
          <w:tcPr>
            <w:tcW w:w="7100"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Goodwill</w:t>
            </w:r>
          </w:p>
        </w:tc>
      </w:tr>
    </w:tbl>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2751"/>
        <w:gridCol w:w="108"/>
        <w:gridCol w:w="157"/>
        <w:gridCol w:w="1067"/>
        <w:gridCol w:w="118"/>
        <w:gridCol w:w="141"/>
        <w:gridCol w:w="900"/>
        <w:gridCol w:w="118"/>
        <w:gridCol w:w="141"/>
        <w:gridCol w:w="979"/>
        <w:gridCol w:w="108"/>
        <w:gridCol w:w="144"/>
        <w:gridCol w:w="1001"/>
        <w:gridCol w:w="118"/>
        <w:gridCol w:w="141"/>
        <w:gridCol w:w="1055"/>
        <w:gridCol w:w="137"/>
      </w:tblGrid>
      <w:tr>
        <w:trPr/>
        <w:tc>
          <w:tcPr>
            <w:tcW w:w="2751"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xml:space="preserve">  </w:t>
            </w:r>
          </w:p>
        </w:tc>
        <w:tc>
          <w:tcPr>
            <w:tcW w:w="12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Industrial Technology</w:t>
            </w:r>
          </w:p>
        </w:tc>
        <w:tc>
          <w:tcPr>
            <w:tcW w:w="118"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Energy Systems and Controls</w:t>
            </w:r>
          </w:p>
        </w:tc>
        <w:tc>
          <w:tcPr>
            <w:tcW w:w="118"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Medical and Scientific Imaging</w:t>
            </w:r>
          </w:p>
        </w:tc>
        <w:tc>
          <w:tcPr>
            <w:tcW w:w="108"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RF Technology</w:t>
            </w:r>
          </w:p>
        </w:tc>
        <w:tc>
          <w:tcPr>
            <w:tcW w:w="118"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9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7" w:type="dxa"/>
            <w:tcBorders/>
            <w:shd w:fill="auto" w:val="clear"/>
            <w:vAlign w:val="bottom"/>
          </w:tcPr>
          <w:p>
            <w:pPr>
              <w:pStyle w:val="TableContents"/>
              <w:spacing w:before="0" w:after="283"/>
              <w:rPr/>
            </w:pPr>
            <w:r>
              <w:rPr/>
              <w:t xml:space="preserve">  </w:t>
            </w:r>
          </w:p>
        </w:tc>
      </w:tr>
      <w:tr>
        <w:trPr/>
        <w:tc>
          <w:tcPr>
            <w:tcW w:w="2751"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xml:space="preserve">  </w:t>
            </w:r>
          </w:p>
        </w:tc>
        <w:tc>
          <w:tcPr>
            <w:tcW w:w="6188" w:type="dxa"/>
            <w:gridSpan w:val="14"/>
            <w:tcBorders/>
            <w:shd w:fill="auto" w:val="clear"/>
            <w:vAlign w:val="bottom"/>
          </w:tcPr>
          <w:p>
            <w:pPr>
              <w:pStyle w:val="TableContents"/>
              <w:spacing w:before="0" w:after="0"/>
              <w:ind w:left="0" w:right="0" w:hanging="0"/>
              <w:jc w:val="center"/>
              <w:rPr/>
            </w:pPr>
            <w:r>
              <w:rPr/>
              <w:t> </w:t>
            </w:r>
            <w:r>
              <w:rPr>
                <w:rFonts w:ascii="times new roman" w:hAnsi="times new roman"/>
                <w:b/>
                <w:sz w:val="20"/>
              </w:rPr>
              <w:t>(in thousands)</w:t>
            </w:r>
          </w:p>
        </w:tc>
        <w:tc>
          <w:tcPr>
            <w:tcW w:w="137" w:type="dxa"/>
            <w:tcBorders/>
            <w:shd w:fill="auto" w:val="clear"/>
            <w:vAlign w:val="bottom"/>
          </w:tcPr>
          <w:p>
            <w:pPr>
              <w:pStyle w:val="TableContents"/>
              <w:spacing w:before="0" w:after="283"/>
              <w:rPr/>
            </w:pPr>
            <w:r>
              <w:rPr/>
              <w:t xml:space="preserve">  </w:t>
            </w:r>
          </w:p>
        </w:tc>
      </w:tr>
      <w:tr>
        <w:trPr/>
        <w:tc>
          <w:tcPr>
            <w:tcW w:w="275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December 31, 2008</w:t>
            </w:r>
          </w:p>
        </w:tc>
        <w:tc>
          <w:tcPr>
            <w:tcW w:w="108"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423,661</w:t>
            </w:r>
          </w:p>
        </w:tc>
        <w:tc>
          <w:tcPr>
            <w:tcW w:w="118"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381,656</w:t>
            </w:r>
          </w:p>
        </w:tc>
        <w:tc>
          <w:tcPr>
            <w:tcW w:w="118"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7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400,478</w:t>
            </w:r>
          </w:p>
        </w:tc>
        <w:tc>
          <w:tcPr>
            <w:tcW w:w="108" w:type="dxa"/>
            <w:tcBorders/>
            <w:shd w:fill="auto" w:val="clear"/>
            <w:vAlign w:val="bottom"/>
          </w:tcPr>
          <w:p>
            <w:pPr>
              <w:pStyle w:val="TableContents"/>
              <w:spacing w:before="0" w:after="283"/>
              <w:rPr/>
            </w:pPr>
            <w:r>
              <w:rPr/>
              <w:t xml:space="preserve">  </w:t>
            </w:r>
          </w:p>
        </w:tc>
        <w:tc>
          <w:tcPr>
            <w:tcW w:w="14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913,057</w:t>
            </w:r>
          </w:p>
        </w:tc>
        <w:tc>
          <w:tcPr>
            <w:tcW w:w="118"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2,118,852</w:t>
            </w:r>
          </w:p>
        </w:tc>
        <w:tc>
          <w:tcPr>
            <w:tcW w:w="137" w:type="dxa"/>
            <w:tcBorders/>
            <w:shd w:fill="auto" w:val="clear"/>
            <w:vAlign w:val="bottom"/>
          </w:tcPr>
          <w:p>
            <w:pPr>
              <w:pStyle w:val="TableContents"/>
              <w:spacing w:before="0" w:after="283"/>
              <w:rPr/>
            </w:pPr>
            <w:r>
              <w:rPr/>
              <w:t xml:space="preserve">  </w:t>
            </w:r>
          </w:p>
        </w:tc>
      </w:tr>
      <w:tr>
        <w:trPr/>
        <w:tc>
          <w:tcPr>
            <w:tcW w:w="2751"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Goodwill acquired</w:t>
            </w:r>
          </w:p>
        </w:tc>
        <w:tc>
          <w:tcPr>
            <w:tcW w:w="108"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06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c>
          <w:tcPr>
            <w:tcW w:w="9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c>
          <w:tcPr>
            <w:tcW w:w="97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215,747</w:t>
            </w:r>
          </w:p>
        </w:tc>
        <w:tc>
          <w:tcPr>
            <w:tcW w:w="108" w:type="dxa"/>
            <w:tcBorders/>
            <w:shd w:fill="auto" w:val="clear"/>
            <w:vAlign w:val="bottom"/>
          </w:tcPr>
          <w:p>
            <w:pPr>
              <w:pStyle w:val="TableContents"/>
              <w:spacing w:before="0" w:after="283"/>
              <w:rPr/>
            </w:pPr>
            <w:r>
              <w:rPr/>
              <w:t xml:space="preserve">  </w:t>
            </w:r>
          </w:p>
        </w:tc>
        <w:tc>
          <w:tcPr>
            <w:tcW w:w="144" w:type="dxa"/>
            <w:tcBorders/>
            <w:shd w:fill="auto" w:val="clear"/>
            <w:vAlign w:val="bottom"/>
          </w:tcPr>
          <w:p>
            <w:pPr>
              <w:pStyle w:val="TableContents"/>
              <w:spacing w:before="0" w:after="283"/>
              <w:rPr/>
            </w:pPr>
            <w:r>
              <w:rPr/>
              <w:t xml:space="preserve">  </w:t>
            </w:r>
          </w:p>
        </w:tc>
        <w:tc>
          <w:tcPr>
            <w:tcW w:w="10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30,220</w:t>
            </w:r>
          </w:p>
        </w:tc>
        <w:tc>
          <w:tcPr>
            <w:tcW w:w="118"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245,967</w:t>
            </w:r>
          </w:p>
        </w:tc>
        <w:tc>
          <w:tcPr>
            <w:tcW w:w="137" w:type="dxa"/>
            <w:tcBorders/>
            <w:shd w:fill="auto" w:val="clear"/>
            <w:vAlign w:val="bottom"/>
          </w:tcPr>
          <w:p>
            <w:pPr>
              <w:pStyle w:val="TableContents"/>
              <w:spacing w:before="0" w:after="283"/>
              <w:rPr/>
            </w:pPr>
            <w:r>
              <w:rPr/>
              <w:t xml:space="preserve">  </w:t>
            </w:r>
          </w:p>
        </w:tc>
      </w:tr>
      <w:tr>
        <w:trPr/>
        <w:tc>
          <w:tcPr>
            <w:tcW w:w="2751" w:type="dxa"/>
            <w:tcBorders/>
            <w:shd w:fill="auto" w:val="clear"/>
            <w:vAlign w:val="bottom"/>
          </w:tcPr>
          <w:p>
            <w:pPr>
              <w:pStyle w:val="TableContents"/>
              <w:spacing w:before="0" w:after="0"/>
              <w:ind w:left="360" w:right="0" w:hanging="0"/>
              <w:jc w:val="both"/>
              <w:rPr>
                <w:rFonts w:ascii="times new roman" w:hAnsi="times new roman"/>
                <w:sz w:val="20"/>
              </w:rPr>
            </w:pPr>
            <w:r>
              <w:rPr>
                <w:rFonts w:ascii="times new roman" w:hAnsi="times new roman"/>
                <w:sz w:val="20"/>
              </w:rPr>
              <w:t>Currency translation adjustments</w:t>
            </w:r>
          </w:p>
        </w:tc>
        <w:tc>
          <w:tcPr>
            <w:tcW w:w="108"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06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7,412</w:t>
            </w:r>
          </w:p>
        </w:tc>
        <w:tc>
          <w:tcPr>
            <w:tcW w:w="118"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c>
          <w:tcPr>
            <w:tcW w:w="9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4,894</w:t>
            </w:r>
          </w:p>
        </w:tc>
        <w:tc>
          <w:tcPr>
            <w:tcW w:w="118"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c>
          <w:tcPr>
            <w:tcW w:w="97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7,561</w:t>
            </w:r>
          </w:p>
        </w:tc>
        <w:tc>
          <w:tcPr>
            <w:tcW w:w="108" w:type="dxa"/>
            <w:tcBorders/>
            <w:shd w:fill="auto" w:val="clear"/>
            <w:vAlign w:val="bottom"/>
          </w:tcPr>
          <w:p>
            <w:pPr>
              <w:pStyle w:val="TableContents"/>
              <w:spacing w:before="0" w:after="283"/>
              <w:rPr/>
            </w:pPr>
            <w:r>
              <w:rPr/>
              <w:t xml:space="preserve">  </w:t>
            </w:r>
          </w:p>
        </w:tc>
        <w:tc>
          <w:tcPr>
            <w:tcW w:w="144" w:type="dxa"/>
            <w:tcBorders/>
            <w:shd w:fill="auto" w:val="clear"/>
            <w:vAlign w:val="bottom"/>
          </w:tcPr>
          <w:p>
            <w:pPr>
              <w:pStyle w:val="TableContents"/>
              <w:spacing w:before="0" w:after="283"/>
              <w:rPr/>
            </w:pPr>
            <w:r>
              <w:rPr/>
              <w:t xml:space="preserve">  </w:t>
            </w:r>
          </w:p>
        </w:tc>
        <w:tc>
          <w:tcPr>
            <w:tcW w:w="10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8,326</w:t>
            </w:r>
          </w:p>
        </w:tc>
        <w:tc>
          <w:tcPr>
            <w:tcW w:w="118"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28,193</w:t>
            </w:r>
          </w:p>
        </w:tc>
        <w:tc>
          <w:tcPr>
            <w:tcW w:w="137" w:type="dxa"/>
            <w:tcBorders/>
            <w:shd w:fill="auto" w:val="clear"/>
            <w:vAlign w:val="bottom"/>
          </w:tcPr>
          <w:p>
            <w:pPr>
              <w:pStyle w:val="TableContents"/>
              <w:spacing w:before="0" w:after="283"/>
              <w:rPr/>
            </w:pPr>
            <w:r>
              <w:rPr/>
              <w:t xml:space="preserve">  </w:t>
            </w:r>
          </w:p>
        </w:tc>
      </w:tr>
      <w:tr>
        <w:trPr/>
        <w:tc>
          <w:tcPr>
            <w:tcW w:w="2751" w:type="dxa"/>
            <w:tcBorders/>
            <w:shd w:fill="auto" w:val="clear"/>
            <w:vAlign w:val="bottom"/>
          </w:tcPr>
          <w:p>
            <w:pPr>
              <w:pStyle w:val="TableContents"/>
              <w:spacing w:before="0" w:after="0"/>
              <w:ind w:left="360" w:right="0" w:hanging="0"/>
              <w:jc w:val="both"/>
              <w:rPr>
                <w:rFonts w:ascii="times new roman" w:hAnsi="times new roman"/>
                <w:sz w:val="20"/>
              </w:rPr>
            </w:pPr>
            <w:r>
              <w:rPr>
                <w:rFonts w:ascii="times new roman" w:hAnsi="times new roman"/>
                <w:sz w:val="20"/>
              </w:rPr>
              <w:t>Reclassifications and other</w:t>
            </w:r>
          </w:p>
        </w:tc>
        <w:tc>
          <w:tcPr>
            <w:tcW w:w="108" w:type="dxa"/>
            <w:tcBorders/>
            <w:shd w:fill="auto" w:val="clear"/>
            <w:vAlign w:val="bottom"/>
          </w:tcPr>
          <w:p>
            <w:pPr>
              <w:pStyle w:val="TableContents"/>
              <w:spacing w:before="0" w:after="283"/>
              <w:rPr/>
            </w:pPr>
            <w:r>
              <w:rPr/>
              <w:t xml:space="preserve">  </w:t>
            </w:r>
          </w:p>
        </w:tc>
        <w:tc>
          <w:tcPr>
            <w:tcW w:w="15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6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auto" w:val="clear"/>
            <w:vAlign w:val="bottom"/>
          </w:tcPr>
          <w:p>
            <w:pPr>
              <w:pStyle w:val="TableContents"/>
              <w:spacing w:before="0" w:after="283"/>
              <w:rPr/>
            </w:pPr>
            <w:r>
              <w:rPr/>
              <w:t xml:space="preserve">  </w:t>
            </w:r>
          </w:p>
        </w:tc>
        <w:tc>
          <w:tcPr>
            <w:tcW w:w="14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00"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(3,343</w:t>
            </w:r>
          </w:p>
        </w:tc>
        <w:tc>
          <w:tcPr>
            <w:tcW w:w="1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4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7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8" w:type="dxa"/>
            <w:tcBorders/>
            <w:shd w:fill="auto" w:val="clear"/>
            <w:vAlign w:val="bottom"/>
          </w:tcPr>
          <w:p>
            <w:pPr>
              <w:pStyle w:val="TableContents"/>
              <w:spacing w:before="0" w:after="283"/>
              <w:rPr/>
            </w:pPr>
            <w:r>
              <w:rPr/>
              <w:t xml:space="preserve">  </w:t>
            </w:r>
          </w:p>
        </w:tc>
        <w:tc>
          <w:tcPr>
            <w:tcW w:w="14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01"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(1,237</w:t>
            </w:r>
          </w:p>
        </w:tc>
        <w:tc>
          <w:tcPr>
            <w:tcW w:w="1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4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5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(4,580</w:t>
            </w:r>
          </w:p>
        </w:tc>
        <w:tc>
          <w:tcPr>
            <w:tcW w:w="13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275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December 31, 2009</w:t>
            </w:r>
          </w:p>
        </w:tc>
        <w:tc>
          <w:tcPr>
            <w:tcW w:w="108" w:type="dxa"/>
            <w:tcBorders/>
            <w:shd w:fill="auto" w:val="clear"/>
            <w:vAlign w:val="bottom"/>
          </w:tcPr>
          <w:p>
            <w:pPr>
              <w:pStyle w:val="TableContents"/>
              <w:spacing w:before="0" w:after="283"/>
              <w:rPr/>
            </w:pPr>
            <w:r>
              <w:rPr/>
              <w:t xml:space="preserve">  </w:t>
            </w:r>
          </w:p>
        </w:tc>
        <w:tc>
          <w:tcPr>
            <w:tcW w:w="15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431,073</w:t>
            </w:r>
          </w:p>
        </w:tc>
        <w:tc>
          <w:tcPr>
            <w:tcW w:w="118" w:type="dxa"/>
            <w:tcBorders/>
            <w:shd w:fill="auto" w:val="clear"/>
            <w:vAlign w:val="bottom"/>
          </w:tcPr>
          <w:p>
            <w:pPr>
              <w:pStyle w:val="TableContents"/>
              <w:spacing w:before="0" w:after="283"/>
              <w:rPr/>
            </w:pPr>
            <w:r>
              <w:rPr/>
              <w:t xml:space="preserve">  </w:t>
            </w:r>
          </w:p>
        </w:tc>
        <w:tc>
          <w:tcPr>
            <w:tcW w:w="14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0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383,207</w:t>
            </w:r>
          </w:p>
        </w:tc>
        <w:tc>
          <w:tcPr>
            <w:tcW w:w="118" w:type="dxa"/>
            <w:tcBorders/>
            <w:shd w:fill="auto" w:val="clear"/>
            <w:vAlign w:val="bottom"/>
          </w:tcPr>
          <w:p>
            <w:pPr>
              <w:pStyle w:val="TableContents"/>
              <w:spacing w:before="0" w:after="283"/>
              <w:rPr/>
            </w:pPr>
            <w:r>
              <w:rPr/>
              <w:t xml:space="preserve">  </w:t>
            </w:r>
          </w:p>
        </w:tc>
        <w:tc>
          <w:tcPr>
            <w:tcW w:w="14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7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623,786</w:t>
            </w:r>
          </w:p>
        </w:tc>
        <w:tc>
          <w:tcPr>
            <w:tcW w:w="108" w:type="dxa"/>
            <w:tcBorders/>
            <w:shd w:fill="auto" w:val="clear"/>
            <w:vAlign w:val="bottom"/>
          </w:tcPr>
          <w:p>
            <w:pPr>
              <w:pStyle w:val="TableContents"/>
              <w:spacing w:before="0" w:after="283"/>
              <w:rPr/>
            </w:pPr>
            <w:r>
              <w:rPr/>
              <w:t xml:space="preserve">  </w:t>
            </w:r>
          </w:p>
        </w:tc>
        <w:tc>
          <w:tcPr>
            <w:tcW w:w="14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0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950,366</w:t>
            </w:r>
          </w:p>
        </w:tc>
        <w:tc>
          <w:tcPr>
            <w:tcW w:w="118" w:type="dxa"/>
            <w:tcBorders/>
            <w:shd w:fill="auto" w:val="clear"/>
            <w:vAlign w:val="bottom"/>
          </w:tcPr>
          <w:p>
            <w:pPr>
              <w:pStyle w:val="TableContents"/>
              <w:spacing w:before="0" w:after="283"/>
              <w:rPr/>
            </w:pPr>
            <w:r>
              <w:rPr/>
              <w:t xml:space="preserve">  </w:t>
            </w:r>
          </w:p>
        </w:tc>
        <w:tc>
          <w:tcPr>
            <w:tcW w:w="14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2,388,432</w:t>
            </w:r>
          </w:p>
        </w:tc>
        <w:tc>
          <w:tcPr>
            <w:tcW w:w="137" w:type="dxa"/>
            <w:tcBorders/>
            <w:shd w:fill="auto" w:val="clear"/>
            <w:vAlign w:val="bottom"/>
          </w:tcPr>
          <w:p>
            <w:pPr>
              <w:pStyle w:val="TableContents"/>
              <w:spacing w:before="0" w:after="283"/>
              <w:rPr/>
            </w:pPr>
            <w:r>
              <w:rPr/>
              <w:t xml:space="preserve">  </w:t>
            </w:r>
          </w:p>
        </w:tc>
      </w:tr>
      <w:tr>
        <w:trPr/>
        <w:tc>
          <w:tcPr>
            <w:tcW w:w="2751"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Goodwill acquired</w:t>
            </w:r>
          </w:p>
        </w:tc>
        <w:tc>
          <w:tcPr>
            <w:tcW w:w="108"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06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c>
          <w:tcPr>
            <w:tcW w:w="9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c>
          <w:tcPr>
            <w:tcW w:w="97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8,593</w:t>
            </w:r>
          </w:p>
        </w:tc>
        <w:tc>
          <w:tcPr>
            <w:tcW w:w="108" w:type="dxa"/>
            <w:tcBorders/>
            <w:shd w:fill="auto" w:val="clear"/>
            <w:vAlign w:val="bottom"/>
          </w:tcPr>
          <w:p>
            <w:pPr>
              <w:pStyle w:val="TableContents"/>
              <w:spacing w:before="0" w:after="283"/>
              <w:rPr/>
            </w:pPr>
            <w:r>
              <w:rPr/>
              <w:t xml:space="preserve">  </w:t>
            </w:r>
          </w:p>
        </w:tc>
        <w:tc>
          <w:tcPr>
            <w:tcW w:w="144" w:type="dxa"/>
            <w:tcBorders/>
            <w:shd w:fill="auto" w:val="clear"/>
            <w:vAlign w:val="bottom"/>
          </w:tcPr>
          <w:p>
            <w:pPr>
              <w:pStyle w:val="TableContents"/>
              <w:spacing w:before="0" w:after="283"/>
              <w:rPr/>
            </w:pPr>
            <w:r>
              <w:rPr/>
              <w:t xml:space="preserve">  </w:t>
            </w:r>
          </w:p>
        </w:tc>
        <w:tc>
          <w:tcPr>
            <w:tcW w:w="10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341,243</w:t>
            </w:r>
          </w:p>
        </w:tc>
        <w:tc>
          <w:tcPr>
            <w:tcW w:w="118"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349,836</w:t>
            </w:r>
          </w:p>
        </w:tc>
        <w:tc>
          <w:tcPr>
            <w:tcW w:w="137" w:type="dxa"/>
            <w:tcBorders/>
            <w:shd w:fill="auto" w:val="clear"/>
            <w:vAlign w:val="bottom"/>
          </w:tcPr>
          <w:p>
            <w:pPr>
              <w:pStyle w:val="TableContents"/>
              <w:spacing w:before="0" w:after="283"/>
              <w:rPr/>
            </w:pPr>
            <w:r>
              <w:rPr/>
              <w:t xml:space="preserve">  </w:t>
            </w:r>
          </w:p>
        </w:tc>
      </w:tr>
      <w:tr>
        <w:trPr/>
        <w:tc>
          <w:tcPr>
            <w:tcW w:w="2751" w:type="dxa"/>
            <w:tcBorders/>
            <w:shd w:fill="auto" w:val="clear"/>
            <w:vAlign w:val="bottom"/>
          </w:tcPr>
          <w:p>
            <w:pPr>
              <w:pStyle w:val="TableContents"/>
              <w:spacing w:before="0" w:after="0"/>
              <w:ind w:left="360" w:right="0" w:hanging="0"/>
              <w:jc w:val="both"/>
              <w:rPr>
                <w:rFonts w:ascii="times new roman" w:hAnsi="times new roman"/>
                <w:sz w:val="20"/>
              </w:rPr>
            </w:pPr>
            <w:r>
              <w:rPr>
                <w:rFonts w:ascii="times new roman" w:hAnsi="times new roman"/>
                <w:sz w:val="20"/>
              </w:rPr>
              <w:t>Currency translation adjustments</w:t>
            </w:r>
          </w:p>
        </w:tc>
        <w:tc>
          <w:tcPr>
            <w:tcW w:w="108"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06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(11,071</w:t>
            </w:r>
          </w:p>
        </w:tc>
        <w:tc>
          <w:tcPr>
            <w:tcW w:w="1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41" w:type="dxa"/>
            <w:tcBorders/>
            <w:shd w:fill="auto" w:val="clear"/>
            <w:vAlign w:val="bottom"/>
          </w:tcPr>
          <w:p>
            <w:pPr>
              <w:pStyle w:val="TableContents"/>
              <w:spacing w:before="0" w:after="283"/>
              <w:rPr/>
            </w:pPr>
            <w:r>
              <w:rPr/>
              <w:t xml:space="preserve">  </w:t>
            </w:r>
          </w:p>
        </w:tc>
        <w:tc>
          <w:tcPr>
            <w:tcW w:w="9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(2,554</w:t>
            </w:r>
          </w:p>
        </w:tc>
        <w:tc>
          <w:tcPr>
            <w:tcW w:w="1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41" w:type="dxa"/>
            <w:tcBorders/>
            <w:shd w:fill="auto" w:val="clear"/>
            <w:vAlign w:val="bottom"/>
          </w:tcPr>
          <w:p>
            <w:pPr>
              <w:pStyle w:val="TableContents"/>
              <w:spacing w:before="0" w:after="283"/>
              <w:rPr/>
            </w:pPr>
            <w:r>
              <w:rPr/>
              <w:t xml:space="preserve">  </w:t>
            </w:r>
          </w:p>
        </w:tc>
        <w:tc>
          <w:tcPr>
            <w:tcW w:w="97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804</w:t>
            </w:r>
          </w:p>
        </w:tc>
        <w:tc>
          <w:tcPr>
            <w:tcW w:w="108" w:type="dxa"/>
            <w:tcBorders/>
            <w:shd w:fill="auto" w:val="clear"/>
            <w:vAlign w:val="bottom"/>
          </w:tcPr>
          <w:p>
            <w:pPr>
              <w:pStyle w:val="TableContents"/>
              <w:spacing w:before="0" w:after="283"/>
              <w:rPr/>
            </w:pPr>
            <w:r>
              <w:rPr/>
              <w:t xml:space="preserve">  </w:t>
            </w:r>
          </w:p>
        </w:tc>
        <w:tc>
          <w:tcPr>
            <w:tcW w:w="144" w:type="dxa"/>
            <w:tcBorders/>
            <w:shd w:fill="auto" w:val="clear"/>
            <w:vAlign w:val="bottom"/>
          </w:tcPr>
          <w:p>
            <w:pPr>
              <w:pStyle w:val="TableContents"/>
              <w:spacing w:before="0" w:after="283"/>
              <w:rPr/>
            </w:pPr>
            <w:r>
              <w:rPr/>
              <w:t xml:space="preserve">  </w:t>
            </w:r>
          </w:p>
        </w:tc>
        <w:tc>
          <w:tcPr>
            <w:tcW w:w="100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(2,657</w:t>
            </w:r>
          </w:p>
        </w:tc>
        <w:tc>
          <w:tcPr>
            <w:tcW w:w="1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41" w:type="dxa"/>
            <w:tcBorders/>
            <w:shd w:fill="auto" w:val="clear"/>
            <w:vAlign w:val="bottom"/>
          </w:tcPr>
          <w:p>
            <w:pPr>
              <w:pStyle w:val="TableContents"/>
              <w:spacing w:before="0" w:after="283"/>
              <w:rPr/>
            </w:pPr>
            <w:r>
              <w:rPr/>
              <w:t xml:space="preserve">  </w:t>
            </w:r>
          </w:p>
        </w:tc>
        <w:tc>
          <w:tcPr>
            <w:tcW w:w="10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(15,478</w:t>
            </w:r>
          </w:p>
        </w:tc>
        <w:tc>
          <w:tcPr>
            <w:tcW w:w="13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2751" w:type="dxa"/>
            <w:tcBorders/>
            <w:shd w:fill="auto" w:val="clear"/>
            <w:vAlign w:val="bottom"/>
          </w:tcPr>
          <w:p>
            <w:pPr>
              <w:pStyle w:val="TableContents"/>
              <w:spacing w:before="0" w:after="0"/>
              <w:ind w:left="360" w:right="0" w:hanging="0"/>
              <w:jc w:val="both"/>
              <w:rPr>
                <w:rFonts w:ascii="times new roman" w:hAnsi="times new roman"/>
                <w:sz w:val="20"/>
              </w:rPr>
            </w:pPr>
            <w:r>
              <w:rPr>
                <w:rFonts w:ascii="times new roman" w:hAnsi="times new roman"/>
                <w:sz w:val="20"/>
              </w:rPr>
              <w:t>Reclassifications and other</w:t>
            </w:r>
          </w:p>
        </w:tc>
        <w:tc>
          <w:tcPr>
            <w:tcW w:w="108" w:type="dxa"/>
            <w:tcBorders/>
            <w:shd w:fill="auto" w:val="clear"/>
            <w:vAlign w:val="bottom"/>
          </w:tcPr>
          <w:p>
            <w:pPr>
              <w:pStyle w:val="TableContents"/>
              <w:spacing w:before="0" w:after="283"/>
              <w:rPr/>
            </w:pPr>
            <w:r>
              <w:rPr/>
              <w:t xml:space="preserve">  </w:t>
            </w:r>
          </w:p>
        </w:tc>
        <w:tc>
          <w:tcPr>
            <w:tcW w:w="15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6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auto" w:val="clear"/>
            <w:vAlign w:val="bottom"/>
          </w:tcPr>
          <w:p>
            <w:pPr>
              <w:pStyle w:val="TableContents"/>
              <w:spacing w:before="0" w:after="283"/>
              <w:rPr/>
            </w:pPr>
            <w:r>
              <w:rPr/>
              <w:t xml:space="preserve">  </w:t>
            </w:r>
          </w:p>
        </w:tc>
        <w:tc>
          <w:tcPr>
            <w:tcW w:w="14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00"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(58</w:t>
            </w:r>
          </w:p>
        </w:tc>
        <w:tc>
          <w:tcPr>
            <w:tcW w:w="1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4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7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4,808</w:t>
            </w:r>
          </w:p>
        </w:tc>
        <w:tc>
          <w:tcPr>
            <w:tcW w:w="108" w:type="dxa"/>
            <w:tcBorders/>
            <w:shd w:fill="auto" w:val="clear"/>
            <w:vAlign w:val="bottom"/>
          </w:tcPr>
          <w:p>
            <w:pPr>
              <w:pStyle w:val="TableContents"/>
              <w:spacing w:before="0" w:after="283"/>
              <w:rPr/>
            </w:pPr>
            <w:r>
              <w:rPr/>
              <w:t xml:space="preserve">  </w:t>
            </w:r>
          </w:p>
        </w:tc>
        <w:tc>
          <w:tcPr>
            <w:tcW w:w="14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01"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240</w:t>
            </w:r>
          </w:p>
        </w:tc>
        <w:tc>
          <w:tcPr>
            <w:tcW w:w="118" w:type="dxa"/>
            <w:tcBorders/>
            <w:shd w:fill="auto" w:val="clear"/>
            <w:vAlign w:val="bottom"/>
          </w:tcPr>
          <w:p>
            <w:pPr>
              <w:pStyle w:val="TableContents"/>
              <w:spacing w:before="0" w:after="283"/>
              <w:rPr/>
            </w:pPr>
            <w:r>
              <w:rPr/>
              <w:t xml:space="preserve">  </w:t>
            </w:r>
          </w:p>
        </w:tc>
        <w:tc>
          <w:tcPr>
            <w:tcW w:w="14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5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4,990</w:t>
            </w:r>
          </w:p>
        </w:tc>
        <w:tc>
          <w:tcPr>
            <w:tcW w:w="137" w:type="dxa"/>
            <w:tcBorders/>
            <w:shd w:fill="auto" w:val="clear"/>
            <w:vAlign w:val="bottom"/>
          </w:tcPr>
          <w:p>
            <w:pPr>
              <w:pStyle w:val="TableContents"/>
              <w:spacing w:before="0" w:after="283"/>
              <w:rPr/>
            </w:pPr>
            <w:r>
              <w:rPr/>
              <w:t xml:space="preserve">  </w:t>
            </w:r>
          </w:p>
        </w:tc>
      </w:tr>
      <w:tr>
        <w:trPr/>
        <w:tc>
          <w:tcPr>
            <w:tcW w:w="275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December 31, 2010</w:t>
            </w:r>
          </w:p>
        </w:tc>
        <w:tc>
          <w:tcPr>
            <w:tcW w:w="108" w:type="dxa"/>
            <w:tcBorders/>
            <w:shd w:fill="auto" w:val="clear"/>
            <w:vAlign w:val="bottom"/>
          </w:tcPr>
          <w:p>
            <w:pPr>
              <w:pStyle w:val="TableContents"/>
              <w:spacing w:before="0" w:after="283"/>
              <w:rPr/>
            </w:pPr>
            <w:r>
              <w:rPr/>
              <w:t xml:space="preserve">  </w:t>
            </w:r>
          </w:p>
        </w:tc>
        <w:tc>
          <w:tcPr>
            <w:tcW w:w="15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420,002</w:t>
            </w:r>
          </w:p>
        </w:tc>
        <w:tc>
          <w:tcPr>
            <w:tcW w:w="118" w:type="dxa"/>
            <w:tcBorders/>
            <w:shd w:fill="auto" w:val="clear"/>
            <w:vAlign w:val="bottom"/>
          </w:tcPr>
          <w:p>
            <w:pPr>
              <w:pStyle w:val="TableContents"/>
              <w:spacing w:before="0" w:after="283"/>
              <w:rPr/>
            </w:pPr>
            <w:r>
              <w:rPr/>
              <w:t xml:space="preserve">  </w:t>
            </w:r>
          </w:p>
        </w:tc>
        <w:tc>
          <w:tcPr>
            <w:tcW w:w="14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0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380,595</w:t>
            </w:r>
          </w:p>
        </w:tc>
        <w:tc>
          <w:tcPr>
            <w:tcW w:w="118" w:type="dxa"/>
            <w:tcBorders/>
            <w:shd w:fill="auto" w:val="clear"/>
            <w:vAlign w:val="bottom"/>
          </w:tcPr>
          <w:p>
            <w:pPr>
              <w:pStyle w:val="TableContents"/>
              <w:spacing w:before="0" w:after="283"/>
              <w:rPr/>
            </w:pPr>
            <w:r>
              <w:rPr/>
              <w:t xml:space="preserve">  </w:t>
            </w:r>
          </w:p>
        </w:tc>
        <w:tc>
          <w:tcPr>
            <w:tcW w:w="14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7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637,991</w:t>
            </w:r>
          </w:p>
        </w:tc>
        <w:tc>
          <w:tcPr>
            <w:tcW w:w="108" w:type="dxa"/>
            <w:tcBorders/>
            <w:shd w:fill="auto" w:val="clear"/>
            <w:vAlign w:val="bottom"/>
          </w:tcPr>
          <w:p>
            <w:pPr>
              <w:pStyle w:val="TableContents"/>
              <w:spacing w:before="0" w:after="283"/>
              <w:rPr/>
            </w:pPr>
            <w:r>
              <w:rPr/>
              <w:t xml:space="preserve">  </w:t>
            </w:r>
          </w:p>
        </w:tc>
        <w:tc>
          <w:tcPr>
            <w:tcW w:w="14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0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1,289,192</w:t>
            </w:r>
          </w:p>
        </w:tc>
        <w:tc>
          <w:tcPr>
            <w:tcW w:w="118" w:type="dxa"/>
            <w:tcBorders/>
            <w:shd w:fill="auto" w:val="clear"/>
            <w:vAlign w:val="bottom"/>
          </w:tcPr>
          <w:p>
            <w:pPr>
              <w:pStyle w:val="TableContents"/>
              <w:spacing w:before="0" w:after="283"/>
              <w:rPr/>
            </w:pPr>
            <w:r>
              <w:rPr/>
              <w:t xml:space="preserve">  </w:t>
            </w:r>
          </w:p>
        </w:tc>
        <w:tc>
          <w:tcPr>
            <w:tcW w:w="14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2,727,780</w:t>
            </w:r>
          </w:p>
        </w:tc>
        <w:tc>
          <w:tcPr>
            <w:tcW w:w="137"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Goodwill acquired during the year ended December 31, 2010 was attributable to the acquisitions of Heartscape and iTrade. The reclassifications and other are due primarily to contingent consideration payments related to acquisitions completed prior to January 1, 2009.</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257" w:name="list43"/>
      <w:bookmarkStart w:id="258" w:name="list43"/>
      <w:bookmarkEnd w:id="258"/>
    </w:p>
    <w:tbl>
      <w:tblPr>
        <w:tblW w:w="5000" w:type="pct"/>
        <w:jc w:val="left"/>
        <w:tblInd w:w="0" w:type="dxa"/>
        <w:tblCellMar>
          <w:top w:w="0" w:type="dxa"/>
          <w:left w:w="0" w:type="dxa"/>
          <w:bottom w:w="0" w:type="dxa"/>
          <w:right w:w="0" w:type="dxa"/>
        </w:tblCellMar>
      </w:tblPr>
      <w:tblGrid>
        <w:gridCol w:w="1387"/>
        <w:gridCol w:w="8818"/>
      </w:tblGrid>
      <w:tr>
        <w:trPr/>
        <w:tc>
          <w:tcPr>
            <w:tcW w:w="138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(6)  </w:t>
            </w:r>
          </w:p>
        </w:tc>
        <w:tc>
          <w:tcPr>
            <w:tcW w:w="8818"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Other intangible assets, net</w:t>
            </w:r>
          </w:p>
        </w:tc>
      </w:tr>
    </w:tbl>
    <w:p>
      <w:pPr>
        <w:pStyle w:val="TextBody"/>
        <w:spacing w:before="0" w:after="0"/>
        <w:ind w:left="0" w:right="0" w:hanging="0"/>
        <w:jc w:val="left"/>
        <w:rPr/>
      </w:pPr>
      <w:r>
        <w:rPr/>
        <w:t> </w:t>
      </w:r>
    </w:p>
    <w:tbl>
      <w:tblPr>
        <w:tblW w:w="4500" w:type="pct"/>
        <w:jc w:val="center"/>
        <w:tblInd w:w="0" w:type="dxa"/>
        <w:tblCellMar>
          <w:top w:w="0" w:type="dxa"/>
          <w:left w:w="0" w:type="dxa"/>
          <w:bottom w:w="0" w:type="dxa"/>
          <w:right w:w="0" w:type="dxa"/>
        </w:tblCellMar>
      </w:tblPr>
      <w:tblGrid>
        <w:gridCol w:w="3937"/>
        <w:gridCol w:w="262"/>
        <w:gridCol w:w="131"/>
        <w:gridCol w:w="1313"/>
        <w:gridCol w:w="262"/>
        <w:gridCol w:w="130"/>
        <w:gridCol w:w="1181"/>
        <w:gridCol w:w="262"/>
        <w:gridCol w:w="131"/>
        <w:gridCol w:w="1312"/>
        <w:gridCol w:w="263"/>
      </w:tblGrid>
      <w:tr>
        <w:trPr/>
        <w:tc>
          <w:tcPr>
            <w:tcW w:w="3937" w:type="dxa"/>
            <w:tcBorders/>
            <w:shd w:fill="auto" w:val="clear"/>
            <w:vAlign w:val="bottom"/>
          </w:tcPr>
          <w:p>
            <w:pPr>
              <w:pStyle w:val="TableContents"/>
              <w:spacing w:before="0" w:after="283"/>
              <w:rPr/>
            </w:pPr>
            <w:r>
              <w:rPr/>
              <w:t xml:space="preserve">  </w:t>
            </w:r>
          </w:p>
        </w:tc>
        <w:tc>
          <w:tcPr>
            <w:tcW w:w="262" w:type="dxa"/>
            <w:tcBorders/>
            <w:shd w:fill="auto" w:val="clear"/>
            <w:vAlign w:val="bottom"/>
          </w:tcPr>
          <w:p>
            <w:pPr>
              <w:pStyle w:val="TableContents"/>
              <w:spacing w:before="0" w:after="283"/>
              <w:rPr/>
            </w:pPr>
            <w:r>
              <w:rPr/>
              <w:t xml:space="preserve">  </w:t>
            </w:r>
          </w:p>
        </w:tc>
        <w:tc>
          <w:tcPr>
            <w:tcW w:w="14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Cost</w:t>
            </w:r>
          </w:p>
        </w:tc>
        <w:tc>
          <w:tcPr>
            <w:tcW w:w="26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3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Accum. amort.</w:t>
            </w:r>
          </w:p>
        </w:tc>
        <w:tc>
          <w:tcPr>
            <w:tcW w:w="26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44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Net book value</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283"/>
              <w:rPr/>
            </w:pPr>
            <w:r>
              <w:rPr/>
              <w:t xml:space="preserve">  </w:t>
            </w:r>
          </w:p>
        </w:tc>
        <w:tc>
          <w:tcPr>
            <w:tcW w:w="262" w:type="dxa"/>
            <w:tcBorders/>
            <w:shd w:fill="auto" w:val="clear"/>
            <w:vAlign w:val="bottom"/>
          </w:tcPr>
          <w:p>
            <w:pPr>
              <w:pStyle w:val="TableContents"/>
              <w:spacing w:before="0" w:after="283"/>
              <w:rPr/>
            </w:pPr>
            <w:r>
              <w:rPr/>
              <w:t xml:space="preserve">  </w:t>
            </w:r>
          </w:p>
        </w:tc>
        <w:tc>
          <w:tcPr>
            <w:tcW w:w="4722" w:type="dxa"/>
            <w:gridSpan w:val="8"/>
            <w:tcBorders/>
            <w:shd w:fill="auto" w:val="clear"/>
            <w:vAlign w:val="bottom"/>
          </w:tcPr>
          <w:p>
            <w:pPr>
              <w:pStyle w:val="TableContents"/>
              <w:spacing w:before="0" w:after="0"/>
              <w:ind w:left="0" w:right="0" w:hanging="0"/>
              <w:jc w:val="center"/>
              <w:rPr/>
            </w:pPr>
            <w:r>
              <w:rPr/>
              <w:t> </w:t>
            </w:r>
            <w:r>
              <w:rPr>
                <w:rFonts w:ascii="times new roman" w:hAnsi="times new roman"/>
                <w:b/>
                <w:sz w:val="20"/>
              </w:rPr>
              <w:t>(in thousands)</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Assets subject to amortization:</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3" w:type="dxa"/>
            <w:tcBorders/>
            <w:shd w:fill="auto" w:val="clear"/>
            <w:vAlign w:val="bottom"/>
          </w:tcPr>
          <w:p>
            <w:pPr>
              <w:pStyle w:val="TableContents"/>
              <w:spacing w:before="0" w:after="283"/>
              <w:rPr/>
            </w:pPr>
            <w:r>
              <w:rPr/>
              <w:t xml:space="preserve">  </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1181" w:type="dxa"/>
            <w:tcBorders/>
            <w:shd w:fill="auto" w:val="clear"/>
            <w:vAlign w:val="bottom"/>
          </w:tcPr>
          <w:p>
            <w:pPr>
              <w:pStyle w:val="TableContents"/>
              <w:spacing w:before="0" w:after="283"/>
              <w:rPr/>
            </w:pPr>
            <w:r>
              <w:rPr/>
              <w:t xml:space="preserve">  </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2" w:type="dxa"/>
            <w:tcBorders/>
            <w:shd w:fill="auto" w:val="clear"/>
            <w:vAlign w:val="bottom"/>
          </w:tcPr>
          <w:p>
            <w:pPr>
              <w:pStyle w:val="TableContents"/>
              <w:spacing w:before="0" w:after="283"/>
              <w:rPr/>
            </w:pPr>
            <w:r>
              <w:rPr/>
              <w:t xml:space="preserve">  </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firstLine="360"/>
              <w:jc w:val="both"/>
              <w:rPr>
                <w:rFonts w:ascii="times new roman" w:hAnsi="times new roman"/>
                <w:sz w:val="20"/>
              </w:rPr>
            </w:pPr>
            <w:r>
              <w:rPr>
                <w:rFonts w:ascii="times new roman" w:hAnsi="times new roman"/>
                <w:sz w:val="20"/>
              </w:rPr>
              <w:t>Customer related intangibles</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730,213</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(181,070</w:t>
            </w:r>
          </w:p>
        </w:tc>
        <w:tc>
          <w:tcPr>
            <w:tcW w:w="2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549,143</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firstLine="360"/>
              <w:jc w:val="both"/>
              <w:rPr>
                <w:rFonts w:ascii="times new roman" w:hAnsi="times new roman"/>
                <w:sz w:val="20"/>
              </w:rPr>
            </w:pPr>
            <w:r>
              <w:rPr>
                <w:rFonts w:ascii="times new roman" w:hAnsi="times new roman"/>
                <w:sz w:val="20"/>
              </w:rPr>
              <w:t>Unpatented technology</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124,278</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11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(33,769</w:t>
            </w:r>
          </w:p>
        </w:tc>
        <w:tc>
          <w:tcPr>
            <w:tcW w:w="2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xml:space="preserve">  </w:t>
            </w:r>
          </w:p>
        </w:tc>
        <w:tc>
          <w:tcPr>
            <w:tcW w:w="13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90,509</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firstLine="360"/>
              <w:jc w:val="both"/>
              <w:rPr>
                <w:rFonts w:ascii="times new roman" w:hAnsi="times new roman"/>
                <w:sz w:val="20"/>
              </w:rPr>
            </w:pPr>
            <w:r>
              <w:rPr>
                <w:rFonts w:ascii="times new roman" w:hAnsi="times new roman"/>
                <w:sz w:val="20"/>
              </w:rPr>
              <w:t>Software</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53,408</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11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(30,739</w:t>
            </w:r>
          </w:p>
        </w:tc>
        <w:tc>
          <w:tcPr>
            <w:tcW w:w="2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xml:space="preserve">  </w:t>
            </w:r>
          </w:p>
        </w:tc>
        <w:tc>
          <w:tcPr>
            <w:tcW w:w="13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22,669</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firstLine="360"/>
              <w:jc w:val="both"/>
              <w:rPr>
                <w:rFonts w:ascii="times new roman" w:hAnsi="times new roman"/>
                <w:sz w:val="20"/>
              </w:rPr>
            </w:pPr>
            <w:r>
              <w:rPr>
                <w:rFonts w:ascii="times new roman" w:hAnsi="times new roman"/>
                <w:sz w:val="20"/>
              </w:rPr>
              <w:t>Patents and other protective rights</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32,762</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11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(20,187</w:t>
            </w:r>
          </w:p>
        </w:tc>
        <w:tc>
          <w:tcPr>
            <w:tcW w:w="2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xml:space="preserve">  </w:t>
            </w:r>
          </w:p>
        </w:tc>
        <w:tc>
          <w:tcPr>
            <w:tcW w:w="13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12,575</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firstLine="360"/>
              <w:jc w:val="both"/>
              <w:rPr>
                <w:rFonts w:ascii="times new roman" w:hAnsi="times new roman"/>
                <w:sz w:val="20"/>
              </w:rPr>
            </w:pPr>
            <w:r>
              <w:rPr>
                <w:rFonts w:ascii="times new roman" w:hAnsi="times new roman"/>
                <w:sz w:val="20"/>
              </w:rPr>
              <w:t>Backlog</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1,920</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11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(1,920</w:t>
            </w:r>
          </w:p>
        </w:tc>
        <w:tc>
          <w:tcPr>
            <w:tcW w:w="2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xml:space="preserve">  </w:t>
            </w:r>
          </w:p>
        </w:tc>
        <w:tc>
          <w:tcPr>
            <w:tcW w:w="13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firstLine="360"/>
              <w:jc w:val="both"/>
              <w:rPr>
                <w:rFonts w:ascii="times new roman" w:hAnsi="times new roman"/>
                <w:sz w:val="20"/>
              </w:rPr>
            </w:pPr>
            <w:r>
              <w:rPr>
                <w:rFonts w:ascii="times new roman" w:hAnsi="times new roman"/>
                <w:sz w:val="20"/>
              </w:rPr>
              <w:t>Trade secrets</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2,773</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11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(1,224</w:t>
            </w:r>
          </w:p>
        </w:tc>
        <w:tc>
          <w:tcPr>
            <w:tcW w:w="2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xml:space="preserve">  </w:t>
            </w:r>
          </w:p>
        </w:tc>
        <w:tc>
          <w:tcPr>
            <w:tcW w:w="13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1,549</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Assets not subject to amortization:</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3" w:type="dxa"/>
            <w:tcBorders/>
            <w:shd w:fill="auto" w:val="clear"/>
            <w:vAlign w:val="bottom"/>
          </w:tcPr>
          <w:p>
            <w:pPr>
              <w:pStyle w:val="TableContents"/>
              <w:spacing w:before="0" w:after="283"/>
              <w:rPr/>
            </w:pPr>
            <w:r>
              <w:rPr/>
              <w:t xml:space="preserve">  </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1181" w:type="dxa"/>
            <w:tcBorders/>
            <w:shd w:fill="auto" w:val="clear"/>
            <w:vAlign w:val="bottom"/>
          </w:tcPr>
          <w:p>
            <w:pPr>
              <w:pStyle w:val="TableContents"/>
              <w:spacing w:before="0" w:after="283"/>
              <w:rPr/>
            </w:pPr>
            <w:r>
              <w:rPr/>
              <w:t xml:space="preserve">  </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2" w:type="dxa"/>
            <w:tcBorders/>
            <w:shd w:fill="auto" w:val="clear"/>
            <w:vAlign w:val="bottom"/>
          </w:tcPr>
          <w:p>
            <w:pPr>
              <w:pStyle w:val="TableContents"/>
              <w:spacing w:before="0" w:after="283"/>
              <w:rPr/>
            </w:pPr>
            <w:r>
              <w:rPr/>
              <w:t xml:space="preserve">  </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firstLine="360"/>
              <w:jc w:val="both"/>
              <w:rPr>
                <w:rFonts w:ascii="times new roman" w:hAnsi="times new roman"/>
                <w:sz w:val="20"/>
              </w:rPr>
            </w:pPr>
            <w:r>
              <w:rPr>
                <w:rFonts w:ascii="times new roman" w:hAnsi="times new roman"/>
                <w:sz w:val="20"/>
              </w:rPr>
              <w:t>Trade names</w:t>
            </w:r>
          </w:p>
        </w:tc>
        <w:tc>
          <w:tcPr>
            <w:tcW w:w="262" w:type="dxa"/>
            <w:tcBorders/>
            <w:shd w:fill="auto" w:val="clear"/>
            <w:vAlign w:val="bottom"/>
          </w:tcPr>
          <w:p>
            <w:pPr>
              <w:pStyle w:val="TableContents"/>
              <w:spacing w:before="0" w:after="283"/>
              <w:rPr/>
            </w:pPr>
            <w:r>
              <w:rPr/>
              <w:t xml:space="preserve">  </w:t>
            </w:r>
          </w:p>
        </w:tc>
        <w:tc>
          <w:tcPr>
            <w:tcW w:w="13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31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192,455</w:t>
            </w:r>
          </w:p>
        </w:tc>
        <w:tc>
          <w:tcPr>
            <w:tcW w:w="262" w:type="dxa"/>
            <w:tcBorders/>
            <w:shd w:fill="auto" w:val="clear"/>
            <w:vAlign w:val="bottom"/>
          </w:tcPr>
          <w:p>
            <w:pPr>
              <w:pStyle w:val="TableContents"/>
              <w:spacing w:before="0" w:after="283"/>
              <w:rPr/>
            </w:pPr>
            <w:r>
              <w:rPr/>
              <w:t xml:space="preserve">  </w:t>
            </w:r>
          </w:p>
        </w:tc>
        <w:tc>
          <w:tcPr>
            <w:tcW w:w="130"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81"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2" w:type="dxa"/>
            <w:tcBorders/>
            <w:shd w:fill="auto" w:val="clear"/>
            <w:vAlign w:val="bottom"/>
          </w:tcPr>
          <w:p>
            <w:pPr>
              <w:pStyle w:val="TableContents"/>
              <w:spacing w:before="0" w:after="283"/>
              <w:rPr/>
            </w:pPr>
            <w:r>
              <w:rPr/>
              <w:t xml:space="preserve">  </w:t>
            </w:r>
          </w:p>
        </w:tc>
        <w:tc>
          <w:tcPr>
            <w:tcW w:w="13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312"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192,455</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Balances at December 31, 2009</w:t>
            </w:r>
          </w:p>
        </w:tc>
        <w:tc>
          <w:tcPr>
            <w:tcW w:w="262" w:type="dxa"/>
            <w:tcBorders/>
            <w:shd w:fill="auto" w:val="clear"/>
            <w:vAlign w:val="bottom"/>
          </w:tcPr>
          <w:p>
            <w:pPr>
              <w:pStyle w:val="TableContents"/>
              <w:spacing w:before="0" w:after="283"/>
              <w:rPr/>
            </w:pPr>
            <w:r>
              <w:rPr/>
              <w:t xml:space="preserve">  </w:t>
            </w:r>
          </w:p>
        </w:tc>
        <w:tc>
          <w:tcPr>
            <w:tcW w:w="1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1,137,809</w:t>
            </w:r>
          </w:p>
        </w:tc>
        <w:tc>
          <w:tcPr>
            <w:tcW w:w="262" w:type="dxa"/>
            <w:tcBorders/>
            <w:shd w:fill="auto" w:val="clear"/>
            <w:vAlign w:val="bottom"/>
          </w:tcPr>
          <w:p>
            <w:pPr>
              <w:pStyle w:val="TableContents"/>
              <w:spacing w:before="0" w:after="283"/>
              <w:rPr/>
            </w:pPr>
            <w:r>
              <w:rPr/>
              <w:t xml:space="preserve">  </w:t>
            </w:r>
          </w:p>
        </w:tc>
        <w:tc>
          <w:tcPr>
            <w:tcW w:w="13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8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(268,909</w:t>
            </w:r>
          </w:p>
        </w:tc>
        <w:tc>
          <w:tcPr>
            <w:tcW w:w="2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2"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868,900</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283"/>
              <w:rPr/>
            </w:pPr>
            <w:r>
              <w:rPr/>
              <w:t xml:space="preserve">  </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3" w:type="dxa"/>
            <w:tcBorders/>
            <w:shd w:fill="auto" w:val="clear"/>
            <w:vAlign w:val="bottom"/>
          </w:tcPr>
          <w:p>
            <w:pPr>
              <w:pStyle w:val="TableContents"/>
              <w:spacing w:before="0" w:after="283"/>
              <w:rPr/>
            </w:pPr>
            <w:r>
              <w:rPr/>
              <w:t xml:space="preserve">  </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1181" w:type="dxa"/>
            <w:tcBorders/>
            <w:shd w:fill="auto" w:val="clear"/>
            <w:vAlign w:val="bottom"/>
          </w:tcPr>
          <w:p>
            <w:pPr>
              <w:pStyle w:val="TableContents"/>
              <w:spacing w:before="0" w:after="283"/>
              <w:rPr/>
            </w:pPr>
            <w:r>
              <w:rPr/>
              <w:t xml:space="preserve">  </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2" w:type="dxa"/>
            <w:tcBorders/>
            <w:shd w:fill="auto" w:val="clear"/>
            <w:vAlign w:val="bottom"/>
          </w:tcPr>
          <w:p>
            <w:pPr>
              <w:pStyle w:val="TableContents"/>
              <w:spacing w:before="0" w:after="283"/>
              <w:rPr/>
            </w:pPr>
            <w:r>
              <w:rPr/>
              <w:t xml:space="preserve">  </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Assets subject to amortization:</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3" w:type="dxa"/>
            <w:tcBorders/>
            <w:shd w:fill="auto" w:val="clear"/>
            <w:vAlign w:val="bottom"/>
          </w:tcPr>
          <w:p>
            <w:pPr>
              <w:pStyle w:val="TableContents"/>
              <w:spacing w:before="0" w:after="283"/>
              <w:rPr/>
            </w:pPr>
            <w:r>
              <w:rPr/>
              <w:t xml:space="preserve">  </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1181" w:type="dxa"/>
            <w:tcBorders/>
            <w:shd w:fill="auto" w:val="clear"/>
            <w:vAlign w:val="bottom"/>
          </w:tcPr>
          <w:p>
            <w:pPr>
              <w:pStyle w:val="TableContents"/>
              <w:spacing w:before="0" w:after="283"/>
              <w:rPr/>
            </w:pPr>
            <w:r>
              <w:rPr/>
              <w:t xml:space="preserve">  </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2" w:type="dxa"/>
            <w:tcBorders/>
            <w:shd w:fill="auto" w:val="clear"/>
            <w:vAlign w:val="bottom"/>
          </w:tcPr>
          <w:p>
            <w:pPr>
              <w:pStyle w:val="TableContents"/>
              <w:spacing w:before="0" w:after="283"/>
              <w:rPr/>
            </w:pPr>
            <w:r>
              <w:rPr/>
              <w:t xml:space="preserve">  </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firstLine="360"/>
              <w:jc w:val="both"/>
              <w:rPr>
                <w:rFonts w:ascii="times new roman" w:hAnsi="times new roman"/>
                <w:sz w:val="20"/>
              </w:rPr>
            </w:pPr>
            <w:r>
              <w:rPr>
                <w:rFonts w:ascii="times new roman" w:hAnsi="times new roman"/>
                <w:sz w:val="20"/>
              </w:rPr>
              <w:t>Customer related intangibles</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960,013</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(235,885</w:t>
            </w:r>
          </w:p>
        </w:tc>
        <w:tc>
          <w:tcPr>
            <w:tcW w:w="2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724,128</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firstLine="360"/>
              <w:jc w:val="both"/>
              <w:rPr>
                <w:rFonts w:ascii="times new roman" w:hAnsi="times new roman"/>
                <w:sz w:val="20"/>
              </w:rPr>
            </w:pPr>
            <w:r>
              <w:rPr>
                <w:rFonts w:ascii="times new roman" w:hAnsi="times new roman"/>
                <w:sz w:val="20"/>
              </w:rPr>
              <w:t>Unpatented technology</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175,819</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11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(54,376</w:t>
            </w:r>
          </w:p>
        </w:tc>
        <w:tc>
          <w:tcPr>
            <w:tcW w:w="2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xml:space="preserve">  </w:t>
            </w:r>
          </w:p>
        </w:tc>
        <w:tc>
          <w:tcPr>
            <w:tcW w:w="13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121,443</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firstLine="360"/>
              <w:jc w:val="both"/>
              <w:rPr>
                <w:rFonts w:ascii="times new roman" w:hAnsi="times new roman"/>
                <w:sz w:val="20"/>
              </w:rPr>
            </w:pPr>
            <w:r>
              <w:rPr>
                <w:rFonts w:ascii="times new roman" w:hAnsi="times new roman"/>
                <w:sz w:val="20"/>
              </w:rPr>
              <w:t>Software</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49,095</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11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(30,182</w:t>
            </w:r>
          </w:p>
        </w:tc>
        <w:tc>
          <w:tcPr>
            <w:tcW w:w="2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xml:space="preserve">  </w:t>
            </w:r>
          </w:p>
        </w:tc>
        <w:tc>
          <w:tcPr>
            <w:tcW w:w="13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18,913</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firstLine="360"/>
              <w:jc w:val="both"/>
              <w:rPr>
                <w:rFonts w:ascii="times new roman" w:hAnsi="times new roman"/>
                <w:sz w:val="20"/>
              </w:rPr>
            </w:pPr>
            <w:r>
              <w:rPr>
                <w:rFonts w:ascii="times new roman" w:hAnsi="times new roman"/>
                <w:sz w:val="20"/>
              </w:rPr>
              <w:t>Patents and other protective rights</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25,505</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11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(15,292</w:t>
            </w:r>
          </w:p>
        </w:tc>
        <w:tc>
          <w:tcPr>
            <w:tcW w:w="2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xml:space="preserve">  </w:t>
            </w:r>
          </w:p>
        </w:tc>
        <w:tc>
          <w:tcPr>
            <w:tcW w:w="13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10,213</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firstLine="360"/>
              <w:jc w:val="both"/>
              <w:rPr>
                <w:rFonts w:ascii="times new roman" w:hAnsi="times new roman"/>
                <w:sz w:val="20"/>
              </w:rPr>
            </w:pPr>
            <w:r>
              <w:rPr>
                <w:rFonts w:ascii="times new roman" w:hAnsi="times new roman"/>
                <w:sz w:val="20"/>
              </w:rPr>
              <w:t>Backlog</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11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firstLine="360"/>
              <w:jc w:val="both"/>
              <w:rPr>
                <w:rFonts w:ascii="times new roman" w:hAnsi="times new roman"/>
                <w:sz w:val="20"/>
              </w:rPr>
            </w:pPr>
            <w:r>
              <w:rPr>
                <w:rFonts w:ascii="times new roman" w:hAnsi="times new roman"/>
                <w:sz w:val="20"/>
              </w:rPr>
              <w:t>Trade secrets</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1,604</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11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(1,174</w:t>
            </w:r>
          </w:p>
        </w:tc>
        <w:tc>
          <w:tcPr>
            <w:tcW w:w="2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xml:space="preserve">  </w:t>
            </w:r>
          </w:p>
        </w:tc>
        <w:tc>
          <w:tcPr>
            <w:tcW w:w="13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430</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Assets not subject to amortization:</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3" w:type="dxa"/>
            <w:tcBorders/>
            <w:shd w:fill="auto" w:val="clear"/>
            <w:vAlign w:val="bottom"/>
          </w:tcPr>
          <w:p>
            <w:pPr>
              <w:pStyle w:val="TableContents"/>
              <w:spacing w:before="0" w:after="283"/>
              <w:rPr/>
            </w:pPr>
            <w:r>
              <w:rPr/>
              <w:t xml:space="preserve">  </w:t>
            </w:r>
          </w:p>
        </w:tc>
        <w:tc>
          <w:tcPr>
            <w:tcW w:w="262"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1181" w:type="dxa"/>
            <w:tcBorders/>
            <w:shd w:fill="auto" w:val="clear"/>
            <w:vAlign w:val="bottom"/>
          </w:tcPr>
          <w:p>
            <w:pPr>
              <w:pStyle w:val="TableContents"/>
              <w:spacing w:before="0" w:after="283"/>
              <w:rPr/>
            </w:pPr>
            <w:r>
              <w:rPr/>
              <w:t xml:space="preserve">  </w:t>
            </w:r>
          </w:p>
        </w:tc>
        <w:tc>
          <w:tcPr>
            <w:tcW w:w="26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1312" w:type="dxa"/>
            <w:tcBorders/>
            <w:shd w:fill="auto" w:val="clear"/>
            <w:vAlign w:val="bottom"/>
          </w:tcPr>
          <w:p>
            <w:pPr>
              <w:pStyle w:val="TableContents"/>
              <w:spacing w:before="0" w:after="283"/>
              <w:rPr/>
            </w:pPr>
            <w:r>
              <w:rPr/>
              <w:t xml:space="preserve">  </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firstLine="360"/>
              <w:jc w:val="both"/>
              <w:rPr>
                <w:rFonts w:ascii="times new roman" w:hAnsi="times new roman"/>
                <w:sz w:val="20"/>
              </w:rPr>
            </w:pPr>
            <w:r>
              <w:rPr>
                <w:rFonts w:ascii="times new roman" w:hAnsi="times new roman"/>
                <w:sz w:val="20"/>
              </w:rPr>
              <w:t>Trade names</w:t>
            </w:r>
          </w:p>
        </w:tc>
        <w:tc>
          <w:tcPr>
            <w:tcW w:w="262" w:type="dxa"/>
            <w:tcBorders/>
            <w:shd w:fill="auto" w:val="clear"/>
            <w:vAlign w:val="bottom"/>
          </w:tcPr>
          <w:p>
            <w:pPr>
              <w:pStyle w:val="TableContents"/>
              <w:spacing w:before="0" w:after="283"/>
              <w:rPr/>
            </w:pPr>
            <w:r>
              <w:rPr/>
              <w:t xml:space="preserve">  </w:t>
            </w:r>
          </w:p>
        </w:tc>
        <w:tc>
          <w:tcPr>
            <w:tcW w:w="13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31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229,386</w:t>
            </w:r>
          </w:p>
        </w:tc>
        <w:tc>
          <w:tcPr>
            <w:tcW w:w="262" w:type="dxa"/>
            <w:tcBorders/>
            <w:shd w:fill="auto" w:val="clear"/>
            <w:vAlign w:val="bottom"/>
          </w:tcPr>
          <w:p>
            <w:pPr>
              <w:pStyle w:val="TableContents"/>
              <w:spacing w:before="0" w:after="283"/>
              <w:rPr/>
            </w:pPr>
            <w:r>
              <w:rPr/>
              <w:t xml:space="preserve">  </w:t>
            </w:r>
          </w:p>
        </w:tc>
        <w:tc>
          <w:tcPr>
            <w:tcW w:w="130"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81"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2" w:type="dxa"/>
            <w:tcBorders/>
            <w:shd w:fill="auto" w:val="clear"/>
            <w:vAlign w:val="bottom"/>
          </w:tcPr>
          <w:p>
            <w:pPr>
              <w:pStyle w:val="TableContents"/>
              <w:spacing w:before="0" w:after="283"/>
              <w:rPr/>
            </w:pPr>
            <w:r>
              <w:rPr/>
              <w:t xml:space="preserve">  </w:t>
            </w:r>
          </w:p>
        </w:tc>
        <w:tc>
          <w:tcPr>
            <w:tcW w:w="13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312"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229,386</w:t>
            </w:r>
          </w:p>
        </w:tc>
        <w:tc>
          <w:tcPr>
            <w:tcW w:w="263" w:type="dxa"/>
            <w:tcBorders/>
            <w:shd w:fill="auto" w:val="clear"/>
            <w:vAlign w:val="bottom"/>
          </w:tcPr>
          <w:p>
            <w:pPr>
              <w:pStyle w:val="TableContents"/>
              <w:spacing w:before="0" w:after="283"/>
              <w:rPr/>
            </w:pPr>
            <w:r>
              <w:rPr/>
              <w:t xml:space="preserve">  </w:t>
            </w:r>
          </w:p>
        </w:tc>
      </w:tr>
      <w:tr>
        <w:trPr/>
        <w:tc>
          <w:tcPr>
            <w:tcW w:w="3937"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Balances at December 31, 2010</w:t>
            </w:r>
          </w:p>
        </w:tc>
        <w:tc>
          <w:tcPr>
            <w:tcW w:w="262" w:type="dxa"/>
            <w:tcBorders/>
            <w:shd w:fill="auto" w:val="clear"/>
            <w:vAlign w:val="bottom"/>
          </w:tcPr>
          <w:p>
            <w:pPr>
              <w:pStyle w:val="TableContents"/>
              <w:spacing w:before="0" w:after="283"/>
              <w:rPr/>
            </w:pPr>
            <w:r>
              <w:rPr/>
              <w:t xml:space="preserve">  </w:t>
            </w:r>
          </w:p>
        </w:tc>
        <w:tc>
          <w:tcPr>
            <w:tcW w:w="1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1,441,422</w:t>
            </w:r>
          </w:p>
        </w:tc>
        <w:tc>
          <w:tcPr>
            <w:tcW w:w="262" w:type="dxa"/>
            <w:tcBorders/>
            <w:shd w:fill="auto" w:val="clear"/>
            <w:vAlign w:val="bottom"/>
          </w:tcPr>
          <w:p>
            <w:pPr>
              <w:pStyle w:val="TableContents"/>
              <w:spacing w:before="0" w:after="283"/>
              <w:rPr/>
            </w:pPr>
            <w:r>
              <w:rPr/>
              <w:t xml:space="preserve">  </w:t>
            </w:r>
          </w:p>
        </w:tc>
        <w:tc>
          <w:tcPr>
            <w:tcW w:w="13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8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(336,909</w:t>
            </w:r>
          </w:p>
        </w:tc>
        <w:tc>
          <w:tcPr>
            <w:tcW w:w="2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12"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1,104,513</w:t>
            </w:r>
          </w:p>
        </w:tc>
        <w:tc>
          <w:tcPr>
            <w:tcW w:w="263"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Amortization expense of other intangible assets was $83.7 million, $66.8 million, and $64.0 million during the years ended 2010, 2009 and 2008, respectively. Amortization expense is expected to be $87.5 million in 2011, $84.7 million in 2012, $82.6 million in 2013, $74.6 million in 2014 and $61.0 million in 2015.</w:t>
      </w:r>
    </w:p>
    <w:p>
      <w:pPr>
        <w:pStyle w:val="TextBody"/>
        <w:spacing w:before="0" w:after="0"/>
        <w:ind w:left="360" w:right="0" w:hanging="0"/>
        <w:jc w:val="both"/>
        <w:rPr/>
      </w:pPr>
      <w:r>
        <w:rPr/>
        <w:t> </w:t>
      </w:r>
    </w:p>
    <w:p>
      <w:pPr>
        <w:pStyle w:val="TextBody"/>
        <w:spacing w:before="0" w:after="0"/>
        <w:ind w:left="360" w:right="0" w:hanging="0"/>
        <w:jc w:val="both"/>
        <w:rPr/>
      </w:pPr>
      <w:r>
        <w:rPr/>
        <w:t> </w:t>
      </w:r>
    </w:p>
    <w:p>
      <w:pPr>
        <w:pStyle w:val="Normal"/>
        <w:spacing w:before="0" w:after="0"/>
        <w:rPr>
          <w:sz w:val="4"/>
          <w:szCs w:val="4"/>
        </w:rPr>
      </w:pPr>
      <w:r>
        <w:rPr>
          <w:sz w:val="4"/>
          <w:szCs w:val="4"/>
        </w:rPr>
      </w:r>
      <w:bookmarkStart w:id="259" w:name="list44"/>
      <w:bookmarkStart w:id="260" w:name="list44"/>
      <w:bookmarkEnd w:id="260"/>
    </w:p>
    <w:tbl>
      <w:tblPr>
        <w:tblW w:w="5000" w:type="pct"/>
        <w:jc w:val="left"/>
        <w:tblInd w:w="0" w:type="dxa"/>
        <w:tblCellMar>
          <w:top w:w="0" w:type="dxa"/>
          <w:left w:w="0" w:type="dxa"/>
          <w:bottom w:w="0" w:type="dxa"/>
          <w:right w:w="0" w:type="dxa"/>
        </w:tblCellMar>
      </w:tblPr>
      <w:tblGrid>
        <w:gridCol w:w="1836"/>
        <w:gridCol w:w="8369"/>
      </w:tblGrid>
      <w:tr>
        <w:trPr/>
        <w:tc>
          <w:tcPr>
            <w:tcW w:w="183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(7)  </w:t>
            </w:r>
          </w:p>
        </w:tc>
        <w:tc>
          <w:tcPr>
            <w:tcW w:w="8369"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Accrued Liabilities</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Accrued liabilities at December 31 were as follows (in thousands):</w:t>
      </w:r>
    </w:p>
    <w:p>
      <w:pPr>
        <w:pStyle w:val="TextBody"/>
        <w:spacing w:before="0" w:after="0"/>
        <w:ind w:left="0" w:right="0" w:hanging="0"/>
        <w:jc w:val="left"/>
        <w:rPr/>
      </w:pPr>
      <w:r>
        <w:rPr/>
        <w:t> </w:t>
      </w:r>
    </w:p>
    <w:tbl>
      <w:tblPr>
        <w:tblW w:w="2500" w:type="pct"/>
        <w:jc w:val="center"/>
        <w:tblInd w:w="0" w:type="dxa"/>
        <w:tblCellMar>
          <w:top w:w="0" w:type="dxa"/>
          <w:left w:w="0" w:type="dxa"/>
          <w:bottom w:w="0" w:type="dxa"/>
          <w:right w:w="0" w:type="dxa"/>
        </w:tblCellMar>
      </w:tblPr>
      <w:tblGrid>
        <w:gridCol w:w="2645"/>
        <w:gridCol w:w="226"/>
        <w:gridCol w:w="135"/>
        <w:gridCol w:w="802"/>
        <w:gridCol w:w="226"/>
        <w:gridCol w:w="135"/>
        <w:gridCol w:w="696"/>
        <w:gridCol w:w="237"/>
      </w:tblGrid>
      <w:tr>
        <w:trPr/>
        <w:tc>
          <w:tcPr>
            <w:tcW w:w="2645" w:type="dxa"/>
            <w:tcBorders/>
            <w:shd w:fill="auto" w:val="clear"/>
            <w:vAlign w:val="bottom"/>
          </w:tcPr>
          <w:p>
            <w:pPr>
              <w:pStyle w:val="TableContents"/>
              <w:spacing w:before="0" w:after="283"/>
              <w:rPr/>
            </w:pPr>
            <w:r>
              <w:rPr/>
              <w:t xml:space="preserve">  </w:t>
            </w:r>
          </w:p>
        </w:tc>
        <w:tc>
          <w:tcPr>
            <w:tcW w:w="226" w:type="dxa"/>
            <w:tcBorders/>
            <w:shd w:fill="auto" w:val="clear"/>
            <w:vAlign w:val="bottom"/>
          </w:tcPr>
          <w:p>
            <w:pPr>
              <w:pStyle w:val="TableContents"/>
              <w:spacing w:before="0" w:after="283"/>
              <w:rPr/>
            </w:pPr>
            <w:r>
              <w:rPr/>
              <w:t xml:space="preserve">  </w:t>
            </w:r>
          </w:p>
        </w:tc>
        <w:tc>
          <w:tcPr>
            <w:tcW w:w="9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226" w:type="dxa"/>
            <w:tcBorders/>
            <w:shd w:fill="auto" w:val="clear"/>
            <w:vAlign w:val="bottom"/>
          </w:tcPr>
          <w:p>
            <w:pPr>
              <w:pStyle w:val="TableContents"/>
              <w:spacing w:before="0" w:after="283"/>
              <w:rPr/>
            </w:pPr>
            <w:r>
              <w:rPr/>
              <w:t xml:space="preserve">  </w:t>
            </w:r>
          </w:p>
        </w:tc>
        <w:tc>
          <w:tcPr>
            <w:tcW w:w="8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237" w:type="dxa"/>
            <w:tcBorders/>
            <w:shd w:fill="auto" w:val="clear"/>
            <w:vAlign w:val="bottom"/>
          </w:tcPr>
          <w:p>
            <w:pPr>
              <w:pStyle w:val="TableContents"/>
              <w:spacing w:before="0" w:after="283"/>
              <w:rPr/>
            </w:pPr>
            <w:r>
              <w:rPr/>
              <w:t xml:space="preserve">  </w:t>
            </w:r>
          </w:p>
        </w:tc>
      </w:tr>
      <w:tr>
        <w:trPr/>
        <w:tc>
          <w:tcPr>
            <w:tcW w:w="2645"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Wages and other compensation</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0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91,181</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70,164</w:t>
            </w:r>
          </w:p>
        </w:tc>
        <w:tc>
          <w:tcPr>
            <w:tcW w:w="237" w:type="dxa"/>
            <w:tcBorders/>
            <w:shd w:fill="auto" w:val="clear"/>
            <w:vAlign w:val="bottom"/>
          </w:tcPr>
          <w:p>
            <w:pPr>
              <w:pStyle w:val="TableContents"/>
              <w:spacing w:before="0" w:after="283"/>
              <w:rPr/>
            </w:pPr>
            <w:r>
              <w:rPr/>
              <w:t xml:space="preserve">  </w:t>
            </w:r>
          </w:p>
        </w:tc>
      </w:tr>
      <w:tr>
        <w:trPr/>
        <w:tc>
          <w:tcPr>
            <w:tcW w:w="2645"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Deferred revenue</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c>
          <w:tcPr>
            <w:tcW w:w="80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93,498</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c>
          <w:tcPr>
            <w:tcW w:w="69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78,077</w:t>
            </w:r>
          </w:p>
        </w:tc>
        <w:tc>
          <w:tcPr>
            <w:tcW w:w="237" w:type="dxa"/>
            <w:tcBorders/>
            <w:shd w:fill="auto" w:val="clear"/>
            <w:vAlign w:val="bottom"/>
          </w:tcPr>
          <w:p>
            <w:pPr>
              <w:pStyle w:val="TableContents"/>
              <w:spacing w:before="0" w:after="283"/>
              <w:rPr/>
            </w:pPr>
            <w:r>
              <w:rPr/>
              <w:t xml:space="preserve">  </w:t>
            </w:r>
          </w:p>
        </w:tc>
      </w:tr>
      <w:tr>
        <w:trPr/>
        <w:tc>
          <w:tcPr>
            <w:tcW w:w="2645"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Interest</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c>
          <w:tcPr>
            <w:tcW w:w="80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26,404</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c>
          <w:tcPr>
            <w:tcW w:w="69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26,452</w:t>
            </w:r>
          </w:p>
        </w:tc>
        <w:tc>
          <w:tcPr>
            <w:tcW w:w="237" w:type="dxa"/>
            <w:tcBorders/>
            <w:shd w:fill="auto" w:val="clear"/>
            <w:vAlign w:val="bottom"/>
          </w:tcPr>
          <w:p>
            <w:pPr>
              <w:pStyle w:val="TableContents"/>
              <w:spacing w:before="0" w:after="283"/>
              <w:rPr/>
            </w:pPr>
            <w:r>
              <w:rPr/>
              <w:t xml:space="preserve">  </w:t>
            </w:r>
          </w:p>
        </w:tc>
      </w:tr>
      <w:tr>
        <w:trPr/>
        <w:tc>
          <w:tcPr>
            <w:tcW w:w="2645"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Customer deposits</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c>
          <w:tcPr>
            <w:tcW w:w="80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13,941</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c>
          <w:tcPr>
            <w:tcW w:w="69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8,378</w:t>
            </w:r>
          </w:p>
        </w:tc>
        <w:tc>
          <w:tcPr>
            <w:tcW w:w="237" w:type="dxa"/>
            <w:tcBorders/>
            <w:shd w:fill="auto" w:val="clear"/>
            <w:vAlign w:val="bottom"/>
          </w:tcPr>
          <w:p>
            <w:pPr>
              <w:pStyle w:val="TableContents"/>
              <w:spacing w:before="0" w:after="283"/>
              <w:rPr/>
            </w:pPr>
            <w:r>
              <w:rPr/>
              <w:t xml:space="preserve">  </w:t>
            </w:r>
          </w:p>
        </w:tc>
      </w:tr>
      <w:tr>
        <w:trPr/>
        <w:tc>
          <w:tcPr>
            <w:tcW w:w="2645"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Commissions</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c>
          <w:tcPr>
            <w:tcW w:w="80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12,086</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c>
          <w:tcPr>
            <w:tcW w:w="69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9,522</w:t>
            </w:r>
          </w:p>
        </w:tc>
        <w:tc>
          <w:tcPr>
            <w:tcW w:w="237" w:type="dxa"/>
            <w:tcBorders/>
            <w:shd w:fill="auto" w:val="clear"/>
            <w:vAlign w:val="bottom"/>
          </w:tcPr>
          <w:p>
            <w:pPr>
              <w:pStyle w:val="TableContents"/>
              <w:spacing w:before="0" w:after="283"/>
              <w:rPr/>
            </w:pPr>
            <w:r>
              <w:rPr/>
              <w:t xml:space="preserve">  </w:t>
            </w:r>
          </w:p>
        </w:tc>
      </w:tr>
      <w:tr>
        <w:trPr/>
        <w:tc>
          <w:tcPr>
            <w:tcW w:w="2645"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Accrued dividend</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c>
          <w:tcPr>
            <w:tcW w:w="80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10,456</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c>
          <w:tcPr>
            <w:tcW w:w="69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8,894</w:t>
            </w:r>
          </w:p>
        </w:tc>
        <w:tc>
          <w:tcPr>
            <w:tcW w:w="237" w:type="dxa"/>
            <w:tcBorders/>
            <w:shd w:fill="auto" w:val="clear"/>
            <w:vAlign w:val="bottom"/>
          </w:tcPr>
          <w:p>
            <w:pPr>
              <w:pStyle w:val="TableContents"/>
              <w:spacing w:before="0" w:after="283"/>
              <w:rPr/>
            </w:pPr>
            <w:r>
              <w:rPr/>
              <w:t xml:space="preserve">  </w:t>
            </w:r>
          </w:p>
        </w:tc>
      </w:tr>
      <w:tr>
        <w:trPr/>
        <w:tc>
          <w:tcPr>
            <w:tcW w:w="2645"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Warranty</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c>
          <w:tcPr>
            <w:tcW w:w="80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7,038</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c>
          <w:tcPr>
            <w:tcW w:w="69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7,341</w:t>
            </w:r>
          </w:p>
        </w:tc>
        <w:tc>
          <w:tcPr>
            <w:tcW w:w="237" w:type="dxa"/>
            <w:tcBorders/>
            <w:shd w:fill="auto" w:val="clear"/>
            <w:vAlign w:val="bottom"/>
          </w:tcPr>
          <w:p>
            <w:pPr>
              <w:pStyle w:val="TableContents"/>
              <w:spacing w:before="0" w:after="283"/>
              <w:rPr/>
            </w:pPr>
            <w:r>
              <w:rPr/>
              <w:t xml:space="preserve">  </w:t>
            </w:r>
          </w:p>
        </w:tc>
      </w:tr>
      <w:tr>
        <w:trPr/>
        <w:tc>
          <w:tcPr>
            <w:tcW w:w="2645"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Billings in excess of cost</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c>
          <w:tcPr>
            <w:tcW w:w="80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6,763</w:t>
            </w:r>
          </w:p>
        </w:tc>
        <w:tc>
          <w:tcPr>
            <w:tcW w:w="226"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xml:space="preserve">  </w:t>
            </w:r>
          </w:p>
        </w:tc>
        <w:tc>
          <w:tcPr>
            <w:tcW w:w="69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9,955</w:t>
            </w:r>
          </w:p>
        </w:tc>
        <w:tc>
          <w:tcPr>
            <w:tcW w:w="237" w:type="dxa"/>
            <w:tcBorders/>
            <w:shd w:fill="auto" w:val="clear"/>
            <w:vAlign w:val="bottom"/>
          </w:tcPr>
          <w:p>
            <w:pPr>
              <w:pStyle w:val="TableContents"/>
              <w:spacing w:before="0" w:after="283"/>
              <w:rPr/>
            </w:pPr>
            <w:r>
              <w:rPr/>
              <w:t xml:space="preserve">  </w:t>
            </w:r>
          </w:p>
        </w:tc>
      </w:tr>
      <w:tr>
        <w:trPr/>
        <w:tc>
          <w:tcPr>
            <w:tcW w:w="2645"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Other</w:t>
            </w:r>
          </w:p>
        </w:tc>
        <w:tc>
          <w:tcPr>
            <w:tcW w:w="226" w:type="dxa"/>
            <w:tcBorders/>
            <w:shd w:fill="auto" w:val="clear"/>
            <w:vAlign w:val="bottom"/>
          </w:tcPr>
          <w:p>
            <w:pPr>
              <w:pStyle w:val="TableContents"/>
              <w:spacing w:before="0" w:after="283"/>
              <w:rPr/>
            </w:pPr>
            <w:r>
              <w:rPr/>
              <w:t xml:space="preserve">  </w:t>
            </w:r>
          </w:p>
        </w:tc>
        <w:tc>
          <w:tcPr>
            <w:tcW w:w="13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02"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36,713</w:t>
            </w:r>
          </w:p>
        </w:tc>
        <w:tc>
          <w:tcPr>
            <w:tcW w:w="226" w:type="dxa"/>
            <w:tcBorders/>
            <w:shd w:fill="auto" w:val="clear"/>
            <w:vAlign w:val="bottom"/>
          </w:tcPr>
          <w:p>
            <w:pPr>
              <w:pStyle w:val="TableContents"/>
              <w:spacing w:before="0" w:after="283"/>
              <w:rPr/>
            </w:pPr>
            <w:r>
              <w:rPr/>
              <w:t xml:space="preserve">  </w:t>
            </w:r>
          </w:p>
        </w:tc>
        <w:tc>
          <w:tcPr>
            <w:tcW w:w="13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696"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34,658</w:t>
            </w:r>
          </w:p>
        </w:tc>
        <w:tc>
          <w:tcPr>
            <w:tcW w:w="237" w:type="dxa"/>
            <w:tcBorders/>
            <w:shd w:fill="auto" w:val="clear"/>
            <w:vAlign w:val="bottom"/>
          </w:tcPr>
          <w:p>
            <w:pPr>
              <w:pStyle w:val="TableContents"/>
              <w:spacing w:before="0" w:after="283"/>
              <w:rPr/>
            </w:pPr>
            <w:r>
              <w:rPr/>
              <w:t xml:space="preserve">  </w:t>
            </w:r>
          </w:p>
        </w:tc>
      </w:tr>
      <w:tr>
        <w:trPr/>
        <w:tc>
          <w:tcPr>
            <w:tcW w:w="2645" w:type="dxa"/>
            <w:tcBorders/>
            <w:shd w:fill="auto" w:val="clear"/>
            <w:vAlign w:val="bottom"/>
          </w:tcPr>
          <w:p>
            <w:pPr>
              <w:pStyle w:val="TableContents"/>
              <w:spacing w:before="0" w:after="283"/>
              <w:rPr/>
            </w:pPr>
            <w:r>
              <w:rPr/>
              <w:t xml:space="preserve">  </w:t>
            </w:r>
          </w:p>
        </w:tc>
        <w:tc>
          <w:tcPr>
            <w:tcW w:w="226" w:type="dxa"/>
            <w:tcBorders/>
            <w:shd w:fill="auto" w:val="clear"/>
            <w:vAlign w:val="bottom"/>
          </w:tcPr>
          <w:p>
            <w:pPr>
              <w:pStyle w:val="TableContents"/>
              <w:spacing w:before="0" w:after="283"/>
              <w:rPr/>
            </w:pPr>
            <w:r>
              <w:rPr/>
              <w:t xml:space="preserve">  </w:t>
            </w:r>
          </w:p>
        </w:tc>
        <w:tc>
          <w:tcPr>
            <w:tcW w:w="13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02"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298,080</w:t>
            </w:r>
          </w:p>
        </w:tc>
        <w:tc>
          <w:tcPr>
            <w:tcW w:w="226" w:type="dxa"/>
            <w:tcBorders/>
            <w:shd w:fill="auto" w:val="clear"/>
            <w:vAlign w:val="bottom"/>
          </w:tcPr>
          <w:p>
            <w:pPr>
              <w:pStyle w:val="TableContents"/>
              <w:spacing w:before="0" w:after="283"/>
              <w:rPr/>
            </w:pPr>
            <w:r>
              <w:rPr/>
              <w:t xml:space="preserve">  </w:t>
            </w:r>
          </w:p>
        </w:tc>
        <w:tc>
          <w:tcPr>
            <w:tcW w:w="13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696"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253,441</w:t>
            </w:r>
          </w:p>
        </w:tc>
        <w:tc>
          <w:tcPr>
            <w:tcW w:w="237"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1" w:name="PGBRK13"/>
      <w:bookmarkStart w:id="262" w:name="PGBRK13"/>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3" w:name="FTR13"/>
      <w:bookmarkStart w:id="264" w:name="FTR13"/>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5" w:name="GLFTR13"/>
      <w:bookmarkEnd w:id="2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6" w:name="PN13"/>
      <w:bookmarkEnd w:id="266"/>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7" w:name="HDR13"/>
      <w:bookmarkStart w:id="268" w:name="HDR13"/>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9" w:name="GLHDR13"/>
      <w:bookmarkEnd w:id="2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270" w:name="list45"/>
      <w:bookmarkStart w:id="271" w:name="list45"/>
      <w:bookmarkEnd w:id="271"/>
    </w:p>
    <w:tbl>
      <w:tblPr>
        <w:tblW w:w="5000" w:type="pct"/>
        <w:jc w:val="left"/>
        <w:tblInd w:w="0" w:type="dxa"/>
        <w:tblCellMar>
          <w:top w:w="0" w:type="dxa"/>
          <w:left w:w="0" w:type="dxa"/>
          <w:bottom w:w="0" w:type="dxa"/>
          <w:right w:w="0" w:type="dxa"/>
        </w:tblCellMar>
      </w:tblPr>
      <w:tblGrid>
        <w:gridCol w:w="2365"/>
        <w:gridCol w:w="7840"/>
      </w:tblGrid>
      <w:tr>
        <w:trPr/>
        <w:tc>
          <w:tcPr>
            <w:tcW w:w="23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(8)  </w:t>
            </w:r>
          </w:p>
        </w:tc>
        <w:tc>
          <w:tcPr>
            <w:tcW w:w="7840"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Income Taxes</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Earnings before income taxes for the years ended December 31, 2010, 2009 and 2008 consisted of the following components (in thousands):</w:t>
      </w:r>
    </w:p>
    <w:p>
      <w:pPr>
        <w:pStyle w:val="TextBody"/>
        <w:spacing w:before="0" w:after="0"/>
        <w:ind w:left="0" w:right="0" w:hanging="0"/>
        <w:rPr/>
      </w:pPr>
      <w:r>
        <w:rPr/>
      </w:r>
    </w:p>
    <w:tbl>
      <w:tblPr>
        <w:tblW w:w="3000" w:type="pct"/>
        <w:jc w:val="center"/>
        <w:tblInd w:w="0" w:type="dxa"/>
        <w:tblCellMar>
          <w:top w:w="0" w:type="dxa"/>
          <w:left w:w="0" w:type="dxa"/>
          <w:bottom w:w="0" w:type="dxa"/>
          <w:right w:w="0" w:type="dxa"/>
        </w:tblCellMar>
      </w:tblPr>
      <w:tblGrid>
        <w:gridCol w:w="1729"/>
        <w:gridCol w:w="314"/>
        <w:gridCol w:w="156"/>
        <w:gridCol w:w="942"/>
        <w:gridCol w:w="156"/>
        <w:gridCol w:w="157"/>
        <w:gridCol w:w="1100"/>
        <w:gridCol w:w="156"/>
        <w:gridCol w:w="156"/>
        <w:gridCol w:w="943"/>
        <w:gridCol w:w="314"/>
      </w:tblGrid>
      <w:tr>
        <w:trPr/>
        <w:tc>
          <w:tcPr>
            <w:tcW w:w="1729" w:type="dxa"/>
            <w:tcBorders/>
            <w:shd w:fill="auto" w:val="clear"/>
            <w:vAlign w:val="bottom"/>
          </w:tcPr>
          <w:p>
            <w:pPr>
              <w:pStyle w:val="TableContents"/>
              <w:spacing w:before="0" w:after="283"/>
              <w:rPr/>
            </w:pPr>
            <w:r>
              <w:rPr/>
              <w:t xml:space="preserve">  </w:t>
            </w:r>
          </w:p>
        </w:tc>
        <w:tc>
          <w:tcPr>
            <w:tcW w:w="314" w:type="dxa"/>
            <w:tcBorders/>
            <w:shd w:fill="auto" w:val="clear"/>
            <w:vAlign w:val="bottom"/>
          </w:tcPr>
          <w:p>
            <w:pPr>
              <w:pStyle w:val="TableContents"/>
              <w:spacing w:before="0" w:after="283"/>
              <w:rPr/>
            </w:pPr>
            <w:r>
              <w:rPr/>
              <w:t xml:space="preserve">  </w:t>
            </w:r>
          </w:p>
        </w:tc>
        <w:tc>
          <w:tcPr>
            <w:tcW w:w="109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56" w:type="dxa"/>
            <w:tcBorders/>
            <w:shd w:fill="auto" w:val="clear"/>
            <w:vAlign w:val="bottom"/>
          </w:tcPr>
          <w:p>
            <w:pPr>
              <w:pStyle w:val="TableContents"/>
              <w:spacing w:before="0" w:after="283"/>
              <w:rPr/>
            </w:pPr>
            <w:r>
              <w:rPr/>
              <w:t xml:space="preserve">  </w:t>
            </w:r>
          </w:p>
        </w:tc>
        <w:tc>
          <w:tcPr>
            <w:tcW w:w="125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56" w:type="dxa"/>
            <w:tcBorders/>
            <w:shd w:fill="auto" w:val="clear"/>
            <w:vAlign w:val="bottom"/>
          </w:tcPr>
          <w:p>
            <w:pPr>
              <w:pStyle w:val="TableContents"/>
              <w:spacing w:before="0" w:after="283"/>
              <w:rPr/>
            </w:pPr>
            <w:r>
              <w:rPr/>
              <w:t xml:space="preserve">  </w:t>
            </w:r>
          </w:p>
        </w:tc>
        <w:tc>
          <w:tcPr>
            <w:tcW w:w="10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314" w:type="dxa"/>
            <w:tcBorders/>
            <w:shd w:fill="auto" w:val="clear"/>
            <w:vAlign w:val="bottom"/>
          </w:tcPr>
          <w:p>
            <w:pPr>
              <w:pStyle w:val="TableContents"/>
              <w:spacing w:before="0" w:after="283"/>
              <w:rPr/>
            </w:pPr>
            <w:r>
              <w:rPr/>
              <w:t xml:space="preserve">  </w:t>
            </w:r>
          </w:p>
        </w:tc>
      </w:tr>
      <w:tr>
        <w:trPr/>
        <w:tc>
          <w:tcPr>
            <w:tcW w:w="1729"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United States</w:t>
            </w:r>
          </w:p>
        </w:tc>
        <w:tc>
          <w:tcPr>
            <w:tcW w:w="314" w:type="dxa"/>
            <w:tcBorders/>
            <w:shd w:fill="auto" w:val="clear"/>
            <w:vAlign w:val="bottom"/>
          </w:tcPr>
          <w:p>
            <w:pPr>
              <w:pStyle w:val="TableContents"/>
              <w:spacing w:before="0" w:after="283"/>
              <w:rPr/>
            </w:pPr>
            <w:r>
              <w:rPr/>
              <w:t xml:space="preserve">  </w:t>
            </w:r>
          </w:p>
        </w:tc>
        <w:tc>
          <w:tcPr>
            <w:tcW w:w="15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270,281</w:t>
            </w:r>
          </w:p>
        </w:tc>
        <w:tc>
          <w:tcPr>
            <w:tcW w:w="156"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210,559</w:t>
            </w:r>
          </w:p>
        </w:tc>
        <w:tc>
          <w:tcPr>
            <w:tcW w:w="156" w:type="dxa"/>
            <w:tcBorders/>
            <w:shd w:fill="auto" w:val="clear"/>
            <w:vAlign w:val="bottom"/>
          </w:tcPr>
          <w:p>
            <w:pPr>
              <w:pStyle w:val="TableContents"/>
              <w:spacing w:before="0" w:after="283"/>
              <w:rPr/>
            </w:pPr>
            <w:r>
              <w:rPr/>
              <w:t xml:space="preserve">  </w:t>
            </w:r>
          </w:p>
        </w:tc>
        <w:tc>
          <w:tcPr>
            <w:tcW w:w="15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260,247</w:t>
            </w:r>
          </w:p>
        </w:tc>
        <w:tc>
          <w:tcPr>
            <w:tcW w:w="314" w:type="dxa"/>
            <w:tcBorders/>
            <w:shd w:fill="auto" w:val="clear"/>
            <w:vAlign w:val="bottom"/>
          </w:tcPr>
          <w:p>
            <w:pPr>
              <w:pStyle w:val="TableContents"/>
              <w:spacing w:before="0" w:after="283"/>
              <w:rPr/>
            </w:pPr>
            <w:r>
              <w:rPr/>
              <w:t xml:space="preserve">  </w:t>
            </w:r>
          </w:p>
        </w:tc>
      </w:tr>
      <w:tr>
        <w:trPr/>
        <w:tc>
          <w:tcPr>
            <w:tcW w:w="1729"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Other</w:t>
            </w:r>
          </w:p>
        </w:tc>
        <w:tc>
          <w:tcPr>
            <w:tcW w:w="314" w:type="dxa"/>
            <w:tcBorders/>
            <w:shd w:fill="auto" w:val="clear"/>
            <w:vAlign w:val="bottom"/>
          </w:tcPr>
          <w:p>
            <w:pPr>
              <w:pStyle w:val="TableContents"/>
              <w:spacing w:before="0" w:after="283"/>
              <w:rPr/>
            </w:pPr>
            <w:r>
              <w:rPr/>
              <w:t xml:space="preserve">  </w:t>
            </w:r>
          </w:p>
        </w:tc>
        <w:tc>
          <w:tcPr>
            <w:tcW w:w="15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42"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178,113</w:t>
            </w:r>
          </w:p>
        </w:tc>
        <w:tc>
          <w:tcPr>
            <w:tcW w:w="156" w:type="dxa"/>
            <w:tcBorders/>
            <w:shd w:fill="auto" w:val="clear"/>
            <w:vAlign w:val="bottom"/>
          </w:tcPr>
          <w:p>
            <w:pPr>
              <w:pStyle w:val="TableContents"/>
              <w:spacing w:before="0" w:after="283"/>
              <w:rPr/>
            </w:pPr>
            <w:r>
              <w:rPr/>
              <w:t xml:space="preserve">  </w:t>
            </w:r>
          </w:p>
        </w:tc>
        <w:tc>
          <w:tcPr>
            <w:tcW w:w="15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00"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129,209</w:t>
            </w:r>
          </w:p>
        </w:tc>
        <w:tc>
          <w:tcPr>
            <w:tcW w:w="156" w:type="dxa"/>
            <w:tcBorders/>
            <w:shd w:fill="auto" w:val="clear"/>
            <w:vAlign w:val="bottom"/>
          </w:tcPr>
          <w:p>
            <w:pPr>
              <w:pStyle w:val="TableContents"/>
              <w:spacing w:before="0" w:after="283"/>
              <w:rPr/>
            </w:pPr>
            <w:r>
              <w:rPr/>
              <w:t xml:space="preserve">  </w:t>
            </w:r>
          </w:p>
        </w:tc>
        <w:tc>
          <w:tcPr>
            <w:tcW w:w="15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43"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w:t>
            </w:r>
            <w:r>
              <w:rPr>
                <w:rFonts w:ascii="times new roman" w:hAnsi="times new roman"/>
                <w:sz w:val="20"/>
              </w:rPr>
              <w:t>168,569</w:t>
            </w:r>
          </w:p>
        </w:tc>
        <w:tc>
          <w:tcPr>
            <w:tcW w:w="314" w:type="dxa"/>
            <w:tcBorders/>
            <w:shd w:fill="auto" w:val="clear"/>
            <w:vAlign w:val="bottom"/>
          </w:tcPr>
          <w:p>
            <w:pPr>
              <w:pStyle w:val="TableContents"/>
              <w:spacing w:before="0" w:after="283"/>
              <w:rPr/>
            </w:pPr>
            <w:r>
              <w:rPr/>
              <w:t xml:space="preserve">  </w:t>
            </w:r>
          </w:p>
        </w:tc>
      </w:tr>
      <w:tr>
        <w:trPr/>
        <w:tc>
          <w:tcPr>
            <w:tcW w:w="1729" w:type="dxa"/>
            <w:tcBorders/>
            <w:shd w:fill="auto" w:val="clear"/>
            <w:vAlign w:val="bottom"/>
          </w:tcPr>
          <w:p>
            <w:pPr>
              <w:pStyle w:val="TableContents"/>
              <w:spacing w:before="0" w:after="283"/>
              <w:rPr/>
            </w:pPr>
            <w:r>
              <w:rPr/>
              <w:t xml:space="preserve">  </w:t>
            </w:r>
          </w:p>
        </w:tc>
        <w:tc>
          <w:tcPr>
            <w:tcW w:w="314" w:type="dxa"/>
            <w:tcBorders/>
            <w:shd w:fill="auto" w:val="clear"/>
            <w:vAlign w:val="bottom"/>
          </w:tcPr>
          <w:p>
            <w:pPr>
              <w:pStyle w:val="TableContents"/>
              <w:spacing w:before="0" w:after="283"/>
              <w:rPr/>
            </w:pPr>
            <w:r>
              <w:rPr/>
              <w:t xml:space="preserve">  </w:t>
            </w:r>
          </w:p>
        </w:tc>
        <w:tc>
          <w:tcPr>
            <w:tcW w:w="15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2"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448,394</w:t>
            </w:r>
          </w:p>
        </w:tc>
        <w:tc>
          <w:tcPr>
            <w:tcW w:w="156" w:type="dxa"/>
            <w:tcBorders/>
            <w:shd w:fill="auto" w:val="clear"/>
            <w:vAlign w:val="bottom"/>
          </w:tcPr>
          <w:p>
            <w:pPr>
              <w:pStyle w:val="TableContents"/>
              <w:spacing w:before="0" w:after="283"/>
              <w:rPr/>
            </w:pPr>
            <w:r>
              <w:rPr/>
              <w:t xml:space="preserve">  </w:t>
            </w:r>
          </w:p>
        </w:tc>
        <w:tc>
          <w:tcPr>
            <w:tcW w:w="15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339,768</w:t>
            </w:r>
          </w:p>
        </w:tc>
        <w:tc>
          <w:tcPr>
            <w:tcW w:w="156" w:type="dxa"/>
            <w:tcBorders/>
            <w:shd w:fill="auto" w:val="clear"/>
            <w:vAlign w:val="bottom"/>
          </w:tcPr>
          <w:p>
            <w:pPr>
              <w:pStyle w:val="TableContents"/>
              <w:spacing w:before="0" w:after="283"/>
              <w:rPr/>
            </w:pPr>
            <w:r>
              <w:rPr/>
              <w:t xml:space="preserve">  </w:t>
            </w:r>
          </w:p>
        </w:tc>
        <w:tc>
          <w:tcPr>
            <w:tcW w:w="15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428,816</w:t>
            </w:r>
          </w:p>
        </w:tc>
        <w:tc>
          <w:tcPr>
            <w:tcW w:w="314"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Components of income tax expense for the years ended December 31, 2010, 2009 and 2008 were as follows (in thousands):</w:t>
      </w:r>
    </w:p>
    <w:tbl>
      <w:tblPr>
        <w:tblW w:w="3000" w:type="pct"/>
        <w:jc w:val="center"/>
        <w:tblInd w:w="0" w:type="dxa"/>
        <w:tblCellMar>
          <w:top w:w="0" w:type="dxa"/>
          <w:left w:w="0" w:type="dxa"/>
          <w:bottom w:w="0" w:type="dxa"/>
          <w:right w:w="0" w:type="dxa"/>
        </w:tblCellMar>
      </w:tblPr>
      <w:tblGrid>
        <w:gridCol w:w="1413"/>
        <w:gridCol w:w="314"/>
        <w:gridCol w:w="314"/>
        <w:gridCol w:w="942"/>
        <w:gridCol w:w="157"/>
        <w:gridCol w:w="314"/>
        <w:gridCol w:w="1099"/>
        <w:gridCol w:w="157"/>
        <w:gridCol w:w="313"/>
        <w:gridCol w:w="943"/>
        <w:gridCol w:w="157"/>
      </w:tblGrid>
      <w:tr>
        <w:trPr/>
        <w:tc>
          <w:tcPr>
            <w:tcW w:w="1413" w:type="dxa"/>
            <w:tcBorders/>
            <w:shd w:fill="auto" w:val="clear"/>
            <w:vAlign w:val="bottom"/>
          </w:tcPr>
          <w:p>
            <w:pPr>
              <w:pStyle w:val="TableContents"/>
              <w:spacing w:before="0" w:after="283"/>
              <w:rPr/>
            </w:pPr>
            <w:r>
              <w:rPr/>
              <w:t xml:space="preserve">  </w:t>
            </w:r>
          </w:p>
        </w:tc>
        <w:tc>
          <w:tcPr>
            <w:tcW w:w="314" w:type="dxa"/>
            <w:tcBorders/>
            <w:shd w:fill="auto" w:val="clear"/>
            <w:vAlign w:val="bottom"/>
          </w:tcPr>
          <w:p>
            <w:pPr>
              <w:pStyle w:val="TableContents"/>
              <w:spacing w:before="0" w:after="283"/>
              <w:rPr/>
            </w:pPr>
            <w:r>
              <w:rPr/>
              <w:t xml:space="preserve">  </w:t>
            </w:r>
          </w:p>
        </w:tc>
        <w:tc>
          <w:tcPr>
            <w:tcW w:w="125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57" w:type="dxa"/>
            <w:tcBorders/>
            <w:shd w:fill="auto" w:val="clear"/>
            <w:vAlign w:val="bottom"/>
          </w:tcPr>
          <w:p>
            <w:pPr>
              <w:pStyle w:val="TableContents"/>
              <w:spacing w:before="0" w:after="283"/>
              <w:rPr/>
            </w:pPr>
            <w:r>
              <w:rPr/>
              <w:t xml:space="preserve">  </w:t>
            </w:r>
          </w:p>
        </w:tc>
        <w:tc>
          <w:tcPr>
            <w:tcW w:w="141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57" w:type="dxa"/>
            <w:tcBorders/>
            <w:shd w:fill="auto" w:val="clear"/>
            <w:vAlign w:val="bottom"/>
          </w:tcPr>
          <w:p>
            <w:pPr>
              <w:pStyle w:val="TableContents"/>
              <w:spacing w:before="0" w:after="283"/>
              <w:rPr/>
            </w:pPr>
            <w:r>
              <w:rPr/>
              <w:t xml:space="preserve">  </w:t>
            </w:r>
          </w:p>
        </w:tc>
        <w:tc>
          <w:tcPr>
            <w:tcW w:w="125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57" w:type="dxa"/>
            <w:tcBorders/>
            <w:shd w:fill="auto" w:val="clear"/>
            <w:vAlign w:val="bottom"/>
          </w:tcPr>
          <w:p>
            <w:pPr>
              <w:pStyle w:val="TableContents"/>
              <w:spacing w:before="0" w:after="283"/>
              <w:rPr/>
            </w:pPr>
            <w:r>
              <w:rPr/>
              <w:t xml:space="preserve">  </w:t>
            </w:r>
          </w:p>
        </w:tc>
      </w:tr>
      <w:tr>
        <w:trPr/>
        <w:tc>
          <w:tcPr>
            <w:tcW w:w="1413"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Current:</w:t>
            </w:r>
          </w:p>
        </w:tc>
        <w:tc>
          <w:tcPr>
            <w:tcW w:w="314" w:type="dxa"/>
            <w:tcBorders/>
            <w:shd w:fill="auto" w:val="clear"/>
            <w:vAlign w:val="bottom"/>
          </w:tcPr>
          <w:p>
            <w:pPr>
              <w:pStyle w:val="TableContents"/>
              <w:spacing w:before="0" w:after="283"/>
              <w:rPr/>
            </w:pPr>
            <w:r>
              <w:rPr/>
              <w:t xml:space="preserve">  </w:t>
            </w:r>
          </w:p>
        </w:tc>
        <w:tc>
          <w:tcPr>
            <w:tcW w:w="314" w:type="dxa"/>
            <w:tcBorders/>
            <w:shd w:fill="auto" w:val="clear"/>
            <w:vAlign w:val="bottom"/>
          </w:tcPr>
          <w:p>
            <w:pPr>
              <w:pStyle w:val="TableContents"/>
              <w:spacing w:before="0" w:after="283"/>
              <w:rPr/>
            </w:pPr>
            <w:r>
              <w:rPr/>
              <w:t xml:space="preserve">  </w:t>
            </w:r>
          </w:p>
        </w:tc>
        <w:tc>
          <w:tcPr>
            <w:tcW w:w="942"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314" w:type="dxa"/>
            <w:tcBorders/>
            <w:shd w:fill="auto" w:val="clear"/>
            <w:vAlign w:val="bottom"/>
          </w:tcPr>
          <w:p>
            <w:pPr>
              <w:pStyle w:val="TableContents"/>
              <w:spacing w:before="0" w:after="283"/>
              <w:rPr/>
            </w:pPr>
            <w:r>
              <w:rPr/>
              <w:t xml:space="preserve">  </w:t>
            </w:r>
          </w:p>
        </w:tc>
        <w:tc>
          <w:tcPr>
            <w:tcW w:w="1099"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943"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r>
      <w:tr>
        <w:trPr/>
        <w:tc>
          <w:tcPr>
            <w:tcW w:w="1413" w:type="dxa"/>
            <w:tcBorders/>
            <w:shd w:fill="auto" w:val="clear"/>
            <w:vAlign w:val="bottom"/>
          </w:tcPr>
          <w:p>
            <w:pPr>
              <w:pStyle w:val="TableContents"/>
              <w:spacing w:before="0" w:after="0"/>
              <w:ind w:left="540" w:right="0" w:hanging="360"/>
              <w:jc w:val="both"/>
              <w:rPr>
                <w:rFonts w:ascii="times new roman" w:hAnsi="times new roman"/>
                <w:sz w:val="20"/>
              </w:rPr>
            </w:pPr>
            <w:r>
              <w:rPr>
                <w:rFonts w:ascii="times new roman" w:hAnsi="times new roman"/>
                <w:sz w:val="20"/>
              </w:rPr>
              <w:t>Federal</w:t>
            </w:r>
          </w:p>
        </w:tc>
        <w:tc>
          <w:tcPr>
            <w:tcW w:w="314" w:type="dxa"/>
            <w:tcBorders/>
            <w:shd w:fill="auto" w:val="clear"/>
            <w:vAlign w:val="bottom"/>
          </w:tcPr>
          <w:p>
            <w:pPr>
              <w:pStyle w:val="TableContents"/>
              <w:spacing w:before="0" w:after="283"/>
              <w:rPr/>
            </w:pPr>
            <w:r>
              <w:rPr/>
              <w:t xml:space="preserve">  </w:t>
            </w:r>
          </w:p>
        </w:tc>
        <w:tc>
          <w:tcPr>
            <w:tcW w:w="31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93,594</w:t>
            </w:r>
          </w:p>
        </w:tc>
        <w:tc>
          <w:tcPr>
            <w:tcW w:w="157" w:type="dxa"/>
            <w:tcBorders/>
            <w:shd w:fill="auto" w:val="clear"/>
            <w:vAlign w:val="bottom"/>
          </w:tcPr>
          <w:p>
            <w:pPr>
              <w:pStyle w:val="TableContents"/>
              <w:spacing w:before="0" w:after="283"/>
              <w:rPr/>
            </w:pPr>
            <w:r>
              <w:rPr/>
              <w:t xml:space="preserve">  </w:t>
            </w:r>
          </w:p>
        </w:tc>
        <w:tc>
          <w:tcPr>
            <w:tcW w:w="31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54,636</w:t>
            </w:r>
          </w:p>
        </w:tc>
        <w:tc>
          <w:tcPr>
            <w:tcW w:w="157" w:type="dxa"/>
            <w:tcBorders/>
            <w:shd w:fill="auto" w:val="clear"/>
            <w:vAlign w:val="bottom"/>
          </w:tcPr>
          <w:p>
            <w:pPr>
              <w:pStyle w:val="TableContents"/>
              <w:spacing w:before="0" w:after="283"/>
              <w:rPr/>
            </w:pPr>
            <w:r>
              <w:rPr/>
              <w:t xml:space="preserve">  </w:t>
            </w:r>
          </w:p>
        </w:tc>
        <w:tc>
          <w:tcPr>
            <w:tcW w:w="31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77,920</w:t>
            </w:r>
          </w:p>
        </w:tc>
        <w:tc>
          <w:tcPr>
            <w:tcW w:w="157" w:type="dxa"/>
            <w:tcBorders/>
            <w:shd w:fill="auto" w:val="clear"/>
            <w:vAlign w:val="bottom"/>
          </w:tcPr>
          <w:p>
            <w:pPr>
              <w:pStyle w:val="TableContents"/>
              <w:spacing w:before="0" w:after="283"/>
              <w:rPr/>
            </w:pPr>
            <w:r>
              <w:rPr/>
              <w:t xml:space="preserve">  </w:t>
            </w:r>
          </w:p>
        </w:tc>
      </w:tr>
      <w:tr>
        <w:trPr/>
        <w:tc>
          <w:tcPr>
            <w:tcW w:w="1413" w:type="dxa"/>
            <w:tcBorders/>
            <w:shd w:fill="auto" w:val="clear"/>
            <w:vAlign w:val="bottom"/>
          </w:tcPr>
          <w:p>
            <w:pPr>
              <w:pStyle w:val="TableContents"/>
              <w:spacing w:before="0" w:after="0"/>
              <w:ind w:left="540" w:right="0" w:hanging="360"/>
              <w:jc w:val="both"/>
              <w:rPr>
                <w:rFonts w:ascii="times new roman" w:hAnsi="times new roman"/>
                <w:sz w:val="20"/>
              </w:rPr>
            </w:pPr>
            <w:r>
              <w:rPr>
                <w:rFonts w:ascii="times new roman" w:hAnsi="times new roman"/>
                <w:sz w:val="20"/>
              </w:rPr>
              <w:t>State</w:t>
            </w:r>
          </w:p>
        </w:tc>
        <w:tc>
          <w:tcPr>
            <w:tcW w:w="314" w:type="dxa"/>
            <w:tcBorders/>
            <w:shd w:fill="auto" w:val="clear"/>
            <w:vAlign w:val="bottom"/>
          </w:tcPr>
          <w:p>
            <w:pPr>
              <w:pStyle w:val="TableContents"/>
              <w:spacing w:before="0" w:after="283"/>
              <w:rPr/>
            </w:pPr>
            <w:r>
              <w:rPr/>
              <w:t xml:space="preserve">  </w:t>
            </w:r>
          </w:p>
        </w:tc>
        <w:tc>
          <w:tcPr>
            <w:tcW w:w="314" w:type="dxa"/>
            <w:tcBorders/>
            <w:shd w:fill="auto" w:val="clear"/>
            <w:vAlign w:val="bottom"/>
          </w:tcPr>
          <w:p>
            <w:pPr>
              <w:pStyle w:val="TableContents"/>
              <w:spacing w:before="0" w:after="283"/>
              <w:rPr/>
            </w:pPr>
            <w:r>
              <w:rPr/>
              <w:t xml:space="preserve">  </w:t>
            </w:r>
          </w:p>
        </w:tc>
        <w:tc>
          <w:tcPr>
            <w:tcW w:w="94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8,185</w:t>
            </w:r>
          </w:p>
        </w:tc>
        <w:tc>
          <w:tcPr>
            <w:tcW w:w="157" w:type="dxa"/>
            <w:tcBorders/>
            <w:shd w:fill="auto" w:val="clear"/>
            <w:vAlign w:val="bottom"/>
          </w:tcPr>
          <w:p>
            <w:pPr>
              <w:pStyle w:val="TableContents"/>
              <w:spacing w:before="0" w:after="283"/>
              <w:rPr/>
            </w:pPr>
            <w:r>
              <w:rPr/>
              <w:t xml:space="preserve">  </w:t>
            </w:r>
          </w:p>
        </w:tc>
        <w:tc>
          <w:tcPr>
            <w:tcW w:w="314" w:type="dxa"/>
            <w:tcBorders/>
            <w:shd w:fill="auto" w:val="clear"/>
            <w:vAlign w:val="bottom"/>
          </w:tcPr>
          <w:p>
            <w:pPr>
              <w:pStyle w:val="TableContents"/>
              <w:spacing w:before="0" w:after="283"/>
              <w:rPr/>
            </w:pPr>
            <w:r>
              <w:rPr/>
              <w:t xml:space="preserve">  </w:t>
            </w:r>
          </w:p>
        </w:tc>
        <w:tc>
          <w:tcPr>
            <w:tcW w:w="10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6,990</w:t>
            </w:r>
          </w:p>
        </w:tc>
        <w:tc>
          <w:tcPr>
            <w:tcW w:w="157" w:type="dxa"/>
            <w:tcBorders/>
            <w:shd w:fill="auto" w:val="clear"/>
            <w:vAlign w:val="bottom"/>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94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12,309</w:t>
            </w:r>
          </w:p>
        </w:tc>
        <w:tc>
          <w:tcPr>
            <w:tcW w:w="157" w:type="dxa"/>
            <w:tcBorders/>
            <w:shd w:fill="auto" w:val="clear"/>
            <w:vAlign w:val="bottom"/>
          </w:tcPr>
          <w:p>
            <w:pPr>
              <w:pStyle w:val="TableContents"/>
              <w:spacing w:before="0" w:after="283"/>
              <w:rPr/>
            </w:pPr>
            <w:r>
              <w:rPr/>
              <w:t xml:space="preserve">  </w:t>
            </w:r>
          </w:p>
        </w:tc>
      </w:tr>
      <w:tr>
        <w:trPr/>
        <w:tc>
          <w:tcPr>
            <w:tcW w:w="1413" w:type="dxa"/>
            <w:tcBorders/>
            <w:shd w:fill="auto" w:val="clear"/>
            <w:vAlign w:val="bottom"/>
          </w:tcPr>
          <w:p>
            <w:pPr>
              <w:pStyle w:val="TableContents"/>
              <w:spacing w:before="0" w:after="0"/>
              <w:ind w:left="540" w:right="0" w:hanging="360"/>
              <w:jc w:val="both"/>
              <w:rPr>
                <w:rFonts w:ascii="times new roman" w:hAnsi="times new roman"/>
                <w:sz w:val="20"/>
              </w:rPr>
            </w:pPr>
            <w:r>
              <w:rPr>
                <w:rFonts w:ascii="times new roman" w:hAnsi="times new roman"/>
                <w:sz w:val="20"/>
              </w:rPr>
              <w:t>Foreign</w:t>
            </w:r>
          </w:p>
        </w:tc>
        <w:tc>
          <w:tcPr>
            <w:tcW w:w="314" w:type="dxa"/>
            <w:tcBorders/>
            <w:shd w:fill="auto" w:val="clear"/>
            <w:vAlign w:val="bottom"/>
          </w:tcPr>
          <w:p>
            <w:pPr>
              <w:pStyle w:val="TableContents"/>
              <w:spacing w:before="0" w:after="283"/>
              <w:rPr/>
            </w:pPr>
            <w:r>
              <w:rPr/>
              <w:t xml:space="preserve">  </w:t>
            </w:r>
          </w:p>
        </w:tc>
        <w:tc>
          <w:tcPr>
            <w:tcW w:w="314" w:type="dxa"/>
            <w:tcBorders/>
            <w:shd w:fill="auto" w:val="clear"/>
            <w:vAlign w:val="bottom"/>
          </w:tcPr>
          <w:p>
            <w:pPr>
              <w:pStyle w:val="TableContents"/>
              <w:spacing w:before="0" w:after="283"/>
              <w:rPr/>
            </w:pPr>
            <w:r>
              <w:rPr/>
              <w:t xml:space="preserve">  </w:t>
            </w:r>
          </w:p>
        </w:tc>
        <w:tc>
          <w:tcPr>
            <w:tcW w:w="94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32,706</w:t>
            </w:r>
          </w:p>
        </w:tc>
        <w:tc>
          <w:tcPr>
            <w:tcW w:w="157" w:type="dxa"/>
            <w:tcBorders/>
            <w:shd w:fill="auto" w:val="clear"/>
            <w:vAlign w:val="bottom"/>
          </w:tcPr>
          <w:p>
            <w:pPr>
              <w:pStyle w:val="TableContents"/>
              <w:spacing w:before="0" w:after="283"/>
              <w:rPr/>
            </w:pPr>
            <w:r>
              <w:rPr/>
              <w:t xml:space="preserve">  </w:t>
            </w:r>
          </w:p>
        </w:tc>
        <w:tc>
          <w:tcPr>
            <w:tcW w:w="314" w:type="dxa"/>
            <w:tcBorders/>
            <w:shd w:fill="auto" w:val="clear"/>
            <w:vAlign w:val="bottom"/>
          </w:tcPr>
          <w:p>
            <w:pPr>
              <w:pStyle w:val="TableContents"/>
              <w:spacing w:before="0" w:after="283"/>
              <w:rPr/>
            </w:pPr>
            <w:r>
              <w:rPr/>
              <w:t xml:space="preserve">  </w:t>
            </w:r>
          </w:p>
        </w:tc>
        <w:tc>
          <w:tcPr>
            <w:tcW w:w="10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23,720</w:t>
            </w:r>
          </w:p>
        </w:tc>
        <w:tc>
          <w:tcPr>
            <w:tcW w:w="157" w:type="dxa"/>
            <w:tcBorders/>
            <w:shd w:fill="auto" w:val="clear"/>
            <w:vAlign w:val="bottom"/>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94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40,739</w:t>
            </w:r>
          </w:p>
        </w:tc>
        <w:tc>
          <w:tcPr>
            <w:tcW w:w="157" w:type="dxa"/>
            <w:tcBorders/>
            <w:shd w:fill="auto" w:val="clear"/>
            <w:vAlign w:val="bottom"/>
          </w:tcPr>
          <w:p>
            <w:pPr>
              <w:pStyle w:val="TableContents"/>
              <w:spacing w:before="0" w:after="283"/>
              <w:rPr/>
            </w:pPr>
            <w:r>
              <w:rPr/>
              <w:t xml:space="preserve">  </w:t>
            </w:r>
          </w:p>
        </w:tc>
      </w:tr>
      <w:tr>
        <w:trPr/>
        <w:tc>
          <w:tcPr>
            <w:tcW w:w="1413"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Deferred:</w:t>
            </w:r>
          </w:p>
        </w:tc>
        <w:tc>
          <w:tcPr>
            <w:tcW w:w="314" w:type="dxa"/>
            <w:tcBorders/>
            <w:shd w:fill="auto" w:val="clear"/>
            <w:vAlign w:val="bottom"/>
          </w:tcPr>
          <w:p>
            <w:pPr>
              <w:pStyle w:val="TableContents"/>
              <w:spacing w:before="0" w:after="283"/>
              <w:rPr/>
            </w:pPr>
            <w:r>
              <w:rPr/>
              <w:t xml:space="preserve">  </w:t>
            </w:r>
          </w:p>
        </w:tc>
        <w:tc>
          <w:tcPr>
            <w:tcW w:w="314" w:type="dxa"/>
            <w:tcBorders/>
            <w:shd w:fill="auto" w:val="clear"/>
            <w:vAlign w:val="bottom"/>
          </w:tcPr>
          <w:p>
            <w:pPr>
              <w:pStyle w:val="TableContents"/>
              <w:spacing w:before="0" w:after="283"/>
              <w:rPr/>
            </w:pPr>
            <w:r>
              <w:rPr/>
              <w:t xml:space="preserve">  </w:t>
            </w:r>
          </w:p>
        </w:tc>
        <w:tc>
          <w:tcPr>
            <w:tcW w:w="942"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314" w:type="dxa"/>
            <w:tcBorders/>
            <w:shd w:fill="auto" w:val="clear"/>
            <w:vAlign w:val="bottom"/>
          </w:tcPr>
          <w:p>
            <w:pPr>
              <w:pStyle w:val="TableContents"/>
              <w:spacing w:before="0" w:after="283"/>
              <w:rPr/>
            </w:pPr>
            <w:r>
              <w:rPr/>
              <w:t xml:space="preserve">  </w:t>
            </w:r>
          </w:p>
        </w:tc>
        <w:tc>
          <w:tcPr>
            <w:tcW w:w="1099"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943"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r>
      <w:tr>
        <w:trPr/>
        <w:tc>
          <w:tcPr>
            <w:tcW w:w="1413" w:type="dxa"/>
            <w:tcBorders/>
            <w:shd w:fill="auto" w:val="clear"/>
            <w:vAlign w:val="bottom"/>
          </w:tcPr>
          <w:p>
            <w:pPr>
              <w:pStyle w:val="TableContents"/>
              <w:spacing w:before="0" w:after="0"/>
              <w:ind w:left="540" w:right="0" w:hanging="360"/>
              <w:jc w:val="both"/>
              <w:rPr>
                <w:rFonts w:ascii="times new roman" w:hAnsi="times new roman"/>
                <w:sz w:val="20"/>
              </w:rPr>
            </w:pPr>
            <w:r>
              <w:rPr>
                <w:rFonts w:ascii="times new roman" w:hAnsi="times new roman"/>
                <w:sz w:val="20"/>
              </w:rPr>
              <w:t>Federal</w:t>
            </w:r>
          </w:p>
        </w:tc>
        <w:tc>
          <w:tcPr>
            <w:tcW w:w="314" w:type="dxa"/>
            <w:tcBorders/>
            <w:shd w:fill="auto" w:val="clear"/>
            <w:vAlign w:val="bottom"/>
          </w:tcPr>
          <w:p>
            <w:pPr>
              <w:pStyle w:val="TableContents"/>
              <w:spacing w:before="0" w:after="283"/>
              <w:rPr/>
            </w:pPr>
            <w:r>
              <w:rPr/>
              <w:t xml:space="preserve">  </w:t>
            </w:r>
          </w:p>
        </w:tc>
        <w:tc>
          <w:tcPr>
            <w:tcW w:w="314" w:type="dxa"/>
            <w:tcBorders/>
            <w:shd w:fill="auto" w:val="clear"/>
            <w:vAlign w:val="bottom"/>
          </w:tcPr>
          <w:p>
            <w:pPr>
              <w:pStyle w:val="TableContents"/>
              <w:spacing w:before="0" w:after="283"/>
              <w:rPr/>
            </w:pPr>
            <w:r>
              <w:rPr/>
              <w:t xml:space="preserve">  </w:t>
            </w:r>
          </w:p>
        </w:tc>
        <w:tc>
          <w:tcPr>
            <w:tcW w:w="94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(23,107</w:t>
            </w:r>
          </w:p>
        </w:tc>
        <w:tc>
          <w:tcPr>
            <w:tcW w:w="15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314" w:type="dxa"/>
            <w:tcBorders/>
            <w:shd w:fill="auto" w:val="clear"/>
            <w:vAlign w:val="bottom"/>
          </w:tcPr>
          <w:p>
            <w:pPr>
              <w:pStyle w:val="TableContents"/>
              <w:spacing w:before="0" w:after="283"/>
              <w:rPr/>
            </w:pPr>
            <w:r>
              <w:rPr/>
              <w:t xml:space="preserve">  </w:t>
            </w:r>
          </w:p>
        </w:tc>
        <w:tc>
          <w:tcPr>
            <w:tcW w:w="10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14,880</w:t>
            </w:r>
          </w:p>
        </w:tc>
        <w:tc>
          <w:tcPr>
            <w:tcW w:w="157" w:type="dxa"/>
            <w:tcBorders/>
            <w:shd w:fill="auto" w:val="clear"/>
            <w:vAlign w:val="bottom"/>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94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17,028</w:t>
            </w:r>
          </w:p>
        </w:tc>
        <w:tc>
          <w:tcPr>
            <w:tcW w:w="157" w:type="dxa"/>
            <w:tcBorders/>
            <w:shd w:fill="auto" w:val="clear"/>
            <w:vAlign w:val="bottom"/>
          </w:tcPr>
          <w:p>
            <w:pPr>
              <w:pStyle w:val="TableContents"/>
              <w:spacing w:before="0" w:after="283"/>
              <w:rPr/>
            </w:pPr>
            <w:r>
              <w:rPr/>
              <w:t xml:space="preserve">  </w:t>
            </w:r>
          </w:p>
        </w:tc>
      </w:tr>
      <w:tr>
        <w:trPr/>
        <w:tc>
          <w:tcPr>
            <w:tcW w:w="1413" w:type="dxa"/>
            <w:tcBorders/>
            <w:shd w:fill="auto" w:val="clear"/>
            <w:vAlign w:val="bottom"/>
          </w:tcPr>
          <w:p>
            <w:pPr>
              <w:pStyle w:val="TableContents"/>
              <w:spacing w:before="0" w:after="0"/>
              <w:ind w:left="540" w:right="0" w:hanging="360"/>
              <w:jc w:val="both"/>
              <w:rPr>
                <w:rFonts w:ascii="times new roman" w:hAnsi="times new roman"/>
                <w:sz w:val="20"/>
              </w:rPr>
            </w:pPr>
            <w:r>
              <w:rPr>
                <w:rFonts w:ascii="times new roman" w:hAnsi="times new roman"/>
                <w:sz w:val="20"/>
              </w:rPr>
              <w:t>Foreign</w:t>
            </w:r>
          </w:p>
        </w:tc>
        <w:tc>
          <w:tcPr>
            <w:tcW w:w="314" w:type="dxa"/>
            <w:tcBorders/>
            <w:shd w:fill="auto" w:val="clear"/>
            <w:vAlign w:val="bottom"/>
          </w:tcPr>
          <w:p>
            <w:pPr>
              <w:pStyle w:val="TableContents"/>
              <w:spacing w:before="0" w:after="283"/>
              <w:rPr/>
            </w:pPr>
            <w:r>
              <w:rPr/>
              <w:t xml:space="preserve">  </w:t>
            </w:r>
          </w:p>
        </w:tc>
        <w:tc>
          <w:tcPr>
            <w:tcW w:w="31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42"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14,436</w:t>
            </w:r>
          </w:p>
        </w:tc>
        <w:tc>
          <w:tcPr>
            <w:tcW w:w="157" w:type="dxa"/>
            <w:tcBorders/>
            <w:shd w:fill="auto" w:val="clear"/>
            <w:vAlign w:val="bottom"/>
          </w:tcPr>
          <w:p>
            <w:pPr>
              <w:pStyle w:val="TableContents"/>
              <w:spacing w:before="0" w:after="283"/>
              <w:rPr/>
            </w:pPr>
            <w:r>
              <w:rPr/>
              <w:t xml:space="preserve">  </w:t>
            </w:r>
          </w:p>
        </w:tc>
        <w:tc>
          <w:tcPr>
            <w:tcW w:w="314"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9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61</w:t>
            </w:r>
          </w:p>
        </w:tc>
        <w:tc>
          <w:tcPr>
            <w:tcW w:w="157" w:type="dxa"/>
            <w:tcBorders/>
            <w:shd w:fill="auto" w:val="clear"/>
            <w:vAlign w:val="bottom"/>
          </w:tcPr>
          <w:p>
            <w:pPr>
              <w:pStyle w:val="TableContents"/>
              <w:spacing w:before="0" w:after="283"/>
              <w:rPr/>
            </w:pPr>
            <w:r>
              <w:rPr/>
              <w:t xml:space="preserve">  </w:t>
            </w:r>
          </w:p>
        </w:tc>
        <w:tc>
          <w:tcPr>
            <w:tcW w:w="313"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4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(1,054</w:t>
            </w:r>
          </w:p>
        </w:tc>
        <w:tc>
          <w:tcPr>
            <w:tcW w:w="15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1413" w:type="dxa"/>
            <w:tcBorders/>
            <w:shd w:fill="auto" w:val="clear"/>
            <w:vAlign w:val="bottom"/>
          </w:tcPr>
          <w:p>
            <w:pPr>
              <w:pStyle w:val="TableContents"/>
              <w:spacing w:before="0" w:after="283"/>
              <w:rPr/>
            </w:pPr>
            <w:r>
              <w:rPr/>
              <w:t xml:space="preserve">  </w:t>
            </w:r>
          </w:p>
        </w:tc>
        <w:tc>
          <w:tcPr>
            <w:tcW w:w="314" w:type="dxa"/>
            <w:tcBorders/>
            <w:shd w:fill="auto" w:val="clear"/>
            <w:vAlign w:val="bottom"/>
          </w:tcPr>
          <w:p>
            <w:pPr>
              <w:pStyle w:val="TableContents"/>
              <w:spacing w:before="0" w:after="283"/>
              <w:rPr/>
            </w:pPr>
            <w:r>
              <w:rPr/>
              <w:t xml:space="preserve">  </w:t>
            </w:r>
          </w:p>
        </w:tc>
        <w:tc>
          <w:tcPr>
            <w:tcW w:w="31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2"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125,814</w:t>
            </w:r>
          </w:p>
        </w:tc>
        <w:tc>
          <w:tcPr>
            <w:tcW w:w="157" w:type="dxa"/>
            <w:tcBorders/>
            <w:shd w:fill="auto" w:val="clear"/>
            <w:vAlign w:val="bottom"/>
          </w:tcPr>
          <w:p>
            <w:pPr>
              <w:pStyle w:val="TableContents"/>
              <w:spacing w:before="0" w:after="283"/>
              <w:rPr/>
            </w:pPr>
            <w:r>
              <w:rPr/>
              <w:t xml:space="preserve">  </w:t>
            </w:r>
          </w:p>
        </w:tc>
        <w:tc>
          <w:tcPr>
            <w:tcW w:w="31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100,287</w:t>
            </w:r>
          </w:p>
        </w:tc>
        <w:tc>
          <w:tcPr>
            <w:tcW w:w="157" w:type="dxa"/>
            <w:tcBorders/>
            <w:shd w:fill="auto" w:val="clear"/>
            <w:vAlign w:val="bottom"/>
          </w:tcPr>
          <w:p>
            <w:pPr>
              <w:pStyle w:val="TableContents"/>
              <w:spacing w:before="0" w:after="283"/>
              <w:rPr/>
            </w:pPr>
            <w:r>
              <w:rPr/>
              <w:t xml:space="preserve">  </w:t>
            </w:r>
          </w:p>
        </w:tc>
        <w:tc>
          <w:tcPr>
            <w:tcW w:w="313"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146,942</w:t>
            </w:r>
          </w:p>
        </w:tc>
        <w:tc>
          <w:tcPr>
            <w:tcW w:w="157"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Reconciliations between the statutory federal income tax rate and the effective income tax rate for the years ended December 31, 2010, 2009 and 2008 were as follows:</w:t>
      </w:r>
    </w:p>
    <w:p>
      <w:pPr>
        <w:pStyle w:val="TextBody"/>
        <w:spacing w:before="0" w:after="0"/>
        <w:ind w:left="0" w:right="0" w:hanging="0"/>
        <w:rPr/>
      </w:pPr>
      <w:r>
        <w:rPr/>
      </w:r>
    </w:p>
    <w:tbl>
      <w:tblPr>
        <w:tblW w:w="3000" w:type="pct"/>
        <w:jc w:val="center"/>
        <w:tblInd w:w="0" w:type="dxa"/>
        <w:tblCellMar>
          <w:top w:w="0" w:type="dxa"/>
          <w:left w:w="0" w:type="dxa"/>
          <w:bottom w:w="0" w:type="dxa"/>
          <w:right w:w="0" w:type="dxa"/>
        </w:tblCellMar>
      </w:tblPr>
      <w:tblGrid>
        <w:gridCol w:w="2893"/>
        <w:gridCol w:w="246"/>
        <w:gridCol w:w="757"/>
        <w:gridCol w:w="197"/>
        <w:gridCol w:w="757"/>
        <w:gridCol w:w="197"/>
        <w:gridCol w:w="866"/>
        <w:gridCol w:w="210"/>
      </w:tblGrid>
      <w:tr>
        <w:trPr/>
        <w:tc>
          <w:tcPr>
            <w:tcW w:w="2893" w:type="dxa"/>
            <w:tcBorders/>
            <w:shd w:fill="auto" w:val="clear"/>
            <w:vAlign w:val="center"/>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757" w:type="dxa"/>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97" w:type="dxa"/>
            <w:tcBorders/>
            <w:shd w:fill="auto" w:val="clear"/>
            <w:vAlign w:val="bottom"/>
          </w:tcPr>
          <w:p>
            <w:pPr>
              <w:pStyle w:val="TableContents"/>
              <w:spacing w:before="0" w:after="283"/>
              <w:rPr/>
            </w:pPr>
            <w:r>
              <w:rPr/>
              <w:t xml:space="preserve">  </w:t>
            </w:r>
          </w:p>
        </w:tc>
        <w:tc>
          <w:tcPr>
            <w:tcW w:w="757" w:type="dxa"/>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97" w:type="dxa"/>
            <w:tcBorders/>
            <w:shd w:fill="auto" w:val="clear"/>
            <w:vAlign w:val="bottom"/>
          </w:tcPr>
          <w:p>
            <w:pPr>
              <w:pStyle w:val="TableContents"/>
              <w:spacing w:before="0" w:after="283"/>
              <w:rPr/>
            </w:pPr>
            <w:r>
              <w:rPr/>
              <w:t xml:space="preserve">  </w:t>
            </w:r>
          </w:p>
        </w:tc>
        <w:tc>
          <w:tcPr>
            <w:tcW w:w="866" w:type="dxa"/>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210" w:type="dxa"/>
            <w:tcBorders/>
            <w:shd w:fill="auto" w:val="clear"/>
            <w:vAlign w:val="bottom"/>
          </w:tcPr>
          <w:p>
            <w:pPr>
              <w:pStyle w:val="TableContents"/>
              <w:spacing w:before="0" w:after="283"/>
              <w:rPr/>
            </w:pPr>
            <w:r>
              <w:rPr/>
              <w:t xml:space="preserve">  </w:t>
            </w:r>
          </w:p>
        </w:tc>
      </w:tr>
      <w:tr>
        <w:trPr/>
        <w:tc>
          <w:tcPr>
            <w:tcW w:w="2893" w:type="dxa"/>
            <w:tcBorders/>
            <w:shd w:fill="auto" w:val="clear"/>
            <w:vAlign w:val="center"/>
          </w:tcPr>
          <w:p>
            <w:pPr>
              <w:pStyle w:val="TableContents"/>
              <w:spacing w:before="0" w:after="0"/>
              <w:ind w:left="360" w:right="0" w:hanging="360"/>
              <w:jc w:val="both"/>
              <w:rPr>
                <w:rFonts w:ascii="times new roman" w:hAnsi="times new roman"/>
                <w:sz w:val="20"/>
              </w:rPr>
            </w:pPr>
            <w:r>
              <w:rPr>
                <w:rFonts w:ascii="times new roman" w:hAnsi="times new roman"/>
                <w:sz w:val="20"/>
              </w:rPr>
              <w:t>Federal statutory rate</w:t>
            </w:r>
          </w:p>
        </w:tc>
        <w:tc>
          <w:tcPr>
            <w:tcW w:w="246" w:type="dxa"/>
            <w:tcBorders/>
            <w:shd w:fill="auto" w:val="clear"/>
            <w:vAlign w:val="bottom"/>
          </w:tcPr>
          <w:p>
            <w:pPr>
              <w:pStyle w:val="TableContents"/>
              <w:spacing w:before="0" w:after="283"/>
              <w:rPr/>
            </w:pPr>
            <w:r>
              <w:rPr/>
              <w:t xml:space="preserve">  </w:t>
            </w:r>
          </w:p>
        </w:tc>
        <w:tc>
          <w:tcPr>
            <w:tcW w:w="75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35.0</w:t>
            </w:r>
          </w:p>
        </w:tc>
        <w:tc>
          <w:tcPr>
            <w:tcW w:w="1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5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35.0</w:t>
            </w:r>
          </w:p>
        </w:tc>
        <w:tc>
          <w:tcPr>
            <w:tcW w:w="1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35.0</w:t>
            </w:r>
          </w:p>
        </w:tc>
        <w:tc>
          <w:tcPr>
            <w:tcW w:w="21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2893" w:type="dxa"/>
            <w:tcBorders/>
            <w:shd w:fill="auto" w:val="clear"/>
            <w:vAlign w:val="center"/>
          </w:tcPr>
          <w:p>
            <w:pPr>
              <w:pStyle w:val="TableContents"/>
              <w:spacing w:before="0" w:after="0"/>
              <w:ind w:left="360" w:right="0" w:hanging="360"/>
              <w:jc w:val="both"/>
              <w:rPr>
                <w:rFonts w:ascii="times new roman" w:hAnsi="times new roman"/>
                <w:sz w:val="20"/>
              </w:rPr>
            </w:pPr>
            <w:r>
              <w:rPr>
                <w:rFonts w:ascii="times new roman" w:hAnsi="times new roman"/>
                <w:sz w:val="20"/>
              </w:rPr>
              <w:t>Foreign rate differential</w:t>
            </w:r>
          </w:p>
        </w:tc>
        <w:tc>
          <w:tcPr>
            <w:tcW w:w="246" w:type="dxa"/>
            <w:tcBorders/>
            <w:shd w:fill="auto" w:val="clear"/>
            <w:vAlign w:val="bottom"/>
          </w:tcPr>
          <w:p>
            <w:pPr>
              <w:pStyle w:val="TableContents"/>
              <w:spacing w:before="0" w:after="283"/>
              <w:rPr/>
            </w:pPr>
            <w:r>
              <w:rPr/>
              <w:t xml:space="preserve">  </w:t>
            </w:r>
          </w:p>
        </w:tc>
        <w:tc>
          <w:tcPr>
            <w:tcW w:w="75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w:t>
            </w:r>
          </w:p>
        </w:tc>
        <w:tc>
          <w:tcPr>
            <w:tcW w:w="1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5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w:t>
            </w:r>
          </w:p>
        </w:tc>
        <w:tc>
          <w:tcPr>
            <w:tcW w:w="1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w:t>
            </w:r>
          </w:p>
        </w:tc>
        <w:tc>
          <w:tcPr>
            <w:tcW w:w="21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2893" w:type="dxa"/>
            <w:tcBorders/>
            <w:shd w:fill="auto" w:val="clear"/>
            <w:vAlign w:val="center"/>
          </w:tcPr>
          <w:p>
            <w:pPr>
              <w:pStyle w:val="TableContents"/>
              <w:spacing w:before="0" w:after="0"/>
              <w:ind w:left="360" w:right="0" w:hanging="360"/>
              <w:jc w:val="both"/>
              <w:rPr>
                <w:rFonts w:ascii="times new roman" w:hAnsi="times new roman"/>
                <w:sz w:val="20"/>
              </w:rPr>
            </w:pPr>
            <w:r>
              <w:rPr>
                <w:rFonts w:ascii="times new roman" w:hAnsi="times new roman"/>
                <w:sz w:val="20"/>
              </w:rPr>
              <w:t>R&amp;D tax credits</w:t>
            </w:r>
          </w:p>
        </w:tc>
        <w:tc>
          <w:tcPr>
            <w:tcW w:w="246" w:type="dxa"/>
            <w:tcBorders/>
            <w:shd w:fill="auto" w:val="clear"/>
            <w:vAlign w:val="bottom"/>
          </w:tcPr>
          <w:p>
            <w:pPr>
              <w:pStyle w:val="TableContents"/>
              <w:spacing w:before="0" w:after="283"/>
              <w:rPr/>
            </w:pPr>
            <w:r>
              <w:rPr/>
              <w:t xml:space="preserve">  </w:t>
            </w:r>
          </w:p>
        </w:tc>
        <w:tc>
          <w:tcPr>
            <w:tcW w:w="75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(0.6</w:t>
            </w:r>
          </w:p>
        </w:tc>
        <w:tc>
          <w:tcPr>
            <w:tcW w:w="1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5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(0.6</w:t>
            </w:r>
          </w:p>
        </w:tc>
        <w:tc>
          <w:tcPr>
            <w:tcW w:w="1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(0.4</w:t>
            </w:r>
          </w:p>
        </w:tc>
        <w:tc>
          <w:tcPr>
            <w:tcW w:w="21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2893" w:type="dxa"/>
            <w:tcBorders/>
            <w:shd w:fill="auto" w:val="clear"/>
            <w:vAlign w:val="center"/>
          </w:tcPr>
          <w:p>
            <w:pPr>
              <w:pStyle w:val="TableContents"/>
              <w:spacing w:before="0" w:after="0"/>
              <w:ind w:left="360" w:right="0" w:hanging="360"/>
              <w:jc w:val="both"/>
              <w:rPr>
                <w:rFonts w:ascii="times new roman" w:hAnsi="times new roman"/>
                <w:sz w:val="20"/>
              </w:rPr>
            </w:pPr>
            <w:r>
              <w:rPr>
                <w:rFonts w:ascii="times new roman" w:hAnsi="times new roman"/>
                <w:sz w:val="20"/>
              </w:rPr>
              <w:t>State taxes, net of federal benefit</w:t>
            </w:r>
          </w:p>
        </w:tc>
        <w:tc>
          <w:tcPr>
            <w:tcW w:w="246" w:type="dxa"/>
            <w:tcBorders/>
            <w:shd w:fill="auto" w:val="clear"/>
            <w:vAlign w:val="bottom"/>
          </w:tcPr>
          <w:p>
            <w:pPr>
              <w:pStyle w:val="TableContents"/>
              <w:spacing w:before="0" w:after="283"/>
              <w:rPr/>
            </w:pPr>
            <w:r>
              <w:rPr/>
              <w:t xml:space="preserve">  </w:t>
            </w:r>
          </w:p>
        </w:tc>
        <w:tc>
          <w:tcPr>
            <w:tcW w:w="75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w:t>
            </w:r>
          </w:p>
        </w:tc>
        <w:tc>
          <w:tcPr>
            <w:tcW w:w="197" w:type="dxa"/>
            <w:tcBorders/>
            <w:shd w:fill="auto" w:val="clear"/>
            <w:vAlign w:val="bottom"/>
          </w:tcPr>
          <w:p>
            <w:pPr>
              <w:pStyle w:val="TableContents"/>
              <w:spacing w:before="0" w:after="283"/>
              <w:rPr/>
            </w:pPr>
            <w:r>
              <w:rPr/>
              <w:t xml:space="preserve">  </w:t>
            </w:r>
          </w:p>
        </w:tc>
        <w:tc>
          <w:tcPr>
            <w:tcW w:w="75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w:t>
            </w:r>
          </w:p>
        </w:tc>
        <w:tc>
          <w:tcPr>
            <w:tcW w:w="197" w:type="dxa"/>
            <w:tcBorders/>
            <w:shd w:fill="auto" w:val="clear"/>
            <w:vAlign w:val="bottom"/>
          </w:tcPr>
          <w:p>
            <w:pPr>
              <w:pStyle w:val="TableContents"/>
              <w:spacing w:before="0" w:after="283"/>
              <w:rPr/>
            </w:pPr>
            <w:r>
              <w:rPr/>
              <w:t xml:space="preserve">  </w:t>
            </w:r>
          </w:p>
        </w:tc>
        <w:tc>
          <w:tcPr>
            <w:tcW w:w="86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w:t>
            </w:r>
          </w:p>
        </w:tc>
        <w:tc>
          <w:tcPr>
            <w:tcW w:w="210" w:type="dxa"/>
            <w:tcBorders/>
            <w:shd w:fill="auto" w:val="clear"/>
            <w:vAlign w:val="bottom"/>
          </w:tcPr>
          <w:p>
            <w:pPr>
              <w:pStyle w:val="TableContents"/>
              <w:spacing w:before="0" w:after="283"/>
              <w:rPr/>
            </w:pPr>
            <w:r>
              <w:rPr/>
              <w:t xml:space="preserve">  </w:t>
            </w:r>
          </w:p>
        </w:tc>
      </w:tr>
      <w:tr>
        <w:trPr/>
        <w:tc>
          <w:tcPr>
            <w:tcW w:w="2893" w:type="dxa"/>
            <w:tcBorders/>
            <w:shd w:fill="auto" w:val="clear"/>
            <w:vAlign w:val="center"/>
          </w:tcPr>
          <w:p>
            <w:pPr>
              <w:pStyle w:val="TableContents"/>
              <w:spacing w:before="0" w:after="0"/>
              <w:ind w:left="360" w:right="0" w:hanging="360"/>
              <w:jc w:val="both"/>
              <w:rPr>
                <w:rFonts w:ascii="times new roman" w:hAnsi="times new roman"/>
                <w:sz w:val="20"/>
              </w:rPr>
            </w:pPr>
            <w:r>
              <w:rPr>
                <w:rFonts w:ascii="times new roman" w:hAnsi="times new roman"/>
                <w:sz w:val="20"/>
              </w:rPr>
              <w:t>Foreign tax credit</w:t>
            </w:r>
          </w:p>
        </w:tc>
        <w:tc>
          <w:tcPr>
            <w:tcW w:w="246" w:type="dxa"/>
            <w:tcBorders/>
            <w:shd w:fill="auto" w:val="clear"/>
            <w:vAlign w:val="bottom"/>
          </w:tcPr>
          <w:p>
            <w:pPr>
              <w:pStyle w:val="TableContents"/>
              <w:spacing w:before="0" w:after="283"/>
              <w:rPr/>
            </w:pPr>
            <w:r>
              <w:rPr/>
              <w:t xml:space="preserve">  </w:t>
            </w:r>
          </w:p>
        </w:tc>
        <w:tc>
          <w:tcPr>
            <w:tcW w:w="75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c>
          <w:tcPr>
            <w:tcW w:w="1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5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97" w:type="dxa"/>
            <w:tcBorders/>
            <w:shd w:fill="auto" w:val="clear"/>
            <w:vAlign w:val="bottom"/>
          </w:tcPr>
          <w:p>
            <w:pPr>
              <w:pStyle w:val="TableContents"/>
              <w:spacing w:before="0" w:after="283"/>
              <w:rPr/>
            </w:pPr>
            <w:r>
              <w:rPr/>
              <w:t xml:space="preserve">  </w:t>
            </w:r>
          </w:p>
        </w:tc>
        <w:tc>
          <w:tcPr>
            <w:tcW w:w="86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10" w:type="dxa"/>
            <w:tcBorders/>
            <w:shd w:fill="auto" w:val="clear"/>
            <w:vAlign w:val="bottom"/>
          </w:tcPr>
          <w:p>
            <w:pPr>
              <w:pStyle w:val="TableContents"/>
              <w:spacing w:before="0" w:after="283"/>
              <w:rPr/>
            </w:pPr>
            <w:r>
              <w:rPr/>
              <w:t xml:space="preserve">  </w:t>
            </w:r>
          </w:p>
        </w:tc>
      </w:tr>
      <w:tr>
        <w:trPr/>
        <w:tc>
          <w:tcPr>
            <w:tcW w:w="2893" w:type="dxa"/>
            <w:tcBorders/>
            <w:shd w:fill="auto" w:val="clear"/>
            <w:vAlign w:val="center"/>
          </w:tcPr>
          <w:p>
            <w:pPr>
              <w:pStyle w:val="TableContents"/>
              <w:spacing w:before="0" w:after="0"/>
              <w:ind w:left="360" w:right="0" w:hanging="360"/>
              <w:jc w:val="both"/>
              <w:rPr>
                <w:rFonts w:ascii="times new roman" w:hAnsi="times new roman"/>
                <w:sz w:val="20"/>
              </w:rPr>
            </w:pPr>
            <w:r>
              <w:rPr>
                <w:rFonts w:ascii="times new roman" w:hAnsi="times new roman"/>
                <w:sz w:val="20"/>
              </w:rPr>
              <w:t>Other, net</w:t>
            </w:r>
          </w:p>
        </w:tc>
        <w:tc>
          <w:tcPr>
            <w:tcW w:w="246" w:type="dxa"/>
            <w:tcBorders/>
            <w:shd w:fill="auto" w:val="clear"/>
            <w:vAlign w:val="bottom"/>
          </w:tcPr>
          <w:p>
            <w:pPr>
              <w:pStyle w:val="TableContents"/>
              <w:spacing w:before="0" w:after="283"/>
              <w:rPr/>
            </w:pPr>
            <w:r>
              <w:rPr/>
              <w:t xml:space="preserve">  </w:t>
            </w:r>
          </w:p>
        </w:tc>
        <w:tc>
          <w:tcPr>
            <w:tcW w:w="75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w:t>
            </w:r>
          </w:p>
        </w:tc>
        <w:tc>
          <w:tcPr>
            <w:tcW w:w="1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5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w:t>
            </w:r>
          </w:p>
        </w:tc>
        <w:tc>
          <w:tcPr>
            <w:tcW w:w="1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6"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w:t>
            </w:r>
          </w:p>
        </w:tc>
        <w:tc>
          <w:tcPr>
            <w:tcW w:w="210" w:type="dxa"/>
            <w:tcBorders/>
            <w:shd w:fill="auto" w:val="clear"/>
            <w:vAlign w:val="bottom"/>
          </w:tcPr>
          <w:p>
            <w:pPr>
              <w:pStyle w:val="TableContents"/>
              <w:spacing w:before="0" w:after="283"/>
              <w:rPr/>
            </w:pPr>
            <w:r>
              <w:rPr/>
              <w:t xml:space="preserve">  </w:t>
            </w:r>
          </w:p>
        </w:tc>
      </w:tr>
      <w:tr>
        <w:trPr/>
        <w:tc>
          <w:tcPr>
            <w:tcW w:w="2893" w:type="dxa"/>
            <w:tcBorders/>
            <w:shd w:fill="auto" w:val="clear"/>
            <w:vAlign w:val="center"/>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75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w:t>
            </w:r>
          </w:p>
        </w:tc>
        <w:tc>
          <w:tcPr>
            <w:tcW w:w="1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5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29.5</w:t>
            </w:r>
          </w:p>
        </w:tc>
        <w:tc>
          <w:tcPr>
            <w:tcW w:w="1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6"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34.3</w:t>
            </w:r>
          </w:p>
        </w:tc>
        <w:tc>
          <w:tcPr>
            <w:tcW w:w="21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deferred income tax balance sheet accounts arise from temporary differences between the amount of assets and liabilities recognized for financial reporting and tax purposes.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Components of the deferred tax assets and liabilities at December 31 were as follows (in thousands):</w:t>
      </w:r>
    </w:p>
    <w:p>
      <w:pPr>
        <w:pStyle w:val="TextBody"/>
        <w:spacing w:before="0" w:after="0"/>
        <w:ind w:left="0" w:right="0" w:hanging="0"/>
        <w:jc w:val="left"/>
        <w:rPr/>
      </w:pPr>
      <w:r>
        <w:rPr/>
        <w:t> </w:t>
      </w:r>
    </w:p>
    <w:tbl>
      <w:tblPr>
        <w:tblW w:w="3000" w:type="pct"/>
        <w:jc w:val="center"/>
        <w:tblInd w:w="0" w:type="dxa"/>
        <w:tblCellMar>
          <w:top w:w="0" w:type="dxa"/>
          <w:left w:w="0" w:type="dxa"/>
          <w:bottom w:w="0" w:type="dxa"/>
          <w:right w:w="0" w:type="dxa"/>
        </w:tblCellMar>
      </w:tblPr>
      <w:tblGrid>
        <w:gridCol w:w="3402"/>
        <w:gridCol w:w="272"/>
        <w:gridCol w:w="272"/>
        <w:gridCol w:w="952"/>
        <w:gridCol w:w="136"/>
        <w:gridCol w:w="136"/>
        <w:gridCol w:w="817"/>
        <w:gridCol w:w="136"/>
      </w:tblGrid>
      <w:tr>
        <w:trPr/>
        <w:tc>
          <w:tcPr>
            <w:tcW w:w="3402" w:type="dxa"/>
            <w:tcBorders/>
            <w:shd w:fill="auto" w:val="clear"/>
            <w:vAlign w:val="bottom"/>
          </w:tcPr>
          <w:p>
            <w:pPr>
              <w:pStyle w:val="TableContents"/>
              <w:spacing w:before="0" w:after="283"/>
              <w:rPr/>
            </w:pPr>
            <w:r>
              <w:rPr/>
              <w:t xml:space="preserve">  </w:t>
            </w:r>
          </w:p>
        </w:tc>
        <w:tc>
          <w:tcPr>
            <w:tcW w:w="272" w:type="dxa"/>
            <w:tcBorders/>
            <w:shd w:fill="auto" w:val="clear"/>
            <w:vAlign w:val="bottom"/>
          </w:tcPr>
          <w:p>
            <w:pPr>
              <w:pStyle w:val="TableContents"/>
              <w:spacing w:before="0" w:after="283"/>
              <w:rPr/>
            </w:pPr>
            <w:r>
              <w:rPr/>
              <w:t xml:space="preserve">  </w:t>
            </w:r>
          </w:p>
        </w:tc>
        <w:tc>
          <w:tcPr>
            <w:tcW w:w="12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36" w:type="dxa"/>
            <w:tcBorders/>
            <w:shd w:fill="auto" w:val="clear"/>
            <w:vAlign w:val="bottom"/>
          </w:tcPr>
          <w:p>
            <w:pPr>
              <w:pStyle w:val="TableContents"/>
              <w:spacing w:before="0" w:after="283"/>
              <w:rPr/>
            </w:pPr>
            <w:r>
              <w:rPr/>
              <w:t xml:space="preserve">  </w:t>
            </w:r>
          </w:p>
        </w:tc>
        <w:tc>
          <w:tcPr>
            <w:tcW w:w="95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36" w:type="dxa"/>
            <w:tcBorders/>
            <w:shd w:fill="auto" w:val="clear"/>
            <w:vAlign w:val="bottom"/>
          </w:tcPr>
          <w:p>
            <w:pPr>
              <w:pStyle w:val="TableContents"/>
              <w:spacing w:before="0" w:after="283"/>
              <w:rPr/>
            </w:pPr>
            <w:r>
              <w:rPr/>
              <w:t xml:space="preserve">  </w:t>
            </w:r>
          </w:p>
        </w:tc>
      </w:tr>
      <w:tr>
        <w:trPr/>
        <w:tc>
          <w:tcPr>
            <w:tcW w:w="3402"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Deferred tax assets:</w:t>
            </w:r>
          </w:p>
        </w:tc>
        <w:tc>
          <w:tcPr>
            <w:tcW w:w="272" w:type="dxa"/>
            <w:tcBorders/>
            <w:shd w:fill="auto" w:val="clear"/>
            <w:vAlign w:val="bottom"/>
          </w:tcPr>
          <w:p>
            <w:pPr>
              <w:pStyle w:val="TableContents"/>
              <w:spacing w:before="0" w:after="283"/>
              <w:rPr/>
            </w:pPr>
            <w:r>
              <w:rPr/>
              <w:t xml:space="preserve">  </w:t>
            </w:r>
          </w:p>
        </w:tc>
        <w:tc>
          <w:tcPr>
            <w:tcW w:w="272" w:type="dxa"/>
            <w:tcBorders/>
            <w:shd w:fill="auto" w:val="clear"/>
            <w:vAlign w:val="bottom"/>
          </w:tcPr>
          <w:p>
            <w:pPr>
              <w:pStyle w:val="TableContents"/>
              <w:spacing w:before="0" w:after="283"/>
              <w:rPr/>
            </w:pPr>
            <w:r>
              <w:rPr/>
              <w:t xml:space="preserve">  </w:t>
            </w:r>
          </w:p>
        </w:tc>
        <w:tc>
          <w:tcPr>
            <w:tcW w:w="952"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c>
          <w:tcPr>
            <w:tcW w:w="817"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r>
      <w:tr>
        <w:trPr/>
        <w:tc>
          <w:tcPr>
            <w:tcW w:w="3402" w:type="dxa"/>
            <w:tcBorders/>
            <w:shd w:fill="auto" w:val="clear"/>
            <w:vAlign w:val="bottom"/>
          </w:tcPr>
          <w:p>
            <w:pPr>
              <w:pStyle w:val="TableContents"/>
              <w:spacing w:before="0" w:after="0"/>
              <w:ind w:left="540" w:right="0" w:hanging="360"/>
              <w:jc w:val="both"/>
              <w:rPr>
                <w:rFonts w:ascii="times new roman" w:hAnsi="times new roman"/>
                <w:sz w:val="20"/>
              </w:rPr>
            </w:pPr>
            <w:r>
              <w:rPr>
                <w:rFonts w:ascii="times new roman" w:hAnsi="times new roman"/>
                <w:sz w:val="20"/>
              </w:rPr>
              <w:t>Reserves and accrued expenses</w:t>
            </w:r>
          </w:p>
        </w:tc>
        <w:tc>
          <w:tcPr>
            <w:tcW w:w="272" w:type="dxa"/>
            <w:tcBorders/>
            <w:shd w:fill="auto" w:val="clear"/>
            <w:vAlign w:val="bottom"/>
          </w:tcPr>
          <w:p>
            <w:pPr>
              <w:pStyle w:val="TableContents"/>
              <w:spacing w:before="0" w:after="283"/>
              <w:rPr/>
            </w:pPr>
            <w:r>
              <w:rPr/>
              <w:t xml:space="preserve">  </w:t>
            </w:r>
          </w:p>
        </w:tc>
        <w:tc>
          <w:tcPr>
            <w:tcW w:w="27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5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76,386</w:t>
            </w:r>
          </w:p>
        </w:tc>
        <w:tc>
          <w:tcPr>
            <w:tcW w:w="136"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1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49,806</w:t>
            </w:r>
          </w:p>
        </w:tc>
        <w:tc>
          <w:tcPr>
            <w:tcW w:w="136" w:type="dxa"/>
            <w:tcBorders/>
            <w:shd w:fill="auto" w:val="clear"/>
            <w:vAlign w:val="bottom"/>
          </w:tcPr>
          <w:p>
            <w:pPr>
              <w:pStyle w:val="TableContents"/>
              <w:spacing w:before="0" w:after="283"/>
              <w:rPr/>
            </w:pPr>
            <w:r>
              <w:rPr/>
              <w:t xml:space="preserve">  </w:t>
            </w:r>
          </w:p>
        </w:tc>
      </w:tr>
      <w:tr>
        <w:trPr/>
        <w:tc>
          <w:tcPr>
            <w:tcW w:w="3402" w:type="dxa"/>
            <w:tcBorders/>
            <w:shd w:fill="auto" w:val="clear"/>
            <w:vAlign w:val="bottom"/>
          </w:tcPr>
          <w:p>
            <w:pPr>
              <w:pStyle w:val="TableContents"/>
              <w:spacing w:before="0" w:after="0"/>
              <w:ind w:left="540" w:right="0" w:hanging="360"/>
              <w:jc w:val="both"/>
              <w:rPr>
                <w:rFonts w:ascii="times new roman" w:hAnsi="times new roman"/>
                <w:sz w:val="20"/>
              </w:rPr>
            </w:pPr>
            <w:r>
              <w:rPr>
                <w:rFonts w:ascii="times new roman" w:hAnsi="times new roman"/>
                <w:sz w:val="20"/>
              </w:rPr>
              <w:t>Inventories</w:t>
            </w:r>
          </w:p>
        </w:tc>
        <w:tc>
          <w:tcPr>
            <w:tcW w:w="272" w:type="dxa"/>
            <w:tcBorders/>
            <w:shd w:fill="auto" w:val="clear"/>
            <w:vAlign w:val="bottom"/>
          </w:tcPr>
          <w:p>
            <w:pPr>
              <w:pStyle w:val="TableContents"/>
              <w:spacing w:before="0" w:after="283"/>
              <w:rPr/>
            </w:pPr>
            <w:r>
              <w:rPr/>
              <w:t xml:space="preserve">  </w:t>
            </w:r>
          </w:p>
        </w:tc>
        <w:tc>
          <w:tcPr>
            <w:tcW w:w="272" w:type="dxa"/>
            <w:tcBorders/>
            <w:shd w:fill="auto" w:val="clear"/>
            <w:vAlign w:val="bottom"/>
          </w:tcPr>
          <w:p>
            <w:pPr>
              <w:pStyle w:val="TableContents"/>
              <w:spacing w:before="0" w:after="283"/>
              <w:rPr/>
            </w:pPr>
            <w:r>
              <w:rPr/>
              <w:t xml:space="preserve">  </w:t>
            </w:r>
          </w:p>
        </w:tc>
        <w:tc>
          <w:tcPr>
            <w:tcW w:w="95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6,672</w:t>
            </w:r>
          </w:p>
        </w:tc>
        <w:tc>
          <w:tcPr>
            <w:tcW w:w="136"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c>
          <w:tcPr>
            <w:tcW w:w="81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5,854</w:t>
            </w:r>
          </w:p>
        </w:tc>
        <w:tc>
          <w:tcPr>
            <w:tcW w:w="136" w:type="dxa"/>
            <w:tcBorders/>
            <w:shd w:fill="auto" w:val="clear"/>
            <w:vAlign w:val="bottom"/>
          </w:tcPr>
          <w:p>
            <w:pPr>
              <w:pStyle w:val="TableContents"/>
              <w:spacing w:before="0" w:after="283"/>
              <w:rPr/>
            </w:pPr>
            <w:r>
              <w:rPr/>
              <w:t xml:space="preserve">  </w:t>
            </w:r>
          </w:p>
        </w:tc>
      </w:tr>
      <w:tr>
        <w:trPr/>
        <w:tc>
          <w:tcPr>
            <w:tcW w:w="3402" w:type="dxa"/>
            <w:tcBorders/>
            <w:shd w:fill="auto" w:val="clear"/>
            <w:vAlign w:val="bottom"/>
          </w:tcPr>
          <w:p>
            <w:pPr>
              <w:pStyle w:val="TableContents"/>
              <w:spacing w:before="0" w:after="0"/>
              <w:ind w:left="540" w:right="0" w:hanging="360"/>
              <w:jc w:val="both"/>
              <w:rPr>
                <w:rFonts w:ascii="times new roman" w:hAnsi="times new roman"/>
                <w:sz w:val="20"/>
              </w:rPr>
            </w:pPr>
            <w:r>
              <w:rPr>
                <w:rFonts w:ascii="times new roman" w:hAnsi="times new roman"/>
                <w:sz w:val="20"/>
              </w:rPr>
              <w:t>Net operating loss carryforwards</w:t>
            </w:r>
          </w:p>
        </w:tc>
        <w:tc>
          <w:tcPr>
            <w:tcW w:w="272" w:type="dxa"/>
            <w:tcBorders/>
            <w:shd w:fill="auto" w:val="clear"/>
            <w:vAlign w:val="bottom"/>
          </w:tcPr>
          <w:p>
            <w:pPr>
              <w:pStyle w:val="TableContents"/>
              <w:spacing w:before="0" w:after="283"/>
              <w:rPr/>
            </w:pPr>
            <w:r>
              <w:rPr/>
              <w:t xml:space="preserve">  </w:t>
            </w:r>
          </w:p>
        </w:tc>
        <w:tc>
          <w:tcPr>
            <w:tcW w:w="272" w:type="dxa"/>
            <w:tcBorders/>
            <w:shd w:fill="auto" w:val="clear"/>
            <w:vAlign w:val="bottom"/>
          </w:tcPr>
          <w:p>
            <w:pPr>
              <w:pStyle w:val="TableContents"/>
              <w:spacing w:before="0" w:after="283"/>
              <w:rPr/>
            </w:pPr>
            <w:r>
              <w:rPr/>
              <w:t xml:space="preserve">  </w:t>
            </w:r>
          </w:p>
        </w:tc>
        <w:tc>
          <w:tcPr>
            <w:tcW w:w="95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7,529</w:t>
            </w:r>
          </w:p>
        </w:tc>
        <w:tc>
          <w:tcPr>
            <w:tcW w:w="136"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c>
          <w:tcPr>
            <w:tcW w:w="81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4,008</w:t>
            </w:r>
          </w:p>
        </w:tc>
        <w:tc>
          <w:tcPr>
            <w:tcW w:w="136" w:type="dxa"/>
            <w:tcBorders/>
            <w:shd w:fill="auto" w:val="clear"/>
            <w:vAlign w:val="bottom"/>
          </w:tcPr>
          <w:p>
            <w:pPr>
              <w:pStyle w:val="TableContents"/>
              <w:spacing w:before="0" w:after="283"/>
              <w:rPr/>
            </w:pPr>
            <w:r>
              <w:rPr/>
              <w:t xml:space="preserve">  </w:t>
            </w:r>
          </w:p>
        </w:tc>
      </w:tr>
      <w:tr>
        <w:trPr/>
        <w:tc>
          <w:tcPr>
            <w:tcW w:w="3402" w:type="dxa"/>
            <w:tcBorders/>
            <w:shd w:fill="auto" w:val="clear"/>
            <w:vAlign w:val="bottom"/>
          </w:tcPr>
          <w:p>
            <w:pPr>
              <w:pStyle w:val="TableContents"/>
              <w:spacing w:before="0" w:after="0"/>
              <w:ind w:left="540" w:right="0" w:hanging="360"/>
              <w:jc w:val="both"/>
              <w:rPr>
                <w:rFonts w:ascii="times new roman" w:hAnsi="times new roman"/>
                <w:sz w:val="20"/>
              </w:rPr>
            </w:pPr>
            <w:r>
              <w:rPr>
                <w:rFonts w:ascii="times new roman" w:hAnsi="times new roman"/>
                <w:sz w:val="20"/>
              </w:rPr>
              <w:t>R&amp;D credits</w:t>
            </w:r>
          </w:p>
        </w:tc>
        <w:tc>
          <w:tcPr>
            <w:tcW w:w="272" w:type="dxa"/>
            <w:tcBorders/>
            <w:shd w:fill="auto" w:val="clear"/>
            <w:vAlign w:val="bottom"/>
          </w:tcPr>
          <w:p>
            <w:pPr>
              <w:pStyle w:val="TableContents"/>
              <w:spacing w:before="0" w:after="283"/>
              <w:rPr/>
            </w:pPr>
            <w:r>
              <w:rPr/>
              <w:t xml:space="preserve">  </w:t>
            </w:r>
          </w:p>
        </w:tc>
        <w:tc>
          <w:tcPr>
            <w:tcW w:w="272" w:type="dxa"/>
            <w:tcBorders/>
            <w:shd w:fill="auto" w:val="clear"/>
            <w:vAlign w:val="bottom"/>
          </w:tcPr>
          <w:p>
            <w:pPr>
              <w:pStyle w:val="TableContents"/>
              <w:spacing w:before="0" w:after="283"/>
              <w:rPr/>
            </w:pPr>
            <w:r>
              <w:rPr/>
              <w:t xml:space="preserve">  </w:t>
            </w:r>
          </w:p>
        </w:tc>
        <w:tc>
          <w:tcPr>
            <w:tcW w:w="95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953</w:t>
            </w:r>
          </w:p>
        </w:tc>
        <w:tc>
          <w:tcPr>
            <w:tcW w:w="136"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c>
          <w:tcPr>
            <w:tcW w:w="81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761</w:t>
            </w:r>
          </w:p>
        </w:tc>
        <w:tc>
          <w:tcPr>
            <w:tcW w:w="136" w:type="dxa"/>
            <w:tcBorders/>
            <w:shd w:fill="auto" w:val="clear"/>
            <w:vAlign w:val="bottom"/>
          </w:tcPr>
          <w:p>
            <w:pPr>
              <w:pStyle w:val="TableContents"/>
              <w:spacing w:before="0" w:after="283"/>
              <w:rPr/>
            </w:pPr>
            <w:r>
              <w:rPr/>
              <w:t xml:space="preserve">  </w:t>
            </w:r>
          </w:p>
        </w:tc>
      </w:tr>
      <w:tr>
        <w:trPr/>
        <w:tc>
          <w:tcPr>
            <w:tcW w:w="3402" w:type="dxa"/>
            <w:tcBorders/>
            <w:shd w:fill="auto" w:val="clear"/>
            <w:vAlign w:val="bottom"/>
          </w:tcPr>
          <w:p>
            <w:pPr>
              <w:pStyle w:val="TableContents"/>
              <w:spacing w:before="0" w:after="0"/>
              <w:ind w:left="540" w:right="0" w:hanging="360"/>
              <w:jc w:val="both"/>
              <w:rPr>
                <w:rFonts w:ascii="times new roman" w:hAnsi="times new roman"/>
                <w:sz w:val="20"/>
              </w:rPr>
            </w:pPr>
            <w:r>
              <w:rPr>
                <w:rFonts w:ascii="times new roman" w:hAnsi="times new roman"/>
                <w:sz w:val="20"/>
              </w:rPr>
              <w:t>Valuation allowance</w:t>
            </w:r>
          </w:p>
        </w:tc>
        <w:tc>
          <w:tcPr>
            <w:tcW w:w="272" w:type="dxa"/>
            <w:tcBorders/>
            <w:shd w:fill="auto" w:val="clear"/>
            <w:vAlign w:val="bottom"/>
          </w:tcPr>
          <w:p>
            <w:pPr>
              <w:pStyle w:val="TableContents"/>
              <w:spacing w:before="0" w:after="283"/>
              <w:rPr/>
            </w:pPr>
            <w:r>
              <w:rPr/>
              <w:t xml:space="preserve">  </w:t>
            </w:r>
          </w:p>
        </w:tc>
        <w:tc>
          <w:tcPr>
            <w:tcW w:w="27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52"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(796</w:t>
            </w:r>
          </w:p>
        </w:tc>
        <w:tc>
          <w:tcPr>
            <w:tcW w:w="13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1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6" w:type="dxa"/>
            <w:tcBorders/>
            <w:shd w:fill="auto" w:val="clear"/>
            <w:vAlign w:val="bottom"/>
          </w:tcPr>
          <w:p>
            <w:pPr>
              <w:pStyle w:val="TableContents"/>
              <w:spacing w:before="0" w:after="283"/>
              <w:rPr/>
            </w:pPr>
            <w:r>
              <w:rPr/>
              <w:t xml:space="preserve">  </w:t>
            </w:r>
          </w:p>
        </w:tc>
      </w:tr>
      <w:tr>
        <w:trPr/>
        <w:tc>
          <w:tcPr>
            <w:tcW w:w="3402" w:type="dxa"/>
            <w:tcBorders/>
            <w:shd w:fill="auto" w:val="clear"/>
            <w:vAlign w:val="bottom"/>
          </w:tcPr>
          <w:p>
            <w:pPr>
              <w:pStyle w:val="TableContents"/>
              <w:spacing w:before="0" w:after="0"/>
              <w:ind w:left="720" w:right="0" w:hanging="360"/>
              <w:jc w:val="both"/>
              <w:rPr>
                <w:rFonts w:ascii="times new roman" w:hAnsi="times new roman"/>
                <w:sz w:val="20"/>
              </w:rPr>
            </w:pPr>
            <w:r>
              <w:rPr>
                <w:rFonts w:ascii="times new roman" w:hAnsi="times new roman"/>
                <w:sz w:val="20"/>
              </w:rPr>
              <w:t>Total deferred tax assets</w:t>
            </w:r>
          </w:p>
        </w:tc>
        <w:tc>
          <w:tcPr>
            <w:tcW w:w="272" w:type="dxa"/>
            <w:tcBorders/>
            <w:shd w:fill="auto" w:val="clear"/>
            <w:vAlign w:val="bottom"/>
          </w:tcPr>
          <w:p>
            <w:pPr>
              <w:pStyle w:val="TableContents"/>
              <w:spacing w:before="0" w:after="283"/>
              <w:rPr/>
            </w:pPr>
            <w:r>
              <w:rPr/>
              <w:t xml:space="preserve">  </w:t>
            </w:r>
          </w:p>
        </w:tc>
        <w:tc>
          <w:tcPr>
            <w:tcW w:w="27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52"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90,744</w:t>
            </w:r>
          </w:p>
        </w:tc>
        <w:tc>
          <w:tcPr>
            <w:tcW w:w="136" w:type="dxa"/>
            <w:tcBorders/>
            <w:shd w:fill="auto" w:val="clear"/>
            <w:vAlign w:val="bottom"/>
          </w:tcPr>
          <w:p>
            <w:pPr>
              <w:pStyle w:val="TableContents"/>
              <w:spacing w:before="0" w:after="283"/>
              <w:rPr/>
            </w:pPr>
            <w:r>
              <w:rPr/>
              <w:t xml:space="preserve">  </w:t>
            </w:r>
          </w:p>
        </w:tc>
        <w:tc>
          <w:tcPr>
            <w:tcW w:w="13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1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60,429</w:t>
            </w:r>
          </w:p>
        </w:tc>
        <w:tc>
          <w:tcPr>
            <w:tcW w:w="136" w:type="dxa"/>
            <w:tcBorders/>
            <w:shd w:fill="auto" w:val="clear"/>
            <w:vAlign w:val="bottom"/>
          </w:tcPr>
          <w:p>
            <w:pPr>
              <w:pStyle w:val="TableContents"/>
              <w:spacing w:before="0" w:after="283"/>
              <w:rPr/>
            </w:pPr>
            <w:r>
              <w:rPr/>
              <w:t xml:space="preserve">  </w:t>
            </w:r>
          </w:p>
        </w:tc>
      </w:tr>
      <w:tr>
        <w:trPr/>
        <w:tc>
          <w:tcPr>
            <w:tcW w:w="3402"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Deferred tax liabilities:</w:t>
            </w:r>
          </w:p>
        </w:tc>
        <w:tc>
          <w:tcPr>
            <w:tcW w:w="272" w:type="dxa"/>
            <w:tcBorders/>
            <w:shd w:fill="auto" w:val="clear"/>
            <w:vAlign w:val="bottom"/>
          </w:tcPr>
          <w:p>
            <w:pPr>
              <w:pStyle w:val="TableContents"/>
              <w:spacing w:before="0" w:after="283"/>
              <w:rPr/>
            </w:pPr>
            <w:r>
              <w:rPr/>
              <w:t xml:space="preserve">  </w:t>
            </w:r>
          </w:p>
        </w:tc>
        <w:tc>
          <w:tcPr>
            <w:tcW w:w="272" w:type="dxa"/>
            <w:tcBorders/>
            <w:shd w:fill="auto" w:val="clear"/>
            <w:vAlign w:val="bottom"/>
          </w:tcPr>
          <w:p>
            <w:pPr>
              <w:pStyle w:val="TableContents"/>
              <w:spacing w:before="0" w:after="283"/>
              <w:rPr/>
            </w:pPr>
            <w:r>
              <w:rPr/>
              <w:t xml:space="preserve">  </w:t>
            </w:r>
          </w:p>
        </w:tc>
        <w:tc>
          <w:tcPr>
            <w:tcW w:w="952"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c>
          <w:tcPr>
            <w:tcW w:w="817"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r>
      <w:tr>
        <w:trPr/>
        <w:tc>
          <w:tcPr>
            <w:tcW w:w="3402" w:type="dxa"/>
            <w:tcBorders/>
            <w:shd w:fill="auto" w:val="clear"/>
            <w:vAlign w:val="bottom"/>
          </w:tcPr>
          <w:p>
            <w:pPr>
              <w:pStyle w:val="TableContents"/>
              <w:spacing w:before="0" w:after="0"/>
              <w:ind w:left="540" w:right="0" w:hanging="360"/>
              <w:jc w:val="left"/>
              <w:rPr>
                <w:rFonts w:ascii="times new roman" w:hAnsi="times new roman"/>
                <w:sz w:val="20"/>
              </w:rPr>
            </w:pPr>
            <w:r>
              <w:rPr>
                <w:rFonts w:ascii="times new roman" w:hAnsi="times new roman"/>
                <w:sz w:val="20"/>
              </w:rPr>
              <w:t>Reserves and accrued expenses</w:t>
            </w:r>
          </w:p>
        </w:tc>
        <w:tc>
          <w:tcPr>
            <w:tcW w:w="272" w:type="dxa"/>
            <w:tcBorders/>
            <w:shd w:fill="auto" w:val="clear"/>
            <w:vAlign w:val="bottom"/>
          </w:tcPr>
          <w:p>
            <w:pPr>
              <w:pStyle w:val="TableContents"/>
              <w:spacing w:before="0" w:after="283"/>
              <w:rPr/>
            </w:pPr>
            <w:r>
              <w:rPr/>
              <w:t xml:space="preserve">  </w:t>
            </w:r>
          </w:p>
        </w:tc>
        <w:tc>
          <w:tcPr>
            <w:tcW w:w="27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5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33,884</w:t>
            </w:r>
          </w:p>
        </w:tc>
        <w:tc>
          <w:tcPr>
            <w:tcW w:w="136"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1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38,885</w:t>
            </w:r>
          </w:p>
        </w:tc>
        <w:tc>
          <w:tcPr>
            <w:tcW w:w="136" w:type="dxa"/>
            <w:tcBorders/>
            <w:shd w:fill="auto" w:val="clear"/>
            <w:vAlign w:val="bottom"/>
          </w:tcPr>
          <w:p>
            <w:pPr>
              <w:pStyle w:val="TableContents"/>
              <w:spacing w:before="0" w:after="283"/>
              <w:rPr/>
            </w:pPr>
            <w:r>
              <w:rPr/>
              <w:t xml:space="preserve">  </w:t>
            </w:r>
          </w:p>
        </w:tc>
      </w:tr>
      <w:tr>
        <w:trPr/>
        <w:tc>
          <w:tcPr>
            <w:tcW w:w="3402" w:type="dxa"/>
            <w:tcBorders/>
            <w:shd w:fill="auto" w:val="clear"/>
            <w:vAlign w:val="bottom"/>
          </w:tcPr>
          <w:p>
            <w:pPr>
              <w:pStyle w:val="TableContents"/>
              <w:spacing w:before="0" w:after="0"/>
              <w:ind w:left="540" w:right="0" w:hanging="360"/>
              <w:jc w:val="left"/>
              <w:rPr>
                <w:rFonts w:ascii="times new roman" w:hAnsi="times new roman"/>
                <w:sz w:val="20"/>
              </w:rPr>
            </w:pPr>
            <w:r>
              <w:rPr>
                <w:rFonts w:ascii="times new roman" w:hAnsi="times new roman"/>
                <w:sz w:val="20"/>
              </w:rPr>
              <w:t>Amortizable intangible assets</w:t>
            </w:r>
          </w:p>
        </w:tc>
        <w:tc>
          <w:tcPr>
            <w:tcW w:w="272" w:type="dxa"/>
            <w:tcBorders/>
            <w:shd w:fill="auto" w:val="clear"/>
            <w:vAlign w:val="bottom"/>
          </w:tcPr>
          <w:p>
            <w:pPr>
              <w:pStyle w:val="TableContents"/>
              <w:spacing w:before="0" w:after="283"/>
              <w:rPr/>
            </w:pPr>
            <w:r>
              <w:rPr/>
              <w:t xml:space="preserve">  </w:t>
            </w:r>
          </w:p>
        </w:tc>
        <w:tc>
          <w:tcPr>
            <w:tcW w:w="272" w:type="dxa"/>
            <w:tcBorders/>
            <w:shd w:fill="auto" w:val="clear"/>
            <w:vAlign w:val="bottom"/>
          </w:tcPr>
          <w:p>
            <w:pPr>
              <w:pStyle w:val="TableContents"/>
              <w:spacing w:before="0" w:after="283"/>
              <w:rPr/>
            </w:pPr>
            <w:r>
              <w:rPr/>
              <w:t xml:space="preserve">  </w:t>
            </w:r>
          </w:p>
        </w:tc>
        <w:tc>
          <w:tcPr>
            <w:tcW w:w="95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435,143</w:t>
            </w:r>
          </w:p>
        </w:tc>
        <w:tc>
          <w:tcPr>
            <w:tcW w:w="136"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c>
          <w:tcPr>
            <w:tcW w:w="81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289,326</w:t>
            </w:r>
          </w:p>
        </w:tc>
        <w:tc>
          <w:tcPr>
            <w:tcW w:w="136" w:type="dxa"/>
            <w:tcBorders/>
            <w:shd w:fill="auto" w:val="clear"/>
            <w:vAlign w:val="bottom"/>
          </w:tcPr>
          <w:p>
            <w:pPr>
              <w:pStyle w:val="TableContents"/>
              <w:spacing w:before="0" w:after="283"/>
              <w:rPr/>
            </w:pPr>
            <w:r>
              <w:rPr/>
              <w:t xml:space="preserve">  </w:t>
            </w:r>
          </w:p>
        </w:tc>
      </w:tr>
      <w:tr>
        <w:trPr/>
        <w:tc>
          <w:tcPr>
            <w:tcW w:w="3402" w:type="dxa"/>
            <w:tcBorders/>
            <w:shd w:fill="auto" w:val="clear"/>
            <w:vAlign w:val="bottom"/>
          </w:tcPr>
          <w:p>
            <w:pPr>
              <w:pStyle w:val="TableContents"/>
              <w:spacing w:before="0" w:after="0"/>
              <w:ind w:left="540" w:right="0" w:hanging="360"/>
              <w:jc w:val="left"/>
              <w:rPr>
                <w:rFonts w:ascii="times new roman" w:hAnsi="times new roman"/>
                <w:sz w:val="20"/>
              </w:rPr>
            </w:pPr>
            <w:r>
              <w:rPr>
                <w:rFonts w:ascii="times new roman" w:hAnsi="times new roman"/>
                <w:sz w:val="20"/>
              </w:rPr>
              <w:t>Plant and equipment</w:t>
            </w:r>
          </w:p>
        </w:tc>
        <w:tc>
          <w:tcPr>
            <w:tcW w:w="272" w:type="dxa"/>
            <w:tcBorders/>
            <w:shd w:fill="auto" w:val="clear"/>
            <w:vAlign w:val="bottom"/>
          </w:tcPr>
          <w:p>
            <w:pPr>
              <w:pStyle w:val="TableContents"/>
              <w:spacing w:before="0" w:after="283"/>
              <w:rPr/>
            </w:pPr>
            <w:r>
              <w:rPr/>
              <w:t xml:space="preserve">  </w:t>
            </w:r>
          </w:p>
        </w:tc>
        <w:tc>
          <w:tcPr>
            <w:tcW w:w="272" w:type="dxa"/>
            <w:tcBorders/>
            <w:shd w:fill="auto" w:val="clear"/>
            <w:vAlign w:val="bottom"/>
          </w:tcPr>
          <w:p>
            <w:pPr>
              <w:pStyle w:val="TableContents"/>
              <w:spacing w:before="0" w:after="283"/>
              <w:rPr/>
            </w:pPr>
            <w:r>
              <w:rPr/>
              <w:t xml:space="preserve">  </w:t>
            </w:r>
          </w:p>
        </w:tc>
        <w:tc>
          <w:tcPr>
            <w:tcW w:w="95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6,419</w:t>
            </w:r>
          </w:p>
        </w:tc>
        <w:tc>
          <w:tcPr>
            <w:tcW w:w="136" w:type="dxa"/>
            <w:tcBorders/>
            <w:shd w:fill="auto" w:val="clear"/>
            <w:vAlign w:val="bottom"/>
          </w:tcPr>
          <w:p>
            <w:pPr>
              <w:pStyle w:val="TableContents"/>
              <w:spacing w:before="0" w:after="283"/>
              <w:rPr/>
            </w:pPr>
            <w:r>
              <w:rPr/>
              <w:t xml:space="preserve">  </w:t>
            </w:r>
          </w:p>
        </w:tc>
        <w:tc>
          <w:tcPr>
            <w:tcW w:w="136" w:type="dxa"/>
            <w:tcBorders/>
            <w:shd w:fill="auto" w:val="clear"/>
            <w:vAlign w:val="bottom"/>
          </w:tcPr>
          <w:p>
            <w:pPr>
              <w:pStyle w:val="TableContents"/>
              <w:spacing w:before="0" w:after="283"/>
              <w:rPr/>
            </w:pPr>
            <w:r>
              <w:rPr/>
              <w:t xml:space="preserve">  </w:t>
            </w:r>
          </w:p>
        </w:tc>
        <w:tc>
          <w:tcPr>
            <w:tcW w:w="81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1,545</w:t>
            </w:r>
          </w:p>
        </w:tc>
        <w:tc>
          <w:tcPr>
            <w:tcW w:w="136" w:type="dxa"/>
            <w:tcBorders/>
            <w:shd w:fill="auto" w:val="clear"/>
            <w:vAlign w:val="bottom"/>
          </w:tcPr>
          <w:p>
            <w:pPr>
              <w:pStyle w:val="TableContents"/>
              <w:spacing w:before="0" w:after="283"/>
              <w:rPr/>
            </w:pPr>
            <w:r>
              <w:rPr/>
              <w:t xml:space="preserve">  </w:t>
            </w:r>
          </w:p>
        </w:tc>
      </w:tr>
      <w:tr>
        <w:trPr/>
        <w:tc>
          <w:tcPr>
            <w:tcW w:w="3402" w:type="dxa"/>
            <w:tcBorders/>
            <w:shd w:fill="auto" w:val="clear"/>
            <w:vAlign w:val="bottom"/>
          </w:tcPr>
          <w:p>
            <w:pPr>
              <w:pStyle w:val="TableContents"/>
              <w:spacing w:before="0" w:after="0"/>
              <w:ind w:left="540" w:right="0" w:hanging="360"/>
              <w:jc w:val="both"/>
              <w:rPr>
                <w:rFonts w:ascii="times new roman" w:hAnsi="times new roman"/>
                <w:sz w:val="20"/>
              </w:rPr>
            </w:pPr>
            <w:r>
              <w:rPr>
                <w:rFonts w:ascii="times new roman" w:hAnsi="times new roman"/>
                <w:sz w:val="20"/>
              </w:rPr>
              <w:t>Other</w:t>
            </w:r>
          </w:p>
        </w:tc>
        <w:tc>
          <w:tcPr>
            <w:tcW w:w="272" w:type="dxa"/>
            <w:tcBorders/>
            <w:shd w:fill="auto" w:val="clear"/>
            <w:vAlign w:val="bottom"/>
          </w:tcPr>
          <w:p>
            <w:pPr>
              <w:pStyle w:val="TableContents"/>
              <w:spacing w:before="0" w:after="283"/>
              <w:rPr/>
            </w:pPr>
            <w:r>
              <w:rPr/>
              <w:t xml:space="preserve">  </w:t>
            </w:r>
          </w:p>
        </w:tc>
        <w:tc>
          <w:tcPr>
            <w:tcW w:w="27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52"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6" w:type="dxa"/>
            <w:tcBorders/>
            <w:shd w:fill="auto" w:val="clear"/>
            <w:vAlign w:val="bottom"/>
          </w:tcPr>
          <w:p>
            <w:pPr>
              <w:pStyle w:val="TableContents"/>
              <w:spacing w:before="0" w:after="283"/>
              <w:rPr/>
            </w:pPr>
            <w:r>
              <w:rPr/>
              <w:t xml:space="preserve">  </w:t>
            </w:r>
          </w:p>
        </w:tc>
        <w:tc>
          <w:tcPr>
            <w:tcW w:w="136"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17"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w:t>
            </w:r>
            <w:r>
              <w:rPr>
                <w:rFonts w:ascii="times new roman" w:hAnsi="times new roman"/>
                <w:sz w:val="20"/>
              </w:rPr>
              <w:t>214</w:t>
            </w:r>
          </w:p>
        </w:tc>
        <w:tc>
          <w:tcPr>
            <w:tcW w:w="136" w:type="dxa"/>
            <w:tcBorders/>
            <w:shd w:fill="auto" w:val="clear"/>
            <w:vAlign w:val="bottom"/>
          </w:tcPr>
          <w:p>
            <w:pPr>
              <w:pStyle w:val="TableContents"/>
              <w:spacing w:before="0" w:after="283"/>
              <w:rPr/>
            </w:pPr>
            <w:r>
              <w:rPr/>
              <w:t xml:space="preserve">  </w:t>
            </w:r>
          </w:p>
        </w:tc>
      </w:tr>
      <w:tr>
        <w:trPr/>
        <w:tc>
          <w:tcPr>
            <w:tcW w:w="3402" w:type="dxa"/>
            <w:tcBorders/>
            <w:shd w:fill="auto" w:val="clear"/>
            <w:vAlign w:val="bottom"/>
          </w:tcPr>
          <w:p>
            <w:pPr>
              <w:pStyle w:val="TableContents"/>
              <w:spacing w:before="0" w:after="0"/>
              <w:ind w:left="720" w:right="0" w:hanging="360"/>
              <w:jc w:val="left"/>
              <w:rPr>
                <w:rFonts w:ascii="times new roman" w:hAnsi="times new roman"/>
                <w:sz w:val="20"/>
              </w:rPr>
            </w:pPr>
            <w:r>
              <w:rPr>
                <w:rFonts w:ascii="times new roman" w:hAnsi="times new roman"/>
                <w:sz w:val="20"/>
              </w:rPr>
              <w:t>Total deferred tax liabilities</w:t>
            </w:r>
          </w:p>
        </w:tc>
        <w:tc>
          <w:tcPr>
            <w:tcW w:w="272" w:type="dxa"/>
            <w:tcBorders/>
            <w:shd w:fill="auto" w:val="clear"/>
            <w:vAlign w:val="bottom"/>
          </w:tcPr>
          <w:p>
            <w:pPr>
              <w:pStyle w:val="TableContents"/>
              <w:spacing w:before="0" w:after="283"/>
              <w:rPr/>
            </w:pPr>
            <w:r>
              <w:rPr/>
              <w:t xml:space="preserve">  </w:t>
            </w:r>
          </w:p>
        </w:tc>
        <w:tc>
          <w:tcPr>
            <w:tcW w:w="27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52"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475,446</w:t>
            </w:r>
          </w:p>
        </w:tc>
        <w:tc>
          <w:tcPr>
            <w:tcW w:w="136" w:type="dxa"/>
            <w:tcBorders/>
            <w:shd w:fill="auto" w:val="clear"/>
            <w:vAlign w:val="bottom"/>
          </w:tcPr>
          <w:p>
            <w:pPr>
              <w:pStyle w:val="TableContents"/>
              <w:spacing w:before="0" w:after="283"/>
              <w:rPr/>
            </w:pPr>
            <w:r>
              <w:rPr/>
              <w:t xml:space="preserve">  </w:t>
            </w:r>
          </w:p>
        </w:tc>
        <w:tc>
          <w:tcPr>
            <w:tcW w:w="13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1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329,970</w:t>
            </w:r>
          </w:p>
        </w:tc>
        <w:tc>
          <w:tcPr>
            <w:tcW w:w="136"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Company records a valuation allowance to reduce its deferred tax assets when uncertainty regarding their realizability exists.  Roper has certain foreign operations that are in a cumulative loss position for the three year period ended December 31, 2010. For purposes of assessing the realization of the deferred tax assets in those operations, the cumulative taxable loss position is considered significant negative evidence and has caused us to conclude that the Company will not be able to realize the deferred tax assets in the future.   As of December 31, 2010, the Company recorded a full valuation allowance of $0.8 million on the deferred tax assets of those certain foreign operations.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At December 31, 2010, Roper had approximately $17.7 million of U.S. federal net operating loss carryforwards. If not utilized, these carryforwards will expire in years 2023 through 2029. Additionally, Roper had foreign tax credit carryforwards and research and development credit carryforwards. Roper has not recognized a valuation allowance since management has determined that it is more likely than not that the results of future operations will generate sufficient taxable income to realize these deferred tax assets.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Company provides income taxes for unremitted earnings of foreign subsidiaries that are not considered permanently reinvested overseas. As of December 31, 2010, the approximate amount of earnings of foreign subsidiaries that the Company considers permanently reinvested and for which deferred taxes have not been provided was approximately $615.5 million. Because of the availability of U.S. foreign tax credits, it is not practicable to determine the U.S. federal income tax liability that would be payable if such earnings were not reinvested indefinitely.</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Company recognizes in the consolidated financial statements only those tax positions determined to be “more likely than not” of being sustained upon examination based on the technical merits of the positions.  A reconciliation of the beginning and ending amount of unrecognized tax benefits is as follows (in thousands):</w:t>
      </w:r>
    </w:p>
    <w:p>
      <w:pPr>
        <w:pStyle w:val="TextBody"/>
        <w:spacing w:before="0" w:after="0"/>
        <w:ind w:left="360" w:right="0" w:hanging="0"/>
        <w:jc w:val="both"/>
        <w:rPr/>
      </w:pPr>
      <w:r>
        <w:rPr/>
        <w:t> </w:t>
      </w:r>
    </w:p>
    <w:p>
      <w:pPr>
        <w:pStyle w:val="TextBody"/>
        <w:spacing w:before="0" w:after="0"/>
        <w:ind w:left="360" w:right="0" w:hanging="0"/>
        <w:jc w:val="both"/>
        <w:rPr/>
      </w:pPr>
      <w:r>
        <w:rPr/>
        <w:t> </w:t>
      </w:r>
    </w:p>
    <w:tbl>
      <w:tblPr>
        <w:tblW w:w="3750" w:type="pct"/>
        <w:jc w:val="center"/>
        <w:tblInd w:w="0" w:type="dxa"/>
        <w:tblCellMar>
          <w:top w:w="0" w:type="dxa"/>
          <w:left w:w="0" w:type="dxa"/>
          <w:bottom w:w="0" w:type="dxa"/>
          <w:right w:w="0" w:type="dxa"/>
        </w:tblCellMar>
      </w:tblPr>
      <w:tblGrid>
        <w:gridCol w:w="4311"/>
        <w:gridCol w:w="150"/>
        <w:gridCol w:w="150"/>
        <w:gridCol w:w="832"/>
        <w:gridCol w:w="226"/>
        <w:gridCol w:w="150"/>
        <w:gridCol w:w="681"/>
        <w:gridCol w:w="226"/>
        <w:gridCol w:w="150"/>
        <w:gridCol w:w="681"/>
        <w:gridCol w:w="96"/>
      </w:tblGrid>
      <w:tr>
        <w:trPr/>
        <w:tc>
          <w:tcPr>
            <w:tcW w:w="4311" w:type="dxa"/>
            <w:tcBorders/>
            <w:shd w:fill="auto" w:val="clear"/>
            <w:vAlign w:val="bottom"/>
          </w:tcPr>
          <w:p>
            <w:pPr>
              <w:pStyle w:val="TableContents"/>
              <w:spacing w:before="0" w:after="283"/>
              <w:rPr/>
            </w:pPr>
            <w:r>
              <w:rPr/>
              <w:t xml:space="preserve">  </w:t>
            </w:r>
          </w:p>
        </w:tc>
        <w:tc>
          <w:tcPr>
            <w:tcW w:w="150" w:type="dxa"/>
            <w:tcBorders/>
            <w:shd w:fill="auto" w:val="clear"/>
          </w:tcPr>
          <w:p>
            <w:pPr>
              <w:pStyle w:val="TableContents"/>
              <w:spacing w:before="0" w:after="283"/>
              <w:rPr/>
            </w:pPr>
            <w:r>
              <w:rPr/>
              <w:t xml:space="preserve">  </w:t>
            </w:r>
          </w:p>
        </w:tc>
        <w:tc>
          <w:tcPr>
            <w:tcW w:w="98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226" w:type="dxa"/>
            <w:tcBorders/>
            <w:shd w:fill="auto" w:val="clear"/>
            <w:vAlign w:val="bottom"/>
          </w:tcPr>
          <w:p>
            <w:pPr>
              <w:pStyle w:val="TableContents"/>
              <w:spacing w:before="0" w:after="283"/>
              <w:rPr/>
            </w:pPr>
            <w:r>
              <w:rPr/>
              <w:t xml:space="preserve">  </w:t>
            </w:r>
          </w:p>
        </w:tc>
        <w:tc>
          <w:tcPr>
            <w:tcW w:w="8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226" w:type="dxa"/>
            <w:tcBorders/>
            <w:shd w:fill="auto" w:val="clear"/>
            <w:vAlign w:val="bottom"/>
          </w:tcPr>
          <w:p>
            <w:pPr>
              <w:pStyle w:val="TableContents"/>
              <w:spacing w:before="0" w:after="283"/>
              <w:rPr/>
            </w:pPr>
            <w:r>
              <w:rPr/>
              <w:t xml:space="preserve">  </w:t>
            </w:r>
          </w:p>
        </w:tc>
        <w:tc>
          <w:tcPr>
            <w:tcW w:w="8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96" w:type="dxa"/>
            <w:tcBorders/>
            <w:shd w:fill="auto" w:val="clear"/>
            <w:vAlign w:val="bottom"/>
          </w:tcPr>
          <w:p>
            <w:pPr>
              <w:pStyle w:val="TableContents"/>
              <w:spacing w:before="0" w:after="283"/>
              <w:rPr/>
            </w:pPr>
            <w:r>
              <w:rPr/>
              <w:t xml:space="preserve">  </w:t>
            </w:r>
          </w:p>
        </w:tc>
      </w:tr>
      <w:tr>
        <w:trPr/>
        <w:tc>
          <w:tcPr>
            <w:tcW w:w="4311"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Beginning balance    </w:t>
            </w:r>
          </w:p>
        </w:tc>
        <w:tc>
          <w:tcPr>
            <w:tcW w:w="150" w:type="dxa"/>
            <w:tcBorders/>
            <w:shd w:fill="auto" w:val="clear"/>
          </w:tcPr>
          <w:p>
            <w:pPr>
              <w:pStyle w:val="TableContents"/>
              <w:spacing w:before="0" w:after="283"/>
              <w:rPr/>
            </w:pPr>
            <w:r>
              <w:rPr/>
              <w:t xml:space="preserve">  </w:t>
            </w:r>
          </w:p>
        </w:tc>
        <w:tc>
          <w:tcPr>
            <w:tcW w:w="15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3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22,922</w:t>
            </w:r>
          </w:p>
        </w:tc>
        <w:tc>
          <w:tcPr>
            <w:tcW w:w="226" w:type="dxa"/>
            <w:tcBorders/>
            <w:shd w:fill="auto" w:val="clear"/>
            <w:vAlign w:val="bottom"/>
          </w:tcPr>
          <w:p>
            <w:pPr>
              <w:pStyle w:val="TableContents"/>
              <w:spacing w:before="0" w:after="283"/>
              <w:rPr/>
            </w:pPr>
            <w:r>
              <w:rPr/>
              <w:t xml:space="preserve">  </w:t>
            </w:r>
          </w:p>
        </w:tc>
        <w:tc>
          <w:tcPr>
            <w:tcW w:w="15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6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22,638</w:t>
            </w:r>
          </w:p>
        </w:tc>
        <w:tc>
          <w:tcPr>
            <w:tcW w:w="226" w:type="dxa"/>
            <w:tcBorders/>
            <w:shd w:fill="auto" w:val="clear"/>
            <w:vAlign w:val="bottom"/>
          </w:tcPr>
          <w:p>
            <w:pPr>
              <w:pStyle w:val="TableContents"/>
              <w:spacing w:before="0" w:after="283"/>
              <w:rPr/>
            </w:pPr>
            <w:r>
              <w:rPr/>
              <w:t xml:space="preserve">  </w:t>
            </w:r>
          </w:p>
        </w:tc>
        <w:tc>
          <w:tcPr>
            <w:tcW w:w="15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6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20,773</w:t>
            </w:r>
          </w:p>
        </w:tc>
        <w:tc>
          <w:tcPr>
            <w:tcW w:w="96" w:type="dxa"/>
            <w:tcBorders/>
            <w:shd w:fill="auto" w:val="clear"/>
            <w:vAlign w:val="bottom"/>
          </w:tcPr>
          <w:p>
            <w:pPr>
              <w:pStyle w:val="TableContents"/>
              <w:spacing w:before="0" w:after="283"/>
              <w:rPr/>
            </w:pPr>
            <w:r>
              <w:rPr/>
              <w:t xml:space="preserve">  </w:t>
            </w:r>
          </w:p>
        </w:tc>
      </w:tr>
      <w:tr>
        <w:trPr/>
        <w:tc>
          <w:tcPr>
            <w:tcW w:w="4311" w:type="dxa"/>
            <w:tcBorders/>
            <w:shd w:fill="auto" w:val="clear"/>
            <w:vAlign w:val="bottom"/>
          </w:tcPr>
          <w:p>
            <w:pPr>
              <w:pStyle w:val="TableContents"/>
              <w:spacing w:before="0" w:after="0"/>
              <w:ind w:left="540" w:right="0" w:hanging="360"/>
              <w:jc w:val="both"/>
              <w:rPr>
                <w:rFonts w:ascii="times new roman" w:hAnsi="times new roman"/>
                <w:sz w:val="20"/>
              </w:rPr>
            </w:pPr>
            <w:r>
              <w:rPr>
                <w:rFonts w:ascii="times new roman" w:hAnsi="times new roman"/>
                <w:sz w:val="20"/>
              </w:rPr>
              <w:t>Additions for tax positions of prior periods    </w:t>
            </w:r>
          </w:p>
        </w:tc>
        <w:tc>
          <w:tcPr>
            <w:tcW w:w="150" w:type="dxa"/>
            <w:tcBorders/>
            <w:shd w:fill="auto" w:val="clear"/>
          </w:tcPr>
          <w:p>
            <w:pPr>
              <w:pStyle w:val="TableContents"/>
              <w:spacing w:before="0" w:after="283"/>
              <w:rPr/>
            </w:pPr>
            <w:r>
              <w:rPr/>
              <w:t xml:space="preserve">  </w:t>
            </w:r>
          </w:p>
        </w:tc>
        <w:tc>
          <w:tcPr>
            <w:tcW w:w="150" w:type="dxa"/>
            <w:tcBorders/>
            <w:shd w:fill="auto" w:val="clear"/>
          </w:tcPr>
          <w:p>
            <w:pPr>
              <w:pStyle w:val="TableContents"/>
              <w:spacing w:before="0" w:after="283"/>
              <w:rPr/>
            </w:pPr>
            <w:r>
              <w:rPr/>
              <w:t xml:space="preserve">  </w:t>
            </w:r>
          </w:p>
        </w:tc>
        <w:tc>
          <w:tcPr>
            <w:tcW w:w="83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203</w:t>
            </w:r>
          </w:p>
        </w:tc>
        <w:tc>
          <w:tcPr>
            <w:tcW w:w="226" w:type="dxa"/>
            <w:tcBorders/>
            <w:shd w:fill="auto" w:val="clear"/>
            <w:vAlign w:val="bottom"/>
          </w:tcPr>
          <w:p>
            <w:pPr>
              <w:pStyle w:val="TableContents"/>
              <w:spacing w:before="0" w:after="283"/>
              <w:rPr/>
            </w:pPr>
            <w:r>
              <w:rPr/>
              <w:t xml:space="preserve">  </w:t>
            </w:r>
          </w:p>
        </w:tc>
        <w:tc>
          <w:tcPr>
            <w:tcW w:w="150" w:type="dxa"/>
            <w:tcBorders/>
            <w:shd w:fill="auto" w:val="clear"/>
            <w:vAlign w:val="bottom"/>
          </w:tcPr>
          <w:p>
            <w:pPr>
              <w:pStyle w:val="TableContents"/>
              <w:spacing w:before="0" w:after="283"/>
              <w:rPr/>
            </w:pPr>
            <w:r>
              <w:rPr/>
              <w:t xml:space="preserve">  </w:t>
            </w:r>
          </w:p>
        </w:tc>
        <w:tc>
          <w:tcPr>
            <w:tcW w:w="6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156</w:t>
            </w:r>
          </w:p>
        </w:tc>
        <w:tc>
          <w:tcPr>
            <w:tcW w:w="226" w:type="dxa"/>
            <w:tcBorders/>
            <w:shd w:fill="auto" w:val="clear"/>
            <w:vAlign w:val="bottom"/>
          </w:tcPr>
          <w:p>
            <w:pPr>
              <w:pStyle w:val="TableContents"/>
              <w:spacing w:before="0" w:after="283"/>
              <w:rPr/>
            </w:pPr>
            <w:r>
              <w:rPr/>
              <w:t xml:space="preserve">  </w:t>
            </w:r>
          </w:p>
        </w:tc>
        <w:tc>
          <w:tcPr>
            <w:tcW w:w="150" w:type="dxa"/>
            <w:tcBorders/>
            <w:shd w:fill="auto" w:val="clear"/>
            <w:vAlign w:val="bottom"/>
          </w:tcPr>
          <w:p>
            <w:pPr>
              <w:pStyle w:val="TableContents"/>
              <w:spacing w:before="0" w:after="283"/>
              <w:rPr/>
            </w:pPr>
            <w:r>
              <w:rPr/>
              <w:t xml:space="preserve">  </w:t>
            </w:r>
          </w:p>
        </w:tc>
        <w:tc>
          <w:tcPr>
            <w:tcW w:w="6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960</w:t>
            </w:r>
          </w:p>
        </w:tc>
        <w:tc>
          <w:tcPr>
            <w:tcW w:w="96" w:type="dxa"/>
            <w:tcBorders/>
            <w:shd w:fill="auto" w:val="clear"/>
            <w:vAlign w:val="bottom"/>
          </w:tcPr>
          <w:p>
            <w:pPr>
              <w:pStyle w:val="TableContents"/>
              <w:spacing w:before="0" w:after="283"/>
              <w:rPr/>
            </w:pPr>
            <w:r>
              <w:rPr/>
              <w:t xml:space="preserve">  </w:t>
            </w:r>
          </w:p>
        </w:tc>
      </w:tr>
      <w:tr>
        <w:trPr/>
        <w:tc>
          <w:tcPr>
            <w:tcW w:w="4311" w:type="dxa"/>
            <w:tcBorders/>
            <w:shd w:fill="auto" w:val="clear"/>
            <w:vAlign w:val="bottom"/>
          </w:tcPr>
          <w:p>
            <w:pPr>
              <w:pStyle w:val="TableContents"/>
              <w:spacing w:before="0" w:after="0"/>
              <w:ind w:left="540" w:right="0" w:hanging="360"/>
              <w:jc w:val="both"/>
              <w:rPr>
                <w:rFonts w:ascii="times new roman" w:hAnsi="times new roman"/>
                <w:sz w:val="20"/>
              </w:rPr>
            </w:pPr>
            <w:r>
              <w:rPr>
                <w:rFonts w:ascii="times new roman" w:hAnsi="times new roman"/>
                <w:sz w:val="20"/>
              </w:rPr>
              <w:t>Additions for tax positions of the current period    </w:t>
            </w:r>
          </w:p>
        </w:tc>
        <w:tc>
          <w:tcPr>
            <w:tcW w:w="150" w:type="dxa"/>
            <w:tcBorders/>
            <w:shd w:fill="auto" w:val="clear"/>
          </w:tcPr>
          <w:p>
            <w:pPr>
              <w:pStyle w:val="TableContents"/>
              <w:spacing w:before="0" w:after="283"/>
              <w:rPr/>
            </w:pPr>
            <w:r>
              <w:rPr/>
              <w:t xml:space="preserve">  </w:t>
            </w:r>
          </w:p>
        </w:tc>
        <w:tc>
          <w:tcPr>
            <w:tcW w:w="150" w:type="dxa"/>
            <w:tcBorders/>
            <w:shd w:fill="auto" w:val="clear"/>
          </w:tcPr>
          <w:p>
            <w:pPr>
              <w:pStyle w:val="TableContents"/>
              <w:spacing w:before="0" w:after="283"/>
              <w:rPr/>
            </w:pPr>
            <w:r>
              <w:rPr/>
              <w:t xml:space="preserve">  </w:t>
            </w:r>
          </w:p>
        </w:tc>
        <w:tc>
          <w:tcPr>
            <w:tcW w:w="83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3,169</w:t>
            </w:r>
          </w:p>
        </w:tc>
        <w:tc>
          <w:tcPr>
            <w:tcW w:w="226" w:type="dxa"/>
            <w:tcBorders/>
            <w:shd w:fill="auto" w:val="clear"/>
            <w:vAlign w:val="bottom"/>
          </w:tcPr>
          <w:p>
            <w:pPr>
              <w:pStyle w:val="TableContents"/>
              <w:spacing w:before="0" w:after="283"/>
              <w:rPr/>
            </w:pPr>
            <w:r>
              <w:rPr/>
              <w:t xml:space="preserve">  </w:t>
            </w:r>
          </w:p>
        </w:tc>
        <w:tc>
          <w:tcPr>
            <w:tcW w:w="150" w:type="dxa"/>
            <w:tcBorders/>
            <w:shd w:fill="auto" w:val="clear"/>
            <w:vAlign w:val="bottom"/>
          </w:tcPr>
          <w:p>
            <w:pPr>
              <w:pStyle w:val="TableContents"/>
              <w:spacing w:before="0" w:after="283"/>
              <w:rPr/>
            </w:pPr>
            <w:r>
              <w:rPr/>
              <w:t xml:space="preserve">  </w:t>
            </w:r>
          </w:p>
        </w:tc>
        <w:tc>
          <w:tcPr>
            <w:tcW w:w="6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4,750</w:t>
            </w:r>
          </w:p>
        </w:tc>
        <w:tc>
          <w:tcPr>
            <w:tcW w:w="226" w:type="dxa"/>
            <w:tcBorders/>
            <w:shd w:fill="auto" w:val="clear"/>
            <w:vAlign w:val="bottom"/>
          </w:tcPr>
          <w:p>
            <w:pPr>
              <w:pStyle w:val="TableContents"/>
              <w:spacing w:before="0" w:after="283"/>
              <w:rPr/>
            </w:pPr>
            <w:r>
              <w:rPr/>
              <w:t xml:space="preserve">  </w:t>
            </w:r>
          </w:p>
        </w:tc>
        <w:tc>
          <w:tcPr>
            <w:tcW w:w="150" w:type="dxa"/>
            <w:tcBorders/>
            <w:shd w:fill="auto" w:val="clear"/>
            <w:vAlign w:val="bottom"/>
          </w:tcPr>
          <w:p>
            <w:pPr>
              <w:pStyle w:val="TableContents"/>
              <w:spacing w:before="0" w:after="283"/>
              <w:rPr/>
            </w:pPr>
            <w:r>
              <w:rPr/>
              <w:t xml:space="preserve">  </w:t>
            </w:r>
          </w:p>
        </w:tc>
        <w:tc>
          <w:tcPr>
            <w:tcW w:w="6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3,086</w:t>
            </w:r>
          </w:p>
        </w:tc>
        <w:tc>
          <w:tcPr>
            <w:tcW w:w="96" w:type="dxa"/>
            <w:tcBorders/>
            <w:shd w:fill="auto" w:val="clear"/>
            <w:vAlign w:val="bottom"/>
          </w:tcPr>
          <w:p>
            <w:pPr>
              <w:pStyle w:val="TableContents"/>
              <w:spacing w:before="0" w:after="283"/>
              <w:rPr/>
            </w:pPr>
            <w:r>
              <w:rPr/>
              <w:t xml:space="preserve">  </w:t>
            </w:r>
          </w:p>
        </w:tc>
      </w:tr>
      <w:tr>
        <w:trPr/>
        <w:tc>
          <w:tcPr>
            <w:tcW w:w="4311" w:type="dxa"/>
            <w:tcBorders/>
            <w:shd w:fill="auto" w:val="clear"/>
            <w:vAlign w:val="bottom"/>
          </w:tcPr>
          <w:p>
            <w:pPr>
              <w:pStyle w:val="TableContents"/>
              <w:spacing w:before="0" w:after="0"/>
              <w:ind w:left="540" w:right="0" w:hanging="360"/>
              <w:jc w:val="both"/>
              <w:rPr>
                <w:rFonts w:ascii="times new roman" w:hAnsi="times new roman"/>
                <w:sz w:val="20"/>
              </w:rPr>
            </w:pPr>
            <w:r>
              <w:rPr>
                <w:rFonts w:ascii="times new roman" w:hAnsi="times new roman"/>
                <w:sz w:val="20"/>
              </w:rPr>
              <w:t>Additions due to acquisitions</w:t>
            </w:r>
          </w:p>
        </w:tc>
        <w:tc>
          <w:tcPr>
            <w:tcW w:w="150" w:type="dxa"/>
            <w:tcBorders/>
            <w:shd w:fill="auto" w:val="clear"/>
          </w:tcPr>
          <w:p>
            <w:pPr>
              <w:pStyle w:val="TableContents"/>
              <w:spacing w:before="0" w:after="283"/>
              <w:rPr/>
            </w:pPr>
            <w:r>
              <w:rPr/>
              <w:t xml:space="preserve">  </w:t>
            </w:r>
          </w:p>
        </w:tc>
        <w:tc>
          <w:tcPr>
            <w:tcW w:w="150" w:type="dxa"/>
            <w:tcBorders/>
            <w:shd w:fill="auto" w:val="clear"/>
          </w:tcPr>
          <w:p>
            <w:pPr>
              <w:pStyle w:val="TableContents"/>
              <w:spacing w:before="0" w:after="283"/>
              <w:rPr/>
            </w:pPr>
            <w:r>
              <w:rPr/>
              <w:t xml:space="preserve">  </w:t>
            </w:r>
          </w:p>
        </w:tc>
        <w:tc>
          <w:tcPr>
            <w:tcW w:w="83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3,546</w:t>
            </w:r>
          </w:p>
        </w:tc>
        <w:tc>
          <w:tcPr>
            <w:tcW w:w="226" w:type="dxa"/>
            <w:tcBorders/>
            <w:shd w:fill="auto" w:val="clear"/>
            <w:vAlign w:val="bottom"/>
          </w:tcPr>
          <w:p>
            <w:pPr>
              <w:pStyle w:val="TableContents"/>
              <w:spacing w:before="0" w:after="283"/>
              <w:rPr/>
            </w:pPr>
            <w:r>
              <w:rPr/>
              <w:t xml:space="preserve">  </w:t>
            </w:r>
          </w:p>
        </w:tc>
        <w:tc>
          <w:tcPr>
            <w:tcW w:w="150" w:type="dxa"/>
            <w:tcBorders/>
            <w:shd w:fill="auto" w:val="clear"/>
            <w:vAlign w:val="bottom"/>
          </w:tcPr>
          <w:p>
            <w:pPr>
              <w:pStyle w:val="TableContents"/>
              <w:spacing w:before="0" w:after="283"/>
              <w:rPr/>
            </w:pPr>
            <w:r>
              <w:rPr/>
              <w:t xml:space="preserve">  </w:t>
            </w:r>
          </w:p>
        </w:tc>
        <w:tc>
          <w:tcPr>
            <w:tcW w:w="6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26" w:type="dxa"/>
            <w:tcBorders/>
            <w:shd w:fill="auto" w:val="clear"/>
            <w:vAlign w:val="bottom"/>
          </w:tcPr>
          <w:p>
            <w:pPr>
              <w:pStyle w:val="TableContents"/>
              <w:spacing w:before="0" w:after="283"/>
              <w:rPr/>
            </w:pPr>
            <w:r>
              <w:rPr/>
              <w:t xml:space="preserve">  </w:t>
            </w:r>
          </w:p>
        </w:tc>
        <w:tc>
          <w:tcPr>
            <w:tcW w:w="150" w:type="dxa"/>
            <w:tcBorders/>
            <w:shd w:fill="auto" w:val="clear"/>
            <w:vAlign w:val="bottom"/>
          </w:tcPr>
          <w:p>
            <w:pPr>
              <w:pStyle w:val="TableContents"/>
              <w:spacing w:before="0" w:after="283"/>
              <w:rPr/>
            </w:pPr>
            <w:r>
              <w:rPr/>
              <w:t xml:space="preserve">  </w:t>
            </w:r>
          </w:p>
        </w:tc>
        <w:tc>
          <w:tcPr>
            <w:tcW w:w="6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6" w:type="dxa"/>
            <w:tcBorders/>
            <w:shd w:fill="auto" w:val="clear"/>
            <w:vAlign w:val="bottom"/>
          </w:tcPr>
          <w:p>
            <w:pPr>
              <w:pStyle w:val="TableContents"/>
              <w:spacing w:before="0" w:after="283"/>
              <w:rPr/>
            </w:pPr>
            <w:r>
              <w:rPr/>
              <w:t xml:space="preserve">  </w:t>
            </w:r>
          </w:p>
        </w:tc>
      </w:tr>
      <w:tr>
        <w:trPr/>
        <w:tc>
          <w:tcPr>
            <w:tcW w:w="4311" w:type="dxa"/>
            <w:tcBorders/>
            <w:shd w:fill="auto" w:val="clear"/>
            <w:vAlign w:val="bottom"/>
          </w:tcPr>
          <w:p>
            <w:pPr>
              <w:pStyle w:val="TableContents"/>
              <w:spacing w:before="0" w:after="0"/>
              <w:ind w:left="540" w:right="0" w:hanging="360"/>
              <w:jc w:val="both"/>
              <w:rPr>
                <w:rFonts w:ascii="times new roman" w:hAnsi="times new roman"/>
                <w:sz w:val="20"/>
              </w:rPr>
            </w:pPr>
            <w:r>
              <w:rPr>
                <w:rFonts w:ascii="times new roman" w:hAnsi="times new roman"/>
                <w:sz w:val="20"/>
              </w:rPr>
              <w:t>Reductions for tax positions of prior periods</w:t>
            </w:r>
          </w:p>
        </w:tc>
        <w:tc>
          <w:tcPr>
            <w:tcW w:w="150" w:type="dxa"/>
            <w:tcBorders/>
            <w:shd w:fill="auto" w:val="clear"/>
          </w:tcPr>
          <w:p>
            <w:pPr>
              <w:pStyle w:val="TableContents"/>
              <w:spacing w:before="0" w:after="283"/>
              <w:rPr/>
            </w:pPr>
            <w:r>
              <w:rPr/>
              <w:t xml:space="preserve">  </w:t>
            </w:r>
          </w:p>
        </w:tc>
        <w:tc>
          <w:tcPr>
            <w:tcW w:w="150" w:type="dxa"/>
            <w:tcBorders/>
            <w:shd w:fill="auto" w:val="clear"/>
          </w:tcPr>
          <w:p>
            <w:pPr>
              <w:pStyle w:val="TableContents"/>
              <w:spacing w:before="0" w:after="283"/>
              <w:rPr/>
            </w:pPr>
            <w:r>
              <w:rPr/>
              <w:t xml:space="preserve">  </w:t>
            </w:r>
          </w:p>
        </w:tc>
        <w:tc>
          <w:tcPr>
            <w:tcW w:w="83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(565</w:t>
            </w:r>
          </w:p>
        </w:tc>
        <w:tc>
          <w:tcPr>
            <w:tcW w:w="2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50" w:type="dxa"/>
            <w:tcBorders/>
            <w:shd w:fill="auto" w:val="clear"/>
            <w:vAlign w:val="bottom"/>
          </w:tcPr>
          <w:p>
            <w:pPr>
              <w:pStyle w:val="TableContents"/>
              <w:spacing w:before="0" w:after="283"/>
              <w:rPr/>
            </w:pPr>
            <w:r>
              <w:rPr/>
              <w:t xml:space="preserve">  </w:t>
            </w:r>
          </w:p>
        </w:tc>
        <w:tc>
          <w:tcPr>
            <w:tcW w:w="6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(250</w:t>
            </w:r>
          </w:p>
        </w:tc>
        <w:tc>
          <w:tcPr>
            <w:tcW w:w="2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50" w:type="dxa"/>
            <w:tcBorders/>
            <w:shd w:fill="auto" w:val="clear"/>
            <w:vAlign w:val="bottom"/>
          </w:tcPr>
          <w:p>
            <w:pPr>
              <w:pStyle w:val="TableContents"/>
              <w:spacing w:before="0" w:after="283"/>
              <w:rPr/>
            </w:pPr>
            <w:r>
              <w:rPr/>
              <w:t xml:space="preserve">  </w:t>
            </w:r>
          </w:p>
        </w:tc>
        <w:tc>
          <w:tcPr>
            <w:tcW w:w="6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6" w:type="dxa"/>
            <w:tcBorders/>
            <w:shd w:fill="auto" w:val="clear"/>
            <w:vAlign w:val="bottom"/>
          </w:tcPr>
          <w:p>
            <w:pPr>
              <w:pStyle w:val="TableContents"/>
              <w:spacing w:before="0" w:after="283"/>
              <w:ind w:left="8920" w:right="0" w:hanging="0"/>
              <w:rPr/>
            </w:pPr>
            <w:r>
              <w:rPr/>
              <w:t xml:space="preserve">  </w:t>
            </w:r>
          </w:p>
        </w:tc>
      </w:tr>
      <w:tr>
        <w:trPr/>
        <w:tc>
          <w:tcPr>
            <w:tcW w:w="4311" w:type="dxa"/>
            <w:tcBorders/>
            <w:shd w:fill="auto" w:val="clear"/>
            <w:vAlign w:val="bottom"/>
          </w:tcPr>
          <w:p>
            <w:pPr>
              <w:pStyle w:val="TableContents"/>
              <w:spacing w:before="0" w:after="0"/>
              <w:ind w:left="9100" w:right="0" w:hanging="0"/>
              <w:jc w:val="both"/>
              <w:rPr>
                <w:rFonts w:ascii="times new roman" w:hAnsi="times new roman"/>
                <w:sz w:val="20"/>
              </w:rPr>
            </w:pPr>
            <w:r>
              <w:rPr>
                <w:rFonts w:ascii="times new roman" w:hAnsi="times new roman"/>
                <w:sz w:val="20"/>
              </w:rPr>
              <w:t>Settlements with taxing authorities</w:t>
            </w:r>
          </w:p>
        </w:tc>
        <w:tc>
          <w:tcPr>
            <w:tcW w:w="150" w:type="dxa"/>
            <w:tcBorders/>
            <w:shd w:fill="auto" w:val="clear"/>
          </w:tcPr>
          <w:p>
            <w:pPr>
              <w:pStyle w:val="TableContents"/>
              <w:spacing w:before="0" w:after="283"/>
              <w:rPr/>
            </w:pPr>
            <w:r>
              <w:rPr/>
              <w:t xml:space="preserve">  </w:t>
            </w:r>
          </w:p>
        </w:tc>
        <w:tc>
          <w:tcPr>
            <w:tcW w:w="150" w:type="dxa"/>
            <w:tcBorders/>
            <w:shd w:fill="auto" w:val="clear"/>
          </w:tcPr>
          <w:p>
            <w:pPr>
              <w:pStyle w:val="TableContents"/>
              <w:spacing w:before="0" w:after="283"/>
              <w:rPr/>
            </w:pPr>
            <w:r>
              <w:rPr/>
              <w:t xml:space="preserve">  </w:t>
            </w:r>
          </w:p>
        </w:tc>
        <w:tc>
          <w:tcPr>
            <w:tcW w:w="83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26" w:type="dxa"/>
            <w:tcBorders/>
            <w:shd w:fill="auto" w:val="clear"/>
            <w:vAlign w:val="bottom"/>
          </w:tcPr>
          <w:p>
            <w:pPr>
              <w:pStyle w:val="TableContents"/>
              <w:spacing w:before="0" w:after="283"/>
              <w:rPr/>
            </w:pPr>
            <w:r>
              <w:rPr/>
              <w:t xml:space="preserve">  </w:t>
            </w:r>
          </w:p>
        </w:tc>
        <w:tc>
          <w:tcPr>
            <w:tcW w:w="150" w:type="dxa"/>
            <w:tcBorders/>
            <w:shd w:fill="auto" w:val="clear"/>
            <w:vAlign w:val="bottom"/>
          </w:tcPr>
          <w:p>
            <w:pPr>
              <w:pStyle w:val="TableContents"/>
              <w:spacing w:before="0" w:after="283"/>
              <w:rPr/>
            </w:pPr>
            <w:r>
              <w:rPr/>
              <w:t xml:space="preserve">  </w:t>
            </w:r>
          </w:p>
        </w:tc>
        <w:tc>
          <w:tcPr>
            <w:tcW w:w="6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(224</w:t>
            </w:r>
          </w:p>
        </w:tc>
        <w:tc>
          <w:tcPr>
            <w:tcW w:w="2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50" w:type="dxa"/>
            <w:tcBorders/>
            <w:shd w:fill="auto" w:val="clear"/>
            <w:vAlign w:val="bottom"/>
          </w:tcPr>
          <w:p>
            <w:pPr>
              <w:pStyle w:val="TableContents"/>
              <w:spacing w:before="0" w:after="283"/>
              <w:rPr/>
            </w:pPr>
            <w:r>
              <w:rPr/>
              <w:t xml:space="preserve">  </w:t>
            </w:r>
          </w:p>
        </w:tc>
        <w:tc>
          <w:tcPr>
            <w:tcW w:w="68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(1,609</w:t>
            </w:r>
          </w:p>
        </w:tc>
        <w:tc>
          <w:tcPr>
            <w:tcW w:w="96" w:type="dxa"/>
            <w:tcBorders/>
            <w:shd w:fill="auto" w:val="clear"/>
            <w:vAlign w:val="bottom"/>
          </w:tcPr>
          <w:p>
            <w:pPr>
              <w:pStyle w:val="TableContents"/>
              <w:spacing w:before="0" w:after="0"/>
              <w:ind w:left="8920" w:right="0" w:hanging="0"/>
              <w:jc w:val="left"/>
              <w:rPr>
                <w:rFonts w:ascii="times new roman" w:hAnsi="times new roman"/>
                <w:sz w:val="20"/>
              </w:rPr>
            </w:pPr>
            <w:r>
              <w:rPr>
                <w:rFonts w:ascii="times new roman" w:hAnsi="times new roman"/>
                <w:sz w:val="20"/>
              </w:rPr>
              <w:t>)</w:t>
            </w:r>
          </w:p>
        </w:tc>
      </w:tr>
      <w:tr>
        <w:trPr/>
        <w:tc>
          <w:tcPr>
            <w:tcW w:w="4311" w:type="dxa"/>
            <w:tcBorders/>
            <w:shd w:fill="auto" w:val="clear"/>
            <w:vAlign w:val="bottom"/>
          </w:tcPr>
          <w:p>
            <w:pPr>
              <w:pStyle w:val="TableContents"/>
              <w:spacing w:before="0" w:after="0"/>
              <w:ind w:left="9100" w:right="0" w:hanging="0"/>
              <w:jc w:val="both"/>
              <w:rPr>
                <w:rFonts w:ascii="times new roman" w:hAnsi="times new roman"/>
                <w:sz w:val="20"/>
              </w:rPr>
            </w:pPr>
            <w:r>
              <w:rPr>
                <w:rFonts w:ascii="times new roman" w:hAnsi="times new roman"/>
                <w:sz w:val="20"/>
              </w:rPr>
              <w:t>Lapse of applicable statute of limitations    </w:t>
            </w:r>
          </w:p>
        </w:tc>
        <w:tc>
          <w:tcPr>
            <w:tcW w:w="150" w:type="dxa"/>
            <w:tcBorders/>
            <w:shd w:fill="auto" w:val="clear"/>
          </w:tcPr>
          <w:p>
            <w:pPr>
              <w:pStyle w:val="TableContents"/>
              <w:spacing w:before="0" w:after="283"/>
              <w:rPr/>
            </w:pPr>
            <w:r>
              <w:rPr/>
              <w:t xml:space="preserve">  </w:t>
            </w:r>
          </w:p>
        </w:tc>
        <w:tc>
          <w:tcPr>
            <w:tcW w:w="150" w:type="dxa"/>
            <w:tcBorders>
              <w:bottom w:val="single" w:sz="12" w:space="0" w:color="000000"/>
            </w:tcBorders>
            <w:shd w:fill="auto" w:val="clear"/>
            <w:tcMar>
              <w:bottom w:w="28" w:type="dxa"/>
            </w:tcMar>
          </w:tcPr>
          <w:p>
            <w:pPr>
              <w:pStyle w:val="TableContents"/>
              <w:spacing w:before="0" w:after="283"/>
              <w:rPr/>
            </w:pPr>
            <w:r>
              <w:rPr/>
              <w:t xml:space="preserve">  </w:t>
            </w:r>
          </w:p>
        </w:tc>
        <w:tc>
          <w:tcPr>
            <w:tcW w:w="832"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(4,510</w:t>
            </w:r>
          </w:p>
        </w:tc>
        <w:tc>
          <w:tcPr>
            <w:tcW w:w="2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50"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681"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(4,148</w:t>
            </w:r>
          </w:p>
        </w:tc>
        <w:tc>
          <w:tcPr>
            <w:tcW w:w="2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50"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681"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(572</w:t>
            </w:r>
          </w:p>
        </w:tc>
        <w:tc>
          <w:tcPr>
            <w:tcW w:w="9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311"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Ending balance    </w:t>
            </w:r>
          </w:p>
        </w:tc>
        <w:tc>
          <w:tcPr>
            <w:tcW w:w="150" w:type="dxa"/>
            <w:tcBorders/>
            <w:shd w:fill="auto" w:val="clear"/>
          </w:tcPr>
          <w:p>
            <w:pPr>
              <w:pStyle w:val="TableContents"/>
              <w:spacing w:before="0" w:after="283"/>
              <w:rPr/>
            </w:pPr>
            <w:r>
              <w:rPr/>
              <w:t xml:space="preserve">  </w:t>
            </w:r>
          </w:p>
        </w:tc>
        <w:tc>
          <w:tcPr>
            <w:tcW w:w="150"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32"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24,765</w:t>
            </w:r>
          </w:p>
        </w:tc>
        <w:tc>
          <w:tcPr>
            <w:tcW w:w="226" w:type="dxa"/>
            <w:tcBorders/>
            <w:shd w:fill="auto" w:val="clear"/>
            <w:vAlign w:val="bottom"/>
          </w:tcPr>
          <w:p>
            <w:pPr>
              <w:pStyle w:val="TableContents"/>
              <w:spacing w:before="0" w:after="283"/>
              <w:rPr/>
            </w:pPr>
            <w:r>
              <w:rPr/>
              <w:t xml:space="preserve">  </w:t>
            </w:r>
          </w:p>
        </w:tc>
        <w:tc>
          <w:tcPr>
            <w:tcW w:w="15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68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22,922</w:t>
            </w:r>
          </w:p>
        </w:tc>
        <w:tc>
          <w:tcPr>
            <w:tcW w:w="226" w:type="dxa"/>
            <w:tcBorders/>
            <w:shd w:fill="auto" w:val="clear"/>
            <w:vAlign w:val="bottom"/>
          </w:tcPr>
          <w:p>
            <w:pPr>
              <w:pStyle w:val="TableContents"/>
              <w:spacing w:before="0" w:after="283"/>
              <w:rPr/>
            </w:pPr>
            <w:r>
              <w:rPr/>
              <w:t xml:space="preserve">  </w:t>
            </w:r>
          </w:p>
        </w:tc>
        <w:tc>
          <w:tcPr>
            <w:tcW w:w="15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68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22,638</w:t>
            </w:r>
          </w:p>
        </w:tc>
        <w:tc>
          <w:tcPr>
            <w:tcW w:w="96" w:type="dxa"/>
            <w:tcBorders/>
            <w:shd w:fill="auto" w:val="clear"/>
            <w:vAlign w:val="bottom"/>
          </w:tcPr>
          <w:p>
            <w:pPr>
              <w:pStyle w:val="TableContents"/>
              <w:spacing w:before="0" w:after="283"/>
              <w:rPr/>
            </w:pPr>
            <w:r>
              <w:rPr/>
              <w:t xml:space="preserve">  </w:t>
            </w:r>
          </w:p>
        </w:tc>
      </w:tr>
    </w:tbl>
    <w:p>
      <w:pPr>
        <w:pStyle w:val="TextBody"/>
        <w:spacing w:before="0" w:after="0"/>
        <w:ind w:left="360" w:right="0" w:hanging="0"/>
        <w:jc w:val="both"/>
        <w:rPr/>
      </w:pPr>
      <w:r>
        <w:rPr/>
        <w:t> </w:t>
      </w:r>
    </w:p>
    <w:p>
      <w:pPr>
        <w:pStyle w:val="TextBody"/>
        <w:spacing w:before="0" w:after="0"/>
        <w:ind w:left="360" w:right="0" w:hanging="0"/>
        <w:jc w:val="both"/>
        <w:rPr>
          <w:rFonts w:ascii="Times New Roman" w:hAnsi="Times New Roman"/>
          <w:sz w:val="20"/>
        </w:rPr>
      </w:pPr>
      <w:r>
        <w:rPr>
          <w:rFonts w:ascii="Times New Roman" w:hAnsi="Times New Roman"/>
          <w:sz w:val="20"/>
        </w:rPr>
        <w:t>The total amount of unrecognized tax benefits that, if recognized, would affect the effective tax rate is $12.1 million. Interest and penalties related to unrecognized tax benefits are classified as a component of income tax expense and totaled $0.6 million in 2010. Accrued interest and penalties were $4.1 million at December 31, 2010 and $3.5 million at December 31, 2009. During the next twelve months, it is expected that the unrecognized tax benefits will be reduced by a net $0.8 million, due mainly to a lapse in the applicable statute of limitations.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Company and its subsidiaries are subject to U.S. federal income tax as well as income tax of multiple state, city and foreign jurisdictions. The Company’s federal income tax returns for 2007 through the current period remain subject to examination and the relevant state, city and foreign statutes vary. There are no current tax examinations in progress where the Company expects the assessment of any significant additional tax in excess of amounts reserved.</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272" w:name="list46"/>
      <w:bookmarkStart w:id="273" w:name="list46"/>
      <w:bookmarkEnd w:id="273"/>
    </w:p>
    <w:tbl>
      <w:tblPr>
        <w:tblW w:w="5000" w:type="pct"/>
        <w:jc w:val="left"/>
        <w:tblInd w:w="0" w:type="dxa"/>
        <w:tblCellMar>
          <w:top w:w="0" w:type="dxa"/>
          <w:left w:w="0" w:type="dxa"/>
          <w:bottom w:w="0" w:type="dxa"/>
          <w:right w:w="0" w:type="dxa"/>
        </w:tblCellMar>
      </w:tblPr>
      <w:tblGrid>
        <w:gridCol w:w="2058"/>
        <w:gridCol w:w="8147"/>
      </w:tblGrid>
      <w:tr>
        <w:trPr/>
        <w:tc>
          <w:tcPr>
            <w:tcW w:w="205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(9)  </w:t>
            </w:r>
          </w:p>
        </w:tc>
        <w:tc>
          <w:tcPr>
            <w:tcW w:w="8147"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Long-Term Debt</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In September 2009, the Company completed a public offering of $500 million aggregate principal amount of 6.25% senior unsecured notes due September 2019.  The notes bear interest at a fixed rate of 6.25% per year, payable semi-annually in arrears on March 1 and September 1 of each year, beginning March 1, 2010.</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Roper may redeem some of all of these notes at any time or from time to time, at 100% of their principal amount, plus a make-whole premium based on a spread to U.S. Treasury securities.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notes are unsecured senior obligations of the Company and rank equally in right of payment with all of Roper’s existing and future unsecured and unsubordinated indebtedness.  The notes are effectively subordinated to any of its existing and future secured indebtedness to the extent of the value of the collateral securing such indebtedness.  The notes are not guaranteed by any of Roper’s subsidiaries and are effectively subordinated to all existing and future indebtedness and other liabilities of Roper’s subsidiaries.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On August 6, 2008, Roper issued $500 million aggregate principal amount of 6.625% senior notes due August 15, 2013.  The notes bear interest at a fixed rate of 6.625% per year, payable semi-annually in arrears on February 15 and August 15 of each year, beginning February 15, 2009. The interest payable on the notes is subject to adjustment if either Moody’s Investors Service or Standard &amp; Poor’s Ratings Services downgrades the rating assigned to the notes.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Roper may redeem some or all of the notes at any time or from time to time, at 100% of their principal amount plus a make-whole premium based on a spread to U.S. Treasury securities as described in the indenture relating to the notes.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notes are unsecured senior obligations of the Company and rank equally in right of payment with all of the Company’s existing and future unsecured and unsubordinated indebtedness. The notes are effectively subordinated to any of the Company’s existing and future secured indebtedness to the extent of the value of the collateral securing such indebtedness. The notes are not guaranteed by any of the Company’s subsidiaries and are effectively subordinated to all existing and future indebtedness and other liabilities of the Company’s subsidiaries.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On July 7, 2008, the Company entered into an unsecured credit facility with JPMorgan Chase Bank, N.A., as administrative agent, and a syndicate of lenders.  The facility was originally composed of a $350 million term loan facility maturing July 7, 2010 and a five year $750 million revolving credit facility maturing July 7, 2013; however, the $350 million term loan was repaid in September 2009.  The Company recorded a $0.4 million non-cash pre-tax debt extinguishment charge in the third quarter of 2009 related to the early termination of the term loan.  This charge reflects the unamortized fees associated with the term loan.  The Company may also, subject to compliance with specified conditions, request additional term loans or revolving credit commitments in an aggregate amount not to exceed $35 0 million.</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In 2008, Roper recorded a $3.1 million non-cash pre-tax debt extinguishment charge in connection with the prepayment of the previous credit facility.  This charge reflects the unamortized fees associated with the facility.</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Other debt includes $91 million of senior subordinated convertible notes due 2034.</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Total debt at December 31 consisted of the following (in thousands):</w:t>
      </w:r>
    </w:p>
    <w:tbl>
      <w:tblPr>
        <w:tblW w:w="3000" w:type="pct"/>
        <w:jc w:val="center"/>
        <w:tblInd w:w="0" w:type="dxa"/>
        <w:tblCellMar>
          <w:top w:w="0" w:type="dxa"/>
          <w:left w:w="0" w:type="dxa"/>
          <w:bottom w:w="0" w:type="dxa"/>
          <w:right w:w="0" w:type="dxa"/>
        </w:tblCellMar>
      </w:tblPr>
      <w:tblGrid>
        <w:gridCol w:w="3150"/>
        <w:gridCol w:w="81"/>
        <w:gridCol w:w="125"/>
        <w:gridCol w:w="1191"/>
        <w:gridCol w:w="81"/>
        <w:gridCol w:w="81"/>
        <w:gridCol w:w="125"/>
        <w:gridCol w:w="1191"/>
        <w:gridCol w:w="98"/>
      </w:tblGrid>
      <w:tr>
        <w:trPr/>
        <w:tc>
          <w:tcPr>
            <w:tcW w:w="3150" w:type="dxa"/>
            <w:tcBorders/>
            <w:shd w:fill="auto" w:val="clear"/>
            <w:vAlign w:val="bottom"/>
          </w:tcPr>
          <w:p>
            <w:pPr>
              <w:pStyle w:val="TableContents"/>
              <w:spacing w:before="0" w:after="283"/>
              <w:rPr/>
            </w:pPr>
            <w:r>
              <w:rPr/>
              <w:t xml:space="preserve">  </w:t>
            </w:r>
          </w:p>
        </w:tc>
        <w:tc>
          <w:tcPr>
            <w:tcW w:w="81" w:type="dxa"/>
            <w:tcBorders/>
            <w:shd w:fill="auto" w:val="clear"/>
            <w:vAlign w:val="bottom"/>
          </w:tcPr>
          <w:p>
            <w:pPr>
              <w:pStyle w:val="TableContents"/>
              <w:spacing w:before="0" w:after="283"/>
              <w:rPr/>
            </w:pPr>
            <w:r>
              <w:rPr/>
              <w:t> </w:t>
            </w:r>
          </w:p>
        </w:tc>
        <w:tc>
          <w:tcPr>
            <w:tcW w:w="13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3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98" w:type="dxa"/>
            <w:tcBorders/>
            <w:shd w:fill="auto" w:val="clear"/>
            <w:vAlign w:val="bottom"/>
          </w:tcPr>
          <w:p>
            <w:pPr>
              <w:pStyle w:val="TableContents"/>
              <w:spacing w:before="0" w:after="283"/>
              <w:jc w:val="left"/>
              <w:rPr/>
            </w:pPr>
            <w:r>
              <w:rPr/>
              <w:t> </w:t>
            </w:r>
          </w:p>
        </w:tc>
      </w:tr>
      <w:tr>
        <w:trPr/>
        <w:tc>
          <w:tcPr>
            <w:tcW w:w="3150"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$750 million revolving credit facility</w:t>
            </w:r>
          </w:p>
        </w:tc>
        <w:tc>
          <w:tcPr>
            <w:tcW w:w="8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230,000</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98" w:type="dxa"/>
            <w:tcBorders/>
            <w:shd w:fill="auto" w:val="clear"/>
            <w:vAlign w:val="bottom"/>
          </w:tcPr>
          <w:p>
            <w:pPr>
              <w:pStyle w:val="TableContents"/>
              <w:spacing w:before="0" w:after="283"/>
              <w:jc w:val="left"/>
              <w:rPr/>
            </w:pPr>
            <w:r>
              <w:rPr/>
              <w:t> </w:t>
            </w:r>
          </w:p>
        </w:tc>
      </w:tr>
      <w:tr>
        <w:trPr/>
        <w:tc>
          <w:tcPr>
            <w:tcW w:w="3150"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Senior Notes due 2013*</w:t>
            </w:r>
          </w:p>
        </w:tc>
        <w:tc>
          <w:tcPr>
            <w:tcW w:w="8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514,092</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496,825</w:t>
            </w:r>
          </w:p>
        </w:tc>
        <w:tc>
          <w:tcPr>
            <w:tcW w:w="98" w:type="dxa"/>
            <w:tcBorders/>
            <w:shd w:fill="auto" w:val="clear"/>
            <w:vAlign w:val="bottom"/>
          </w:tcPr>
          <w:p>
            <w:pPr>
              <w:pStyle w:val="TableContents"/>
              <w:spacing w:before="0" w:after="283"/>
              <w:jc w:val="left"/>
              <w:rPr/>
            </w:pPr>
            <w:r>
              <w:rPr/>
              <w:t> </w:t>
            </w:r>
          </w:p>
        </w:tc>
      </w:tr>
      <w:tr>
        <w:trPr/>
        <w:tc>
          <w:tcPr>
            <w:tcW w:w="3150"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Senior Notes due 2019</w:t>
            </w:r>
          </w:p>
        </w:tc>
        <w:tc>
          <w:tcPr>
            <w:tcW w:w="8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98" w:type="dxa"/>
            <w:tcBorders/>
            <w:shd w:fill="auto" w:val="clear"/>
            <w:vAlign w:val="bottom"/>
          </w:tcPr>
          <w:p>
            <w:pPr>
              <w:pStyle w:val="TableContents"/>
              <w:spacing w:before="0" w:after="283"/>
              <w:jc w:val="left"/>
              <w:rPr/>
            </w:pPr>
            <w:r>
              <w:rPr/>
              <w:t> </w:t>
            </w:r>
          </w:p>
        </w:tc>
      </w:tr>
      <w:tr>
        <w:trPr/>
        <w:tc>
          <w:tcPr>
            <w:tcW w:w="3150"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Senior Subordinated Convertible Notes</w:t>
            </w:r>
          </w:p>
        </w:tc>
        <w:tc>
          <w:tcPr>
            <w:tcW w:w="8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90,981</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110,579</w:t>
            </w:r>
          </w:p>
        </w:tc>
        <w:tc>
          <w:tcPr>
            <w:tcW w:w="98" w:type="dxa"/>
            <w:tcBorders/>
            <w:shd w:fill="auto" w:val="clear"/>
            <w:vAlign w:val="bottom"/>
          </w:tcPr>
          <w:p>
            <w:pPr>
              <w:pStyle w:val="TableContents"/>
              <w:spacing w:before="0" w:after="283"/>
              <w:jc w:val="left"/>
              <w:rPr/>
            </w:pPr>
            <w:r>
              <w:rPr/>
              <w:t> </w:t>
            </w:r>
          </w:p>
        </w:tc>
      </w:tr>
      <w:tr>
        <w:trPr/>
        <w:tc>
          <w:tcPr>
            <w:tcW w:w="3150"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Other</w:t>
            </w:r>
          </w:p>
        </w:tc>
        <w:tc>
          <w:tcPr>
            <w:tcW w:w="81"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1"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5,972</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1"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6,354</w:t>
            </w:r>
          </w:p>
        </w:tc>
        <w:tc>
          <w:tcPr>
            <w:tcW w:w="98" w:type="dxa"/>
            <w:tcBorders/>
            <w:shd w:fill="auto" w:val="clear"/>
            <w:vAlign w:val="bottom"/>
          </w:tcPr>
          <w:p>
            <w:pPr>
              <w:pStyle w:val="TableContents"/>
              <w:spacing w:before="0" w:after="283"/>
              <w:jc w:val="left"/>
              <w:rPr/>
            </w:pPr>
            <w:r>
              <w:rPr/>
              <w:t> </w:t>
            </w:r>
          </w:p>
        </w:tc>
      </w:tr>
      <w:tr>
        <w:trPr/>
        <w:tc>
          <w:tcPr>
            <w:tcW w:w="3150"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Total debt</w:t>
            </w:r>
          </w:p>
        </w:tc>
        <w:tc>
          <w:tcPr>
            <w:tcW w:w="8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1,341,045</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1,153,758</w:t>
            </w:r>
          </w:p>
        </w:tc>
        <w:tc>
          <w:tcPr>
            <w:tcW w:w="98" w:type="dxa"/>
            <w:tcBorders/>
            <w:shd w:fill="auto" w:val="clear"/>
            <w:vAlign w:val="bottom"/>
          </w:tcPr>
          <w:p>
            <w:pPr>
              <w:pStyle w:val="TableContents"/>
              <w:spacing w:before="0" w:after="283"/>
              <w:jc w:val="left"/>
              <w:rPr/>
            </w:pPr>
            <w:r>
              <w:rPr/>
              <w:t> </w:t>
            </w:r>
          </w:p>
        </w:tc>
      </w:tr>
      <w:tr>
        <w:trPr/>
        <w:tc>
          <w:tcPr>
            <w:tcW w:w="3150"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Less current portion</w:t>
            </w:r>
          </w:p>
        </w:tc>
        <w:tc>
          <w:tcPr>
            <w:tcW w:w="81"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1"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93,342</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1"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112,796</w:t>
            </w:r>
          </w:p>
        </w:tc>
        <w:tc>
          <w:tcPr>
            <w:tcW w:w="98" w:type="dxa"/>
            <w:tcBorders/>
            <w:shd w:fill="auto" w:val="clear"/>
            <w:vAlign w:val="bottom"/>
          </w:tcPr>
          <w:p>
            <w:pPr>
              <w:pStyle w:val="TableContents"/>
              <w:spacing w:before="0" w:after="283"/>
              <w:jc w:val="left"/>
              <w:rPr/>
            </w:pPr>
            <w:r>
              <w:rPr/>
              <w:t> </w:t>
            </w:r>
          </w:p>
        </w:tc>
      </w:tr>
      <w:tr>
        <w:trPr/>
        <w:tc>
          <w:tcPr>
            <w:tcW w:w="3150"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Long-term debt</w:t>
            </w:r>
          </w:p>
        </w:tc>
        <w:tc>
          <w:tcPr>
            <w:tcW w:w="81"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1,247,703</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1,040,962</w:t>
            </w:r>
          </w:p>
        </w:tc>
        <w:tc>
          <w:tcPr>
            <w:tcW w:w="98" w:type="dxa"/>
            <w:tcBorders/>
            <w:shd w:fill="auto"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Normal"/>
        <w:spacing w:before="0" w:after="0"/>
        <w:rPr>
          <w:sz w:val="4"/>
          <w:szCs w:val="4"/>
        </w:rPr>
      </w:pPr>
      <w:r>
        <w:rPr>
          <w:sz w:val="4"/>
          <w:szCs w:val="4"/>
        </w:rPr>
      </w:r>
      <w:bookmarkStart w:id="274" w:name="hangingindent28"/>
      <w:bookmarkStart w:id="275" w:name="hangingindent28"/>
      <w:bookmarkEnd w:id="275"/>
    </w:p>
    <w:tbl>
      <w:tblPr>
        <w:tblW w:w="5000" w:type="pct"/>
        <w:jc w:val="center"/>
        <w:tblInd w:w="0" w:type="dxa"/>
        <w:tblCellMar>
          <w:top w:w="0" w:type="dxa"/>
          <w:left w:w="0" w:type="dxa"/>
          <w:bottom w:w="0" w:type="dxa"/>
          <w:right w:w="0" w:type="dxa"/>
        </w:tblCellMar>
      </w:tblPr>
      <w:tblGrid>
        <w:gridCol w:w="132"/>
        <w:gridCol w:w="10073"/>
      </w:tblGrid>
      <w:tr>
        <w:trPr/>
        <w:tc>
          <w:tcPr>
            <w:tcW w:w="132" w:type="dxa"/>
            <w:tcBorders/>
            <w:shd w:fill="auto" w:val="clear"/>
          </w:tcPr>
          <w:p>
            <w:pPr>
              <w:pStyle w:val="TableContents"/>
              <w:spacing w:before="0" w:after="0"/>
              <w:rPr/>
            </w:pPr>
            <w:r>
              <w:rPr/>
              <w:t xml:space="preserve">  </w:t>
            </w:r>
          </w:p>
        </w:tc>
        <w:tc>
          <w:tcPr>
            <w:tcW w:w="100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*Shown net of fair value swap adjustment of $14,092 at December 31, 2010 and $(3,175) at December 31, 2009.</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Roper’s principal unsecured credit facility, $1.0 billion senior notes and senior subordinated convertible notes provide substantially all of Roper’s daily external financing requirements. The interest rate on the borrowings under the credit facility is calculated based upon various recognized indices plus a margin as defined in the credit agreement. At December 31, 2010, the weighted average interest rate on the revolver loan was 1.56%. At December 31, 2010, Roper’s debt consisted of $1.0 billion of senior notes, $91 million in senior subordinated convertible notes and a $230 million revolver balance. In addition, the Company had $6.0 million of other debt in the form of capital leases, several smaller facilities that allow for borrowings or the issuance of letters of credit in foreign locations to support RoperR 17;s non-U.S. businesses and $55 million of outstanding letters of credit at December 31, 2010.</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In December 2003, the Company issued through a public offering $230 million of 3.75% subordinated convertible notes due in 2034 at an original issue discount of 60.498% (the “Convertible Notes”). The Convertible Notes are subordinated in right of payment and collateral to all of Roper’s existing and future senior debt.  Cash interest on the notes was paid semiannually until January 15, 2009, after which interest is recognized at the effective rate of 3.75% and represents accrual of original issue discount, and only contingent cash interest may be paid. Contingent cash interest may be paid during any six month period if the average trading price of a note for a five trading day measurement period preceding the applicable six month period equals 120% or more of the sum of the issue price, accrued or iginal issue discount and accrued cash interest, if any, for such note. The contingent cash interest payable per note in respect of any six month period will equal the annual rate of 0.25%.  In accordance with this criterion, contingent interest has been paid for each six month period since January 15, 2009.  Holders receive cash up to the value of the accreted principal amount of the notes converted and, at the Company’s option, any remainder of the conversion value may be paid in cash or shares of common stock. Holders may require Roper to purchase all or a portion of their notes on January 15, 2014 at a price of $475.66 per note, on January 15, 2019 at a price of $572.76 per note, on January 15, 2024 at a price of $689.68 per note, and on January 15, 2029 at a price of $830.47 per note, in each case plus accrued cash interest, if any, and accrued contingent cash interest, if any. The Company may only pay the purchase price of such notes in cash and not in common stock. In additio n, if Roper experiences a change in control, each holder may require Roper to purchase for cash all or a portion of such holder’s notes at a price equal to the sum of the issue price plus accrued original issue discount for non-tax purposes, accrued cash interest, if any, and accrued contingent cash interest, if any, to the date of purchase.</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Convertible Notes are classified as short term debt as the notes became convertible on October 1, 2005 based upon the Company’s common stock trading above the trigger price for at least 20 trading days during the 30 consecutive trading-day periods ending on September 30, 2005.</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adoption of accounting guidance regarding convertible debt instruments that may be settled in cash upon either mandatory or optional conversion on January 1, 2009 impacted the historical accounting for Roper’s Convertible Notes as of December 6, 2004, the date that the notes were modified to allow holders to receive cash only for accreted principal upon settlement of the notes with any remainder of the conversion value payable in cash or common stock, thus qualifying the notes for treatment under the new guidance. The required retrospective adoption resulted in a decrease in long term debt (debt discount) of $26.5 million, an increase in deferred tax liabilities of $9.3 million, and an increase in additional paid in capital of $17.3 million at December 9, 2004. The debt discount was amortized using the effective interes t rate method based on an annual effective rate of 7.0%, which represented a market interest rate for similar debt without a conversion option on the modification date. The debt discount was amortized through January 15, 2009, the first date that holders of the notes could exercise their put option and Roper could exercise its call option.</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Company was required to separately account for the liability and equity components of the Convertible Notes in a manner that reflects Roper’s nonconvertible debt borrowing rate when interest cost is recognized.  Interest expense related to the notes was as follows (amounts in thousands):</w:t>
      </w:r>
    </w:p>
    <w:p>
      <w:pPr>
        <w:pStyle w:val="TextBody"/>
        <w:spacing w:before="0" w:after="0"/>
        <w:ind w:left="0" w:right="0" w:hanging="0"/>
        <w:rPr/>
      </w:pPr>
      <w:r>
        <w:rPr/>
      </w:r>
    </w:p>
    <w:tbl>
      <w:tblPr>
        <w:tblW w:w="3250" w:type="pct"/>
        <w:jc w:val="center"/>
        <w:tblInd w:w="0" w:type="dxa"/>
        <w:tblCellMar>
          <w:top w:w="0" w:type="dxa"/>
          <w:left w:w="0" w:type="dxa"/>
          <w:bottom w:w="0" w:type="dxa"/>
          <w:right w:w="0" w:type="dxa"/>
        </w:tblCellMar>
      </w:tblPr>
      <w:tblGrid>
        <w:gridCol w:w="3252"/>
        <w:gridCol w:w="132"/>
        <w:gridCol w:w="995"/>
        <w:gridCol w:w="133"/>
        <w:gridCol w:w="132"/>
        <w:gridCol w:w="729"/>
        <w:gridCol w:w="133"/>
        <w:gridCol w:w="132"/>
        <w:gridCol w:w="730"/>
        <w:gridCol w:w="265"/>
      </w:tblGrid>
      <w:tr>
        <w:trPr/>
        <w:tc>
          <w:tcPr>
            <w:tcW w:w="3252" w:type="dxa"/>
            <w:tcBorders/>
            <w:shd w:fill="auto" w:val="clear"/>
            <w:vAlign w:val="bottom"/>
          </w:tcPr>
          <w:p>
            <w:pPr>
              <w:pStyle w:val="TableContents"/>
              <w:spacing w:before="0" w:after="283"/>
              <w:rPr/>
            </w:pPr>
            <w:r>
              <w:rPr/>
              <w:t> </w:t>
            </w:r>
          </w:p>
        </w:tc>
        <w:tc>
          <w:tcPr>
            <w:tcW w:w="3116" w:type="dxa"/>
            <w:gridSpan w:val="8"/>
            <w:tcBorders>
              <w:bottom w:val="single" w:sz="12" w:space="0" w:color="000000"/>
            </w:tcBorders>
            <w:shd w:fill="auto" w:val="clear"/>
            <w:tcMar>
              <w:bottom w:w="28" w:type="dxa"/>
            </w:tcMar>
          </w:tcPr>
          <w:p>
            <w:pPr>
              <w:pStyle w:val="TableContents"/>
              <w:spacing w:before="0" w:after="283"/>
              <w:jc w:val="center"/>
              <w:rPr/>
            </w:pPr>
            <w:r>
              <w:rPr/>
              <w:t> </w:t>
            </w:r>
            <w:r>
              <w:rPr>
                <w:rFonts w:ascii="times new roman" w:hAnsi="times new roman"/>
                <w:b/>
                <w:sz w:val="20"/>
              </w:rPr>
              <w:t>Years ended December 31,</w:t>
            </w:r>
          </w:p>
        </w:tc>
        <w:tc>
          <w:tcPr>
            <w:tcW w:w="265" w:type="dxa"/>
            <w:tcBorders/>
            <w:shd w:fill="auto" w:val="clear"/>
          </w:tcPr>
          <w:p>
            <w:pPr>
              <w:pStyle w:val="TableContents"/>
              <w:spacing w:before="0" w:after="283"/>
              <w:rPr/>
            </w:pPr>
            <w:r>
              <w:rPr/>
              <w:t> </w:t>
            </w:r>
          </w:p>
        </w:tc>
      </w:tr>
      <w:tr>
        <w:trPr/>
        <w:tc>
          <w:tcPr>
            <w:tcW w:w="3252" w:type="dxa"/>
            <w:tcBorders/>
            <w:shd w:fill="auto" w:val="clear"/>
            <w:vAlign w:val="bottom"/>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tcPr>
          <w:p>
            <w:pPr>
              <w:pStyle w:val="TableContents"/>
              <w:spacing w:before="0" w:after="283"/>
              <w:rPr/>
            </w:pPr>
            <w:r>
              <w:rPr/>
              <w:t xml:space="preserve">  </w:t>
            </w:r>
          </w:p>
        </w:tc>
        <w:tc>
          <w:tcPr>
            <w:tcW w:w="995"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33" w:type="dxa"/>
            <w:tcBorders/>
            <w:shd w:fill="auto" w:val="clear"/>
          </w:tcPr>
          <w:p>
            <w:pPr>
              <w:pStyle w:val="TableContents"/>
              <w:spacing w:before="0" w:after="283"/>
              <w:rPr/>
            </w:pPr>
            <w:r>
              <w:rPr/>
              <w:t xml:space="preserve">  </w:t>
            </w:r>
          </w:p>
        </w:tc>
        <w:tc>
          <w:tcPr>
            <w:tcW w:w="861" w:type="dxa"/>
            <w:gridSpan w:val="2"/>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33" w:type="dxa"/>
            <w:tcBorders/>
            <w:shd w:fill="auto" w:val="clear"/>
          </w:tcPr>
          <w:p>
            <w:pPr>
              <w:pStyle w:val="TableContents"/>
              <w:spacing w:before="0" w:after="283"/>
              <w:rPr/>
            </w:pPr>
            <w:r>
              <w:rPr/>
              <w:t xml:space="preserve">  </w:t>
            </w:r>
          </w:p>
        </w:tc>
        <w:tc>
          <w:tcPr>
            <w:tcW w:w="862" w:type="dxa"/>
            <w:gridSpan w:val="2"/>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265" w:type="dxa"/>
            <w:tcBorders/>
            <w:shd w:fill="auto" w:val="clear"/>
          </w:tcPr>
          <w:p>
            <w:pPr>
              <w:pStyle w:val="TableContents"/>
              <w:spacing w:before="0" w:after="283"/>
              <w:rPr/>
            </w:pPr>
            <w:r>
              <w:rPr/>
              <w:t xml:space="preserve">  </w:t>
            </w:r>
          </w:p>
        </w:tc>
      </w:tr>
      <w:tr>
        <w:trPr/>
        <w:tc>
          <w:tcPr>
            <w:tcW w:w="3252"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Contractual (stated) interest</w:t>
            </w:r>
          </w:p>
        </w:tc>
        <w:tc>
          <w:tcPr>
            <w:tcW w:w="1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3,812</w:t>
            </w:r>
          </w:p>
        </w:tc>
        <w:tc>
          <w:tcPr>
            <w:tcW w:w="133" w:type="dxa"/>
            <w:tcBorders/>
            <w:shd w:fill="auto" w:val="clear"/>
          </w:tcPr>
          <w:p>
            <w:pPr>
              <w:pStyle w:val="TableContents"/>
              <w:spacing w:before="0" w:after="283"/>
              <w:rPr/>
            </w:pPr>
            <w:r>
              <w:rPr/>
              <w:t xml:space="preserve">  </w:t>
            </w:r>
          </w:p>
        </w:tc>
        <w:tc>
          <w:tcPr>
            <w:tcW w:w="1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2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5,209</w:t>
            </w:r>
          </w:p>
        </w:tc>
        <w:tc>
          <w:tcPr>
            <w:tcW w:w="133" w:type="dxa"/>
            <w:tcBorders/>
            <w:shd w:fill="auto" w:val="clear"/>
          </w:tcPr>
          <w:p>
            <w:pPr>
              <w:pStyle w:val="TableContents"/>
              <w:spacing w:before="0" w:after="283"/>
              <w:rPr/>
            </w:pPr>
            <w:r>
              <w:rPr/>
              <w:t xml:space="preserve">  </w:t>
            </w:r>
          </w:p>
        </w:tc>
        <w:tc>
          <w:tcPr>
            <w:tcW w:w="1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3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8,625</w:t>
            </w:r>
          </w:p>
        </w:tc>
        <w:tc>
          <w:tcPr>
            <w:tcW w:w="265" w:type="dxa"/>
            <w:tcBorders/>
            <w:shd w:fill="auto" w:val="clear"/>
          </w:tcPr>
          <w:p>
            <w:pPr>
              <w:pStyle w:val="TableContents"/>
              <w:spacing w:before="0" w:after="283"/>
              <w:rPr/>
            </w:pPr>
            <w:r>
              <w:rPr/>
              <w:t xml:space="preserve">  </w:t>
            </w:r>
          </w:p>
        </w:tc>
      </w:tr>
      <w:tr>
        <w:trPr/>
        <w:tc>
          <w:tcPr>
            <w:tcW w:w="3252" w:type="dxa"/>
            <w:tcBorders/>
            <w:shd w:fill="auto" w:val="clear"/>
            <w:vAlign w:val="bottom"/>
          </w:tcPr>
          <w:p>
            <w:pPr>
              <w:pStyle w:val="TableContents"/>
              <w:spacing w:before="0" w:after="0"/>
              <w:ind w:left="180" w:right="0" w:hanging="0"/>
              <w:jc w:val="both"/>
              <w:rPr>
                <w:rFonts w:ascii="times new roman" w:hAnsi="times new roman"/>
                <w:sz w:val="20"/>
              </w:rPr>
            </w:pPr>
            <w:r>
              <w:rPr>
                <w:rFonts w:ascii="times new roman" w:hAnsi="times new roman"/>
                <w:sz w:val="20"/>
              </w:rPr>
              <w:t>Amortization of debt discount</w:t>
            </w:r>
          </w:p>
        </w:tc>
        <w:tc>
          <w:tcPr>
            <w:tcW w:w="132" w:type="dxa"/>
            <w:tcBorders>
              <w:bottom w:val="single" w:sz="12" w:space="0" w:color="000000"/>
            </w:tcBorders>
            <w:shd w:fill="auto" w:val="clear"/>
            <w:tcMar>
              <w:bottom w:w="28" w:type="dxa"/>
            </w:tcMar>
          </w:tcPr>
          <w:p>
            <w:pPr>
              <w:pStyle w:val="TableContents"/>
              <w:spacing w:before="0" w:after="283"/>
              <w:rPr/>
            </w:pPr>
            <w:r>
              <w:rPr/>
              <w:t xml:space="preserve">  </w:t>
            </w:r>
          </w:p>
        </w:tc>
        <w:tc>
          <w:tcPr>
            <w:tcW w:w="995" w:type="dxa"/>
            <w:tcBorders>
              <w:bottom w:val="single" w:sz="12"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3" w:type="dxa"/>
            <w:tcBorders/>
            <w:shd w:fill="auto" w:val="clear"/>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tcPr>
          <w:p>
            <w:pPr>
              <w:pStyle w:val="TableContents"/>
              <w:spacing w:before="0" w:after="283"/>
              <w:rPr/>
            </w:pPr>
            <w:r>
              <w:rPr/>
              <w:t xml:space="preserve">  </w:t>
            </w:r>
          </w:p>
        </w:tc>
        <w:tc>
          <w:tcPr>
            <w:tcW w:w="72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301</w:t>
            </w:r>
          </w:p>
        </w:tc>
        <w:tc>
          <w:tcPr>
            <w:tcW w:w="133" w:type="dxa"/>
            <w:tcBorders/>
            <w:shd w:fill="auto" w:val="clear"/>
          </w:tcPr>
          <w:p>
            <w:pPr>
              <w:pStyle w:val="TableContents"/>
              <w:spacing w:before="0" w:after="283"/>
              <w:rPr/>
            </w:pPr>
            <w:r>
              <w:rPr/>
              <w:t xml:space="preserve">  </w:t>
            </w:r>
          </w:p>
        </w:tc>
        <w:tc>
          <w:tcPr>
            <w:tcW w:w="132" w:type="dxa"/>
            <w:tcBorders>
              <w:bottom w:val="single" w:sz="12" w:space="0" w:color="000000"/>
            </w:tcBorders>
            <w:shd w:fill="auto" w:val="clear"/>
            <w:tcMar>
              <w:bottom w:w="28" w:type="dxa"/>
            </w:tcMar>
          </w:tcPr>
          <w:p>
            <w:pPr>
              <w:pStyle w:val="TableContents"/>
              <w:spacing w:before="0" w:after="283"/>
              <w:rPr/>
            </w:pPr>
            <w:r>
              <w:rPr/>
              <w:t xml:space="preserve">  </w:t>
            </w:r>
          </w:p>
        </w:tc>
        <w:tc>
          <w:tcPr>
            <w:tcW w:w="730"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7,139</w:t>
            </w:r>
          </w:p>
        </w:tc>
        <w:tc>
          <w:tcPr>
            <w:tcW w:w="265" w:type="dxa"/>
            <w:tcBorders/>
            <w:shd w:fill="auto" w:val="clear"/>
          </w:tcPr>
          <w:p>
            <w:pPr>
              <w:pStyle w:val="TableContents"/>
              <w:spacing w:before="0" w:after="283"/>
              <w:ind w:left="180" w:right="0" w:hanging="0"/>
              <w:rPr/>
            </w:pPr>
            <w:r>
              <w:rPr/>
              <w:t xml:space="preserve">  </w:t>
            </w:r>
          </w:p>
        </w:tc>
      </w:tr>
      <w:tr>
        <w:trPr/>
        <w:tc>
          <w:tcPr>
            <w:tcW w:w="3252" w:type="dxa"/>
            <w:tcBorders/>
            <w:shd w:fill="auto" w:val="clear"/>
            <w:vAlign w:val="bottom"/>
          </w:tcPr>
          <w:p>
            <w:pPr>
              <w:pStyle w:val="TableContents"/>
              <w:spacing w:before="0" w:after="0"/>
              <w:ind w:left="720" w:right="0" w:hanging="360"/>
              <w:jc w:val="both"/>
              <w:rPr>
                <w:rFonts w:ascii="times new roman" w:hAnsi="times new roman"/>
                <w:sz w:val="20"/>
              </w:rPr>
            </w:pPr>
            <w:r>
              <w:rPr>
                <w:rFonts w:ascii="times new roman" w:hAnsi="times new roman"/>
                <w:sz w:val="20"/>
              </w:rPr>
              <w:t>Interest expense</w:t>
            </w:r>
          </w:p>
        </w:tc>
        <w:tc>
          <w:tcPr>
            <w:tcW w:w="132"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3,812</w:t>
            </w:r>
          </w:p>
        </w:tc>
        <w:tc>
          <w:tcPr>
            <w:tcW w:w="133" w:type="dxa"/>
            <w:tcBorders/>
            <w:shd w:fill="auto" w:val="clear"/>
          </w:tcPr>
          <w:p>
            <w:pPr>
              <w:pStyle w:val="TableContents"/>
              <w:spacing w:before="0" w:after="283"/>
              <w:rPr/>
            </w:pPr>
            <w:r>
              <w:rPr/>
              <w:t xml:space="preserve">  </w:t>
            </w:r>
          </w:p>
        </w:tc>
        <w:tc>
          <w:tcPr>
            <w:tcW w:w="132"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2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5,510</w:t>
            </w:r>
          </w:p>
        </w:tc>
        <w:tc>
          <w:tcPr>
            <w:tcW w:w="133" w:type="dxa"/>
            <w:tcBorders/>
            <w:shd w:fill="auto" w:val="clear"/>
          </w:tcPr>
          <w:p>
            <w:pPr>
              <w:pStyle w:val="TableContents"/>
              <w:spacing w:before="0" w:after="283"/>
              <w:rPr/>
            </w:pPr>
            <w:r>
              <w:rPr/>
              <w:t xml:space="preserve">  </w:t>
            </w:r>
          </w:p>
        </w:tc>
        <w:tc>
          <w:tcPr>
            <w:tcW w:w="132"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3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15,764</w:t>
            </w:r>
          </w:p>
        </w:tc>
        <w:tc>
          <w:tcPr>
            <w:tcW w:w="265"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At December 31, 2010, the conversion price on the outstanding notes was $424.84.  If converted at December 31, 2010, the value would have exceeded the $91 million principal amount of the notes by approximately $112 million and would result in the issuance of 1,481,000 shares of our common stock.</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Our unsecured credit facility contains affirmative and negative covenants which, among other things, limit our ability to incur new debt, prepay subordinated debt, make certain investments and acquisitions, sell assets and grant liens, make restricted payments (including the payment of dividends on our common stock) and capital expenditures, or change our line of business. We also are subject to financial covenants which require us to limit our consolidated total leverage ratio and to maintain a consolidated interest coverage ratio. The most restrictive covenant is the consolidated total leverage ratio which is limited to 3.5.</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Company was in compliance with its debt covenants throughout the years ended December 31, 2010 and 2009.</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Future maturities of long-term debt during each of the next five years ending December 31 and thereafter were as follows (in thousands):</w:t>
      </w:r>
    </w:p>
    <w:p>
      <w:pPr>
        <w:pStyle w:val="TextBody"/>
        <w:spacing w:before="0" w:after="0"/>
        <w:ind w:left="0" w:right="0" w:hanging="0"/>
        <w:rPr/>
      </w:pPr>
      <w:r>
        <w:rPr/>
      </w:r>
    </w:p>
    <w:tbl>
      <w:tblPr>
        <w:tblW w:w="1250" w:type="pct"/>
        <w:jc w:val="center"/>
        <w:tblInd w:w="0" w:type="dxa"/>
        <w:tblCellMar>
          <w:top w:w="0" w:type="dxa"/>
          <w:left w:w="0" w:type="dxa"/>
          <w:bottom w:w="0" w:type="dxa"/>
          <w:right w:w="0" w:type="dxa"/>
        </w:tblCellMar>
      </w:tblPr>
      <w:tblGrid>
        <w:gridCol w:w="1089"/>
        <w:gridCol w:w="350"/>
        <w:gridCol w:w="128"/>
        <w:gridCol w:w="853"/>
        <w:gridCol w:w="131"/>
      </w:tblGrid>
      <w:tr>
        <w:trPr/>
        <w:tc>
          <w:tcPr>
            <w:tcW w:w="1089"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2011</w:t>
            </w:r>
          </w:p>
        </w:tc>
        <w:tc>
          <w:tcPr>
            <w:tcW w:w="350" w:type="dxa"/>
            <w:tcBorders/>
            <w:shd w:fill="auto" w:val="clear"/>
            <w:vAlign w:val="bottom"/>
          </w:tcPr>
          <w:p>
            <w:pPr>
              <w:pStyle w:val="TableContents"/>
              <w:spacing w:before="0" w:after="283"/>
              <w:rPr/>
            </w:pPr>
            <w:r>
              <w:rPr/>
              <w:t xml:space="preserve">  </w:t>
            </w:r>
          </w:p>
        </w:tc>
        <w:tc>
          <w:tcPr>
            <w:tcW w:w="12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93,342</w:t>
            </w:r>
          </w:p>
        </w:tc>
        <w:tc>
          <w:tcPr>
            <w:tcW w:w="131" w:type="dxa"/>
            <w:tcBorders/>
            <w:shd w:fill="auto" w:val="clear"/>
            <w:vAlign w:val="bottom"/>
          </w:tcPr>
          <w:p>
            <w:pPr>
              <w:pStyle w:val="TableContents"/>
              <w:spacing w:before="0" w:after="283"/>
              <w:rPr/>
            </w:pPr>
            <w:r>
              <w:rPr/>
              <w:t xml:space="preserve">  </w:t>
            </w:r>
          </w:p>
        </w:tc>
      </w:tr>
      <w:tr>
        <w:trPr/>
        <w:tc>
          <w:tcPr>
            <w:tcW w:w="1089"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2012</w:t>
            </w:r>
          </w:p>
        </w:tc>
        <w:tc>
          <w:tcPr>
            <w:tcW w:w="350" w:type="dxa"/>
            <w:tcBorders/>
            <w:shd w:fill="auto" w:val="clear"/>
            <w:vAlign w:val="bottom"/>
          </w:tcPr>
          <w:p>
            <w:pPr>
              <w:pStyle w:val="TableContents"/>
              <w:spacing w:before="0" w:after="283"/>
              <w:rPr/>
            </w:pPr>
            <w:r>
              <w:rPr/>
              <w:t xml:space="preserve">  </w:t>
            </w:r>
          </w:p>
        </w:tc>
        <w:tc>
          <w:tcPr>
            <w:tcW w:w="128" w:type="dxa"/>
            <w:tcBorders/>
            <w:shd w:fill="auto" w:val="clear"/>
            <w:vAlign w:val="bottom"/>
          </w:tcPr>
          <w:p>
            <w:pPr>
              <w:pStyle w:val="TableContents"/>
              <w:spacing w:before="0" w:after="283"/>
              <w:rPr/>
            </w:pPr>
            <w:r>
              <w:rPr/>
              <w:t xml:space="preserve">  </w:t>
            </w:r>
          </w:p>
        </w:tc>
        <w:tc>
          <w:tcPr>
            <w:tcW w:w="8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1,331</w:t>
            </w:r>
          </w:p>
        </w:tc>
        <w:tc>
          <w:tcPr>
            <w:tcW w:w="131" w:type="dxa"/>
            <w:tcBorders/>
            <w:shd w:fill="auto" w:val="clear"/>
            <w:vAlign w:val="bottom"/>
          </w:tcPr>
          <w:p>
            <w:pPr>
              <w:pStyle w:val="TableContents"/>
              <w:spacing w:before="0" w:after="283"/>
              <w:rPr/>
            </w:pPr>
            <w:r>
              <w:rPr/>
              <w:t xml:space="preserve">  </w:t>
            </w:r>
          </w:p>
        </w:tc>
      </w:tr>
      <w:tr>
        <w:trPr/>
        <w:tc>
          <w:tcPr>
            <w:tcW w:w="1089"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2013</w:t>
            </w:r>
          </w:p>
        </w:tc>
        <w:tc>
          <w:tcPr>
            <w:tcW w:w="350" w:type="dxa"/>
            <w:tcBorders/>
            <w:shd w:fill="auto" w:val="clear"/>
            <w:vAlign w:val="bottom"/>
          </w:tcPr>
          <w:p>
            <w:pPr>
              <w:pStyle w:val="TableContents"/>
              <w:spacing w:before="0" w:after="283"/>
              <w:rPr/>
            </w:pPr>
            <w:r>
              <w:rPr/>
              <w:t xml:space="preserve">  </w:t>
            </w:r>
          </w:p>
        </w:tc>
        <w:tc>
          <w:tcPr>
            <w:tcW w:w="128" w:type="dxa"/>
            <w:tcBorders/>
            <w:shd w:fill="auto" w:val="clear"/>
            <w:vAlign w:val="bottom"/>
          </w:tcPr>
          <w:p>
            <w:pPr>
              <w:pStyle w:val="TableContents"/>
              <w:spacing w:before="0" w:after="283"/>
              <w:rPr/>
            </w:pPr>
            <w:r>
              <w:rPr/>
              <w:t xml:space="preserve">  </w:t>
            </w:r>
          </w:p>
        </w:tc>
        <w:tc>
          <w:tcPr>
            <w:tcW w:w="8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744,923</w:t>
            </w:r>
          </w:p>
        </w:tc>
        <w:tc>
          <w:tcPr>
            <w:tcW w:w="131" w:type="dxa"/>
            <w:tcBorders/>
            <w:shd w:fill="auto" w:val="clear"/>
            <w:vAlign w:val="bottom"/>
          </w:tcPr>
          <w:p>
            <w:pPr>
              <w:pStyle w:val="TableContents"/>
              <w:spacing w:before="0" w:after="283"/>
              <w:rPr/>
            </w:pPr>
            <w:r>
              <w:rPr/>
              <w:t xml:space="preserve">  </w:t>
            </w:r>
          </w:p>
        </w:tc>
      </w:tr>
      <w:tr>
        <w:trPr/>
        <w:tc>
          <w:tcPr>
            <w:tcW w:w="1089"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2014</w:t>
            </w:r>
          </w:p>
        </w:tc>
        <w:tc>
          <w:tcPr>
            <w:tcW w:w="350" w:type="dxa"/>
            <w:tcBorders/>
            <w:shd w:fill="auto" w:val="clear"/>
            <w:vAlign w:val="bottom"/>
          </w:tcPr>
          <w:p>
            <w:pPr>
              <w:pStyle w:val="TableContents"/>
              <w:spacing w:before="0" w:after="283"/>
              <w:rPr/>
            </w:pPr>
            <w:r>
              <w:rPr/>
              <w:t xml:space="preserve">  </w:t>
            </w:r>
          </w:p>
        </w:tc>
        <w:tc>
          <w:tcPr>
            <w:tcW w:w="128" w:type="dxa"/>
            <w:tcBorders/>
            <w:shd w:fill="auto" w:val="clear"/>
            <w:vAlign w:val="bottom"/>
          </w:tcPr>
          <w:p>
            <w:pPr>
              <w:pStyle w:val="TableContents"/>
              <w:spacing w:before="0" w:after="283"/>
              <w:rPr/>
            </w:pPr>
            <w:r>
              <w:rPr/>
              <w:t xml:space="preserve">  </w:t>
            </w:r>
          </w:p>
        </w:tc>
        <w:tc>
          <w:tcPr>
            <w:tcW w:w="8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416</w:t>
            </w:r>
          </w:p>
        </w:tc>
        <w:tc>
          <w:tcPr>
            <w:tcW w:w="131" w:type="dxa"/>
            <w:tcBorders/>
            <w:shd w:fill="auto" w:val="clear"/>
            <w:vAlign w:val="bottom"/>
          </w:tcPr>
          <w:p>
            <w:pPr>
              <w:pStyle w:val="TableContents"/>
              <w:spacing w:before="0" w:after="283"/>
              <w:rPr/>
            </w:pPr>
            <w:r>
              <w:rPr/>
              <w:t xml:space="preserve">  </w:t>
            </w:r>
          </w:p>
        </w:tc>
      </w:tr>
      <w:tr>
        <w:trPr/>
        <w:tc>
          <w:tcPr>
            <w:tcW w:w="1089"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2015</w:t>
            </w:r>
          </w:p>
        </w:tc>
        <w:tc>
          <w:tcPr>
            <w:tcW w:w="350" w:type="dxa"/>
            <w:tcBorders/>
            <w:shd w:fill="auto" w:val="clear"/>
            <w:vAlign w:val="bottom"/>
          </w:tcPr>
          <w:p>
            <w:pPr>
              <w:pStyle w:val="TableContents"/>
              <w:spacing w:before="0" w:after="283"/>
              <w:rPr/>
            </w:pPr>
            <w:r>
              <w:rPr/>
              <w:t xml:space="preserve">  </w:t>
            </w:r>
          </w:p>
        </w:tc>
        <w:tc>
          <w:tcPr>
            <w:tcW w:w="128" w:type="dxa"/>
            <w:tcBorders/>
            <w:shd w:fill="auto" w:val="clear"/>
            <w:vAlign w:val="bottom"/>
          </w:tcPr>
          <w:p>
            <w:pPr>
              <w:pStyle w:val="TableContents"/>
              <w:spacing w:before="0" w:after="283"/>
              <w:rPr/>
            </w:pPr>
            <w:r>
              <w:rPr/>
              <w:t xml:space="preserve">  </w:t>
            </w:r>
          </w:p>
        </w:tc>
        <w:tc>
          <w:tcPr>
            <w:tcW w:w="85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397</w:t>
            </w:r>
          </w:p>
        </w:tc>
        <w:tc>
          <w:tcPr>
            <w:tcW w:w="131" w:type="dxa"/>
            <w:tcBorders/>
            <w:shd w:fill="auto" w:val="clear"/>
            <w:vAlign w:val="bottom"/>
          </w:tcPr>
          <w:p>
            <w:pPr>
              <w:pStyle w:val="TableContents"/>
              <w:spacing w:before="0" w:after="283"/>
              <w:rPr/>
            </w:pPr>
            <w:r>
              <w:rPr/>
              <w:t xml:space="preserve">  </w:t>
            </w:r>
          </w:p>
        </w:tc>
      </w:tr>
      <w:tr>
        <w:trPr/>
        <w:tc>
          <w:tcPr>
            <w:tcW w:w="1089" w:type="dxa"/>
            <w:tcBorders/>
            <w:shd w:fill="auto"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Thereafter</w:t>
            </w:r>
          </w:p>
        </w:tc>
        <w:tc>
          <w:tcPr>
            <w:tcW w:w="350" w:type="dxa"/>
            <w:tcBorders/>
            <w:shd w:fill="auto" w:val="clear"/>
            <w:vAlign w:val="bottom"/>
          </w:tcPr>
          <w:p>
            <w:pPr>
              <w:pStyle w:val="TableContents"/>
              <w:spacing w:before="0" w:after="283"/>
              <w:rPr/>
            </w:pPr>
            <w:r>
              <w:rPr/>
              <w:t xml:space="preserve">  </w:t>
            </w:r>
          </w:p>
        </w:tc>
        <w:tc>
          <w:tcPr>
            <w:tcW w:w="128"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853"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500,636</w:t>
            </w:r>
          </w:p>
        </w:tc>
        <w:tc>
          <w:tcPr>
            <w:tcW w:w="131" w:type="dxa"/>
            <w:tcBorders/>
            <w:shd w:fill="auto" w:val="clear"/>
            <w:vAlign w:val="bottom"/>
          </w:tcPr>
          <w:p>
            <w:pPr>
              <w:pStyle w:val="TableContents"/>
              <w:spacing w:before="0" w:after="283"/>
              <w:rPr/>
            </w:pPr>
            <w:r>
              <w:rPr/>
              <w:t xml:space="preserve">  </w:t>
            </w:r>
          </w:p>
        </w:tc>
      </w:tr>
      <w:tr>
        <w:trPr/>
        <w:tc>
          <w:tcPr>
            <w:tcW w:w="1089" w:type="dxa"/>
            <w:tcBorders/>
            <w:shd w:fill="auto" w:val="clear"/>
            <w:vAlign w:val="bottom"/>
          </w:tcPr>
          <w:p>
            <w:pPr>
              <w:pStyle w:val="TableContents"/>
              <w:spacing w:before="0" w:after="283"/>
              <w:rPr/>
            </w:pPr>
            <w:r>
              <w:rPr/>
              <w:t xml:space="preserve">  </w:t>
            </w:r>
          </w:p>
        </w:tc>
        <w:tc>
          <w:tcPr>
            <w:tcW w:w="350" w:type="dxa"/>
            <w:tcBorders/>
            <w:shd w:fill="auto" w:val="clear"/>
            <w:vAlign w:val="bottom"/>
          </w:tcPr>
          <w:p>
            <w:pPr>
              <w:pStyle w:val="TableContents"/>
              <w:spacing w:before="0" w:after="283"/>
              <w:rPr/>
            </w:pPr>
            <w:r>
              <w:rPr/>
              <w:t xml:space="preserve">  </w:t>
            </w:r>
          </w:p>
        </w:tc>
        <w:tc>
          <w:tcPr>
            <w:tcW w:w="12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5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1,341,045</w:t>
            </w:r>
          </w:p>
        </w:tc>
        <w:tc>
          <w:tcPr>
            <w:tcW w:w="131"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276" w:name="list47"/>
      <w:bookmarkStart w:id="277" w:name="list47"/>
      <w:bookmarkEnd w:id="277"/>
    </w:p>
    <w:tbl>
      <w:tblPr>
        <w:tblW w:w="5000" w:type="pct"/>
        <w:jc w:val="left"/>
        <w:tblInd w:w="0" w:type="dxa"/>
        <w:tblCellMar>
          <w:top w:w="0" w:type="dxa"/>
          <w:left w:w="0" w:type="dxa"/>
          <w:bottom w:w="0" w:type="dxa"/>
          <w:right w:w="0" w:type="dxa"/>
        </w:tblCellMar>
      </w:tblPr>
      <w:tblGrid>
        <w:gridCol w:w="3491"/>
        <w:gridCol w:w="6714"/>
      </w:tblGrid>
      <w:tr>
        <w:trPr/>
        <w:tc>
          <w:tcPr>
            <w:tcW w:w="349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(10)  </w:t>
            </w:r>
          </w:p>
        </w:tc>
        <w:tc>
          <w:tcPr>
            <w:tcW w:w="6714"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Fair Value</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Roper’s long-term debt at December 31, 2010 included $500 million of fixed-rate senior notes due 2019, with a fair value of approximately $552 million, and $500 million of fixed-rate senior notes due 2013, with a fair value of approximately $552 million, based on the trading prices of the notes.  Short-term debt included $91 million of fixed-rate convertible notes which were at fair value due to the short term nature of the debt. Most of Roper’s other borrowings at December 31, 2010 were at various interest rates that adjust relatively frequently under its credit facility. The fair value for each of these borrowings at December 31, 2010 was estimated to be the face value of these borrowings.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In October 2009, Roper entered into interest rate swap agreements with an aggregate notional amount of $500 million.  The swaps are designated as fair value hedges and effectively changed our $500 million senior notes due 2013 with a fixed interest rate of 6.625% to a variable rate obligation at a weighted average spread of 4.377% plus LIBOR.  The Company has determined the swaps to be Level 2 in the FASB fair value hierarchy.  To account for the fair value hedge, the swap is recorded at fair value in the balance sheet as an asset or liability, and the changes in fair values of both the interest rate swap and the hedged senior notes due 2013 are recorded as interest expense. The fair value of the swap was an asset balance of $14.1 million at December 31, 2010 and a liability balance of $3.2 million at Dec ember 31, 2009.  The corresponding change in the fair value of the notes being hedged was a $14.1 million increase at December 31, 2010 and a $3.2 million decrease at December 31, 2009.  The impact on earnings was immaterial in the years ended December 31, 2010 and 2009.</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278" w:name="list48"/>
      <w:bookmarkStart w:id="279" w:name="list48"/>
      <w:bookmarkEnd w:id="279"/>
    </w:p>
    <w:tbl>
      <w:tblPr>
        <w:tblW w:w="5000" w:type="pct"/>
        <w:jc w:val="left"/>
        <w:tblInd w:w="0" w:type="dxa"/>
        <w:tblCellMar>
          <w:top w:w="0" w:type="dxa"/>
          <w:left w:w="0" w:type="dxa"/>
          <w:bottom w:w="0" w:type="dxa"/>
          <w:right w:w="0" w:type="dxa"/>
        </w:tblCellMar>
      </w:tblPr>
      <w:tblGrid>
        <w:gridCol w:w="1383"/>
        <w:gridCol w:w="8822"/>
      </w:tblGrid>
      <w:tr>
        <w:trPr/>
        <w:tc>
          <w:tcPr>
            <w:tcW w:w="138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(11)  </w:t>
            </w:r>
          </w:p>
        </w:tc>
        <w:tc>
          <w:tcPr>
            <w:tcW w:w="8822"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Retirement and Other Benefit Plans</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Roper maintains ten defined contribution retirement plans under the provisions of Section 401(k) of the Internal Revenue Code covering substantially all U.S. employees not subject to collective bargaining agreements. Roper partially matches employee contributions. Costs related to these plans were $14.0 million, $11.9 million and $12.9 million for 2010, 2009 and 2008, respectively.</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Roper also maintains various defined benefit retirement plans covering employees of non-U.S. and certain U.S. subsidiaries and a plan that supplements certain employees for the contribution ceiling applicable to the Section 401(k) plans. The costs and accumulated benefit obligations associated with each of these plans were not material.</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280" w:name="list49"/>
      <w:bookmarkStart w:id="281" w:name="list49"/>
      <w:bookmarkEnd w:id="281"/>
    </w:p>
    <w:tbl>
      <w:tblPr>
        <w:tblW w:w="5000" w:type="pct"/>
        <w:jc w:val="left"/>
        <w:tblInd w:w="0" w:type="dxa"/>
        <w:tblCellMar>
          <w:top w:w="0" w:type="dxa"/>
          <w:left w:w="0" w:type="dxa"/>
          <w:bottom w:w="0" w:type="dxa"/>
          <w:right w:w="0" w:type="dxa"/>
        </w:tblCellMar>
      </w:tblPr>
      <w:tblGrid>
        <w:gridCol w:w="1694"/>
        <w:gridCol w:w="8511"/>
      </w:tblGrid>
      <w:tr>
        <w:trPr/>
        <w:tc>
          <w:tcPr>
            <w:tcW w:w="16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(12)  </w:t>
            </w:r>
          </w:p>
        </w:tc>
        <w:tc>
          <w:tcPr>
            <w:tcW w:w="8511"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Stock-Based Compensation</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Roper Industries, Inc. Amended and Restated 2006 Incentive Plan (“2006 Plan”) is a stock-based compensation plan used to grant incentive stock options, nonqualified stock options, restricted stock, stock appreciation rights or equivalent instruments to the Company’s employees, officers, directors and consultants. The 2006 Plan replaced the Amended and Restated 2000 Incentive Plan (“2000 Plan”), and no additional grants will be made from the 2000 Plan or the Non-employee Director Plan. The number of shares reserved for issuance under the 2006 plan is 8,000,000, plus the 17,000 remaining shares that were available to grant under the 2000 Plan at June 28, 2006, plus any shares underlying outstanding awards under the 2000 plan that terminate or expire unexercised, or are cancelled, forfeited or lapse for any reason subsequent to June 28, 2006. At December 31, 2010, 3,522,000 shares were available to grant.</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In the Roper Industries, Inc., Employee Stock Purchase Plan (“ESPP”), all employees in the U.S. and Canada are eligible to designate up to 10% of eligible earnings to purchase Roper’s common stock at a 5% discount to the average closing price of its common stock at the beginning and end of a quarterly offering period. The common stock sold to the employees may be either treasury stock, stock purchased on the open market, or newly issued shares.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Stock based compensation expense for the years ended December 31, 2010, 2009 and 2008 was as follows (in millions):</w:t>
      </w:r>
    </w:p>
    <w:p>
      <w:pPr>
        <w:pStyle w:val="TextBody"/>
        <w:spacing w:before="0" w:after="0"/>
        <w:ind w:left="0" w:right="0" w:hanging="0"/>
        <w:rPr/>
      </w:pPr>
      <w:r>
        <w:rPr/>
      </w:r>
    </w:p>
    <w:tbl>
      <w:tblPr>
        <w:tblW w:w="3750" w:type="pct"/>
        <w:jc w:val="center"/>
        <w:tblInd w:w="0" w:type="dxa"/>
        <w:tblCellMar>
          <w:top w:w="0" w:type="dxa"/>
          <w:left w:w="0" w:type="dxa"/>
          <w:bottom w:w="0" w:type="dxa"/>
          <w:right w:w="0" w:type="dxa"/>
        </w:tblCellMar>
      </w:tblPr>
      <w:tblGrid>
        <w:gridCol w:w="4484"/>
        <w:gridCol w:w="91"/>
        <w:gridCol w:w="125"/>
        <w:gridCol w:w="743"/>
        <w:gridCol w:w="91"/>
        <w:gridCol w:w="91"/>
        <w:gridCol w:w="125"/>
        <w:gridCol w:w="743"/>
        <w:gridCol w:w="91"/>
        <w:gridCol w:w="91"/>
        <w:gridCol w:w="125"/>
        <w:gridCol w:w="743"/>
        <w:gridCol w:w="110"/>
      </w:tblGrid>
      <w:tr>
        <w:trPr/>
        <w:tc>
          <w:tcPr>
            <w:tcW w:w="4484" w:type="dxa"/>
            <w:tcBorders/>
            <w:shd w:fill="auto" w:val="clear"/>
            <w:vAlign w:val="bottom"/>
          </w:tcPr>
          <w:p>
            <w:pPr>
              <w:pStyle w:val="TableContents"/>
              <w:spacing w:before="0" w:after="283"/>
              <w:rPr/>
            </w:pPr>
            <w:r>
              <w:rPr/>
              <w:t xml:space="preserve">  </w:t>
            </w:r>
          </w:p>
        </w:tc>
        <w:tc>
          <w:tcPr>
            <w:tcW w:w="91" w:type="dxa"/>
            <w:tcBorders/>
            <w:shd w:fill="auto" w:val="clear"/>
            <w:vAlign w:val="bottom"/>
          </w:tcPr>
          <w:p>
            <w:pPr>
              <w:pStyle w:val="TableContents"/>
              <w:spacing w:before="0" w:after="283"/>
              <w:rPr/>
            </w:pPr>
            <w:r>
              <w:rPr/>
              <w:t> </w:t>
            </w:r>
          </w:p>
        </w:tc>
        <w:tc>
          <w:tcPr>
            <w:tcW w:w="8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9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8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9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8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0" w:type="dxa"/>
            <w:tcBorders/>
            <w:shd w:fill="auto" w:val="clear"/>
            <w:vAlign w:val="bottom"/>
          </w:tcPr>
          <w:p>
            <w:pPr>
              <w:pStyle w:val="TableContents"/>
              <w:spacing w:before="0" w:after="283"/>
              <w:jc w:val="left"/>
              <w:rPr/>
            </w:pPr>
            <w:r>
              <w:rPr/>
              <w:t> </w:t>
            </w:r>
          </w:p>
        </w:tc>
      </w:tr>
      <w:tr>
        <w:trPr/>
        <w:tc>
          <w:tcPr>
            <w:tcW w:w="4484"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Stock based compensation</w:t>
            </w:r>
          </w:p>
        </w:tc>
        <w:tc>
          <w:tcPr>
            <w:tcW w:w="9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w:t>
            </w:r>
          </w:p>
        </w:tc>
        <w:tc>
          <w:tcPr>
            <w:tcW w:w="9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w:t>
            </w:r>
          </w:p>
        </w:tc>
        <w:tc>
          <w:tcPr>
            <w:tcW w:w="9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30.9</w:t>
            </w:r>
          </w:p>
        </w:tc>
        <w:tc>
          <w:tcPr>
            <w:tcW w:w="110" w:type="dxa"/>
            <w:tcBorders/>
            <w:shd w:fill="auto" w:val="clear"/>
            <w:vAlign w:val="bottom"/>
          </w:tcPr>
          <w:p>
            <w:pPr>
              <w:pStyle w:val="TableContents"/>
              <w:spacing w:before="0" w:after="283"/>
              <w:jc w:val="left"/>
              <w:rPr/>
            </w:pPr>
            <w:r>
              <w:rPr/>
              <w:t> </w:t>
            </w:r>
          </w:p>
        </w:tc>
      </w:tr>
      <w:tr>
        <w:trPr/>
        <w:tc>
          <w:tcPr>
            <w:tcW w:w="4484"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Tax benefit recognized in net income</w:t>
            </w:r>
          </w:p>
        </w:tc>
        <w:tc>
          <w:tcPr>
            <w:tcW w:w="9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9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w:t>
            </w:r>
          </w:p>
        </w:tc>
        <w:tc>
          <w:tcPr>
            <w:tcW w:w="9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110" w:type="dxa"/>
            <w:tcBorders/>
            <w:shd w:fill="auto" w:val="clear"/>
            <w:vAlign w:val="bottom"/>
          </w:tcPr>
          <w:p>
            <w:pPr>
              <w:pStyle w:val="TableContents"/>
              <w:spacing w:before="0" w:after="283"/>
              <w:jc w:val="left"/>
              <w:rPr/>
            </w:pPr>
            <w:r>
              <w:rPr/>
              <w:t> </w:t>
            </w:r>
          </w:p>
        </w:tc>
      </w:tr>
      <w:tr>
        <w:trPr/>
        <w:tc>
          <w:tcPr>
            <w:tcW w:w="4484"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Windfall tax benefit/(shortfall), net</w:t>
            </w:r>
          </w:p>
        </w:tc>
        <w:tc>
          <w:tcPr>
            <w:tcW w:w="9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9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9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10" w:type="dxa"/>
            <w:tcBorders/>
            <w:shd w:fill="auto"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b/>
          <w:sz w:val="20"/>
        </w:rPr>
        <w:t>Stock Options</w:t>
      </w:r>
      <w:r>
        <w:rPr>
          <w:rFonts w:ascii="Times New Roman" w:hAnsi="Times New Roman"/>
          <w:sz w:val="20"/>
        </w:rPr>
        <w:t xml:space="preserve"> – Stock options are typically granted at prices not less than 100% of market value of the underlying stock at the date of grant. Stock options typically vest over a period of up to three to five years from the grant date and generally expire seven to ten years after the grant date. The Company recorded $9.0 million, $9.1 million, and $8.2 million of compensation expense relating to outstanding options during 2010, 2009 and 2008, respectively, as a component of corporate and certain segment general and administrative expenses.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Company estimates the fair value of its option awards using the Black-Scholes option valuation model that uses the assumptions noted in the following table. The stock volatility for each grant is measured using the weighted average of historical daily price changes of the Company’s common stock over the most recent period equal to the expected life of the grant. The expected term of options granted is derived from historical data to estimate option exercises and employee terminations, and represents the period of time that options granted are expected to be outstanding. The risk-free rate for periods within the contractual life of the option is based on the U.S. Treasury yield curve in effect at the time of grant. The weighted average fair value of options granted in 2010, 2009 and 2008 were calculated using the following we ighted average assumptions:</w:t>
      </w:r>
    </w:p>
    <w:p>
      <w:pPr>
        <w:pStyle w:val="TextBody"/>
        <w:spacing w:before="0" w:after="0"/>
        <w:ind w:left="0" w:right="0" w:hanging="0"/>
        <w:rPr/>
      </w:pPr>
      <w:r>
        <w:rPr/>
      </w:r>
    </w:p>
    <w:tbl>
      <w:tblPr>
        <w:tblW w:w="3750" w:type="pct"/>
        <w:jc w:val="center"/>
        <w:tblInd w:w="0" w:type="dxa"/>
        <w:tblCellMar>
          <w:top w:w="0" w:type="dxa"/>
          <w:left w:w="0" w:type="dxa"/>
          <w:bottom w:w="0" w:type="dxa"/>
          <w:right w:w="0" w:type="dxa"/>
        </w:tblCellMar>
      </w:tblPr>
      <w:tblGrid>
        <w:gridCol w:w="4121"/>
        <w:gridCol w:w="1177"/>
        <w:gridCol w:w="1177"/>
        <w:gridCol w:w="1178"/>
      </w:tblGrid>
      <w:tr>
        <w:trPr/>
        <w:tc>
          <w:tcPr>
            <w:tcW w:w="4121" w:type="dxa"/>
            <w:tcBorders/>
            <w:shd w:fill="auto" w:val="clear"/>
          </w:tcPr>
          <w:p>
            <w:pPr>
              <w:pStyle w:val="TableContents"/>
              <w:spacing w:before="0" w:after="283"/>
              <w:rPr/>
            </w:pPr>
            <w:r>
              <w:rPr/>
              <w:t xml:space="preserve">  </w:t>
            </w:r>
          </w:p>
        </w:tc>
        <w:tc>
          <w:tcPr>
            <w:tcW w:w="1177"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77"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78"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r>
      <w:tr>
        <w:trPr/>
        <w:tc>
          <w:tcPr>
            <w:tcW w:w="41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Weighted average fair value ($)</w:t>
            </w:r>
          </w:p>
        </w:tc>
        <w:tc>
          <w:tcPr>
            <w:tcW w:w="1177" w:type="dxa"/>
            <w:tcBorders/>
            <w:shd w:fill="auto" w:val="clear"/>
          </w:tcPr>
          <w:p>
            <w:pPr>
              <w:pStyle w:val="TableContents"/>
              <w:spacing w:before="0" w:after="0"/>
              <w:ind w:left="0" w:right="105" w:hanging="0"/>
              <w:jc w:val="right"/>
              <w:rPr>
                <w:rFonts w:ascii="times new roman" w:hAnsi="times new roman"/>
                <w:sz w:val="20"/>
              </w:rPr>
            </w:pPr>
            <w:r>
              <w:rPr>
                <w:rFonts w:ascii="times new roman" w:hAnsi="times new roman"/>
                <w:sz w:val="20"/>
              </w:rPr>
              <w:t>17.00</w:t>
            </w:r>
          </w:p>
        </w:tc>
        <w:tc>
          <w:tcPr>
            <w:tcW w:w="1177" w:type="dxa"/>
            <w:tcBorders/>
            <w:shd w:fill="auto" w:val="clear"/>
          </w:tcPr>
          <w:p>
            <w:pPr>
              <w:pStyle w:val="TableContents"/>
              <w:spacing w:before="0" w:after="0"/>
              <w:ind w:left="0" w:right="105" w:hanging="0"/>
              <w:jc w:val="right"/>
              <w:rPr>
                <w:rFonts w:ascii="times new roman" w:hAnsi="times new roman"/>
                <w:sz w:val="20"/>
              </w:rPr>
            </w:pPr>
            <w:r>
              <w:rPr>
                <w:rFonts w:ascii="times new roman" w:hAnsi="times new roman"/>
                <w:sz w:val="20"/>
              </w:rPr>
              <w:t>12.68</w:t>
            </w:r>
          </w:p>
        </w:tc>
        <w:tc>
          <w:tcPr>
            <w:tcW w:w="1178" w:type="dxa"/>
            <w:tcBorders/>
            <w:shd w:fill="auto" w:val="clear"/>
          </w:tcPr>
          <w:p>
            <w:pPr>
              <w:pStyle w:val="TableContents"/>
              <w:spacing w:before="0" w:after="0"/>
              <w:ind w:left="0" w:right="105" w:hanging="0"/>
              <w:jc w:val="right"/>
              <w:rPr>
                <w:rFonts w:ascii="times new roman" w:hAnsi="times new roman"/>
                <w:sz w:val="20"/>
              </w:rPr>
            </w:pPr>
            <w:r>
              <w:rPr>
                <w:rFonts w:ascii="times new roman" w:hAnsi="times new roman"/>
                <w:sz w:val="20"/>
              </w:rPr>
              <w:t>12.83</w:t>
            </w:r>
          </w:p>
        </w:tc>
      </w:tr>
      <w:tr>
        <w:trPr/>
        <w:tc>
          <w:tcPr>
            <w:tcW w:w="41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Risk-free interest rate (%)</w:t>
            </w:r>
          </w:p>
        </w:tc>
        <w:tc>
          <w:tcPr>
            <w:tcW w:w="1177" w:type="dxa"/>
            <w:tcBorders/>
            <w:shd w:fill="auto" w:val="clear"/>
          </w:tcPr>
          <w:p>
            <w:pPr>
              <w:pStyle w:val="TableContents"/>
              <w:spacing w:before="0" w:after="0"/>
              <w:ind w:left="0" w:right="105" w:hanging="0"/>
              <w:jc w:val="right"/>
              <w:rPr>
                <w:rFonts w:ascii="times new roman" w:hAnsi="times new roman"/>
                <w:sz w:val="20"/>
              </w:rPr>
            </w:pPr>
            <w:r>
              <w:rPr>
                <w:rFonts w:ascii="times new roman" w:hAnsi="times new roman"/>
                <w:sz w:val="20"/>
              </w:rPr>
              <w:t>2.32</w:t>
            </w:r>
          </w:p>
        </w:tc>
        <w:tc>
          <w:tcPr>
            <w:tcW w:w="1177" w:type="dxa"/>
            <w:tcBorders/>
            <w:shd w:fill="auto" w:val="clear"/>
          </w:tcPr>
          <w:p>
            <w:pPr>
              <w:pStyle w:val="TableContents"/>
              <w:spacing w:before="0" w:after="0"/>
              <w:ind w:left="0" w:right="105" w:hanging="0"/>
              <w:jc w:val="right"/>
              <w:rPr>
                <w:rFonts w:ascii="times new roman" w:hAnsi="times new roman"/>
                <w:sz w:val="20"/>
              </w:rPr>
            </w:pPr>
            <w:r>
              <w:rPr>
                <w:rFonts w:ascii="times new roman" w:hAnsi="times new roman"/>
                <w:sz w:val="20"/>
              </w:rPr>
              <w:t>1.78</w:t>
            </w:r>
          </w:p>
        </w:tc>
        <w:tc>
          <w:tcPr>
            <w:tcW w:w="1178" w:type="dxa"/>
            <w:tcBorders/>
            <w:shd w:fill="auto" w:val="clear"/>
          </w:tcPr>
          <w:p>
            <w:pPr>
              <w:pStyle w:val="TableContents"/>
              <w:spacing w:before="0" w:after="0"/>
              <w:ind w:left="0" w:right="105" w:hanging="0"/>
              <w:jc w:val="right"/>
              <w:rPr>
                <w:rFonts w:ascii="times new roman" w:hAnsi="times new roman"/>
                <w:sz w:val="20"/>
              </w:rPr>
            </w:pPr>
            <w:r>
              <w:rPr>
                <w:rFonts w:ascii="times new roman" w:hAnsi="times new roman"/>
                <w:sz w:val="20"/>
              </w:rPr>
              <w:t>2.87</w:t>
            </w:r>
          </w:p>
        </w:tc>
      </w:tr>
      <w:tr>
        <w:trPr/>
        <w:tc>
          <w:tcPr>
            <w:tcW w:w="41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Average expected option life (years)</w:t>
            </w:r>
          </w:p>
        </w:tc>
        <w:tc>
          <w:tcPr>
            <w:tcW w:w="1177" w:type="dxa"/>
            <w:tcBorders/>
            <w:shd w:fill="auto" w:val="clear"/>
          </w:tcPr>
          <w:p>
            <w:pPr>
              <w:pStyle w:val="TableContents"/>
              <w:spacing w:before="0" w:after="0"/>
              <w:ind w:left="0" w:right="105" w:hanging="0"/>
              <w:jc w:val="right"/>
              <w:rPr>
                <w:rFonts w:ascii="times new roman" w:hAnsi="times new roman"/>
                <w:sz w:val="20"/>
              </w:rPr>
            </w:pPr>
            <w:r>
              <w:rPr>
                <w:rFonts w:ascii="times new roman" w:hAnsi="times new roman"/>
                <w:sz w:val="20"/>
              </w:rPr>
              <w:t>5.38</w:t>
            </w:r>
          </w:p>
        </w:tc>
        <w:tc>
          <w:tcPr>
            <w:tcW w:w="1177" w:type="dxa"/>
            <w:tcBorders/>
            <w:shd w:fill="auto" w:val="clear"/>
          </w:tcPr>
          <w:p>
            <w:pPr>
              <w:pStyle w:val="TableContents"/>
              <w:spacing w:before="0" w:after="0"/>
              <w:ind w:left="0" w:right="105" w:hanging="0"/>
              <w:jc w:val="right"/>
              <w:rPr>
                <w:rFonts w:ascii="times new roman" w:hAnsi="times new roman"/>
                <w:sz w:val="20"/>
              </w:rPr>
            </w:pPr>
            <w:r>
              <w:rPr>
                <w:rFonts w:ascii="times new roman" w:hAnsi="times new roman"/>
                <w:sz w:val="20"/>
              </w:rPr>
              <w:t>5.37</w:t>
            </w:r>
          </w:p>
        </w:tc>
        <w:tc>
          <w:tcPr>
            <w:tcW w:w="1178" w:type="dxa"/>
            <w:tcBorders/>
            <w:shd w:fill="auto" w:val="clear"/>
          </w:tcPr>
          <w:p>
            <w:pPr>
              <w:pStyle w:val="TableContents"/>
              <w:spacing w:before="0" w:after="0"/>
              <w:ind w:left="0" w:right="105" w:hanging="0"/>
              <w:jc w:val="right"/>
              <w:rPr>
                <w:rFonts w:ascii="times new roman" w:hAnsi="times new roman"/>
                <w:sz w:val="20"/>
              </w:rPr>
            </w:pPr>
            <w:r>
              <w:rPr>
                <w:rFonts w:ascii="times new roman" w:hAnsi="times new roman"/>
                <w:sz w:val="20"/>
              </w:rPr>
              <w:t>5.02</w:t>
            </w:r>
          </w:p>
        </w:tc>
      </w:tr>
      <w:tr>
        <w:trPr/>
        <w:tc>
          <w:tcPr>
            <w:tcW w:w="41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Expected volatility (%)</w:t>
            </w:r>
          </w:p>
        </w:tc>
        <w:tc>
          <w:tcPr>
            <w:tcW w:w="1177" w:type="dxa"/>
            <w:tcBorders/>
            <w:shd w:fill="auto" w:val="clear"/>
          </w:tcPr>
          <w:p>
            <w:pPr>
              <w:pStyle w:val="TableContents"/>
              <w:spacing w:before="0" w:after="0"/>
              <w:ind w:left="0" w:right="105" w:hanging="0"/>
              <w:jc w:val="right"/>
              <w:rPr>
                <w:rFonts w:ascii="times new roman" w:hAnsi="times new roman"/>
                <w:sz w:val="20"/>
              </w:rPr>
            </w:pPr>
            <w:r>
              <w:rPr>
                <w:rFonts w:ascii="times new roman" w:hAnsi="times new roman"/>
                <w:sz w:val="20"/>
              </w:rPr>
              <w:t>34.55</w:t>
            </w:r>
          </w:p>
        </w:tc>
        <w:tc>
          <w:tcPr>
            <w:tcW w:w="1177" w:type="dxa"/>
            <w:tcBorders/>
            <w:shd w:fill="auto" w:val="clear"/>
          </w:tcPr>
          <w:p>
            <w:pPr>
              <w:pStyle w:val="TableContents"/>
              <w:spacing w:before="0" w:after="0"/>
              <w:ind w:left="0" w:right="105" w:hanging="0"/>
              <w:jc w:val="right"/>
              <w:rPr>
                <w:rFonts w:ascii="times new roman" w:hAnsi="times new roman"/>
                <w:sz w:val="20"/>
              </w:rPr>
            </w:pPr>
            <w:r>
              <w:rPr>
                <w:rFonts w:ascii="times new roman" w:hAnsi="times new roman"/>
                <w:sz w:val="20"/>
              </w:rPr>
              <w:t>32.24</w:t>
            </w:r>
          </w:p>
        </w:tc>
        <w:tc>
          <w:tcPr>
            <w:tcW w:w="1178" w:type="dxa"/>
            <w:tcBorders/>
            <w:shd w:fill="auto" w:val="clear"/>
          </w:tcPr>
          <w:p>
            <w:pPr>
              <w:pStyle w:val="TableContents"/>
              <w:spacing w:before="0" w:after="0"/>
              <w:ind w:left="0" w:right="105" w:hanging="0"/>
              <w:jc w:val="right"/>
              <w:rPr>
                <w:rFonts w:ascii="times new roman" w:hAnsi="times new roman"/>
                <w:sz w:val="20"/>
              </w:rPr>
            </w:pPr>
            <w:r>
              <w:rPr>
                <w:rFonts w:ascii="times new roman" w:hAnsi="times new roman"/>
                <w:sz w:val="20"/>
              </w:rPr>
              <w:t>21.10</w:t>
            </w:r>
          </w:p>
        </w:tc>
      </w:tr>
      <w:tr>
        <w:trPr/>
        <w:tc>
          <w:tcPr>
            <w:tcW w:w="41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Expected dividend yield (%)</w:t>
            </w:r>
          </w:p>
        </w:tc>
        <w:tc>
          <w:tcPr>
            <w:tcW w:w="1177" w:type="dxa"/>
            <w:tcBorders/>
            <w:shd w:fill="auto" w:val="clear"/>
          </w:tcPr>
          <w:p>
            <w:pPr>
              <w:pStyle w:val="TableContents"/>
              <w:spacing w:before="0" w:after="0"/>
              <w:ind w:left="0" w:right="105" w:hanging="0"/>
              <w:jc w:val="right"/>
              <w:rPr>
                <w:rFonts w:ascii="times new roman" w:hAnsi="times new roman"/>
                <w:sz w:val="20"/>
              </w:rPr>
            </w:pPr>
            <w:r>
              <w:rPr>
                <w:rFonts w:ascii="times new roman" w:hAnsi="times new roman"/>
                <w:sz w:val="20"/>
              </w:rPr>
              <w:t>0.72</w:t>
            </w:r>
          </w:p>
        </w:tc>
        <w:tc>
          <w:tcPr>
            <w:tcW w:w="1177" w:type="dxa"/>
            <w:tcBorders/>
            <w:shd w:fill="auto" w:val="clear"/>
          </w:tcPr>
          <w:p>
            <w:pPr>
              <w:pStyle w:val="TableContents"/>
              <w:spacing w:before="0" w:after="0"/>
              <w:ind w:left="0" w:right="105" w:hanging="0"/>
              <w:jc w:val="right"/>
              <w:rPr>
                <w:rFonts w:ascii="times new roman" w:hAnsi="times new roman"/>
                <w:sz w:val="20"/>
              </w:rPr>
            </w:pPr>
            <w:r>
              <w:rPr>
                <w:rFonts w:ascii="times new roman" w:hAnsi="times new roman"/>
                <w:sz w:val="20"/>
              </w:rPr>
              <w:t>0.78</w:t>
            </w:r>
          </w:p>
        </w:tc>
        <w:tc>
          <w:tcPr>
            <w:tcW w:w="1178" w:type="dxa"/>
            <w:tcBorders/>
            <w:shd w:fill="auto" w:val="clear"/>
          </w:tcPr>
          <w:p>
            <w:pPr>
              <w:pStyle w:val="TableContents"/>
              <w:spacing w:before="0" w:after="0"/>
              <w:ind w:left="0" w:right="105" w:hanging="0"/>
              <w:jc w:val="right"/>
              <w:rPr>
                <w:rFonts w:ascii="times new roman" w:hAnsi="times new roman"/>
                <w:sz w:val="20"/>
              </w:rPr>
            </w:pPr>
            <w:r>
              <w:rPr>
                <w:rFonts w:ascii="times new roman" w:hAnsi="times new roman"/>
                <w:sz w:val="20"/>
              </w:rPr>
              <w:t>0.53</w:t>
            </w:r>
          </w:p>
        </w:tc>
      </w:tr>
    </w:tbl>
    <w:p>
      <w:pPr>
        <w:pStyle w:val="TextBody"/>
        <w:spacing w:before="0" w:after="0"/>
        <w:ind w:left="0" w:right="0" w:hanging="0"/>
        <w:rPr/>
      </w:pPr>
      <w:r>
        <w:rPr/>
      </w:r>
    </w:p>
    <w:p>
      <w:pPr>
        <w:pStyle w:val="TextBody"/>
        <w:spacing w:before="0" w:after="0"/>
        <w:ind w:left="360" w:right="0" w:hanging="0"/>
        <w:jc w:val="left"/>
        <w:rPr>
          <w:rFonts w:ascii="Times New Roman" w:hAnsi="Times New Roman"/>
          <w:sz w:val="20"/>
        </w:rPr>
      </w:pPr>
      <w:r>
        <w:rPr>
          <w:rFonts w:ascii="Times New Roman" w:hAnsi="Times New Roman"/>
          <w:sz w:val="20"/>
        </w:rPr>
        <w:t>The following table summarizes the Company’s activities with respect to its stock option plans for the year ended December 31, 2010.</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2" w:name="PGBRK14"/>
      <w:bookmarkStart w:id="283" w:name="PGBRK14"/>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4" w:name="FTR14"/>
      <w:bookmarkStart w:id="285" w:name="FTR14"/>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6" w:name="GLFTR14"/>
      <w:bookmarkEnd w:id="2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7" w:name="PN14"/>
      <w:bookmarkEnd w:id="287"/>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8" w:name="HDR14"/>
      <w:bookmarkStart w:id="289" w:name="HDR14"/>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0" w:name="GLHDR14"/>
      <w:bookmarkEnd w:id="2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tbl>
      <w:tblPr>
        <w:tblW w:w="3750" w:type="pct"/>
        <w:jc w:val="center"/>
        <w:tblInd w:w="0" w:type="dxa"/>
        <w:tblCellMar>
          <w:top w:w="0" w:type="dxa"/>
          <w:left w:w="0" w:type="dxa"/>
          <w:bottom w:w="0" w:type="dxa"/>
          <w:right w:w="0" w:type="dxa"/>
        </w:tblCellMar>
      </w:tblPr>
      <w:tblGrid>
        <w:gridCol w:w="3105"/>
        <w:gridCol w:w="1102"/>
        <w:gridCol w:w="1101"/>
        <w:gridCol w:w="1007"/>
        <w:gridCol w:w="1338"/>
      </w:tblGrid>
      <w:tr>
        <w:trPr/>
        <w:tc>
          <w:tcPr>
            <w:tcW w:w="3105" w:type="dxa"/>
            <w:tcBorders/>
            <w:shd w:fill="auto" w:val="clear"/>
          </w:tcPr>
          <w:p>
            <w:pPr>
              <w:pStyle w:val="TableContents"/>
              <w:spacing w:before="0" w:after="283"/>
              <w:rPr/>
            </w:pPr>
            <w:r>
              <w:rPr/>
              <w:t xml:space="preserve">  </w:t>
            </w:r>
          </w:p>
        </w:tc>
        <w:tc>
          <w:tcPr>
            <w:tcW w:w="110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w:t>
            </w:r>
          </w:p>
        </w:tc>
        <w:tc>
          <w:tcPr>
            <w:tcW w:w="110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Weighted average exercise price per share</w:t>
            </w:r>
          </w:p>
        </w:tc>
        <w:tc>
          <w:tcPr>
            <w:tcW w:w="1007"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Weighted average contractual term</w:t>
            </w:r>
          </w:p>
        </w:tc>
        <w:tc>
          <w:tcPr>
            <w:tcW w:w="1338"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Aggregate intrinsic value</w:t>
            </w:r>
          </w:p>
        </w:tc>
      </w:tr>
      <w:tr>
        <w:trPr/>
        <w:tc>
          <w:tcPr>
            <w:tcW w:w="3105"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Outstanding at January 1, 2010</w:t>
            </w:r>
          </w:p>
        </w:tc>
        <w:tc>
          <w:tcPr>
            <w:tcW w:w="110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4,238,000</w:t>
            </w:r>
          </w:p>
        </w:tc>
        <w:tc>
          <w:tcPr>
            <w:tcW w:w="1101" w:type="dxa"/>
            <w:tcBorders/>
            <w:shd w:fill="auto" w:val="clear"/>
            <w:vAlign w:val="bottom"/>
          </w:tcPr>
          <w:p>
            <w:pPr>
              <w:pStyle w:val="TableContents"/>
              <w:spacing w:before="0" w:after="0"/>
              <w:ind w:left="180" w:right="0" w:hanging="0"/>
              <w:jc w:val="right"/>
              <w:rPr>
                <w:rFonts w:ascii="times new roman" w:hAnsi="times new roman"/>
                <w:sz w:val="20"/>
              </w:rPr>
            </w:pPr>
            <w:r>
              <w:rPr>
                <w:rFonts w:ascii="times new roman" w:hAnsi="times new roman"/>
                <w:sz w:val="20"/>
              </w:rPr>
              <w:t>$ 39.39</w:t>
            </w:r>
          </w:p>
        </w:tc>
        <w:tc>
          <w:tcPr>
            <w:tcW w:w="1007" w:type="dxa"/>
            <w:tcBorders/>
            <w:shd w:fill="auto" w:val="clear"/>
          </w:tcPr>
          <w:p>
            <w:pPr>
              <w:pStyle w:val="TableContents"/>
              <w:spacing w:before="0" w:after="283"/>
              <w:rPr/>
            </w:pPr>
            <w:r>
              <w:rPr/>
              <w:t xml:space="preserve">  </w:t>
            </w:r>
          </w:p>
        </w:tc>
        <w:tc>
          <w:tcPr>
            <w:tcW w:w="1338" w:type="dxa"/>
            <w:tcBorders/>
            <w:shd w:fill="auto" w:val="clear"/>
          </w:tcPr>
          <w:p>
            <w:pPr>
              <w:pStyle w:val="TableContents"/>
              <w:spacing w:before="0" w:after="283"/>
              <w:rPr/>
            </w:pPr>
            <w:r>
              <w:rPr/>
              <w:t xml:space="preserve">  </w:t>
            </w:r>
          </w:p>
        </w:tc>
      </w:tr>
      <w:tr>
        <w:trPr/>
        <w:tc>
          <w:tcPr>
            <w:tcW w:w="3105" w:type="dxa"/>
            <w:tcBorders/>
            <w:shd w:fill="auto" w:val="clear"/>
            <w:vAlign w:val="bottom"/>
          </w:tcPr>
          <w:p>
            <w:pPr>
              <w:pStyle w:val="TableContents"/>
              <w:spacing w:before="0" w:after="283"/>
              <w:rPr/>
            </w:pPr>
            <w:r>
              <w:rPr/>
              <w:t xml:space="preserve">  </w:t>
            </w:r>
          </w:p>
        </w:tc>
        <w:tc>
          <w:tcPr>
            <w:tcW w:w="1102" w:type="dxa"/>
            <w:tcBorders/>
            <w:shd w:fill="auto" w:val="clear"/>
          </w:tcPr>
          <w:p>
            <w:pPr>
              <w:pStyle w:val="TableContents"/>
              <w:spacing w:before="0" w:after="283"/>
              <w:rPr/>
            </w:pPr>
            <w:r>
              <w:rPr/>
              <w:t xml:space="preserve">  </w:t>
            </w:r>
          </w:p>
        </w:tc>
        <w:tc>
          <w:tcPr>
            <w:tcW w:w="1101" w:type="dxa"/>
            <w:tcBorders/>
            <w:shd w:fill="auto" w:val="clear"/>
          </w:tcPr>
          <w:p>
            <w:pPr>
              <w:pStyle w:val="TableContents"/>
              <w:spacing w:before="0" w:after="283"/>
              <w:rPr/>
            </w:pPr>
            <w:r>
              <w:rPr/>
              <w:t xml:space="preserve">  </w:t>
            </w:r>
          </w:p>
        </w:tc>
        <w:tc>
          <w:tcPr>
            <w:tcW w:w="1007" w:type="dxa"/>
            <w:tcBorders/>
            <w:shd w:fill="auto" w:val="clear"/>
          </w:tcPr>
          <w:p>
            <w:pPr>
              <w:pStyle w:val="TableContents"/>
              <w:spacing w:before="0" w:after="283"/>
              <w:rPr/>
            </w:pPr>
            <w:r>
              <w:rPr/>
              <w:t xml:space="preserve">  </w:t>
            </w:r>
          </w:p>
        </w:tc>
        <w:tc>
          <w:tcPr>
            <w:tcW w:w="1338" w:type="dxa"/>
            <w:tcBorders/>
            <w:shd w:fill="auto" w:val="clear"/>
          </w:tcPr>
          <w:p>
            <w:pPr>
              <w:pStyle w:val="TableContents"/>
              <w:spacing w:before="0" w:after="283"/>
              <w:rPr/>
            </w:pPr>
            <w:r>
              <w:rPr/>
              <w:t xml:space="preserve">  </w:t>
            </w:r>
          </w:p>
        </w:tc>
      </w:tr>
      <w:tr>
        <w:trPr/>
        <w:tc>
          <w:tcPr>
            <w:tcW w:w="3105"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Granted</w:t>
            </w:r>
          </w:p>
        </w:tc>
        <w:tc>
          <w:tcPr>
            <w:tcW w:w="1102" w:type="dxa"/>
            <w:tcBorders/>
            <w:shd w:fill="auto" w:val="clear"/>
          </w:tcPr>
          <w:p>
            <w:pPr>
              <w:pStyle w:val="TableContents"/>
              <w:spacing w:before="0" w:after="0"/>
              <w:ind w:left="0" w:right="27" w:hanging="0"/>
              <w:jc w:val="right"/>
              <w:rPr>
                <w:rFonts w:ascii="times new roman" w:hAnsi="times new roman"/>
                <w:sz w:val="20"/>
              </w:rPr>
            </w:pPr>
            <w:r>
              <w:rPr>
                <w:rFonts w:ascii="times new roman" w:hAnsi="times new roman"/>
                <w:sz w:val="20"/>
              </w:rPr>
              <w:t>614,000</w:t>
            </w:r>
          </w:p>
        </w:tc>
        <w:tc>
          <w:tcPr>
            <w:tcW w:w="1101" w:type="dxa"/>
            <w:tcBorders/>
            <w:shd w:fill="auto" w:val="clear"/>
          </w:tcPr>
          <w:p>
            <w:pPr>
              <w:pStyle w:val="TableContents"/>
              <w:spacing w:before="0" w:after="0"/>
              <w:ind w:left="180" w:right="0" w:hanging="0"/>
              <w:jc w:val="right"/>
              <w:rPr>
                <w:rFonts w:ascii="times new roman" w:hAnsi="times new roman"/>
                <w:sz w:val="20"/>
              </w:rPr>
            </w:pPr>
            <w:r>
              <w:rPr>
                <w:rFonts w:ascii="times new roman" w:hAnsi="times new roman"/>
                <w:sz w:val="20"/>
              </w:rPr>
              <w:t>51.75</w:t>
            </w:r>
          </w:p>
        </w:tc>
        <w:tc>
          <w:tcPr>
            <w:tcW w:w="1007" w:type="dxa"/>
            <w:tcBorders/>
            <w:shd w:fill="auto" w:val="clear"/>
          </w:tcPr>
          <w:p>
            <w:pPr>
              <w:pStyle w:val="TableContents"/>
              <w:spacing w:before="0" w:after="283"/>
              <w:rPr/>
            </w:pPr>
            <w:r>
              <w:rPr/>
              <w:t xml:space="preserve">  </w:t>
            </w:r>
          </w:p>
        </w:tc>
        <w:tc>
          <w:tcPr>
            <w:tcW w:w="1338" w:type="dxa"/>
            <w:tcBorders/>
            <w:shd w:fill="auto" w:val="clear"/>
          </w:tcPr>
          <w:p>
            <w:pPr>
              <w:pStyle w:val="TableContents"/>
              <w:spacing w:before="0" w:after="283"/>
              <w:rPr/>
            </w:pPr>
            <w:r>
              <w:rPr/>
              <w:t xml:space="preserve">  </w:t>
            </w:r>
          </w:p>
        </w:tc>
      </w:tr>
      <w:tr>
        <w:trPr/>
        <w:tc>
          <w:tcPr>
            <w:tcW w:w="3105"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Exercised</w:t>
            </w:r>
          </w:p>
        </w:tc>
        <w:tc>
          <w:tcPr>
            <w:tcW w:w="110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(865,000)</w:t>
            </w:r>
          </w:p>
        </w:tc>
        <w:tc>
          <w:tcPr>
            <w:tcW w:w="1101" w:type="dxa"/>
            <w:tcBorders/>
            <w:shd w:fill="auto" w:val="clear"/>
          </w:tcPr>
          <w:p>
            <w:pPr>
              <w:pStyle w:val="TableContents"/>
              <w:spacing w:before="0" w:after="0"/>
              <w:ind w:left="180" w:right="0" w:hanging="0"/>
              <w:jc w:val="right"/>
              <w:rPr>
                <w:rFonts w:ascii="times new roman" w:hAnsi="times new roman"/>
                <w:sz w:val="20"/>
              </w:rPr>
            </w:pPr>
            <w:r>
              <w:rPr>
                <w:rFonts w:ascii="times new roman" w:hAnsi="times new roman"/>
                <w:sz w:val="20"/>
              </w:rPr>
              <w:t>33.44</w:t>
            </w:r>
          </w:p>
        </w:tc>
        <w:tc>
          <w:tcPr>
            <w:tcW w:w="1007" w:type="dxa"/>
            <w:tcBorders/>
            <w:shd w:fill="auto" w:val="clear"/>
          </w:tcPr>
          <w:p>
            <w:pPr>
              <w:pStyle w:val="TableContents"/>
              <w:spacing w:before="0" w:after="283"/>
              <w:rPr/>
            </w:pPr>
            <w:r>
              <w:rPr/>
              <w:t xml:space="preserve">  </w:t>
            </w:r>
          </w:p>
        </w:tc>
        <w:tc>
          <w:tcPr>
            <w:tcW w:w="1338" w:type="dxa"/>
            <w:tcBorders/>
            <w:shd w:fill="auto" w:val="clear"/>
          </w:tcPr>
          <w:p>
            <w:pPr>
              <w:pStyle w:val="TableContents"/>
              <w:spacing w:before="0" w:after="0"/>
              <w:ind w:left="0" w:right="0" w:hanging="0"/>
              <w:jc w:val="right"/>
              <w:rPr/>
            </w:pPr>
            <w:r>
              <w:rPr/>
              <w:t> </w:t>
            </w:r>
          </w:p>
        </w:tc>
      </w:tr>
      <w:tr>
        <w:trPr/>
        <w:tc>
          <w:tcPr>
            <w:tcW w:w="3105"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Canceled</w:t>
            </w:r>
          </w:p>
        </w:tc>
        <w:tc>
          <w:tcPr>
            <w:tcW w:w="1102" w:type="dxa"/>
            <w:tcBorders>
              <w:bottom w:val="single" w:sz="12"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(54,000)</w:t>
            </w:r>
          </w:p>
        </w:tc>
        <w:tc>
          <w:tcPr>
            <w:tcW w:w="1101" w:type="dxa"/>
            <w:tcBorders/>
            <w:shd w:fill="auto" w:val="clear"/>
          </w:tcPr>
          <w:p>
            <w:pPr>
              <w:pStyle w:val="TableContents"/>
              <w:spacing w:before="0" w:after="0"/>
              <w:ind w:left="180" w:right="0" w:hanging="0"/>
              <w:jc w:val="right"/>
              <w:rPr>
                <w:rFonts w:ascii="times new roman" w:hAnsi="times new roman"/>
                <w:sz w:val="20"/>
              </w:rPr>
            </w:pPr>
            <w:r>
              <w:rPr>
                <w:rFonts w:ascii="times new roman" w:hAnsi="times new roman"/>
                <w:sz w:val="20"/>
              </w:rPr>
              <w:t>54.89</w:t>
            </w:r>
          </w:p>
        </w:tc>
        <w:tc>
          <w:tcPr>
            <w:tcW w:w="1007" w:type="dxa"/>
            <w:tcBorders/>
            <w:shd w:fill="auto" w:val="clear"/>
          </w:tcPr>
          <w:p>
            <w:pPr>
              <w:pStyle w:val="TableContents"/>
              <w:spacing w:before="0" w:after="283"/>
              <w:rPr/>
            </w:pPr>
            <w:r>
              <w:rPr/>
              <w:t xml:space="preserve">  </w:t>
            </w:r>
          </w:p>
        </w:tc>
        <w:tc>
          <w:tcPr>
            <w:tcW w:w="1338" w:type="dxa"/>
            <w:tcBorders/>
            <w:shd w:fill="auto" w:val="clear"/>
          </w:tcPr>
          <w:p>
            <w:pPr>
              <w:pStyle w:val="TableContents"/>
              <w:spacing w:before="0" w:after="283"/>
              <w:rPr/>
            </w:pPr>
            <w:r>
              <w:rPr/>
              <w:t xml:space="preserve">  </w:t>
            </w:r>
          </w:p>
        </w:tc>
      </w:tr>
      <w:tr>
        <w:trPr/>
        <w:tc>
          <w:tcPr>
            <w:tcW w:w="3105"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Outstanding at December 31, 2010</w:t>
            </w:r>
          </w:p>
        </w:tc>
        <w:tc>
          <w:tcPr>
            <w:tcW w:w="1102"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3,933,000</w:t>
            </w:r>
          </w:p>
        </w:tc>
        <w:tc>
          <w:tcPr>
            <w:tcW w:w="1101" w:type="dxa"/>
            <w:tcBorders/>
            <w:shd w:fill="auto" w:val="clear"/>
          </w:tcPr>
          <w:p>
            <w:pPr>
              <w:pStyle w:val="TableContents"/>
              <w:spacing w:before="0" w:after="0"/>
              <w:ind w:left="180" w:right="0" w:hanging="0"/>
              <w:jc w:val="right"/>
              <w:rPr>
                <w:rFonts w:ascii="times new roman" w:hAnsi="times new roman"/>
                <w:sz w:val="20"/>
              </w:rPr>
            </w:pPr>
            <w:r>
              <w:rPr>
                <w:rFonts w:ascii="times new roman" w:hAnsi="times new roman"/>
                <w:sz w:val="20"/>
              </w:rPr>
              <w:t>42.32</w:t>
            </w:r>
          </w:p>
        </w:tc>
        <w:tc>
          <w:tcPr>
            <w:tcW w:w="1007" w:type="dxa"/>
            <w:tcBorders/>
            <w:shd w:fill="auto" w:val="clear"/>
          </w:tcPr>
          <w:p>
            <w:pPr>
              <w:pStyle w:val="TableContents"/>
              <w:spacing w:before="0" w:after="0"/>
              <w:ind w:left="180" w:right="92" w:hanging="0"/>
              <w:jc w:val="right"/>
              <w:rPr>
                <w:rFonts w:ascii="times new roman" w:hAnsi="times new roman"/>
                <w:sz w:val="20"/>
              </w:rPr>
            </w:pPr>
            <w:r>
              <w:rPr>
                <w:rFonts w:ascii="times new roman" w:hAnsi="times new roman"/>
                <w:sz w:val="20"/>
              </w:rPr>
              <w:t>5.37</w:t>
            </w:r>
          </w:p>
        </w:tc>
        <w:tc>
          <w:tcPr>
            <w:tcW w:w="1338"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$ 134,171,000</w:t>
            </w:r>
          </w:p>
        </w:tc>
      </w:tr>
      <w:tr>
        <w:trPr/>
        <w:tc>
          <w:tcPr>
            <w:tcW w:w="3105"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Exercisable at December 31, 2010</w:t>
            </w:r>
          </w:p>
        </w:tc>
        <w:tc>
          <w:tcPr>
            <w:tcW w:w="1102"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2,432,000</w:t>
            </w:r>
          </w:p>
        </w:tc>
        <w:tc>
          <w:tcPr>
            <w:tcW w:w="1101" w:type="dxa"/>
            <w:tcBorders/>
            <w:shd w:fill="auto" w:val="clear"/>
            <w:vAlign w:val="bottom"/>
          </w:tcPr>
          <w:p>
            <w:pPr>
              <w:pStyle w:val="TableContents"/>
              <w:spacing w:before="0" w:after="0"/>
              <w:ind w:left="180" w:right="0" w:hanging="0"/>
              <w:jc w:val="right"/>
              <w:rPr>
                <w:rFonts w:ascii="times new roman" w:hAnsi="times new roman"/>
                <w:sz w:val="20"/>
              </w:rPr>
            </w:pPr>
            <w:r>
              <w:rPr>
                <w:rFonts w:ascii="times new roman" w:hAnsi="times new roman"/>
                <w:sz w:val="20"/>
              </w:rPr>
              <w:t>$ 37.09</w:t>
            </w:r>
          </w:p>
        </w:tc>
        <w:tc>
          <w:tcPr>
            <w:tcW w:w="1007" w:type="dxa"/>
            <w:tcBorders/>
            <w:shd w:fill="auto" w:val="clear"/>
            <w:vAlign w:val="bottom"/>
          </w:tcPr>
          <w:p>
            <w:pPr>
              <w:pStyle w:val="TableContents"/>
              <w:spacing w:before="0" w:after="0"/>
              <w:ind w:left="180" w:right="92" w:hanging="0"/>
              <w:jc w:val="right"/>
              <w:rPr>
                <w:rFonts w:ascii="times new roman" w:hAnsi="times new roman"/>
                <w:sz w:val="20"/>
              </w:rPr>
            </w:pPr>
            <w:r>
              <w:rPr>
                <w:rFonts w:ascii="times new roman" w:hAnsi="times new roman"/>
                <w:sz w:val="20"/>
              </w:rPr>
              <w:t>3.63</w:t>
            </w:r>
          </w:p>
        </w:tc>
        <w:tc>
          <w:tcPr>
            <w:tcW w:w="133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$ 95,666,000</w:t>
            </w:r>
          </w:p>
        </w:tc>
      </w:tr>
    </w:tbl>
    <w:p>
      <w:pPr>
        <w:pStyle w:val="TextBody"/>
        <w:spacing w:before="0" w:after="0"/>
        <w:ind w:left="0" w:right="0" w:hanging="0"/>
        <w:rPr/>
      </w:pPr>
      <w:r>
        <w:rPr/>
      </w:r>
    </w:p>
    <w:p>
      <w:pPr>
        <w:pStyle w:val="TextBody"/>
        <w:spacing w:before="0" w:after="0"/>
        <w:ind w:left="360" w:right="0" w:hanging="0"/>
        <w:jc w:val="left"/>
        <w:rPr>
          <w:rFonts w:ascii="Times New Roman" w:hAnsi="Times New Roman"/>
          <w:sz w:val="20"/>
        </w:rPr>
      </w:pPr>
      <w:r>
        <w:rPr>
          <w:rFonts w:ascii="Times New Roman" w:hAnsi="Times New Roman"/>
          <w:sz w:val="20"/>
        </w:rPr>
        <w:t>The following table summarizes information for stock options outstanding at December 31, 2010:</w:t>
      </w:r>
    </w:p>
    <w:p>
      <w:pPr>
        <w:pStyle w:val="TextBody"/>
        <w:spacing w:before="0" w:after="0"/>
        <w:ind w:left="0" w:right="0" w:hanging="0"/>
        <w:rPr/>
      </w:pPr>
      <w:r>
        <w:rPr/>
      </w:r>
    </w:p>
    <w:tbl>
      <w:tblPr>
        <w:tblW w:w="3750" w:type="pct"/>
        <w:jc w:val="center"/>
        <w:tblInd w:w="0" w:type="dxa"/>
        <w:tblCellMar>
          <w:top w:w="0" w:type="dxa"/>
          <w:left w:w="0" w:type="dxa"/>
          <w:bottom w:w="0" w:type="dxa"/>
          <w:right w:w="0" w:type="dxa"/>
        </w:tblCellMar>
      </w:tblPr>
      <w:tblGrid>
        <w:gridCol w:w="1407"/>
        <w:gridCol w:w="1232"/>
        <w:gridCol w:w="1072"/>
        <w:gridCol w:w="1730"/>
        <w:gridCol w:w="1125"/>
        <w:gridCol w:w="1087"/>
      </w:tblGrid>
      <w:tr>
        <w:trPr/>
        <w:tc>
          <w:tcPr>
            <w:tcW w:w="1407" w:type="dxa"/>
            <w:tcBorders/>
            <w:shd w:fill="auto" w:val="clear"/>
          </w:tcPr>
          <w:p>
            <w:pPr>
              <w:pStyle w:val="TableContents"/>
              <w:spacing w:before="0" w:after="283"/>
              <w:rPr/>
            </w:pPr>
            <w:r>
              <w:rPr/>
              <w:t xml:space="preserve">  </w:t>
            </w:r>
          </w:p>
        </w:tc>
        <w:tc>
          <w:tcPr>
            <w:tcW w:w="4034" w:type="dxa"/>
            <w:gridSpan w:val="3"/>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Outstanding options</w:t>
            </w:r>
          </w:p>
        </w:tc>
        <w:tc>
          <w:tcPr>
            <w:tcW w:w="2212" w:type="dxa"/>
            <w:gridSpan w:val="2"/>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Exercisable options</w:t>
            </w:r>
          </w:p>
        </w:tc>
      </w:tr>
      <w:tr>
        <w:trPr/>
        <w:tc>
          <w:tcPr>
            <w:tcW w:w="1407"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Exercise price</w:t>
            </w:r>
          </w:p>
        </w:tc>
        <w:tc>
          <w:tcPr>
            <w:tcW w:w="123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w:t>
            </w:r>
          </w:p>
        </w:tc>
        <w:tc>
          <w:tcPr>
            <w:tcW w:w="107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Average</w:t>
            </w:r>
          </w:p>
          <w:p>
            <w:pPr>
              <w:pStyle w:val="TableContents"/>
              <w:spacing w:before="0" w:after="0"/>
              <w:ind w:left="0" w:right="0" w:hanging="0"/>
              <w:jc w:val="center"/>
              <w:rPr>
                <w:rFonts w:ascii="times new roman" w:hAnsi="times new roman"/>
                <w:b/>
                <w:sz w:val="20"/>
              </w:rPr>
            </w:pPr>
            <w:r>
              <w:rPr>
                <w:rFonts w:ascii="times new roman" w:hAnsi="times new roman"/>
                <w:b/>
                <w:sz w:val="20"/>
              </w:rPr>
              <w:t>exercise</w:t>
            </w:r>
          </w:p>
          <w:p>
            <w:pPr>
              <w:pStyle w:val="TableContents"/>
              <w:spacing w:before="0" w:after="0"/>
              <w:ind w:left="0" w:right="0" w:hanging="0"/>
              <w:jc w:val="center"/>
              <w:rPr>
                <w:rFonts w:ascii="times new roman" w:hAnsi="times new roman"/>
                <w:b/>
                <w:sz w:val="20"/>
              </w:rPr>
            </w:pPr>
            <w:r>
              <w:rPr>
                <w:rFonts w:ascii="times new roman" w:hAnsi="times new roman"/>
                <w:b/>
                <w:sz w:val="20"/>
              </w:rPr>
              <w:t>price</w:t>
            </w:r>
          </w:p>
        </w:tc>
        <w:tc>
          <w:tcPr>
            <w:tcW w:w="1730"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Average  remaining</w:t>
            </w:r>
          </w:p>
          <w:p>
            <w:pPr>
              <w:pStyle w:val="TableContents"/>
              <w:spacing w:before="0" w:after="0"/>
              <w:ind w:left="0" w:right="0" w:hanging="0"/>
              <w:jc w:val="center"/>
              <w:rPr>
                <w:rFonts w:ascii="times new roman" w:hAnsi="times new roman"/>
                <w:b/>
                <w:sz w:val="20"/>
              </w:rPr>
            </w:pPr>
            <w:r>
              <w:rPr>
                <w:rFonts w:ascii="times new roman" w:hAnsi="times new roman"/>
                <w:b/>
                <w:sz w:val="20"/>
              </w:rPr>
              <w:t>life (years)</w:t>
            </w:r>
          </w:p>
        </w:tc>
        <w:tc>
          <w:tcPr>
            <w:tcW w:w="1125"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w:t>
            </w:r>
          </w:p>
        </w:tc>
        <w:tc>
          <w:tcPr>
            <w:tcW w:w="1087"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Average</w:t>
            </w:r>
          </w:p>
          <w:p>
            <w:pPr>
              <w:pStyle w:val="TableContents"/>
              <w:spacing w:before="0" w:after="0"/>
              <w:ind w:left="0" w:right="0" w:hanging="0"/>
              <w:jc w:val="center"/>
              <w:rPr>
                <w:rFonts w:ascii="times new roman" w:hAnsi="times new roman"/>
                <w:b/>
                <w:sz w:val="20"/>
              </w:rPr>
            </w:pPr>
            <w:r>
              <w:rPr>
                <w:rFonts w:ascii="times new roman" w:hAnsi="times new roman"/>
                <w:b/>
                <w:sz w:val="20"/>
              </w:rPr>
              <w:t>exercise</w:t>
            </w:r>
          </w:p>
          <w:p>
            <w:pPr>
              <w:pStyle w:val="TableContents"/>
              <w:spacing w:before="0" w:after="0"/>
              <w:ind w:left="0" w:right="0" w:hanging="0"/>
              <w:jc w:val="center"/>
              <w:rPr>
                <w:rFonts w:ascii="times new roman" w:hAnsi="times new roman"/>
                <w:b/>
                <w:sz w:val="20"/>
              </w:rPr>
            </w:pPr>
            <w:r>
              <w:rPr>
                <w:rFonts w:ascii="times new roman" w:hAnsi="times new roman"/>
                <w:b/>
                <w:sz w:val="20"/>
              </w:rPr>
              <w:t>price</w:t>
            </w:r>
          </w:p>
        </w:tc>
      </w:tr>
      <w:tr>
        <w:trPr/>
        <w:tc>
          <w:tcPr>
            <w:tcW w:w="1407" w:type="dxa"/>
            <w:tcBorders/>
            <w:shd w:fill="auto" w:val="clear"/>
          </w:tcPr>
          <w:p>
            <w:pPr>
              <w:pStyle w:val="TableContents"/>
              <w:spacing w:before="0" w:after="0"/>
              <w:ind w:left="180" w:right="126" w:hanging="0"/>
              <w:jc w:val="right"/>
              <w:rPr>
                <w:rFonts w:ascii="times new roman" w:hAnsi="times new roman"/>
                <w:sz w:val="20"/>
              </w:rPr>
            </w:pPr>
            <w:r>
              <w:rPr>
                <w:rFonts w:ascii="times new roman" w:hAnsi="times new roman"/>
                <w:sz w:val="20"/>
              </w:rPr>
              <w:t>$   14.73 – 20.00</w:t>
            </w:r>
          </w:p>
        </w:tc>
        <w:tc>
          <w:tcPr>
            <w:tcW w:w="1232" w:type="dxa"/>
            <w:tcBorders/>
            <w:shd w:fill="auto" w:val="clear"/>
          </w:tcPr>
          <w:p>
            <w:pPr>
              <w:pStyle w:val="TableContents"/>
              <w:spacing w:before="0" w:after="0"/>
              <w:ind w:left="180" w:right="0" w:hanging="0"/>
              <w:jc w:val="right"/>
              <w:rPr>
                <w:rFonts w:ascii="times new roman" w:hAnsi="times new roman"/>
                <w:sz w:val="20"/>
              </w:rPr>
            </w:pPr>
            <w:r>
              <w:rPr>
                <w:rFonts w:ascii="times new roman" w:hAnsi="times new roman"/>
                <w:sz w:val="20"/>
              </w:rPr>
              <w:t>334,000</w:t>
            </w:r>
          </w:p>
        </w:tc>
        <w:tc>
          <w:tcPr>
            <w:tcW w:w="10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18.98</w:t>
            </w:r>
          </w:p>
        </w:tc>
        <w:tc>
          <w:tcPr>
            <w:tcW w:w="1730" w:type="dxa"/>
            <w:tcBorders/>
            <w:shd w:fill="auto" w:val="clear"/>
          </w:tcPr>
          <w:p>
            <w:pPr>
              <w:pStyle w:val="TableContents"/>
              <w:spacing w:before="0" w:after="0"/>
              <w:ind w:left="0" w:right="250" w:hanging="0"/>
              <w:jc w:val="right"/>
              <w:rPr>
                <w:rFonts w:ascii="times new roman" w:hAnsi="times new roman"/>
                <w:sz w:val="20"/>
              </w:rPr>
            </w:pPr>
            <w:r>
              <w:rPr>
                <w:rFonts w:ascii="times new roman" w:hAnsi="times new roman"/>
                <w:sz w:val="20"/>
              </w:rPr>
              <w:t>1.9</w:t>
            </w:r>
          </w:p>
        </w:tc>
        <w:tc>
          <w:tcPr>
            <w:tcW w:w="1125" w:type="dxa"/>
            <w:tcBorders/>
            <w:shd w:fill="auto" w:val="clear"/>
          </w:tcPr>
          <w:p>
            <w:pPr>
              <w:pStyle w:val="TableContents"/>
              <w:spacing w:before="0" w:after="0"/>
              <w:ind w:left="180" w:right="0" w:hanging="0"/>
              <w:jc w:val="right"/>
              <w:rPr>
                <w:rFonts w:ascii="times new roman" w:hAnsi="times new roman"/>
                <w:sz w:val="20"/>
              </w:rPr>
            </w:pPr>
            <w:r>
              <w:rPr>
                <w:rFonts w:ascii="times new roman" w:hAnsi="times new roman"/>
                <w:sz w:val="20"/>
              </w:rPr>
              <w:t>334,000</w:t>
            </w:r>
          </w:p>
        </w:tc>
        <w:tc>
          <w:tcPr>
            <w:tcW w:w="108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18.98</w:t>
            </w:r>
          </w:p>
        </w:tc>
      </w:tr>
      <w:tr>
        <w:trPr/>
        <w:tc>
          <w:tcPr>
            <w:tcW w:w="1407" w:type="dxa"/>
            <w:tcBorders/>
            <w:shd w:fill="auto" w:val="clear"/>
          </w:tcPr>
          <w:p>
            <w:pPr>
              <w:pStyle w:val="TableContents"/>
              <w:spacing w:before="0" w:after="0"/>
              <w:ind w:left="180" w:right="126" w:hanging="0"/>
              <w:jc w:val="right"/>
              <w:rPr>
                <w:rFonts w:ascii="times new roman" w:hAnsi="times new roman"/>
                <w:sz w:val="20"/>
              </w:rPr>
            </w:pPr>
            <w:r>
              <w:rPr>
                <w:rFonts w:ascii="times new roman" w:hAnsi="times new roman"/>
                <w:sz w:val="20"/>
              </w:rPr>
              <w:t>20.01 - 30.00</w:t>
            </w:r>
          </w:p>
        </w:tc>
        <w:tc>
          <w:tcPr>
            <w:tcW w:w="1232" w:type="dxa"/>
            <w:tcBorders/>
            <w:shd w:fill="auto" w:val="clear"/>
          </w:tcPr>
          <w:p>
            <w:pPr>
              <w:pStyle w:val="TableContents"/>
              <w:spacing w:before="0" w:after="0"/>
              <w:ind w:left="180" w:right="0" w:hanging="0"/>
              <w:jc w:val="right"/>
              <w:rPr>
                <w:rFonts w:ascii="times new roman" w:hAnsi="times new roman"/>
                <w:sz w:val="20"/>
              </w:rPr>
            </w:pPr>
            <w:r>
              <w:rPr>
                <w:rFonts w:ascii="times new roman" w:hAnsi="times new roman"/>
                <w:sz w:val="20"/>
              </w:rPr>
              <w:t>586,000</w:t>
            </w:r>
          </w:p>
        </w:tc>
        <w:tc>
          <w:tcPr>
            <w:tcW w:w="10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21.79</w:t>
            </w:r>
          </w:p>
        </w:tc>
        <w:tc>
          <w:tcPr>
            <w:tcW w:w="1730" w:type="dxa"/>
            <w:tcBorders/>
            <w:shd w:fill="auto" w:val="clear"/>
          </w:tcPr>
          <w:p>
            <w:pPr>
              <w:pStyle w:val="TableContents"/>
              <w:spacing w:before="0" w:after="0"/>
              <w:ind w:left="0" w:right="250" w:hanging="0"/>
              <w:jc w:val="right"/>
              <w:rPr>
                <w:rFonts w:ascii="times new roman" w:hAnsi="times new roman"/>
                <w:sz w:val="20"/>
              </w:rPr>
            </w:pPr>
            <w:r>
              <w:rPr>
                <w:rFonts w:ascii="times new roman" w:hAnsi="times new roman"/>
                <w:sz w:val="20"/>
              </w:rPr>
              <w:t>1.8</w:t>
            </w:r>
          </w:p>
        </w:tc>
        <w:tc>
          <w:tcPr>
            <w:tcW w:w="112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586,000</w:t>
            </w:r>
          </w:p>
        </w:tc>
        <w:tc>
          <w:tcPr>
            <w:tcW w:w="108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21.79</w:t>
            </w:r>
          </w:p>
        </w:tc>
      </w:tr>
      <w:tr>
        <w:trPr/>
        <w:tc>
          <w:tcPr>
            <w:tcW w:w="1407" w:type="dxa"/>
            <w:tcBorders/>
            <w:shd w:fill="auto" w:val="clear"/>
          </w:tcPr>
          <w:p>
            <w:pPr>
              <w:pStyle w:val="TableContents"/>
              <w:spacing w:before="0" w:after="0"/>
              <w:ind w:left="180" w:right="126" w:hanging="0"/>
              <w:jc w:val="right"/>
              <w:rPr>
                <w:rFonts w:ascii="times new roman" w:hAnsi="times new roman"/>
                <w:sz w:val="20"/>
              </w:rPr>
            </w:pPr>
            <w:r>
              <w:rPr>
                <w:rFonts w:ascii="times new roman" w:hAnsi="times new roman"/>
                <w:sz w:val="20"/>
              </w:rPr>
              <w:t>30.01 – 40.00</w:t>
            </w:r>
          </w:p>
        </w:tc>
        <w:tc>
          <w:tcPr>
            <w:tcW w:w="1232" w:type="dxa"/>
            <w:tcBorders/>
            <w:shd w:fill="auto" w:val="clear"/>
          </w:tcPr>
          <w:p>
            <w:pPr>
              <w:pStyle w:val="TableContents"/>
              <w:spacing w:before="0" w:after="0"/>
              <w:ind w:left="180" w:right="0" w:hanging="0"/>
              <w:jc w:val="right"/>
              <w:rPr>
                <w:rFonts w:ascii="times new roman" w:hAnsi="times new roman"/>
                <w:sz w:val="20"/>
              </w:rPr>
            </w:pPr>
            <w:r>
              <w:rPr>
                <w:rFonts w:ascii="times new roman" w:hAnsi="times new roman"/>
                <w:sz w:val="20"/>
              </w:rPr>
              <w:t>276,000</w:t>
            </w:r>
          </w:p>
        </w:tc>
        <w:tc>
          <w:tcPr>
            <w:tcW w:w="10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31.91</w:t>
            </w:r>
          </w:p>
        </w:tc>
        <w:tc>
          <w:tcPr>
            <w:tcW w:w="1730" w:type="dxa"/>
            <w:tcBorders/>
            <w:shd w:fill="auto" w:val="clear"/>
          </w:tcPr>
          <w:p>
            <w:pPr>
              <w:pStyle w:val="TableContents"/>
              <w:spacing w:before="0" w:after="0"/>
              <w:ind w:left="0" w:right="250" w:hanging="0"/>
              <w:jc w:val="right"/>
              <w:rPr>
                <w:rFonts w:ascii="times new roman" w:hAnsi="times new roman"/>
                <w:sz w:val="20"/>
              </w:rPr>
            </w:pPr>
            <w:r>
              <w:rPr>
                <w:rFonts w:ascii="times new roman" w:hAnsi="times new roman"/>
                <w:sz w:val="20"/>
              </w:rPr>
              <w:t>1.3</w:t>
            </w:r>
          </w:p>
        </w:tc>
        <w:tc>
          <w:tcPr>
            <w:tcW w:w="112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276,000</w:t>
            </w:r>
          </w:p>
        </w:tc>
        <w:tc>
          <w:tcPr>
            <w:tcW w:w="108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31.91</w:t>
            </w:r>
          </w:p>
        </w:tc>
      </w:tr>
      <w:tr>
        <w:trPr/>
        <w:tc>
          <w:tcPr>
            <w:tcW w:w="1407" w:type="dxa"/>
            <w:tcBorders/>
            <w:shd w:fill="auto" w:val="clear"/>
          </w:tcPr>
          <w:p>
            <w:pPr>
              <w:pStyle w:val="TableContents"/>
              <w:spacing w:before="0" w:after="0"/>
              <w:ind w:left="180" w:right="126" w:hanging="0"/>
              <w:jc w:val="right"/>
              <w:rPr>
                <w:rFonts w:ascii="times new roman" w:hAnsi="times new roman"/>
                <w:sz w:val="20"/>
              </w:rPr>
            </w:pPr>
            <w:r>
              <w:rPr>
                <w:rFonts w:ascii="times new roman" w:hAnsi="times new roman"/>
                <w:sz w:val="20"/>
              </w:rPr>
              <w:t>40.01 – 50.00</w:t>
            </w:r>
          </w:p>
        </w:tc>
        <w:tc>
          <w:tcPr>
            <w:tcW w:w="1232" w:type="dxa"/>
            <w:tcBorders/>
            <w:shd w:fill="auto" w:val="clear"/>
          </w:tcPr>
          <w:p>
            <w:pPr>
              <w:pStyle w:val="TableContents"/>
              <w:spacing w:before="0" w:after="0"/>
              <w:ind w:left="180" w:right="0" w:hanging="0"/>
              <w:jc w:val="right"/>
              <w:rPr>
                <w:rFonts w:ascii="times new roman" w:hAnsi="times new roman"/>
                <w:sz w:val="20"/>
              </w:rPr>
            </w:pPr>
            <w:r>
              <w:rPr>
                <w:rFonts w:ascii="times new roman" w:hAnsi="times new roman"/>
                <w:sz w:val="20"/>
              </w:rPr>
              <w:t>779,000</w:t>
            </w:r>
          </w:p>
        </w:tc>
        <w:tc>
          <w:tcPr>
            <w:tcW w:w="10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42.69</w:t>
            </w:r>
          </w:p>
        </w:tc>
        <w:tc>
          <w:tcPr>
            <w:tcW w:w="1730" w:type="dxa"/>
            <w:tcBorders/>
            <w:shd w:fill="auto" w:val="clear"/>
          </w:tcPr>
          <w:p>
            <w:pPr>
              <w:pStyle w:val="TableContents"/>
              <w:spacing w:before="0" w:after="0"/>
              <w:ind w:left="0" w:right="250" w:hanging="0"/>
              <w:jc w:val="right"/>
              <w:rPr>
                <w:rFonts w:ascii="times new roman" w:hAnsi="times new roman"/>
                <w:sz w:val="20"/>
              </w:rPr>
            </w:pPr>
            <w:r>
              <w:rPr>
                <w:rFonts w:ascii="times new roman" w:hAnsi="times new roman"/>
                <w:sz w:val="20"/>
              </w:rPr>
              <w:t>5.7</w:t>
            </w:r>
          </w:p>
        </w:tc>
        <w:tc>
          <w:tcPr>
            <w:tcW w:w="112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445,000</w:t>
            </w:r>
          </w:p>
        </w:tc>
        <w:tc>
          <w:tcPr>
            <w:tcW w:w="108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43.29</w:t>
            </w:r>
          </w:p>
        </w:tc>
      </w:tr>
      <w:tr>
        <w:trPr/>
        <w:tc>
          <w:tcPr>
            <w:tcW w:w="1407" w:type="dxa"/>
            <w:tcBorders/>
            <w:shd w:fill="auto" w:val="clear"/>
          </w:tcPr>
          <w:p>
            <w:pPr>
              <w:pStyle w:val="TableContents"/>
              <w:spacing w:before="0" w:after="0"/>
              <w:ind w:left="180" w:right="126" w:hanging="0"/>
              <w:jc w:val="right"/>
              <w:rPr>
                <w:rFonts w:ascii="times new roman" w:hAnsi="times new roman"/>
                <w:sz w:val="20"/>
              </w:rPr>
            </w:pPr>
            <w:r>
              <w:rPr>
                <w:rFonts w:ascii="times new roman" w:hAnsi="times new roman"/>
                <w:sz w:val="20"/>
              </w:rPr>
              <w:t>50.01 – 60.00</w:t>
            </w:r>
          </w:p>
        </w:tc>
        <w:tc>
          <w:tcPr>
            <w:tcW w:w="1232" w:type="dxa"/>
            <w:tcBorders/>
            <w:shd w:fill="auto" w:val="clear"/>
          </w:tcPr>
          <w:p>
            <w:pPr>
              <w:pStyle w:val="TableContents"/>
              <w:spacing w:before="0" w:after="0"/>
              <w:ind w:left="180" w:right="0" w:hanging="0"/>
              <w:jc w:val="right"/>
              <w:rPr>
                <w:rFonts w:ascii="times new roman" w:hAnsi="times new roman"/>
                <w:sz w:val="20"/>
              </w:rPr>
            </w:pPr>
            <w:r>
              <w:rPr>
                <w:rFonts w:ascii="times new roman" w:hAnsi="times new roman"/>
                <w:sz w:val="20"/>
              </w:rPr>
              <w:t>1,914,000</w:t>
            </w:r>
          </w:p>
        </w:tc>
        <w:tc>
          <w:tcPr>
            <w:tcW w:w="10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53.53</w:t>
            </w:r>
          </w:p>
        </w:tc>
        <w:tc>
          <w:tcPr>
            <w:tcW w:w="1730" w:type="dxa"/>
            <w:tcBorders/>
            <w:shd w:fill="auto" w:val="clear"/>
          </w:tcPr>
          <w:p>
            <w:pPr>
              <w:pStyle w:val="TableContents"/>
              <w:spacing w:before="0" w:after="0"/>
              <w:ind w:left="0" w:right="250" w:hanging="0"/>
              <w:jc w:val="right"/>
              <w:rPr>
                <w:rFonts w:ascii="times new roman" w:hAnsi="times new roman"/>
                <w:sz w:val="20"/>
              </w:rPr>
            </w:pPr>
            <w:r>
              <w:rPr>
                <w:rFonts w:ascii="times new roman" w:hAnsi="times new roman"/>
                <w:sz w:val="20"/>
              </w:rPr>
              <w:t>7.5</w:t>
            </w:r>
          </w:p>
        </w:tc>
        <w:tc>
          <w:tcPr>
            <w:tcW w:w="112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777,000</w:t>
            </w:r>
          </w:p>
        </w:tc>
        <w:tc>
          <w:tcPr>
            <w:tcW w:w="108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54.23</w:t>
            </w:r>
          </w:p>
        </w:tc>
      </w:tr>
      <w:tr>
        <w:trPr/>
        <w:tc>
          <w:tcPr>
            <w:tcW w:w="1407" w:type="dxa"/>
            <w:tcBorders/>
            <w:shd w:fill="auto" w:val="clear"/>
          </w:tcPr>
          <w:p>
            <w:pPr>
              <w:pStyle w:val="TableContents"/>
              <w:spacing w:before="0" w:after="0"/>
              <w:ind w:left="180" w:right="126" w:hanging="0"/>
              <w:jc w:val="right"/>
              <w:rPr>
                <w:rFonts w:ascii="times new roman" w:hAnsi="times new roman"/>
                <w:sz w:val="20"/>
              </w:rPr>
            </w:pPr>
            <w:r>
              <w:rPr>
                <w:rFonts w:ascii="times new roman" w:hAnsi="times new roman"/>
                <w:sz w:val="20"/>
              </w:rPr>
              <w:t>60.01 – 66.44</w:t>
            </w:r>
          </w:p>
        </w:tc>
        <w:tc>
          <w:tcPr>
            <w:tcW w:w="1232" w:type="dxa"/>
            <w:tcBorders>
              <w:bottom w:val="single" w:sz="12" w:space="0" w:color="000000"/>
            </w:tcBorders>
            <w:shd w:fill="auto" w:val="clear"/>
            <w:tcMar>
              <w:bottom w:w="28" w:type="dxa"/>
            </w:tcMar>
          </w:tcPr>
          <w:p>
            <w:pPr>
              <w:pStyle w:val="TableContents"/>
              <w:spacing w:before="0" w:after="0"/>
              <w:ind w:left="180" w:right="0" w:hanging="0"/>
              <w:jc w:val="right"/>
              <w:rPr>
                <w:rFonts w:ascii="times new roman" w:hAnsi="times new roman"/>
                <w:sz w:val="20"/>
              </w:rPr>
            </w:pPr>
            <w:r>
              <w:rPr>
                <w:rFonts w:ascii="times new roman" w:hAnsi="times new roman"/>
                <w:sz w:val="20"/>
              </w:rPr>
              <w:t>44,000</w:t>
            </w:r>
          </w:p>
        </w:tc>
        <w:tc>
          <w:tcPr>
            <w:tcW w:w="1072" w:type="dxa"/>
            <w:tcBorders>
              <w:bottom w:val="single" w:sz="12"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64.01</w:t>
            </w:r>
          </w:p>
        </w:tc>
        <w:tc>
          <w:tcPr>
            <w:tcW w:w="1730" w:type="dxa"/>
            <w:tcBorders>
              <w:bottom w:val="single" w:sz="12" w:space="0" w:color="000000"/>
            </w:tcBorders>
            <w:shd w:fill="auto" w:val="clear"/>
            <w:tcMar>
              <w:bottom w:w="28" w:type="dxa"/>
            </w:tcMar>
          </w:tcPr>
          <w:p>
            <w:pPr>
              <w:pStyle w:val="TableContents"/>
              <w:spacing w:before="0" w:after="0"/>
              <w:ind w:left="0" w:right="250" w:hanging="0"/>
              <w:jc w:val="right"/>
              <w:rPr>
                <w:rFonts w:ascii="times new roman" w:hAnsi="times new roman"/>
                <w:sz w:val="20"/>
              </w:rPr>
            </w:pPr>
            <w:r>
              <w:rPr>
                <w:rFonts w:ascii="times new roman" w:hAnsi="times new roman"/>
                <w:sz w:val="20"/>
              </w:rPr>
              <w:t>8.3</w:t>
            </w:r>
          </w:p>
        </w:tc>
        <w:tc>
          <w:tcPr>
            <w:tcW w:w="1125" w:type="dxa"/>
            <w:tcBorders>
              <w:bottom w:val="single" w:sz="12"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14,000</w:t>
            </w:r>
          </w:p>
        </w:tc>
        <w:tc>
          <w:tcPr>
            <w:tcW w:w="1087" w:type="dxa"/>
            <w:tcBorders>
              <w:bottom w:val="single" w:sz="12"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63.99</w:t>
            </w:r>
          </w:p>
        </w:tc>
      </w:tr>
      <w:tr>
        <w:trPr/>
        <w:tc>
          <w:tcPr>
            <w:tcW w:w="1407" w:type="dxa"/>
            <w:tcBorders/>
            <w:shd w:fill="auto" w:val="clear"/>
          </w:tcPr>
          <w:p>
            <w:pPr>
              <w:pStyle w:val="TableContents"/>
              <w:spacing w:before="0" w:after="0"/>
              <w:ind w:left="180" w:right="126" w:hanging="0"/>
              <w:jc w:val="right"/>
              <w:rPr>
                <w:rFonts w:ascii="times new roman" w:hAnsi="times new roman"/>
                <w:sz w:val="20"/>
              </w:rPr>
            </w:pPr>
            <w:r>
              <w:rPr>
                <w:rFonts w:ascii="times new roman" w:hAnsi="times new roman"/>
                <w:sz w:val="20"/>
              </w:rPr>
              <w:t>$   14.73 – 66.44</w:t>
            </w:r>
          </w:p>
        </w:tc>
        <w:tc>
          <w:tcPr>
            <w:tcW w:w="1232" w:type="dxa"/>
            <w:tcBorders>
              <w:bottom w:val="double" w:sz="8" w:space="0" w:color="000000"/>
            </w:tcBorders>
            <w:shd w:fill="auto" w:val="clear"/>
            <w:tcMar>
              <w:bottom w:w="28" w:type="dxa"/>
            </w:tcMar>
          </w:tcPr>
          <w:p>
            <w:pPr>
              <w:pStyle w:val="TableContents"/>
              <w:spacing w:before="0" w:after="0"/>
              <w:ind w:left="180" w:right="0" w:hanging="0"/>
              <w:jc w:val="right"/>
              <w:rPr>
                <w:rFonts w:ascii="times new roman" w:hAnsi="times new roman"/>
                <w:sz w:val="20"/>
              </w:rPr>
            </w:pPr>
            <w:r>
              <w:rPr>
                <w:rFonts w:ascii="times new roman" w:hAnsi="times new roman"/>
                <w:sz w:val="20"/>
              </w:rPr>
              <w:t>3,933,000</w:t>
            </w:r>
          </w:p>
        </w:tc>
        <w:tc>
          <w:tcPr>
            <w:tcW w:w="1072"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42.32</w:t>
            </w:r>
          </w:p>
        </w:tc>
        <w:tc>
          <w:tcPr>
            <w:tcW w:w="1730" w:type="dxa"/>
            <w:tcBorders>
              <w:bottom w:val="double" w:sz="8" w:space="0" w:color="000000"/>
            </w:tcBorders>
            <w:shd w:fill="auto" w:val="clear"/>
            <w:tcMar>
              <w:bottom w:w="28" w:type="dxa"/>
            </w:tcMar>
          </w:tcPr>
          <w:p>
            <w:pPr>
              <w:pStyle w:val="TableContents"/>
              <w:spacing w:before="0" w:after="0"/>
              <w:ind w:left="0" w:right="250" w:hanging="0"/>
              <w:jc w:val="right"/>
              <w:rPr>
                <w:rFonts w:ascii="times new roman" w:hAnsi="times new roman"/>
                <w:sz w:val="20"/>
              </w:rPr>
            </w:pPr>
            <w:r>
              <w:rPr>
                <w:rFonts w:ascii="times new roman" w:hAnsi="times new roman"/>
                <w:sz w:val="20"/>
              </w:rPr>
              <w:t>5.4</w:t>
            </w:r>
          </w:p>
        </w:tc>
        <w:tc>
          <w:tcPr>
            <w:tcW w:w="1125"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2,432,000</w:t>
            </w:r>
          </w:p>
        </w:tc>
        <w:tc>
          <w:tcPr>
            <w:tcW w:w="1087"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37.09</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At December 31, 2010, there was $12.8 million of total unrecognized compensation expense related to nonvested options granted to both employees and directors under the Company’s share-based payment plans. That cost is expected to be recognized over a weighted-average period of 1.8 years. The total intrinsic value of options exercised in 2010, 2009 and 2008 was $27.5 million, $10.5 million and $16.3 million, respectively. Cash received from option exercises under all plans in 2010 and 2009 was approximately $29.0 million and $10.5 million, respectively.</w:t>
      </w:r>
    </w:p>
    <w:p>
      <w:pPr>
        <w:pStyle w:val="TextBody"/>
        <w:spacing w:before="0" w:after="0"/>
        <w:ind w:left="360" w:right="0" w:hanging="0"/>
        <w:jc w:val="both"/>
        <w:rPr/>
      </w:pPr>
      <w:r>
        <w:rPr/>
        <w:t> </w:t>
      </w:r>
    </w:p>
    <w:p>
      <w:pPr>
        <w:pStyle w:val="TextBody"/>
        <w:spacing w:before="0" w:after="0"/>
        <w:ind w:left="360" w:right="0" w:hanging="0"/>
        <w:jc w:val="both"/>
        <w:rPr>
          <w:rFonts w:ascii="Times New Roman" w:hAnsi="Times New Roman"/>
          <w:sz w:val="20"/>
        </w:rPr>
      </w:pPr>
      <w:r>
        <w:rPr>
          <w:rFonts w:ascii="Times New Roman" w:hAnsi="Times New Roman"/>
          <w:b/>
          <w:sz w:val="20"/>
        </w:rPr>
        <w:t>Restricted Stock Grants</w:t>
      </w:r>
      <w:r>
        <w:rPr>
          <w:rFonts w:ascii="Times New Roman" w:hAnsi="Times New Roman"/>
          <w:sz w:val="20"/>
        </w:rPr>
        <w:t xml:space="preserve"> - During 2010 and 2009, the Company granted 260,000 and 206,000 shares, respectively, of restricted stock to certain employee and director participants under the 2006 Plan. Restricted stock grants generally vest over a period of 1 to 3 years. The weighted average fair value of the shares granted in 2010 was $52.92 per share. The Company recorded approximately $16.2 million, $18.3 million and $22.7 million of compensation expense related to outstanding shares of restricted stock held by employees and directors during 2010, 2009 and 2008, respectively. A summary of the Company’s nonvested shares activity for 2010 is as follows:</w:t>
      </w:r>
    </w:p>
    <w:p>
      <w:pPr>
        <w:pStyle w:val="TextBody"/>
        <w:spacing w:before="0" w:after="0"/>
        <w:ind w:left="0" w:right="0" w:hanging="0"/>
        <w:rPr/>
      </w:pPr>
      <w:r>
        <w:rPr/>
        <w:t> </w:t>
      </w:r>
    </w:p>
    <w:tbl>
      <w:tblPr>
        <w:tblW w:w="3750" w:type="pct"/>
        <w:jc w:val="center"/>
        <w:tblInd w:w="0" w:type="dxa"/>
        <w:tblCellMar>
          <w:top w:w="0" w:type="dxa"/>
          <w:left w:w="0" w:type="dxa"/>
          <w:bottom w:w="0" w:type="dxa"/>
          <w:right w:w="0" w:type="dxa"/>
        </w:tblCellMar>
      </w:tblPr>
      <w:tblGrid>
        <w:gridCol w:w="4288"/>
        <w:gridCol w:w="97"/>
        <w:gridCol w:w="97"/>
        <w:gridCol w:w="1371"/>
        <w:gridCol w:w="111"/>
        <w:gridCol w:w="97"/>
        <w:gridCol w:w="171"/>
        <w:gridCol w:w="1307"/>
        <w:gridCol w:w="114"/>
      </w:tblGrid>
      <w:tr>
        <w:trPr/>
        <w:tc>
          <w:tcPr>
            <w:tcW w:w="4288"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w:t>
            </w:r>
          </w:p>
        </w:tc>
        <w:tc>
          <w:tcPr>
            <w:tcW w:w="14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w:t>
            </w:r>
          </w:p>
        </w:tc>
        <w:tc>
          <w:tcPr>
            <w:tcW w:w="111"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4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Weighted average fair value</w:t>
            </w:r>
          </w:p>
        </w:tc>
        <w:tc>
          <w:tcPr>
            <w:tcW w:w="114" w:type="dxa"/>
            <w:tcBorders/>
            <w:shd w:fill="auto" w:val="clear"/>
            <w:vAlign w:val="bottom"/>
          </w:tcPr>
          <w:p>
            <w:pPr>
              <w:pStyle w:val="TableContents"/>
              <w:spacing w:before="0" w:after="283"/>
              <w:jc w:val="left"/>
              <w:rPr/>
            </w:pPr>
            <w:r>
              <w:rPr/>
              <w:t> </w:t>
            </w:r>
          </w:p>
        </w:tc>
      </w:tr>
      <w:tr>
        <w:trPr/>
        <w:tc>
          <w:tcPr>
            <w:tcW w:w="42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Nonvested at January 1, 2010</w:t>
            </w:r>
          </w:p>
        </w:tc>
        <w:tc>
          <w:tcPr>
            <w:tcW w:w="97"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701,000</w:t>
            </w:r>
          </w:p>
        </w:tc>
        <w:tc>
          <w:tcPr>
            <w:tcW w:w="111"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jc w:val="right"/>
              <w:rPr/>
            </w:pPr>
            <w:r>
              <w:rPr/>
              <w:t> </w:t>
            </w:r>
          </w:p>
        </w:tc>
        <w:tc>
          <w:tcPr>
            <w:tcW w:w="17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51.83</w:t>
            </w:r>
          </w:p>
        </w:tc>
        <w:tc>
          <w:tcPr>
            <w:tcW w:w="114" w:type="dxa"/>
            <w:tcBorders/>
            <w:shd w:fill="auto" w:val="clear"/>
            <w:vAlign w:val="bottom"/>
          </w:tcPr>
          <w:p>
            <w:pPr>
              <w:pStyle w:val="TableContents"/>
              <w:spacing w:before="0" w:after="283"/>
              <w:jc w:val="left"/>
              <w:rPr/>
            </w:pPr>
            <w:r>
              <w:rPr/>
              <w:t> </w:t>
            </w:r>
          </w:p>
        </w:tc>
      </w:tr>
      <w:tr>
        <w:trPr/>
        <w:tc>
          <w:tcPr>
            <w:tcW w:w="4288"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Granted</w:t>
            </w:r>
          </w:p>
        </w:tc>
        <w:tc>
          <w:tcPr>
            <w:tcW w:w="97"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260,000</w:t>
            </w:r>
          </w:p>
        </w:tc>
        <w:tc>
          <w:tcPr>
            <w:tcW w:w="111"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jc w:val="right"/>
              <w:rPr/>
            </w:pPr>
            <w:r>
              <w:rPr/>
              <w:t> </w:t>
            </w:r>
          </w:p>
        </w:tc>
        <w:tc>
          <w:tcPr>
            <w:tcW w:w="171" w:type="dxa"/>
            <w:tcBorders/>
            <w:shd w:fill="auto" w:val="clear"/>
            <w:vAlign w:val="bottom"/>
          </w:tcPr>
          <w:p>
            <w:pPr>
              <w:pStyle w:val="TableContents"/>
              <w:spacing w:before="0" w:after="283"/>
              <w:jc w:val="left"/>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52.92</w:t>
            </w:r>
          </w:p>
        </w:tc>
        <w:tc>
          <w:tcPr>
            <w:tcW w:w="114" w:type="dxa"/>
            <w:tcBorders/>
            <w:shd w:fill="auto" w:val="clear"/>
            <w:vAlign w:val="bottom"/>
          </w:tcPr>
          <w:p>
            <w:pPr>
              <w:pStyle w:val="TableContents"/>
              <w:spacing w:before="0" w:after="283"/>
              <w:jc w:val="left"/>
              <w:rPr/>
            </w:pPr>
            <w:r>
              <w:rPr/>
              <w:t> </w:t>
            </w:r>
          </w:p>
        </w:tc>
      </w:tr>
      <w:tr>
        <w:trPr/>
        <w:tc>
          <w:tcPr>
            <w:tcW w:w="4288"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Vested</w:t>
            </w:r>
          </w:p>
        </w:tc>
        <w:tc>
          <w:tcPr>
            <w:tcW w:w="97"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(290,000</w:t>
            </w:r>
          </w:p>
        </w:tc>
        <w:tc>
          <w:tcPr>
            <w:tcW w:w="1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vAlign w:val="bottom"/>
          </w:tcPr>
          <w:p>
            <w:pPr>
              <w:pStyle w:val="TableContents"/>
              <w:spacing w:before="0" w:after="283"/>
              <w:jc w:val="right"/>
              <w:rPr/>
            </w:pPr>
            <w:r>
              <w:rPr/>
              <w:t> </w:t>
            </w:r>
          </w:p>
        </w:tc>
        <w:tc>
          <w:tcPr>
            <w:tcW w:w="171" w:type="dxa"/>
            <w:tcBorders/>
            <w:shd w:fill="auto" w:val="clear"/>
            <w:vAlign w:val="bottom"/>
          </w:tcPr>
          <w:p>
            <w:pPr>
              <w:pStyle w:val="TableContents"/>
              <w:spacing w:before="0" w:after="283"/>
              <w:jc w:val="left"/>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59.18</w:t>
            </w:r>
          </w:p>
        </w:tc>
        <w:tc>
          <w:tcPr>
            <w:tcW w:w="114" w:type="dxa"/>
            <w:tcBorders/>
            <w:shd w:fill="auto" w:val="clear"/>
            <w:vAlign w:val="bottom"/>
          </w:tcPr>
          <w:p>
            <w:pPr>
              <w:pStyle w:val="TableContents"/>
              <w:spacing w:before="0" w:after="283"/>
              <w:jc w:val="left"/>
              <w:rPr/>
            </w:pPr>
            <w:r>
              <w:rPr/>
              <w:t> </w:t>
            </w:r>
          </w:p>
        </w:tc>
      </w:tr>
      <w:tr>
        <w:trPr/>
        <w:tc>
          <w:tcPr>
            <w:tcW w:w="4288" w:type="dxa"/>
            <w:tcBorders/>
            <w:shd w:fill="auto"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Forfeited</w:t>
            </w:r>
          </w:p>
        </w:tc>
        <w:tc>
          <w:tcPr>
            <w:tcW w:w="97" w:type="dxa"/>
            <w:tcBorders/>
            <w:shd w:fill="auto" w:val="clear"/>
            <w:vAlign w:val="bottom"/>
          </w:tcPr>
          <w:p>
            <w:pPr>
              <w:pStyle w:val="TableContents"/>
              <w:spacing w:before="0" w:after="283"/>
              <w:jc w:val="right"/>
              <w:rPr/>
            </w:pPr>
            <w:r>
              <w:rPr/>
              <w:t> </w:t>
            </w:r>
          </w:p>
        </w:tc>
        <w:tc>
          <w:tcPr>
            <w:tcW w:w="9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71"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1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vAlign w:val="bottom"/>
          </w:tcPr>
          <w:p>
            <w:pPr>
              <w:pStyle w:val="TableContents"/>
              <w:spacing w:before="0" w:after="283"/>
              <w:jc w:val="right"/>
              <w:rPr/>
            </w:pPr>
            <w:r>
              <w:rPr/>
              <w:t> </w:t>
            </w:r>
          </w:p>
        </w:tc>
        <w:tc>
          <w:tcPr>
            <w:tcW w:w="17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0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46.29</w:t>
            </w:r>
          </w:p>
        </w:tc>
        <w:tc>
          <w:tcPr>
            <w:tcW w:w="114" w:type="dxa"/>
            <w:tcBorders/>
            <w:shd w:fill="auto" w:val="clear"/>
            <w:vAlign w:val="bottom"/>
          </w:tcPr>
          <w:p>
            <w:pPr>
              <w:pStyle w:val="TableContents"/>
              <w:spacing w:before="0" w:after="283"/>
              <w:jc w:val="left"/>
              <w:rPr/>
            </w:pPr>
            <w:r>
              <w:rPr/>
              <w:t> </w:t>
            </w:r>
          </w:p>
        </w:tc>
      </w:tr>
      <w:tr>
        <w:trPr/>
        <w:tc>
          <w:tcPr>
            <w:tcW w:w="42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Nonvested at December 31, 2010</w:t>
            </w:r>
          </w:p>
        </w:tc>
        <w:tc>
          <w:tcPr>
            <w:tcW w:w="97" w:type="dxa"/>
            <w:tcBorders/>
            <w:shd w:fill="auto" w:val="clear"/>
            <w:vAlign w:val="bottom"/>
          </w:tcPr>
          <w:p>
            <w:pPr>
              <w:pStyle w:val="TableContents"/>
              <w:spacing w:before="0" w:after="283"/>
              <w:jc w:val="right"/>
              <w:rPr/>
            </w:pPr>
            <w:r>
              <w:rPr/>
              <w:t> </w:t>
            </w:r>
          </w:p>
        </w:tc>
        <w:tc>
          <w:tcPr>
            <w:tcW w:w="97"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3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670,000</w:t>
            </w:r>
          </w:p>
        </w:tc>
        <w:tc>
          <w:tcPr>
            <w:tcW w:w="111"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jc w:val="right"/>
              <w:rPr/>
            </w:pPr>
            <w:r>
              <w:rPr/>
              <w:t> </w:t>
            </w:r>
          </w:p>
        </w:tc>
        <w:tc>
          <w:tcPr>
            <w:tcW w:w="171"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52.64</w:t>
            </w:r>
          </w:p>
        </w:tc>
        <w:tc>
          <w:tcPr>
            <w:tcW w:w="114" w:type="dxa"/>
            <w:tcBorders/>
            <w:shd w:fill="auto"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At December 31, 2010, there was $13.2 million of total unrecognized compensation expense related to nonvested shares granted to both employees and directors under the Company’s share-based payment plans. That cost is expected to be recognized over a weighted-average period of 2.0 years. There were 290,000 and 295,000 shares that vested during 2010 and 2009, respectively. Unrecognized compensation expense related to nonvested shares of restricted stock grants is recorded as a reduction to additional paid-in capital in stockholder’s equity at December 31, 2010.</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b/>
          <w:sz w:val="20"/>
        </w:rPr>
        <w:t>Employee Stock Purchase Plan</w:t>
      </w:r>
      <w:r>
        <w:rPr>
          <w:rFonts w:ascii="Times New Roman" w:hAnsi="Times New Roman"/>
          <w:sz w:val="20"/>
        </w:rPr>
        <w:t xml:space="preserve"> - During 2010, 2009 and 2008, participants of the ESPP purchased 29,000, 38,000 and 34,000 shares, respectively, of Roper’s common stock for total consideration of $1.7 million, $1.7 million, and $1.9 million, respectively. All of these shares were purchased from Roper’s treasury shares. The Company had no compensation expense relating to the stock purchase plan during 2010, 2009 and 2008.</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291" w:name="list50"/>
      <w:bookmarkStart w:id="292" w:name="list50"/>
      <w:bookmarkEnd w:id="292"/>
    </w:p>
    <w:tbl>
      <w:tblPr>
        <w:tblW w:w="5000" w:type="pct"/>
        <w:jc w:val="left"/>
        <w:tblInd w:w="0" w:type="dxa"/>
        <w:tblCellMar>
          <w:top w:w="0" w:type="dxa"/>
          <w:left w:w="0" w:type="dxa"/>
          <w:bottom w:w="0" w:type="dxa"/>
          <w:right w:w="0" w:type="dxa"/>
        </w:tblCellMar>
      </w:tblPr>
      <w:tblGrid>
        <w:gridCol w:w="1640"/>
        <w:gridCol w:w="8565"/>
      </w:tblGrid>
      <w:tr>
        <w:trPr/>
        <w:tc>
          <w:tcPr>
            <w:tcW w:w="164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(13)  </w:t>
            </w:r>
          </w:p>
        </w:tc>
        <w:tc>
          <w:tcPr>
            <w:tcW w:w="8565"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Common Stock Transactions</w:t>
            </w:r>
          </w:p>
        </w:tc>
      </w:tr>
    </w:tbl>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r>
        <w:rPr>
          <w:rFonts w:ascii="Times New Roman" w:hAnsi="Times New Roman"/>
          <w:sz w:val="20"/>
        </w:rPr>
        <w:t>On December 29, 2009, the Company completed a public offering of 2,300,000 shares of common stock for proceeds of approximately $121.4 million, net of $0.8 million of costs associated with the offering.</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293" w:name="list51"/>
      <w:bookmarkStart w:id="294" w:name="list51"/>
      <w:bookmarkEnd w:id="294"/>
    </w:p>
    <w:tbl>
      <w:tblPr>
        <w:tblW w:w="5000" w:type="pct"/>
        <w:jc w:val="left"/>
        <w:tblInd w:w="0" w:type="dxa"/>
        <w:tblCellMar>
          <w:top w:w="0" w:type="dxa"/>
          <w:left w:w="0" w:type="dxa"/>
          <w:bottom w:w="0" w:type="dxa"/>
          <w:right w:w="0" w:type="dxa"/>
        </w:tblCellMar>
      </w:tblPr>
      <w:tblGrid>
        <w:gridCol w:w="2772"/>
        <w:gridCol w:w="7433"/>
      </w:tblGrid>
      <w:tr>
        <w:trPr/>
        <w:tc>
          <w:tcPr>
            <w:tcW w:w="27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(14)  </w:t>
            </w:r>
          </w:p>
        </w:tc>
        <w:tc>
          <w:tcPr>
            <w:tcW w:w="7433"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Contingencies</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Roper, in the ordinary course of business, is the subject of, or a party to, various pending or threatened legal actions, including product liability and employment practices. It is vigorously contesting all lawsuits that, in general, are based upon claims of the kind that have been customary over the past several years. After analyzing the Company’s contingent liabilities on a gross basis and, based upon past experience with resolution of its product liability and employment practices claims and the limits of the primary, excess, and umbrella liability insurance coverages that are available with respect to pending claims, management believes that adequate provision has been made to cover any potential liability not covered by insurance, and that the ultimate liability, if any, arising from these actions should not have a materi al adverse effect on the consolidated financial position, results of operations or cash flows of Roper.</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Over recent years there has been a significant increase in certain U.S. states in asbestos-related litigation claims against numerous industrial companies. Roper or its subsidiaries have been named defendants in some such cases. No significant resources have been required by Roper to respond to these cases and Roper believes it has valid defenses to such claims and, if required, intends to defend them vigorously. Given the state of these claims it is not possible to determine the potential liability, if any.</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Roper’s rent expense was approximately $29.1 million, $27.0 million and $24.8 million for 2010, 2009 and 2008, respectively. Roper’s future minimum property lease commitments totaled $111.8 million at December 31, 2010. These commitments included $28.0 million in 2011, $22.8 million in 2012, $18.5 million in 2013, $14.0 million in 2014, $10.7 million in 2015 and $17.8 million thereafter.</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A summary of the Company’s warranty accrual activity is presented below (in thousands):</w:t>
      </w:r>
    </w:p>
    <w:p>
      <w:pPr>
        <w:pStyle w:val="TextBody"/>
        <w:spacing w:before="0" w:after="0"/>
        <w:ind w:left="0" w:right="0" w:hanging="0"/>
        <w:rPr/>
      </w:pPr>
      <w:r>
        <w:rPr/>
      </w:r>
    </w:p>
    <w:tbl>
      <w:tblPr>
        <w:tblW w:w="3750" w:type="pct"/>
        <w:jc w:val="center"/>
        <w:tblInd w:w="0" w:type="dxa"/>
        <w:tblCellMar>
          <w:top w:w="0" w:type="dxa"/>
          <w:left w:w="0" w:type="dxa"/>
          <w:bottom w:w="0" w:type="dxa"/>
          <w:right w:w="0" w:type="dxa"/>
        </w:tblCellMar>
      </w:tblPr>
      <w:tblGrid>
        <w:gridCol w:w="4241"/>
        <w:gridCol w:w="90"/>
        <w:gridCol w:w="125"/>
        <w:gridCol w:w="817"/>
        <w:gridCol w:w="101"/>
        <w:gridCol w:w="90"/>
        <w:gridCol w:w="125"/>
        <w:gridCol w:w="817"/>
        <w:gridCol w:w="101"/>
        <w:gridCol w:w="89"/>
        <w:gridCol w:w="125"/>
        <w:gridCol w:w="817"/>
        <w:gridCol w:w="115"/>
      </w:tblGrid>
      <w:tr>
        <w:trPr/>
        <w:tc>
          <w:tcPr>
            <w:tcW w:w="4241" w:type="dxa"/>
            <w:tcBorders/>
            <w:shd w:fill="auto" w:val="clear"/>
            <w:vAlign w:val="bottom"/>
          </w:tcPr>
          <w:p>
            <w:pPr>
              <w:pStyle w:val="TableContents"/>
              <w:spacing w:before="0" w:after="283"/>
              <w:rPr/>
            </w:pPr>
            <w:r>
              <w:rPr/>
              <w:t xml:space="preserve">  </w:t>
            </w:r>
          </w:p>
        </w:tc>
        <w:tc>
          <w:tcPr>
            <w:tcW w:w="90" w:type="dxa"/>
            <w:tcBorders/>
            <w:shd w:fill="auto" w:val="clear"/>
            <w:vAlign w:val="bottom"/>
          </w:tcPr>
          <w:p>
            <w:pPr>
              <w:pStyle w:val="TableContents"/>
              <w:spacing w:before="0" w:after="283"/>
              <w:rPr/>
            </w:pPr>
            <w:r>
              <w:rPr/>
              <w:t> </w:t>
            </w:r>
          </w:p>
        </w:tc>
        <w:tc>
          <w:tcPr>
            <w:tcW w:w="9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9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1"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9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5" w:type="dxa"/>
            <w:tcBorders/>
            <w:shd w:fill="auto" w:val="clear"/>
            <w:vAlign w:val="bottom"/>
          </w:tcPr>
          <w:p>
            <w:pPr>
              <w:pStyle w:val="TableContents"/>
              <w:spacing w:before="0" w:after="283"/>
              <w:jc w:val="left"/>
              <w:rPr/>
            </w:pPr>
            <w:r>
              <w:rPr/>
              <w:t> </w:t>
            </w:r>
          </w:p>
        </w:tc>
      </w:tr>
      <w:tr>
        <w:trPr/>
        <w:tc>
          <w:tcPr>
            <w:tcW w:w="424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beginning of year</w:t>
            </w:r>
          </w:p>
        </w:tc>
        <w:tc>
          <w:tcPr>
            <w:tcW w:w="9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7,341</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9,885</w:t>
            </w:r>
          </w:p>
        </w:tc>
        <w:tc>
          <w:tcPr>
            <w:tcW w:w="101"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8,486</w:t>
            </w:r>
          </w:p>
        </w:tc>
        <w:tc>
          <w:tcPr>
            <w:tcW w:w="115" w:type="dxa"/>
            <w:tcBorders/>
            <w:shd w:fill="auto" w:val="clear"/>
            <w:vAlign w:val="bottom"/>
          </w:tcPr>
          <w:p>
            <w:pPr>
              <w:pStyle w:val="TableContents"/>
              <w:spacing w:before="0" w:after="283"/>
              <w:jc w:val="left"/>
              <w:rPr/>
            </w:pPr>
            <w:r>
              <w:rPr/>
              <w:t> </w:t>
            </w:r>
          </w:p>
        </w:tc>
      </w:tr>
      <w:tr>
        <w:trPr/>
        <w:tc>
          <w:tcPr>
            <w:tcW w:w="424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Additions charged to costs and expenses</w:t>
            </w:r>
          </w:p>
        </w:tc>
        <w:tc>
          <w:tcPr>
            <w:tcW w:w="9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5,671</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4,416</w:t>
            </w:r>
          </w:p>
        </w:tc>
        <w:tc>
          <w:tcPr>
            <w:tcW w:w="101"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9,920</w:t>
            </w:r>
          </w:p>
        </w:tc>
        <w:tc>
          <w:tcPr>
            <w:tcW w:w="115" w:type="dxa"/>
            <w:tcBorders/>
            <w:shd w:fill="auto" w:val="clear"/>
            <w:vAlign w:val="bottom"/>
          </w:tcPr>
          <w:p>
            <w:pPr>
              <w:pStyle w:val="TableContents"/>
              <w:spacing w:before="0" w:after="283"/>
              <w:jc w:val="left"/>
              <w:rPr/>
            </w:pPr>
            <w:r>
              <w:rPr/>
              <w:t> </w:t>
            </w:r>
          </w:p>
        </w:tc>
      </w:tr>
      <w:tr>
        <w:trPr/>
        <w:tc>
          <w:tcPr>
            <w:tcW w:w="424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Deductions</w:t>
            </w:r>
          </w:p>
        </w:tc>
        <w:tc>
          <w:tcPr>
            <w:tcW w:w="9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(5,895</w:t>
            </w:r>
          </w:p>
        </w:tc>
        <w:tc>
          <w:tcPr>
            <w:tcW w:w="10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(7,659</w:t>
            </w:r>
          </w:p>
        </w:tc>
        <w:tc>
          <w:tcPr>
            <w:tcW w:w="10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(8,415</w:t>
            </w:r>
          </w:p>
        </w:tc>
        <w:tc>
          <w:tcPr>
            <w:tcW w:w="1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4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Other</w:t>
            </w:r>
          </w:p>
        </w:tc>
        <w:tc>
          <w:tcPr>
            <w:tcW w:w="9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1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0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1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699</w:t>
            </w:r>
          </w:p>
        </w:tc>
        <w:tc>
          <w:tcPr>
            <w:tcW w:w="101"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1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4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end of year</w:t>
            </w:r>
          </w:p>
        </w:tc>
        <w:tc>
          <w:tcPr>
            <w:tcW w:w="9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7,038</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7,341</w:t>
            </w:r>
          </w:p>
        </w:tc>
        <w:tc>
          <w:tcPr>
            <w:tcW w:w="101"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9,885</w:t>
            </w:r>
          </w:p>
        </w:tc>
        <w:tc>
          <w:tcPr>
            <w:tcW w:w="115" w:type="dxa"/>
            <w:tcBorders/>
            <w:shd w:fill="auto"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Other included warranty balances at acquired businesses at the dates of acquisition, the effects of foreign currency translation adjustments, reclassifications and other.</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At December 31, 2010 the Company had outstanding surety bonds of $317 million.</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295" w:name="list52"/>
      <w:bookmarkStart w:id="296" w:name="list52"/>
      <w:bookmarkEnd w:id="296"/>
    </w:p>
    <w:tbl>
      <w:tblPr>
        <w:tblW w:w="5000" w:type="pct"/>
        <w:jc w:val="left"/>
        <w:tblInd w:w="0" w:type="dxa"/>
        <w:tblCellMar>
          <w:top w:w="0" w:type="dxa"/>
          <w:left w:w="0" w:type="dxa"/>
          <w:bottom w:w="0" w:type="dxa"/>
          <w:right w:w="0" w:type="dxa"/>
        </w:tblCellMar>
      </w:tblPr>
      <w:tblGrid>
        <w:gridCol w:w="1173"/>
        <w:gridCol w:w="9032"/>
      </w:tblGrid>
      <w:tr>
        <w:trPr/>
        <w:tc>
          <w:tcPr>
            <w:tcW w:w="117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(15)  </w:t>
            </w:r>
          </w:p>
        </w:tc>
        <w:tc>
          <w:tcPr>
            <w:tcW w:w="9032"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Segment and Geographic Area Information</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Roper’s operations are reported in four segments around common customers, markets, sales channels, technologies and common cost opportunities. The segments are: Industrial Technology, Energy Systems and Controls, Medical &amp; Scientific Imaging, and RF Technology. Products included within the Industrial Technology segment are industrial pumps, flow measurement and metering equipment, industrial valves and controls, and equipment and consumables for materials analysis and industrial leak testing. The Energy Systems and Controls segment’s products include control systems, equipment and consumables for fluid properties testing, vibration sensors and other non-destructive inspection and measurement products and services. The Medical &amp; Scientific Imaging segment offers medical products and software, high performance digita l imaging products and software and handheld and vehicle mounted computers. The RF Technology segment includes products and systems related to comprehensive toll and traffic systems and processing, security and access control, campus card systems, software-as-a-service applications in the freight matching and food industries and utility metering and remote monitoring applications.  Roper’s management structure and internal reporting are aligned consistently with these four segments.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There were no material transactions between Roper’s business segments during 2010, 2009 and 2008. Sales between geographic areas are primarily of finished products and are accounted for at prices intended to represent third-party prices. Operating profit by business segment and by geographic area is defined as net sales less operating costs and expenses. These costs and expenses do not include unallocated corporate administrative expenses. Items below income from operations on Roper’s statement of earnings are not allocated to business segments.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Identifiable assets are those assets used primarily in the operations of each business segment or geographic area. Corporate assets were principally comprised of cash, recoverable insurance claims, deferred compensation assets, unamortized deferred financing costs and property and equipment.</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Selected financial information by business segment for 2010, 2009 and 2008 follows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835"/>
        <w:gridCol w:w="174"/>
        <w:gridCol w:w="1185"/>
        <w:gridCol w:w="119"/>
        <w:gridCol w:w="216"/>
        <w:gridCol w:w="1298"/>
        <w:gridCol w:w="105"/>
        <w:gridCol w:w="152"/>
        <w:gridCol w:w="935"/>
        <w:gridCol w:w="105"/>
        <w:gridCol w:w="157"/>
        <w:gridCol w:w="1140"/>
        <w:gridCol w:w="119"/>
        <w:gridCol w:w="228"/>
        <w:gridCol w:w="920"/>
        <w:gridCol w:w="119"/>
        <w:gridCol w:w="152"/>
        <w:gridCol w:w="1105"/>
        <w:gridCol w:w="141"/>
      </w:tblGrid>
      <w:tr>
        <w:trPr/>
        <w:tc>
          <w:tcPr>
            <w:tcW w:w="1835" w:type="dxa"/>
            <w:tcBorders/>
            <w:shd w:fill="auto" w:val="clear"/>
            <w:vAlign w:val="bottom"/>
          </w:tcPr>
          <w:p>
            <w:pPr>
              <w:pStyle w:val="TableContents"/>
              <w:spacing w:before="0" w:after="283"/>
              <w:rPr/>
            </w:pPr>
            <w:r>
              <w:rPr/>
              <w:t xml:space="preserve">  </w:t>
            </w:r>
          </w:p>
        </w:tc>
        <w:tc>
          <w:tcPr>
            <w:tcW w:w="135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Industrial Technology</w:t>
            </w:r>
          </w:p>
        </w:tc>
        <w:tc>
          <w:tcPr>
            <w:tcW w:w="119" w:type="dxa"/>
            <w:tcBorders/>
            <w:shd w:fill="auto" w:val="clear"/>
            <w:vAlign w:val="bottom"/>
          </w:tcPr>
          <w:p>
            <w:pPr>
              <w:pStyle w:val="TableContents"/>
              <w:spacing w:before="0" w:after="283"/>
              <w:rPr/>
            </w:pPr>
            <w:r>
              <w:rPr/>
              <w:t xml:space="preserve">  </w:t>
            </w:r>
          </w:p>
        </w:tc>
        <w:tc>
          <w:tcPr>
            <w:tcW w:w="151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Energy  Systems and Controls</w:t>
            </w:r>
          </w:p>
        </w:tc>
        <w:tc>
          <w:tcPr>
            <w:tcW w:w="105" w:type="dxa"/>
            <w:tcBorders/>
            <w:shd w:fill="auto" w:val="clear"/>
            <w:vAlign w:val="bottom"/>
          </w:tcPr>
          <w:p>
            <w:pPr>
              <w:pStyle w:val="TableContents"/>
              <w:spacing w:before="0" w:after="283"/>
              <w:rPr/>
            </w:pPr>
            <w:r>
              <w:rPr/>
              <w:t xml:space="preserve">  </w:t>
            </w:r>
          </w:p>
        </w:tc>
        <w:tc>
          <w:tcPr>
            <w:tcW w:w="10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Medical and Scientific Imaging</w:t>
            </w:r>
          </w:p>
        </w:tc>
        <w:tc>
          <w:tcPr>
            <w:tcW w:w="105" w:type="dxa"/>
            <w:tcBorders/>
            <w:shd w:fill="auto" w:val="clear"/>
            <w:vAlign w:val="bottom"/>
          </w:tcPr>
          <w:p>
            <w:pPr>
              <w:pStyle w:val="TableContents"/>
              <w:spacing w:before="0" w:after="283"/>
              <w:rPr/>
            </w:pPr>
            <w:r>
              <w:rPr/>
              <w:t xml:space="preserve">  </w:t>
            </w:r>
          </w:p>
        </w:tc>
        <w:tc>
          <w:tcPr>
            <w:tcW w:w="12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RF</w:t>
            </w:r>
          </w:p>
          <w:p>
            <w:pPr>
              <w:pStyle w:val="TableContents"/>
              <w:spacing w:before="0" w:after="0"/>
              <w:ind w:left="0" w:right="0" w:hanging="0"/>
              <w:jc w:val="center"/>
              <w:rPr>
                <w:rFonts w:ascii="times new roman" w:hAnsi="times new roman"/>
                <w:b/>
                <w:sz w:val="20"/>
              </w:rPr>
            </w:pPr>
            <w:r>
              <w:rPr>
                <w:rFonts w:ascii="times new roman" w:hAnsi="times new roman"/>
                <w:b/>
                <w:sz w:val="20"/>
              </w:rPr>
              <w:t>Technology</w:t>
            </w:r>
          </w:p>
        </w:tc>
        <w:tc>
          <w:tcPr>
            <w:tcW w:w="119" w:type="dxa"/>
            <w:tcBorders/>
            <w:shd w:fill="auto" w:val="clear"/>
            <w:vAlign w:val="bottom"/>
          </w:tcPr>
          <w:p>
            <w:pPr>
              <w:pStyle w:val="TableContents"/>
              <w:spacing w:before="0" w:after="283"/>
              <w:rPr/>
            </w:pPr>
            <w:r>
              <w:rPr/>
              <w:t xml:space="preserve">  </w:t>
            </w:r>
          </w:p>
        </w:tc>
        <w:tc>
          <w:tcPr>
            <w:tcW w:w="11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Corporate</w:t>
            </w:r>
          </w:p>
        </w:tc>
        <w:tc>
          <w:tcPr>
            <w:tcW w:w="119" w:type="dxa"/>
            <w:tcBorders/>
            <w:shd w:fill="auto" w:val="clear"/>
            <w:vAlign w:val="bottom"/>
          </w:tcPr>
          <w:p>
            <w:pPr>
              <w:pStyle w:val="TableContents"/>
              <w:spacing w:before="0" w:after="283"/>
              <w:rPr/>
            </w:pPr>
            <w:r>
              <w:rPr/>
              <w:t xml:space="preserve">  </w:t>
            </w:r>
          </w:p>
        </w:tc>
        <w:tc>
          <w:tcPr>
            <w:tcW w:w="125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b/>
                <w:sz w:val="20"/>
              </w:rPr>
            </w:pPr>
            <w:r>
              <w:rPr>
                <w:rFonts w:ascii="times new roman" w:hAnsi="times new roman"/>
                <w:b/>
                <w:sz w:val="20"/>
              </w:rPr>
              <w:t>2010</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Net sales</w:t>
            </w:r>
          </w:p>
        </w:tc>
        <w:tc>
          <w:tcPr>
            <w:tcW w:w="17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607,564</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503,897</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548,718</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725,933</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2,386,112</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Operating profit</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162,009</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120,427</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130,558</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150,711</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(49,411</w:t>
            </w:r>
          </w:p>
        </w:tc>
        <w:tc>
          <w:tcPr>
            <w:tcW w:w="1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514,294</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Assets:</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Operating assets</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179,458</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166,554</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170,955</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256,016</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17,517</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790,500</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Intangible assets, net</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610,542</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518,849</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791,611</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1,911,291</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3,832,293</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Other</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47,451</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76,686</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24,694</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(91,099</w:t>
            </w:r>
          </w:p>
        </w:tc>
        <w:tc>
          <w:tcPr>
            <w:tcW w:w="1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(94,237</w:t>
            </w:r>
          </w:p>
        </w:tc>
        <w:tc>
          <w:tcPr>
            <w:tcW w:w="1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52" w:type="dxa"/>
            <w:tcBorders/>
            <w:shd w:fill="auto" w:val="clear"/>
            <w:vAlign w:val="bottom"/>
          </w:tcPr>
          <w:p>
            <w:pPr>
              <w:pStyle w:val="TableContents"/>
              <w:spacing w:before="0" w:after="283"/>
              <w:rPr/>
            </w:pPr>
            <w:r>
              <w:rPr/>
              <w:t xml:space="preserve">  </w:t>
            </w:r>
          </w:p>
        </w:tc>
        <w:tc>
          <w:tcPr>
            <w:tcW w:w="110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(36,505</w:t>
            </w:r>
          </w:p>
        </w:tc>
        <w:tc>
          <w:tcPr>
            <w:tcW w:w="14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Total</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4,586,288</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Capital expenditures</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8,849</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3,466</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7,269</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8,976</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28,591</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Depreciation and other amortization</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23,660</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18,472</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27,991</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52,709</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189</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123,021</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283"/>
              <w:jc w:val="left"/>
              <w:rPr/>
            </w:pPr>
            <w:r>
              <w:rPr/>
              <w:t> </w:t>
            </w:r>
          </w:p>
        </w:tc>
        <w:tc>
          <w:tcPr>
            <w:tcW w:w="174"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b/>
                <w:sz w:val="20"/>
              </w:rPr>
            </w:pPr>
            <w:r>
              <w:rPr>
                <w:rFonts w:ascii="times new roman" w:hAnsi="times new roman"/>
                <w:b/>
                <w:sz w:val="20"/>
              </w:rPr>
              <w:t>2009</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Net sales</w:t>
            </w:r>
          </w:p>
        </w:tc>
        <w:tc>
          <w:tcPr>
            <w:tcW w:w="17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536,219</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440,919</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354,776</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717,754</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2,049,668</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Operating profit</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123,959</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92,788</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74,183</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154,430</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(49,964</w:t>
            </w:r>
          </w:p>
        </w:tc>
        <w:tc>
          <w:tcPr>
            <w:tcW w:w="1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395,396</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Assets:</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Operating assets</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165,651</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166,461</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172,805</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238,249</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13,894</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757,060</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Intangible assets, net</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635,147</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532,022</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787,884</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1,302,279</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3,257,332</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Other</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w:t>
            </w:r>
          </w:p>
        </w:tc>
        <w:tc>
          <w:tcPr>
            <w:tcW w:w="1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8,016</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7,219</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(27,825</w:t>
            </w:r>
          </w:p>
        </w:tc>
        <w:tc>
          <w:tcPr>
            <w:tcW w:w="1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(33,281</w:t>
            </w:r>
          </w:p>
        </w:tc>
        <w:tc>
          <w:tcPr>
            <w:tcW w:w="1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52" w:type="dxa"/>
            <w:tcBorders/>
            <w:shd w:fill="auto" w:val="clear"/>
            <w:vAlign w:val="bottom"/>
          </w:tcPr>
          <w:p>
            <w:pPr>
              <w:pStyle w:val="TableContents"/>
              <w:spacing w:before="0" w:after="283"/>
              <w:rPr/>
            </w:pPr>
            <w:r>
              <w:rPr/>
              <w:t xml:space="preserve">  </w:t>
            </w:r>
          </w:p>
        </w:tc>
        <w:tc>
          <w:tcPr>
            <w:tcW w:w="110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(45,922</w:t>
            </w:r>
          </w:p>
        </w:tc>
        <w:tc>
          <w:tcPr>
            <w:tcW w:w="14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Total</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3,968,470</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Capital expenditures</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13,977</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3,185</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2,126</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6,291</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306</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25,885</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Depreciation and other amortization</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24,636</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18,736</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16,691</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43,183</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202</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103,448</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283"/>
              <w:jc w:val="left"/>
              <w:rPr/>
            </w:pPr>
            <w:r>
              <w:rPr/>
              <w:t> </w:t>
            </w:r>
          </w:p>
        </w:tc>
        <w:tc>
          <w:tcPr>
            <w:tcW w:w="174"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1835" w:type="dxa"/>
            <w:tcBorders/>
            <w:shd w:fill="auto" w:val="clear"/>
            <w:vAlign w:val="bottom"/>
          </w:tcPr>
          <w:p>
            <w:pPr>
              <w:pStyle w:val="TableContents"/>
              <w:spacing w:before="0" w:after="283"/>
              <w:jc w:val="left"/>
              <w:rPr/>
            </w:pPr>
            <w:r>
              <w:rPr/>
              <w:t> </w:t>
            </w:r>
          </w:p>
        </w:tc>
        <w:tc>
          <w:tcPr>
            <w:tcW w:w="174"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1835" w:type="dxa"/>
            <w:tcBorders/>
            <w:shd w:fill="auto" w:val="clear"/>
            <w:vAlign w:val="bottom"/>
          </w:tcPr>
          <w:p>
            <w:pPr>
              <w:pStyle w:val="TableContents"/>
              <w:spacing w:before="0" w:after="283"/>
              <w:jc w:val="left"/>
              <w:rPr/>
            </w:pPr>
            <w:r>
              <w:rPr/>
              <w:t> </w:t>
            </w:r>
          </w:p>
        </w:tc>
        <w:tc>
          <w:tcPr>
            <w:tcW w:w="174"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1835" w:type="dxa"/>
            <w:tcBorders/>
            <w:shd w:fill="auto" w:val="clear"/>
            <w:vAlign w:val="bottom"/>
          </w:tcPr>
          <w:p>
            <w:pPr>
              <w:pStyle w:val="TableContents"/>
              <w:spacing w:before="0" w:after="283"/>
              <w:jc w:val="left"/>
              <w:rPr/>
            </w:pPr>
            <w:r>
              <w:rPr/>
              <w:t> </w:t>
            </w:r>
          </w:p>
        </w:tc>
        <w:tc>
          <w:tcPr>
            <w:tcW w:w="174"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b/>
                <w:sz w:val="20"/>
              </w:rPr>
            </w:pPr>
            <w:r>
              <w:rPr>
                <w:rFonts w:ascii="times new roman" w:hAnsi="times new roman"/>
                <w:b/>
                <w:sz w:val="20"/>
              </w:rPr>
              <w:t>2008</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Net sales</w:t>
            </w:r>
          </w:p>
        </w:tc>
        <w:tc>
          <w:tcPr>
            <w:tcW w:w="17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687,622</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548,214</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375,542</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694,993</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2,306,371</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Operating profit</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178,270</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126,609</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74,739</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159,787</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(53,244</w:t>
            </w:r>
          </w:p>
        </w:tc>
        <w:tc>
          <w:tcPr>
            <w:tcW w:w="1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486,161</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Assets:</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Operating assets</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184,445</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199,049</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126,657</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246,785</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6,375</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763,311</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Intangible assets, net</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639,988</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538,367</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473,655</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1,270,862</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2,922,872</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Other</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6,814</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3,522</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24,322</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(12,975</w:t>
            </w:r>
          </w:p>
        </w:tc>
        <w:tc>
          <w:tcPr>
            <w:tcW w:w="1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(8,510</w:t>
            </w:r>
          </w:p>
        </w:tc>
        <w:tc>
          <w:tcPr>
            <w:tcW w:w="1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52" w:type="dxa"/>
            <w:tcBorders/>
            <w:shd w:fill="auto" w:val="clear"/>
            <w:vAlign w:val="bottom"/>
          </w:tcPr>
          <w:p>
            <w:pPr>
              <w:pStyle w:val="TableContents"/>
              <w:spacing w:before="0" w:after="283"/>
              <w:rPr/>
            </w:pPr>
            <w:r>
              <w:rPr/>
              <w:t xml:space="preserve">  </w:t>
            </w:r>
          </w:p>
        </w:tc>
        <w:tc>
          <w:tcPr>
            <w:tcW w:w="110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13,173</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Total</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3,699,356</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Capital expenditures</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12,385</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6,618</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2,895</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7,905</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244</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30,047</w:t>
            </w:r>
          </w:p>
        </w:tc>
        <w:tc>
          <w:tcPr>
            <w:tcW w:w="141" w:type="dxa"/>
            <w:tcBorders/>
            <w:shd w:fill="auto" w:val="clear"/>
            <w:vAlign w:val="bottom"/>
          </w:tcPr>
          <w:p>
            <w:pPr>
              <w:pStyle w:val="TableContents"/>
              <w:spacing w:before="0" w:after="283"/>
              <w:rPr/>
            </w:pPr>
            <w:r>
              <w:rPr/>
              <w:t xml:space="preserve">  </w:t>
            </w:r>
          </w:p>
        </w:tc>
      </w:tr>
      <w:tr>
        <w:trPr/>
        <w:tc>
          <w:tcPr>
            <w:tcW w:w="183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Depreciation and other amortization</w:t>
            </w:r>
          </w:p>
        </w:tc>
        <w:tc>
          <w:tcPr>
            <w:tcW w:w="174" w:type="dxa"/>
            <w:tcBorders/>
            <w:shd w:fill="auto" w:val="clear"/>
            <w:vAlign w:val="bottom"/>
          </w:tcPr>
          <w:p>
            <w:pPr>
              <w:pStyle w:val="TableContents"/>
              <w:spacing w:before="0" w:after="283"/>
              <w:rPr/>
            </w:pPr>
            <w:r>
              <w:rPr/>
              <w:t xml:space="preserve">  </w:t>
            </w:r>
          </w:p>
        </w:tc>
        <w:tc>
          <w:tcPr>
            <w:tcW w:w="118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24,899</w:t>
            </w:r>
          </w:p>
        </w:tc>
        <w:tc>
          <w:tcPr>
            <w:tcW w:w="119" w:type="dxa"/>
            <w:tcBorders/>
            <w:shd w:fill="auto" w:val="clear"/>
            <w:vAlign w:val="bottom"/>
          </w:tcPr>
          <w:p>
            <w:pPr>
              <w:pStyle w:val="TableContents"/>
              <w:spacing w:before="0" w:after="283"/>
              <w:rPr/>
            </w:pPr>
            <w:r>
              <w:rPr/>
              <w:t xml:space="preserve">  </w:t>
            </w:r>
          </w:p>
        </w:tc>
        <w:tc>
          <w:tcPr>
            <w:tcW w:w="216" w:type="dxa"/>
            <w:tcBorders/>
            <w:shd w:fill="auto" w:val="clear"/>
            <w:vAlign w:val="bottom"/>
          </w:tcPr>
          <w:p>
            <w:pPr>
              <w:pStyle w:val="TableContents"/>
              <w:spacing w:before="0" w:after="283"/>
              <w:rPr/>
            </w:pPr>
            <w:r>
              <w:rPr/>
              <w:t xml:space="preserve">  </w:t>
            </w:r>
          </w:p>
        </w:tc>
        <w:tc>
          <w:tcPr>
            <w:tcW w:w="12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19,568</w:t>
            </w:r>
          </w:p>
        </w:tc>
        <w:tc>
          <w:tcPr>
            <w:tcW w:w="105"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9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17,780</w:t>
            </w:r>
          </w:p>
        </w:tc>
        <w:tc>
          <w:tcPr>
            <w:tcW w:w="105" w:type="dxa"/>
            <w:tcBorders/>
            <w:shd w:fill="auto" w:val="clear"/>
            <w:vAlign w:val="bottom"/>
          </w:tcPr>
          <w:p>
            <w:pPr>
              <w:pStyle w:val="TableContents"/>
              <w:spacing w:before="0" w:after="283"/>
              <w:rPr/>
            </w:pPr>
            <w:r>
              <w:rPr/>
              <w:t xml:space="preserve">  </w:t>
            </w:r>
          </w:p>
        </w:tc>
        <w:tc>
          <w:tcPr>
            <w:tcW w:w="157" w:type="dxa"/>
            <w:tcBorders/>
            <w:shd w:fill="auto" w:val="clear"/>
            <w:vAlign w:val="bottom"/>
          </w:tcPr>
          <w:p>
            <w:pPr>
              <w:pStyle w:val="TableContents"/>
              <w:spacing w:before="0" w:after="283"/>
              <w:rPr/>
            </w:pPr>
            <w:r>
              <w:rPr/>
              <w:t xml:space="preserve">  </w:t>
            </w:r>
          </w:p>
        </w:tc>
        <w:tc>
          <w:tcPr>
            <w:tcW w:w="114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38,439</w:t>
            </w:r>
          </w:p>
        </w:tc>
        <w:tc>
          <w:tcPr>
            <w:tcW w:w="119"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rPr/>
            </w:pPr>
            <w:r>
              <w:rPr/>
              <w:t xml:space="preserve">  </w:t>
            </w:r>
          </w:p>
        </w:tc>
        <w:tc>
          <w:tcPr>
            <w:tcW w:w="92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2,422</w:t>
            </w:r>
          </w:p>
        </w:tc>
        <w:tc>
          <w:tcPr>
            <w:tcW w:w="119" w:type="dxa"/>
            <w:tcBorders/>
            <w:shd w:fill="auto" w:val="clear"/>
            <w:vAlign w:val="bottom"/>
          </w:tcPr>
          <w:p>
            <w:pPr>
              <w:pStyle w:val="TableContents"/>
              <w:spacing w:before="0" w:after="283"/>
              <w:rPr/>
            </w:pPr>
            <w:r>
              <w:rPr/>
              <w:t xml:space="preserve">  </w:t>
            </w:r>
          </w:p>
        </w:tc>
        <w:tc>
          <w:tcPr>
            <w:tcW w:w="152"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103,108</w:t>
            </w:r>
          </w:p>
        </w:tc>
        <w:tc>
          <w:tcPr>
            <w:tcW w:w="141"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Summarized data for Roper’s U.S. and foreign operations (principally in Canada, Europe and Asia) for 2010, 2009 and 2008, based upon the country of origin of the Roper entity making the sale, was as follows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478"/>
        <w:gridCol w:w="153"/>
        <w:gridCol w:w="158"/>
        <w:gridCol w:w="1255"/>
        <w:gridCol w:w="302"/>
        <w:gridCol w:w="307"/>
        <w:gridCol w:w="1095"/>
        <w:gridCol w:w="302"/>
        <w:gridCol w:w="310"/>
        <w:gridCol w:w="965"/>
        <w:gridCol w:w="304"/>
        <w:gridCol w:w="307"/>
        <w:gridCol w:w="1105"/>
        <w:gridCol w:w="164"/>
      </w:tblGrid>
      <w:tr>
        <w:trPr/>
        <w:tc>
          <w:tcPr>
            <w:tcW w:w="3478" w:type="dxa"/>
            <w:tcBorders/>
            <w:shd w:fill="auto" w:val="clear"/>
            <w:vAlign w:val="bottom"/>
          </w:tcPr>
          <w:p>
            <w:pPr>
              <w:pStyle w:val="TableContents"/>
              <w:spacing w:before="0" w:after="283"/>
              <w:rPr/>
            </w:pPr>
            <w:r>
              <w:rPr/>
              <w:t xml:space="preserve">  </w:t>
            </w:r>
          </w:p>
        </w:tc>
        <w:tc>
          <w:tcPr>
            <w:tcW w:w="153" w:type="dxa"/>
            <w:tcBorders/>
            <w:shd w:fill="auto" w:val="clear"/>
            <w:vAlign w:val="bottom"/>
          </w:tcPr>
          <w:p>
            <w:pPr>
              <w:pStyle w:val="TableContents"/>
              <w:spacing w:before="0" w:after="283"/>
              <w:rPr/>
            </w:pPr>
            <w:r>
              <w:rPr/>
              <w:t xml:space="preserve">  </w:t>
            </w:r>
          </w:p>
        </w:tc>
        <w:tc>
          <w:tcPr>
            <w:tcW w:w="141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United States</w:t>
            </w:r>
          </w:p>
        </w:tc>
        <w:tc>
          <w:tcPr>
            <w:tcW w:w="302" w:type="dxa"/>
            <w:tcBorders/>
            <w:shd w:fill="auto" w:val="clear"/>
            <w:vAlign w:val="bottom"/>
          </w:tcPr>
          <w:p>
            <w:pPr>
              <w:pStyle w:val="TableContents"/>
              <w:spacing w:before="0" w:after="283"/>
              <w:rPr/>
            </w:pPr>
            <w:r>
              <w:rPr/>
              <w:t xml:space="preserve">  </w:t>
            </w:r>
          </w:p>
        </w:tc>
        <w:tc>
          <w:tcPr>
            <w:tcW w:w="140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Non-U.S.</w:t>
            </w:r>
          </w:p>
        </w:tc>
        <w:tc>
          <w:tcPr>
            <w:tcW w:w="302" w:type="dxa"/>
            <w:tcBorders/>
            <w:shd w:fill="auto" w:val="clear"/>
            <w:vAlign w:val="bottom"/>
          </w:tcPr>
          <w:p>
            <w:pPr>
              <w:pStyle w:val="TableContents"/>
              <w:spacing w:before="0" w:after="283"/>
              <w:rPr/>
            </w:pPr>
            <w:r>
              <w:rPr/>
              <w:t xml:space="preserve">  </w:t>
            </w:r>
          </w:p>
        </w:tc>
        <w:tc>
          <w:tcPr>
            <w:tcW w:w="127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Eliminations</w:t>
            </w:r>
          </w:p>
        </w:tc>
        <w:tc>
          <w:tcPr>
            <w:tcW w:w="304" w:type="dxa"/>
            <w:tcBorders/>
            <w:shd w:fill="auto" w:val="clear"/>
            <w:vAlign w:val="bottom"/>
          </w:tcPr>
          <w:p>
            <w:pPr>
              <w:pStyle w:val="TableContents"/>
              <w:spacing w:before="0" w:after="283"/>
              <w:rPr/>
            </w:pPr>
            <w:r>
              <w:rPr/>
              <w:t xml:space="preserve">  </w:t>
            </w:r>
          </w:p>
        </w:tc>
        <w:tc>
          <w:tcPr>
            <w:tcW w:w="14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0"/>
              <w:ind w:left="360" w:right="0" w:hanging="360"/>
              <w:jc w:val="left"/>
              <w:rPr>
                <w:rFonts w:ascii="times new roman" w:hAnsi="times new roman"/>
                <w:b/>
                <w:sz w:val="20"/>
              </w:rPr>
            </w:pPr>
            <w:r>
              <w:rPr>
                <w:rFonts w:ascii="times new roman" w:hAnsi="times new roman"/>
                <w:b/>
                <w:sz w:val="20"/>
              </w:rPr>
              <w:t>2010</w:t>
            </w:r>
          </w:p>
        </w:tc>
        <w:tc>
          <w:tcPr>
            <w:tcW w:w="153" w:type="dxa"/>
            <w:tcBorders/>
            <w:shd w:fill="auto" w:val="clear"/>
            <w:vAlign w:val="bottom"/>
          </w:tcPr>
          <w:p>
            <w:pPr>
              <w:pStyle w:val="TableContents"/>
              <w:spacing w:before="0" w:after="283"/>
              <w:rPr/>
            </w:pPr>
            <w:r>
              <w:rPr/>
              <w:t xml:space="preserve">  </w:t>
            </w:r>
          </w:p>
        </w:tc>
        <w:tc>
          <w:tcPr>
            <w:tcW w:w="158" w:type="dxa"/>
            <w:tcBorders/>
            <w:shd w:fill="auto" w:val="clear"/>
            <w:vAlign w:val="bottom"/>
          </w:tcPr>
          <w:p>
            <w:pPr>
              <w:pStyle w:val="TableContents"/>
              <w:spacing w:before="0" w:after="283"/>
              <w:rPr/>
            </w:pPr>
            <w:r>
              <w:rPr/>
              <w:t xml:space="preserve">  </w:t>
            </w:r>
          </w:p>
        </w:tc>
        <w:tc>
          <w:tcPr>
            <w:tcW w:w="1255" w:type="dxa"/>
            <w:tcBorders/>
            <w:shd w:fill="auto" w:val="clear"/>
            <w:vAlign w:val="bottom"/>
          </w:tcPr>
          <w:p>
            <w:pPr>
              <w:pStyle w:val="TableContents"/>
              <w:spacing w:before="0" w:after="283"/>
              <w:rPr/>
            </w:pPr>
            <w:r>
              <w:rPr/>
              <w:t xml:space="preserve">  </w:t>
            </w:r>
          </w:p>
        </w:tc>
        <w:tc>
          <w:tcPr>
            <w:tcW w:w="302" w:type="dxa"/>
            <w:tcBorders/>
            <w:shd w:fill="auto" w:val="clear"/>
            <w:vAlign w:val="bottom"/>
          </w:tcPr>
          <w:p>
            <w:pPr>
              <w:pStyle w:val="TableContents"/>
              <w:spacing w:before="0" w:after="283"/>
              <w:rPr/>
            </w:pPr>
            <w:r>
              <w:rPr/>
              <w:t xml:space="preserve">  </w:t>
            </w:r>
          </w:p>
        </w:tc>
        <w:tc>
          <w:tcPr>
            <w:tcW w:w="307" w:type="dxa"/>
            <w:tcBorders/>
            <w:shd w:fill="auto" w:val="clear"/>
            <w:vAlign w:val="bottom"/>
          </w:tcPr>
          <w:p>
            <w:pPr>
              <w:pStyle w:val="TableContents"/>
              <w:spacing w:before="0" w:after="283"/>
              <w:rPr/>
            </w:pPr>
            <w:r>
              <w:rPr/>
              <w:t xml:space="preserve">  </w:t>
            </w:r>
          </w:p>
        </w:tc>
        <w:tc>
          <w:tcPr>
            <w:tcW w:w="1095" w:type="dxa"/>
            <w:tcBorders/>
            <w:shd w:fill="auto" w:val="clear"/>
            <w:vAlign w:val="bottom"/>
          </w:tcPr>
          <w:p>
            <w:pPr>
              <w:pStyle w:val="TableContents"/>
              <w:spacing w:before="0" w:after="283"/>
              <w:rPr/>
            </w:pPr>
            <w:r>
              <w:rPr/>
              <w:t xml:space="preserve">  </w:t>
            </w:r>
          </w:p>
        </w:tc>
        <w:tc>
          <w:tcPr>
            <w:tcW w:w="302" w:type="dxa"/>
            <w:tcBorders/>
            <w:shd w:fill="auto" w:val="clear"/>
            <w:vAlign w:val="bottom"/>
          </w:tcPr>
          <w:p>
            <w:pPr>
              <w:pStyle w:val="TableContents"/>
              <w:spacing w:before="0" w:after="283"/>
              <w:rPr/>
            </w:pPr>
            <w:r>
              <w:rPr/>
              <w:t xml:space="preserve">  </w:t>
            </w:r>
          </w:p>
        </w:tc>
        <w:tc>
          <w:tcPr>
            <w:tcW w:w="310" w:type="dxa"/>
            <w:tcBorders/>
            <w:shd w:fill="auto" w:val="clear"/>
            <w:vAlign w:val="bottom"/>
          </w:tcPr>
          <w:p>
            <w:pPr>
              <w:pStyle w:val="TableContents"/>
              <w:spacing w:before="0" w:after="283"/>
              <w:rPr/>
            </w:pPr>
            <w:r>
              <w:rPr/>
              <w:t xml:space="preserve">  </w:t>
            </w:r>
          </w:p>
        </w:tc>
        <w:tc>
          <w:tcPr>
            <w:tcW w:w="965" w:type="dxa"/>
            <w:tcBorders/>
            <w:shd w:fill="auto" w:val="clear"/>
            <w:vAlign w:val="bottom"/>
          </w:tcPr>
          <w:p>
            <w:pPr>
              <w:pStyle w:val="TableContents"/>
              <w:spacing w:before="0" w:after="283"/>
              <w:rPr/>
            </w:pPr>
            <w:r>
              <w:rPr/>
              <w:t xml:space="preserve">  </w:t>
            </w:r>
          </w:p>
        </w:tc>
        <w:tc>
          <w:tcPr>
            <w:tcW w:w="304" w:type="dxa"/>
            <w:tcBorders/>
            <w:shd w:fill="auto" w:val="clear"/>
            <w:vAlign w:val="bottom"/>
          </w:tcPr>
          <w:p>
            <w:pPr>
              <w:pStyle w:val="TableContents"/>
              <w:spacing w:before="0" w:after="283"/>
              <w:rPr/>
            </w:pPr>
            <w:r>
              <w:rPr/>
              <w:t xml:space="preserve">  </w:t>
            </w:r>
          </w:p>
        </w:tc>
        <w:tc>
          <w:tcPr>
            <w:tcW w:w="307"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283"/>
              <w:rPr/>
            </w:pPr>
            <w:r>
              <w:rPr/>
              <w:t xml:space="preserve">  </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Sales to unaffiliated customers</w:t>
            </w:r>
          </w:p>
        </w:tc>
        <w:tc>
          <w:tcPr>
            <w:tcW w:w="153" w:type="dxa"/>
            <w:tcBorders/>
            <w:shd w:fill="auto" w:val="clear"/>
            <w:vAlign w:val="bottom"/>
          </w:tcPr>
          <w:p>
            <w:pPr>
              <w:pStyle w:val="TableContents"/>
              <w:spacing w:before="0" w:after="283"/>
              <w:rPr/>
            </w:pPr>
            <w:r>
              <w:rPr/>
              <w:t xml:space="preserve">  </w:t>
            </w:r>
          </w:p>
        </w:tc>
        <w:tc>
          <w:tcPr>
            <w:tcW w:w="15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1,758,797</w:t>
            </w:r>
          </w:p>
        </w:tc>
        <w:tc>
          <w:tcPr>
            <w:tcW w:w="302" w:type="dxa"/>
            <w:tcBorders/>
            <w:shd w:fill="auto" w:val="clear"/>
            <w:vAlign w:val="bottom"/>
          </w:tcPr>
          <w:p>
            <w:pPr>
              <w:pStyle w:val="TableContents"/>
              <w:spacing w:before="0" w:after="283"/>
              <w:rPr/>
            </w:pPr>
            <w:r>
              <w:rPr/>
              <w:t xml:space="preserve">  </w:t>
            </w:r>
          </w:p>
        </w:tc>
        <w:tc>
          <w:tcPr>
            <w:tcW w:w="30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627,315</w:t>
            </w:r>
          </w:p>
        </w:tc>
        <w:tc>
          <w:tcPr>
            <w:tcW w:w="302" w:type="dxa"/>
            <w:tcBorders/>
            <w:shd w:fill="auto" w:val="clear"/>
            <w:vAlign w:val="bottom"/>
          </w:tcPr>
          <w:p>
            <w:pPr>
              <w:pStyle w:val="TableContents"/>
              <w:spacing w:before="0" w:after="283"/>
              <w:rPr/>
            </w:pPr>
            <w:r>
              <w:rPr/>
              <w:t xml:space="preserve">  </w:t>
            </w:r>
          </w:p>
        </w:tc>
        <w:tc>
          <w:tcPr>
            <w:tcW w:w="31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304" w:type="dxa"/>
            <w:tcBorders/>
            <w:shd w:fill="auto" w:val="clear"/>
            <w:vAlign w:val="bottom"/>
          </w:tcPr>
          <w:p>
            <w:pPr>
              <w:pStyle w:val="TableContents"/>
              <w:spacing w:before="0" w:after="283"/>
              <w:rPr/>
            </w:pPr>
            <w:r>
              <w:rPr/>
              <w:t xml:space="preserve">  </w:t>
            </w:r>
          </w:p>
        </w:tc>
        <w:tc>
          <w:tcPr>
            <w:tcW w:w="30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2,386,112</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Sales between geographic areas</w:t>
            </w:r>
          </w:p>
        </w:tc>
        <w:tc>
          <w:tcPr>
            <w:tcW w:w="153" w:type="dxa"/>
            <w:tcBorders/>
            <w:shd w:fill="auto" w:val="clear"/>
            <w:vAlign w:val="bottom"/>
          </w:tcPr>
          <w:p>
            <w:pPr>
              <w:pStyle w:val="TableContents"/>
              <w:spacing w:before="0" w:after="283"/>
              <w:rPr/>
            </w:pPr>
            <w:r>
              <w:rPr/>
              <w:t xml:space="preserve">  </w:t>
            </w:r>
          </w:p>
        </w:tc>
        <w:tc>
          <w:tcPr>
            <w:tcW w:w="158"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5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125,202</w:t>
            </w:r>
          </w:p>
        </w:tc>
        <w:tc>
          <w:tcPr>
            <w:tcW w:w="302" w:type="dxa"/>
            <w:tcBorders/>
            <w:shd w:fill="auto" w:val="clear"/>
            <w:vAlign w:val="bottom"/>
          </w:tcPr>
          <w:p>
            <w:pPr>
              <w:pStyle w:val="TableContents"/>
              <w:spacing w:before="0" w:after="283"/>
              <w:rPr/>
            </w:pPr>
            <w:r>
              <w:rPr/>
              <w:t xml:space="preserve">  </w:t>
            </w:r>
          </w:p>
        </w:tc>
        <w:tc>
          <w:tcPr>
            <w:tcW w:w="30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9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174,265</w:t>
            </w:r>
          </w:p>
        </w:tc>
        <w:tc>
          <w:tcPr>
            <w:tcW w:w="302" w:type="dxa"/>
            <w:tcBorders/>
            <w:shd w:fill="auto" w:val="clear"/>
            <w:vAlign w:val="bottom"/>
          </w:tcPr>
          <w:p>
            <w:pPr>
              <w:pStyle w:val="TableContents"/>
              <w:spacing w:before="0" w:after="283"/>
              <w:rPr/>
            </w:pPr>
            <w:r>
              <w:rPr/>
              <w:t xml:space="preserve">  </w:t>
            </w:r>
          </w:p>
        </w:tc>
        <w:tc>
          <w:tcPr>
            <w:tcW w:w="310"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6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(299,467</w:t>
            </w:r>
          </w:p>
        </w:tc>
        <w:tc>
          <w:tcPr>
            <w:tcW w:w="30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30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0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Net sales</w:t>
            </w:r>
          </w:p>
        </w:tc>
        <w:tc>
          <w:tcPr>
            <w:tcW w:w="153" w:type="dxa"/>
            <w:tcBorders/>
            <w:shd w:fill="auto" w:val="clear"/>
            <w:vAlign w:val="bottom"/>
          </w:tcPr>
          <w:p>
            <w:pPr>
              <w:pStyle w:val="TableContents"/>
              <w:spacing w:before="0" w:after="283"/>
              <w:rPr/>
            </w:pPr>
            <w:r>
              <w:rPr/>
              <w:t xml:space="preserve">  </w:t>
            </w:r>
          </w:p>
        </w:tc>
        <w:tc>
          <w:tcPr>
            <w:tcW w:w="15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1,883,999</w:t>
            </w:r>
          </w:p>
        </w:tc>
        <w:tc>
          <w:tcPr>
            <w:tcW w:w="302" w:type="dxa"/>
            <w:tcBorders/>
            <w:shd w:fill="auto" w:val="clear"/>
            <w:vAlign w:val="bottom"/>
          </w:tcPr>
          <w:p>
            <w:pPr>
              <w:pStyle w:val="TableContents"/>
              <w:spacing w:before="0" w:after="283"/>
              <w:rPr/>
            </w:pPr>
            <w:r>
              <w:rPr/>
              <w:t xml:space="preserve">  </w:t>
            </w:r>
          </w:p>
        </w:tc>
        <w:tc>
          <w:tcPr>
            <w:tcW w:w="30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801,580</w:t>
            </w:r>
          </w:p>
        </w:tc>
        <w:tc>
          <w:tcPr>
            <w:tcW w:w="302" w:type="dxa"/>
            <w:tcBorders/>
            <w:shd w:fill="auto" w:val="clear"/>
            <w:vAlign w:val="bottom"/>
          </w:tcPr>
          <w:p>
            <w:pPr>
              <w:pStyle w:val="TableContents"/>
              <w:spacing w:before="0" w:after="283"/>
              <w:rPr/>
            </w:pPr>
            <w:r>
              <w:rPr/>
              <w:t xml:space="preserve">  </w:t>
            </w:r>
          </w:p>
        </w:tc>
        <w:tc>
          <w:tcPr>
            <w:tcW w:w="31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6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(299,467</w:t>
            </w:r>
          </w:p>
        </w:tc>
        <w:tc>
          <w:tcPr>
            <w:tcW w:w="30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30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2,386,112</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Long-lived assets</w:t>
            </w:r>
          </w:p>
        </w:tc>
        <w:tc>
          <w:tcPr>
            <w:tcW w:w="153" w:type="dxa"/>
            <w:tcBorders/>
            <w:shd w:fill="auto" w:val="clear"/>
            <w:vAlign w:val="bottom"/>
          </w:tcPr>
          <w:p>
            <w:pPr>
              <w:pStyle w:val="TableContents"/>
              <w:spacing w:before="0" w:after="283"/>
              <w:rPr/>
            </w:pPr>
            <w:r>
              <w:rPr/>
              <w:t xml:space="preserve">  </w:t>
            </w:r>
          </w:p>
        </w:tc>
        <w:tc>
          <w:tcPr>
            <w:tcW w:w="15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104,147</w:t>
            </w:r>
          </w:p>
        </w:tc>
        <w:tc>
          <w:tcPr>
            <w:tcW w:w="302" w:type="dxa"/>
            <w:tcBorders/>
            <w:shd w:fill="auto" w:val="clear"/>
            <w:vAlign w:val="bottom"/>
          </w:tcPr>
          <w:p>
            <w:pPr>
              <w:pStyle w:val="TableContents"/>
              <w:spacing w:before="0" w:after="283"/>
              <w:rPr/>
            </w:pPr>
            <w:r>
              <w:rPr/>
              <w:t xml:space="preserve">  </w:t>
            </w:r>
          </w:p>
        </w:tc>
        <w:tc>
          <w:tcPr>
            <w:tcW w:w="30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29,834</w:t>
            </w:r>
          </w:p>
        </w:tc>
        <w:tc>
          <w:tcPr>
            <w:tcW w:w="302" w:type="dxa"/>
            <w:tcBorders/>
            <w:shd w:fill="auto" w:val="clear"/>
            <w:vAlign w:val="bottom"/>
          </w:tcPr>
          <w:p>
            <w:pPr>
              <w:pStyle w:val="TableContents"/>
              <w:spacing w:before="0" w:after="283"/>
              <w:rPr/>
            </w:pPr>
            <w:r>
              <w:rPr/>
              <w:t xml:space="preserve">  </w:t>
            </w:r>
          </w:p>
        </w:tc>
        <w:tc>
          <w:tcPr>
            <w:tcW w:w="31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6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304" w:type="dxa"/>
            <w:tcBorders/>
            <w:shd w:fill="auto" w:val="clear"/>
            <w:vAlign w:val="bottom"/>
          </w:tcPr>
          <w:p>
            <w:pPr>
              <w:pStyle w:val="TableContents"/>
              <w:spacing w:before="0" w:after="283"/>
              <w:rPr/>
            </w:pPr>
            <w:r>
              <w:rPr/>
              <w:t xml:space="preserve">  </w:t>
            </w:r>
          </w:p>
        </w:tc>
        <w:tc>
          <w:tcPr>
            <w:tcW w:w="30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133,981</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283"/>
              <w:rPr/>
            </w:pPr>
            <w:r>
              <w:rPr/>
              <w:t xml:space="preserve">  </w:t>
            </w:r>
          </w:p>
        </w:tc>
        <w:tc>
          <w:tcPr>
            <w:tcW w:w="153" w:type="dxa"/>
            <w:tcBorders/>
            <w:shd w:fill="auto" w:val="clear"/>
            <w:vAlign w:val="bottom"/>
          </w:tcPr>
          <w:p>
            <w:pPr>
              <w:pStyle w:val="TableContents"/>
              <w:spacing w:before="0" w:after="283"/>
              <w:rPr/>
            </w:pPr>
            <w:r>
              <w:rPr/>
              <w:t xml:space="preserve">  </w:t>
            </w:r>
          </w:p>
        </w:tc>
        <w:tc>
          <w:tcPr>
            <w:tcW w:w="158" w:type="dxa"/>
            <w:tcBorders/>
            <w:shd w:fill="auto" w:val="clear"/>
            <w:vAlign w:val="bottom"/>
          </w:tcPr>
          <w:p>
            <w:pPr>
              <w:pStyle w:val="TableContents"/>
              <w:spacing w:before="0" w:after="283"/>
              <w:rPr/>
            </w:pPr>
            <w:r>
              <w:rPr/>
              <w:t xml:space="preserve">  </w:t>
            </w:r>
          </w:p>
        </w:tc>
        <w:tc>
          <w:tcPr>
            <w:tcW w:w="1255" w:type="dxa"/>
            <w:tcBorders/>
            <w:shd w:fill="auto" w:val="clear"/>
            <w:vAlign w:val="bottom"/>
          </w:tcPr>
          <w:p>
            <w:pPr>
              <w:pStyle w:val="TableContents"/>
              <w:spacing w:before="0" w:after="283"/>
              <w:rPr/>
            </w:pPr>
            <w:r>
              <w:rPr/>
              <w:t xml:space="preserve">  </w:t>
            </w:r>
          </w:p>
        </w:tc>
        <w:tc>
          <w:tcPr>
            <w:tcW w:w="302" w:type="dxa"/>
            <w:tcBorders/>
            <w:shd w:fill="auto" w:val="clear"/>
            <w:vAlign w:val="bottom"/>
          </w:tcPr>
          <w:p>
            <w:pPr>
              <w:pStyle w:val="TableContents"/>
              <w:spacing w:before="0" w:after="283"/>
              <w:rPr/>
            </w:pPr>
            <w:r>
              <w:rPr/>
              <w:t xml:space="preserve">  </w:t>
            </w:r>
          </w:p>
        </w:tc>
        <w:tc>
          <w:tcPr>
            <w:tcW w:w="307" w:type="dxa"/>
            <w:tcBorders/>
            <w:shd w:fill="auto" w:val="clear"/>
            <w:vAlign w:val="bottom"/>
          </w:tcPr>
          <w:p>
            <w:pPr>
              <w:pStyle w:val="TableContents"/>
              <w:spacing w:before="0" w:after="283"/>
              <w:rPr/>
            </w:pPr>
            <w:r>
              <w:rPr/>
              <w:t xml:space="preserve">  </w:t>
            </w:r>
          </w:p>
        </w:tc>
        <w:tc>
          <w:tcPr>
            <w:tcW w:w="1095" w:type="dxa"/>
            <w:tcBorders/>
            <w:shd w:fill="auto" w:val="clear"/>
            <w:vAlign w:val="bottom"/>
          </w:tcPr>
          <w:p>
            <w:pPr>
              <w:pStyle w:val="TableContents"/>
              <w:spacing w:before="0" w:after="283"/>
              <w:rPr/>
            </w:pPr>
            <w:r>
              <w:rPr/>
              <w:t xml:space="preserve">  </w:t>
            </w:r>
          </w:p>
        </w:tc>
        <w:tc>
          <w:tcPr>
            <w:tcW w:w="302" w:type="dxa"/>
            <w:tcBorders/>
            <w:shd w:fill="auto" w:val="clear"/>
            <w:vAlign w:val="bottom"/>
          </w:tcPr>
          <w:p>
            <w:pPr>
              <w:pStyle w:val="TableContents"/>
              <w:spacing w:before="0" w:after="283"/>
              <w:rPr/>
            </w:pPr>
            <w:r>
              <w:rPr/>
              <w:t xml:space="preserve">  </w:t>
            </w:r>
          </w:p>
        </w:tc>
        <w:tc>
          <w:tcPr>
            <w:tcW w:w="310" w:type="dxa"/>
            <w:tcBorders/>
            <w:shd w:fill="auto" w:val="clear"/>
            <w:vAlign w:val="bottom"/>
          </w:tcPr>
          <w:p>
            <w:pPr>
              <w:pStyle w:val="TableContents"/>
              <w:spacing w:before="0" w:after="283"/>
              <w:rPr/>
            </w:pPr>
            <w:r>
              <w:rPr/>
              <w:t xml:space="preserve">  </w:t>
            </w:r>
          </w:p>
        </w:tc>
        <w:tc>
          <w:tcPr>
            <w:tcW w:w="965" w:type="dxa"/>
            <w:tcBorders/>
            <w:shd w:fill="auto" w:val="clear"/>
            <w:vAlign w:val="bottom"/>
          </w:tcPr>
          <w:p>
            <w:pPr>
              <w:pStyle w:val="TableContents"/>
              <w:spacing w:before="0" w:after="283"/>
              <w:rPr/>
            </w:pPr>
            <w:r>
              <w:rPr/>
              <w:t xml:space="preserve">  </w:t>
            </w:r>
          </w:p>
        </w:tc>
        <w:tc>
          <w:tcPr>
            <w:tcW w:w="304" w:type="dxa"/>
            <w:tcBorders/>
            <w:shd w:fill="auto" w:val="clear"/>
            <w:vAlign w:val="bottom"/>
          </w:tcPr>
          <w:p>
            <w:pPr>
              <w:pStyle w:val="TableContents"/>
              <w:spacing w:before="0" w:after="283"/>
              <w:rPr/>
            </w:pPr>
            <w:r>
              <w:rPr/>
              <w:t xml:space="preserve">  </w:t>
            </w:r>
          </w:p>
        </w:tc>
        <w:tc>
          <w:tcPr>
            <w:tcW w:w="307"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283"/>
              <w:rPr/>
            </w:pPr>
            <w:r>
              <w:rPr/>
              <w:t xml:space="preserve">  </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0"/>
              <w:ind w:left="360" w:right="0" w:hanging="360"/>
              <w:jc w:val="left"/>
              <w:rPr>
                <w:rFonts w:ascii="times new roman" w:hAnsi="times new roman"/>
                <w:b/>
                <w:sz w:val="20"/>
              </w:rPr>
            </w:pPr>
            <w:r>
              <w:rPr>
                <w:rFonts w:ascii="times new roman" w:hAnsi="times new roman"/>
                <w:b/>
                <w:sz w:val="20"/>
              </w:rPr>
              <w:t>2009</w:t>
            </w:r>
          </w:p>
        </w:tc>
        <w:tc>
          <w:tcPr>
            <w:tcW w:w="153" w:type="dxa"/>
            <w:tcBorders/>
            <w:shd w:fill="auto" w:val="clear"/>
            <w:vAlign w:val="bottom"/>
          </w:tcPr>
          <w:p>
            <w:pPr>
              <w:pStyle w:val="TableContents"/>
              <w:spacing w:before="0" w:after="283"/>
              <w:rPr/>
            </w:pPr>
            <w:r>
              <w:rPr/>
              <w:t xml:space="preserve">  </w:t>
            </w:r>
          </w:p>
        </w:tc>
        <w:tc>
          <w:tcPr>
            <w:tcW w:w="158" w:type="dxa"/>
            <w:tcBorders/>
            <w:shd w:fill="auto" w:val="clear"/>
            <w:vAlign w:val="bottom"/>
          </w:tcPr>
          <w:p>
            <w:pPr>
              <w:pStyle w:val="TableContents"/>
              <w:spacing w:before="0" w:after="283"/>
              <w:rPr/>
            </w:pPr>
            <w:r>
              <w:rPr/>
              <w:t xml:space="preserve">  </w:t>
            </w:r>
          </w:p>
        </w:tc>
        <w:tc>
          <w:tcPr>
            <w:tcW w:w="1255" w:type="dxa"/>
            <w:tcBorders/>
            <w:shd w:fill="auto" w:val="clear"/>
            <w:vAlign w:val="bottom"/>
          </w:tcPr>
          <w:p>
            <w:pPr>
              <w:pStyle w:val="TableContents"/>
              <w:spacing w:before="0" w:after="283"/>
              <w:rPr/>
            </w:pPr>
            <w:r>
              <w:rPr/>
              <w:t xml:space="preserve">  </w:t>
            </w:r>
          </w:p>
        </w:tc>
        <w:tc>
          <w:tcPr>
            <w:tcW w:w="302" w:type="dxa"/>
            <w:tcBorders/>
            <w:shd w:fill="auto" w:val="clear"/>
            <w:vAlign w:val="bottom"/>
          </w:tcPr>
          <w:p>
            <w:pPr>
              <w:pStyle w:val="TableContents"/>
              <w:spacing w:before="0" w:after="283"/>
              <w:rPr/>
            </w:pPr>
            <w:r>
              <w:rPr/>
              <w:t xml:space="preserve">  </w:t>
            </w:r>
          </w:p>
        </w:tc>
        <w:tc>
          <w:tcPr>
            <w:tcW w:w="307" w:type="dxa"/>
            <w:tcBorders/>
            <w:shd w:fill="auto" w:val="clear"/>
            <w:vAlign w:val="bottom"/>
          </w:tcPr>
          <w:p>
            <w:pPr>
              <w:pStyle w:val="TableContents"/>
              <w:spacing w:before="0" w:after="283"/>
              <w:rPr/>
            </w:pPr>
            <w:r>
              <w:rPr/>
              <w:t xml:space="preserve">  </w:t>
            </w:r>
          </w:p>
        </w:tc>
        <w:tc>
          <w:tcPr>
            <w:tcW w:w="1095" w:type="dxa"/>
            <w:tcBorders/>
            <w:shd w:fill="auto" w:val="clear"/>
            <w:vAlign w:val="bottom"/>
          </w:tcPr>
          <w:p>
            <w:pPr>
              <w:pStyle w:val="TableContents"/>
              <w:spacing w:before="0" w:after="283"/>
              <w:rPr/>
            </w:pPr>
            <w:r>
              <w:rPr/>
              <w:t xml:space="preserve">  </w:t>
            </w:r>
          </w:p>
        </w:tc>
        <w:tc>
          <w:tcPr>
            <w:tcW w:w="302" w:type="dxa"/>
            <w:tcBorders/>
            <w:shd w:fill="auto" w:val="clear"/>
            <w:vAlign w:val="bottom"/>
          </w:tcPr>
          <w:p>
            <w:pPr>
              <w:pStyle w:val="TableContents"/>
              <w:spacing w:before="0" w:after="283"/>
              <w:rPr/>
            </w:pPr>
            <w:r>
              <w:rPr/>
              <w:t xml:space="preserve">  </w:t>
            </w:r>
          </w:p>
        </w:tc>
        <w:tc>
          <w:tcPr>
            <w:tcW w:w="310" w:type="dxa"/>
            <w:tcBorders/>
            <w:shd w:fill="auto" w:val="clear"/>
            <w:vAlign w:val="bottom"/>
          </w:tcPr>
          <w:p>
            <w:pPr>
              <w:pStyle w:val="TableContents"/>
              <w:spacing w:before="0" w:after="283"/>
              <w:rPr/>
            </w:pPr>
            <w:r>
              <w:rPr/>
              <w:t xml:space="preserve">  </w:t>
            </w:r>
          </w:p>
        </w:tc>
        <w:tc>
          <w:tcPr>
            <w:tcW w:w="965" w:type="dxa"/>
            <w:tcBorders/>
            <w:shd w:fill="auto" w:val="clear"/>
            <w:vAlign w:val="bottom"/>
          </w:tcPr>
          <w:p>
            <w:pPr>
              <w:pStyle w:val="TableContents"/>
              <w:spacing w:before="0" w:after="283"/>
              <w:rPr/>
            </w:pPr>
            <w:r>
              <w:rPr/>
              <w:t xml:space="preserve">  </w:t>
            </w:r>
          </w:p>
        </w:tc>
        <w:tc>
          <w:tcPr>
            <w:tcW w:w="304" w:type="dxa"/>
            <w:tcBorders/>
            <w:shd w:fill="auto" w:val="clear"/>
            <w:vAlign w:val="bottom"/>
          </w:tcPr>
          <w:p>
            <w:pPr>
              <w:pStyle w:val="TableContents"/>
              <w:spacing w:before="0" w:after="283"/>
              <w:rPr/>
            </w:pPr>
            <w:r>
              <w:rPr/>
              <w:t xml:space="preserve">  </w:t>
            </w:r>
          </w:p>
        </w:tc>
        <w:tc>
          <w:tcPr>
            <w:tcW w:w="307"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283"/>
              <w:rPr/>
            </w:pPr>
            <w:r>
              <w:rPr/>
              <w:t xml:space="preserve">  </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Sales to unaffiliated customers</w:t>
            </w:r>
          </w:p>
        </w:tc>
        <w:tc>
          <w:tcPr>
            <w:tcW w:w="153" w:type="dxa"/>
            <w:tcBorders/>
            <w:shd w:fill="auto" w:val="clear"/>
            <w:vAlign w:val="bottom"/>
          </w:tcPr>
          <w:p>
            <w:pPr>
              <w:pStyle w:val="TableContents"/>
              <w:spacing w:before="0" w:after="283"/>
              <w:rPr/>
            </w:pPr>
            <w:r>
              <w:rPr/>
              <w:t xml:space="preserve">  </w:t>
            </w:r>
          </w:p>
        </w:tc>
        <w:tc>
          <w:tcPr>
            <w:tcW w:w="15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1,526,390</w:t>
            </w:r>
          </w:p>
        </w:tc>
        <w:tc>
          <w:tcPr>
            <w:tcW w:w="302" w:type="dxa"/>
            <w:tcBorders/>
            <w:shd w:fill="auto" w:val="clear"/>
            <w:vAlign w:val="bottom"/>
          </w:tcPr>
          <w:p>
            <w:pPr>
              <w:pStyle w:val="TableContents"/>
              <w:spacing w:before="0" w:after="283"/>
              <w:rPr/>
            </w:pPr>
            <w:r>
              <w:rPr/>
              <w:t xml:space="preserve">  </w:t>
            </w:r>
          </w:p>
        </w:tc>
        <w:tc>
          <w:tcPr>
            <w:tcW w:w="30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523,278</w:t>
            </w:r>
          </w:p>
        </w:tc>
        <w:tc>
          <w:tcPr>
            <w:tcW w:w="302" w:type="dxa"/>
            <w:tcBorders/>
            <w:shd w:fill="auto" w:val="clear"/>
            <w:vAlign w:val="bottom"/>
          </w:tcPr>
          <w:p>
            <w:pPr>
              <w:pStyle w:val="TableContents"/>
              <w:spacing w:before="0" w:after="283"/>
              <w:rPr/>
            </w:pPr>
            <w:r>
              <w:rPr/>
              <w:t xml:space="preserve">  </w:t>
            </w:r>
          </w:p>
        </w:tc>
        <w:tc>
          <w:tcPr>
            <w:tcW w:w="31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304" w:type="dxa"/>
            <w:tcBorders/>
            <w:shd w:fill="auto" w:val="clear"/>
            <w:vAlign w:val="bottom"/>
          </w:tcPr>
          <w:p>
            <w:pPr>
              <w:pStyle w:val="TableContents"/>
              <w:spacing w:before="0" w:after="283"/>
              <w:rPr/>
            </w:pPr>
            <w:r>
              <w:rPr/>
              <w:t xml:space="preserve">  </w:t>
            </w:r>
          </w:p>
        </w:tc>
        <w:tc>
          <w:tcPr>
            <w:tcW w:w="30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2,049,668</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Sales between geographic areas</w:t>
            </w:r>
          </w:p>
        </w:tc>
        <w:tc>
          <w:tcPr>
            <w:tcW w:w="153" w:type="dxa"/>
            <w:tcBorders/>
            <w:shd w:fill="auto" w:val="clear"/>
            <w:vAlign w:val="bottom"/>
          </w:tcPr>
          <w:p>
            <w:pPr>
              <w:pStyle w:val="TableContents"/>
              <w:spacing w:before="0" w:after="283"/>
              <w:rPr/>
            </w:pPr>
            <w:r>
              <w:rPr/>
              <w:t xml:space="preserve">  </w:t>
            </w:r>
          </w:p>
        </w:tc>
        <w:tc>
          <w:tcPr>
            <w:tcW w:w="158"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5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87,323</w:t>
            </w:r>
          </w:p>
        </w:tc>
        <w:tc>
          <w:tcPr>
            <w:tcW w:w="302" w:type="dxa"/>
            <w:tcBorders/>
            <w:shd w:fill="auto" w:val="clear"/>
            <w:vAlign w:val="bottom"/>
          </w:tcPr>
          <w:p>
            <w:pPr>
              <w:pStyle w:val="TableContents"/>
              <w:spacing w:before="0" w:after="283"/>
              <w:rPr/>
            </w:pPr>
            <w:r>
              <w:rPr/>
              <w:t xml:space="preserve">  </w:t>
            </w:r>
          </w:p>
        </w:tc>
        <w:tc>
          <w:tcPr>
            <w:tcW w:w="30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9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126,093</w:t>
            </w:r>
          </w:p>
        </w:tc>
        <w:tc>
          <w:tcPr>
            <w:tcW w:w="302" w:type="dxa"/>
            <w:tcBorders/>
            <w:shd w:fill="auto" w:val="clear"/>
            <w:vAlign w:val="bottom"/>
          </w:tcPr>
          <w:p>
            <w:pPr>
              <w:pStyle w:val="TableContents"/>
              <w:spacing w:before="0" w:after="283"/>
              <w:rPr/>
            </w:pPr>
            <w:r>
              <w:rPr/>
              <w:t xml:space="preserve">  </w:t>
            </w:r>
          </w:p>
        </w:tc>
        <w:tc>
          <w:tcPr>
            <w:tcW w:w="310"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6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(213,416</w:t>
            </w:r>
          </w:p>
        </w:tc>
        <w:tc>
          <w:tcPr>
            <w:tcW w:w="30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30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0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Net sales</w:t>
            </w:r>
          </w:p>
        </w:tc>
        <w:tc>
          <w:tcPr>
            <w:tcW w:w="153" w:type="dxa"/>
            <w:tcBorders/>
            <w:shd w:fill="auto" w:val="clear"/>
            <w:vAlign w:val="bottom"/>
          </w:tcPr>
          <w:p>
            <w:pPr>
              <w:pStyle w:val="TableContents"/>
              <w:spacing w:before="0" w:after="283"/>
              <w:rPr/>
            </w:pPr>
            <w:r>
              <w:rPr/>
              <w:t xml:space="preserve">  </w:t>
            </w:r>
          </w:p>
        </w:tc>
        <w:tc>
          <w:tcPr>
            <w:tcW w:w="15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1,613,713</w:t>
            </w:r>
          </w:p>
        </w:tc>
        <w:tc>
          <w:tcPr>
            <w:tcW w:w="302" w:type="dxa"/>
            <w:tcBorders/>
            <w:shd w:fill="auto" w:val="clear"/>
            <w:vAlign w:val="bottom"/>
          </w:tcPr>
          <w:p>
            <w:pPr>
              <w:pStyle w:val="TableContents"/>
              <w:spacing w:before="0" w:after="283"/>
              <w:rPr/>
            </w:pPr>
            <w:r>
              <w:rPr/>
              <w:t xml:space="preserve">  </w:t>
            </w:r>
          </w:p>
        </w:tc>
        <w:tc>
          <w:tcPr>
            <w:tcW w:w="30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649,371</w:t>
            </w:r>
          </w:p>
        </w:tc>
        <w:tc>
          <w:tcPr>
            <w:tcW w:w="302" w:type="dxa"/>
            <w:tcBorders/>
            <w:shd w:fill="auto" w:val="clear"/>
            <w:vAlign w:val="bottom"/>
          </w:tcPr>
          <w:p>
            <w:pPr>
              <w:pStyle w:val="TableContents"/>
              <w:spacing w:before="0" w:after="283"/>
              <w:rPr/>
            </w:pPr>
            <w:r>
              <w:rPr/>
              <w:t xml:space="preserve">  </w:t>
            </w:r>
          </w:p>
        </w:tc>
        <w:tc>
          <w:tcPr>
            <w:tcW w:w="31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6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(213,416</w:t>
            </w:r>
          </w:p>
        </w:tc>
        <w:tc>
          <w:tcPr>
            <w:tcW w:w="30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30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2,049,668</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Long-lived assets</w:t>
            </w:r>
          </w:p>
        </w:tc>
        <w:tc>
          <w:tcPr>
            <w:tcW w:w="153" w:type="dxa"/>
            <w:tcBorders/>
            <w:shd w:fill="auto" w:val="clear"/>
            <w:vAlign w:val="bottom"/>
          </w:tcPr>
          <w:p>
            <w:pPr>
              <w:pStyle w:val="TableContents"/>
              <w:spacing w:before="0" w:after="283"/>
              <w:rPr/>
            </w:pPr>
            <w:r>
              <w:rPr/>
              <w:t xml:space="preserve">  </w:t>
            </w:r>
          </w:p>
        </w:tc>
        <w:tc>
          <w:tcPr>
            <w:tcW w:w="15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124,382</w:t>
            </w:r>
          </w:p>
        </w:tc>
        <w:tc>
          <w:tcPr>
            <w:tcW w:w="302" w:type="dxa"/>
            <w:tcBorders/>
            <w:shd w:fill="auto" w:val="clear"/>
            <w:vAlign w:val="bottom"/>
          </w:tcPr>
          <w:p>
            <w:pPr>
              <w:pStyle w:val="TableContents"/>
              <w:spacing w:before="0" w:after="283"/>
              <w:rPr/>
            </w:pPr>
            <w:r>
              <w:rPr/>
              <w:t xml:space="preserve">  </w:t>
            </w:r>
          </w:p>
        </w:tc>
        <w:tc>
          <w:tcPr>
            <w:tcW w:w="30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28,922</w:t>
            </w:r>
          </w:p>
        </w:tc>
        <w:tc>
          <w:tcPr>
            <w:tcW w:w="302" w:type="dxa"/>
            <w:tcBorders/>
            <w:shd w:fill="auto" w:val="clear"/>
            <w:vAlign w:val="bottom"/>
          </w:tcPr>
          <w:p>
            <w:pPr>
              <w:pStyle w:val="TableContents"/>
              <w:spacing w:before="0" w:after="283"/>
              <w:rPr/>
            </w:pPr>
            <w:r>
              <w:rPr/>
              <w:t xml:space="preserve">  </w:t>
            </w:r>
          </w:p>
        </w:tc>
        <w:tc>
          <w:tcPr>
            <w:tcW w:w="31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6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304" w:type="dxa"/>
            <w:tcBorders/>
            <w:shd w:fill="auto" w:val="clear"/>
            <w:vAlign w:val="bottom"/>
          </w:tcPr>
          <w:p>
            <w:pPr>
              <w:pStyle w:val="TableContents"/>
              <w:spacing w:before="0" w:after="283"/>
              <w:rPr/>
            </w:pPr>
            <w:r>
              <w:rPr/>
              <w:t xml:space="preserve">  </w:t>
            </w:r>
          </w:p>
        </w:tc>
        <w:tc>
          <w:tcPr>
            <w:tcW w:w="30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153,304</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0"/>
              <w:ind w:left="360" w:right="0" w:hanging="360"/>
              <w:jc w:val="left"/>
              <w:rPr>
                <w:rFonts w:ascii="times new roman" w:hAnsi="times new roman"/>
                <w:b/>
                <w:sz w:val="20"/>
              </w:rPr>
            </w:pPr>
            <w:r>
              <w:rPr>
                <w:rFonts w:ascii="times new roman" w:hAnsi="times new roman"/>
                <w:b/>
                <w:sz w:val="20"/>
              </w:rPr>
              <w:t>2008</w:t>
            </w:r>
          </w:p>
        </w:tc>
        <w:tc>
          <w:tcPr>
            <w:tcW w:w="153" w:type="dxa"/>
            <w:tcBorders/>
            <w:shd w:fill="auto" w:val="clear"/>
            <w:vAlign w:val="bottom"/>
          </w:tcPr>
          <w:p>
            <w:pPr>
              <w:pStyle w:val="TableContents"/>
              <w:spacing w:before="0" w:after="283"/>
              <w:rPr/>
            </w:pPr>
            <w:r>
              <w:rPr/>
              <w:t xml:space="preserve">  </w:t>
            </w:r>
          </w:p>
        </w:tc>
        <w:tc>
          <w:tcPr>
            <w:tcW w:w="158" w:type="dxa"/>
            <w:tcBorders/>
            <w:shd w:fill="auto" w:val="clear"/>
            <w:vAlign w:val="bottom"/>
          </w:tcPr>
          <w:p>
            <w:pPr>
              <w:pStyle w:val="TableContents"/>
              <w:spacing w:before="0" w:after="283"/>
              <w:rPr/>
            </w:pPr>
            <w:r>
              <w:rPr/>
              <w:t xml:space="preserve">  </w:t>
            </w:r>
          </w:p>
        </w:tc>
        <w:tc>
          <w:tcPr>
            <w:tcW w:w="1255" w:type="dxa"/>
            <w:tcBorders/>
            <w:shd w:fill="auto" w:val="clear"/>
            <w:vAlign w:val="bottom"/>
          </w:tcPr>
          <w:p>
            <w:pPr>
              <w:pStyle w:val="TableContents"/>
              <w:spacing w:before="0" w:after="283"/>
              <w:rPr/>
            </w:pPr>
            <w:r>
              <w:rPr/>
              <w:t xml:space="preserve">  </w:t>
            </w:r>
          </w:p>
        </w:tc>
        <w:tc>
          <w:tcPr>
            <w:tcW w:w="302" w:type="dxa"/>
            <w:tcBorders/>
            <w:shd w:fill="auto" w:val="clear"/>
            <w:vAlign w:val="bottom"/>
          </w:tcPr>
          <w:p>
            <w:pPr>
              <w:pStyle w:val="TableContents"/>
              <w:spacing w:before="0" w:after="283"/>
              <w:rPr/>
            </w:pPr>
            <w:r>
              <w:rPr/>
              <w:t xml:space="preserve">  </w:t>
            </w:r>
          </w:p>
        </w:tc>
        <w:tc>
          <w:tcPr>
            <w:tcW w:w="307" w:type="dxa"/>
            <w:tcBorders/>
            <w:shd w:fill="auto" w:val="clear"/>
            <w:vAlign w:val="bottom"/>
          </w:tcPr>
          <w:p>
            <w:pPr>
              <w:pStyle w:val="TableContents"/>
              <w:spacing w:before="0" w:after="283"/>
              <w:rPr/>
            </w:pPr>
            <w:r>
              <w:rPr/>
              <w:t xml:space="preserve">  </w:t>
            </w:r>
          </w:p>
        </w:tc>
        <w:tc>
          <w:tcPr>
            <w:tcW w:w="1095" w:type="dxa"/>
            <w:tcBorders/>
            <w:shd w:fill="auto" w:val="clear"/>
            <w:vAlign w:val="bottom"/>
          </w:tcPr>
          <w:p>
            <w:pPr>
              <w:pStyle w:val="TableContents"/>
              <w:spacing w:before="0" w:after="283"/>
              <w:rPr/>
            </w:pPr>
            <w:r>
              <w:rPr/>
              <w:t xml:space="preserve">  </w:t>
            </w:r>
          </w:p>
        </w:tc>
        <w:tc>
          <w:tcPr>
            <w:tcW w:w="302" w:type="dxa"/>
            <w:tcBorders/>
            <w:shd w:fill="auto" w:val="clear"/>
            <w:vAlign w:val="bottom"/>
          </w:tcPr>
          <w:p>
            <w:pPr>
              <w:pStyle w:val="TableContents"/>
              <w:spacing w:before="0" w:after="283"/>
              <w:rPr/>
            </w:pPr>
            <w:r>
              <w:rPr/>
              <w:t xml:space="preserve">  </w:t>
            </w:r>
          </w:p>
        </w:tc>
        <w:tc>
          <w:tcPr>
            <w:tcW w:w="310" w:type="dxa"/>
            <w:tcBorders/>
            <w:shd w:fill="auto" w:val="clear"/>
            <w:vAlign w:val="bottom"/>
          </w:tcPr>
          <w:p>
            <w:pPr>
              <w:pStyle w:val="TableContents"/>
              <w:spacing w:before="0" w:after="283"/>
              <w:rPr/>
            </w:pPr>
            <w:r>
              <w:rPr/>
              <w:t xml:space="preserve">  </w:t>
            </w:r>
          </w:p>
        </w:tc>
        <w:tc>
          <w:tcPr>
            <w:tcW w:w="965" w:type="dxa"/>
            <w:tcBorders/>
            <w:shd w:fill="auto" w:val="clear"/>
            <w:vAlign w:val="bottom"/>
          </w:tcPr>
          <w:p>
            <w:pPr>
              <w:pStyle w:val="TableContents"/>
              <w:spacing w:before="0" w:after="283"/>
              <w:rPr/>
            </w:pPr>
            <w:r>
              <w:rPr/>
              <w:t xml:space="preserve">  </w:t>
            </w:r>
          </w:p>
        </w:tc>
        <w:tc>
          <w:tcPr>
            <w:tcW w:w="304" w:type="dxa"/>
            <w:tcBorders/>
            <w:shd w:fill="auto" w:val="clear"/>
            <w:vAlign w:val="bottom"/>
          </w:tcPr>
          <w:p>
            <w:pPr>
              <w:pStyle w:val="TableContents"/>
              <w:spacing w:before="0" w:after="283"/>
              <w:rPr/>
            </w:pPr>
            <w:r>
              <w:rPr/>
              <w:t xml:space="preserve">  </w:t>
            </w:r>
          </w:p>
        </w:tc>
        <w:tc>
          <w:tcPr>
            <w:tcW w:w="307" w:type="dxa"/>
            <w:tcBorders/>
            <w:shd w:fill="auto" w:val="clear"/>
            <w:vAlign w:val="bottom"/>
          </w:tcPr>
          <w:p>
            <w:pPr>
              <w:pStyle w:val="TableContents"/>
              <w:spacing w:before="0" w:after="283"/>
              <w:rPr/>
            </w:pPr>
            <w:r>
              <w:rPr/>
              <w:t xml:space="preserve">  </w:t>
            </w:r>
          </w:p>
        </w:tc>
        <w:tc>
          <w:tcPr>
            <w:tcW w:w="1105" w:type="dxa"/>
            <w:tcBorders/>
            <w:shd w:fill="auto" w:val="clear"/>
            <w:vAlign w:val="bottom"/>
          </w:tcPr>
          <w:p>
            <w:pPr>
              <w:pStyle w:val="TableContents"/>
              <w:spacing w:before="0" w:after="283"/>
              <w:rPr/>
            </w:pPr>
            <w:r>
              <w:rPr/>
              <w:t xml:space="preserve">  </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Sales to unaffiliated customers</w:t>
            </w:r>
          </w:p>
        </w:tc>
        <w:tc>
          <w:tcPr>
            <w:tcW w:w="153" w:type="dxa"/>
            <w:tcBorders/>
            <w:shd w:fill="auto" w:val="clear"/>
            <w:vAlign w:val="bottom"/>
          </w:tcPr>
          <w:p>
            <w:pPr>
              <w:pStyle w:val="TableContents"/>
              <w:spacing w:before="0" w:after="283"/>
              <w:rPr/>
            </w:pPr>
            <w:r>
              <w:rPr/>
              <w:t xml:space="preserve">  </w:t>
            </w:r>
          </w:p>
        </w:tc>
        <w:tc>
          <w:tcPr>
            <w:tcW w:w="15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1,709,844</w:t>
            </w:r>
          </w:p>
        </w:tc>
        <w:tc>
          <w:tcPr>
            <w:tcW w:w="302" w:type="dxa"/>
            <w:tcBorders/>
            <w:shd w:fill="auto" w:val="clear"/>
            <w:vAlign w:val="bottom"/>
          </w:tcPr>
          <w:p>
            <w:pPr>
              <w:pStyle w:val="TableContents"/>
              <w:spacing w:before="0" w:after="283"/>
              <w:rPr/>
            </w:pPr>
            <w:r>
              <w:rPr/>
              <w:t xml:space="preserve">  </w:t>
            </w:r>
          </w:p>
        </w:tc>
        <w:tc>
          <w:tcPr>
            <w:tcW w:w="30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596,507</w:t>
            </w:r>
          </w:p>
        </w:tc>
        <w:tc>
          <w:tcPr>
            <w:tcW w:w="302" w:type="dxa"/>
            <w:tcBorders/>
            <w:shd w:fill="auto" w:val="clear"/>
            <w:vAlign w:val="bottom"/>
          </w:tcPr>
          <w:p>
            <w:pPr>
              <w:pStyle w:val="TableContents"/>
              <w:spacing w:before="0" w:after="283"/>
              <w:rPr/>
            </w:pPr>
            <w:r>
              <w:rPr/>
              <w:t xml:space="preserve">  </w:t>
            </w:r>
          </w:p>
        </w:tc>
        <w:tc>
          <w:tcPr>
            <w:tcW w:w="31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304" w:type="dxa"/>
            <w:tcBorders/>
            <w:shd w:fill="auto" w:val="clear"/>
            <w:vAlign w:val="bottom"/>
          </w:tcPr>
          <w:p>
            <w:pPr>
              <w:pStyle w:val="TableContents"/>
              <w:spacing w:before="0" w:after="283"/>
              <w:rPr/>
            </w:pPr>
            <w:r>
              <w:rPr/>
              <w:t xml:space="preserve">  </w:t>
            </w:r>
          </w:p>
        </w:tc>
        <w:tc>
          <w:tcPr>
            <w:tcW w:w="30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2,306,351</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Sales between geographic areas</w:t>
            </w:r>
          </w:p>
        </w:tc>
        <w:tc>
          <w:tcPr>
            <w:tcW w:w="153" w:type="dxa"/>
            <w:tcBorders/>
            <w:shd w:fill="auto" w:val="clear"/>
            <w:vAlign w:val="bottom"/>
          </w:tcPr>
          <w:p>
            <w:pPr>
              <w:pStyle w:val="TableContents"/>
              <w:spacing w:before="0" w:after="283"/>
              <w:rPr/>
            </w:pPr>
            <w:r>
              <w:rPr/>
              <w:t xml:space="preserve">  </w:t>
            </w:r>
          </w:p>
        </w:tc>
        <w:tc>
          <w:tcPr>
            <w:tcW w:w="158"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5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102,954</w:t>
            </w:r>
          </w:p>
        </w:tc>
        <w:tc>
          <w:tcPr>
            <w:tcW w:w="302" w:type="dxa"/>
            <w:tcBorders/>
            <w:shd w:fill="auto" w:val="clear"/>
            <w:vAlign w:val="bottom"/>
          </w:tcPr>
          <w:p>
            <w:pPr>
              <w:pStyle w:val="TableContents"/>
              <w:spacing w:before="0" w:after="283"/>
              <w:rPr/>
            </w:pPr>
            <w:r>
              <w:rPr/>
              <w:t xml:space="preserve">  </w:t>
            </w:r>
          </w:p>
        </w:tc>
        <w:tc>
          <w:tcPr>
            <w:tcW w:w="30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9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182,551</w:t>
            </w:r>
          </w:p>
        </w:tc>
        <w:tc>
          <w:tcPr>
            <w:tcW w:w="302" w:type="dxa"/>
            <w:tcBorders/>
            <w:shd w:fill="auto" w:val="clear"/>
            <w:vAlign w:val="bottom"/>
          </w:tcPr>
          <w:p>
            <w:pPr>
              <w:pStyle w:val="TableContents"/>
              <w:spacing w:before="0" w:after="283"/>
              <w:rPr/>
            </w:pPr>
            <w:r>
              <w:rPr/>
              <w:t xml:space="preserve">  </w:t>
            </w:r>
          </w:p>
        </w:tc>
        <w:tc>
          <w:tcPr>
            <w:tcW w:w="310"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96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(285,505</w:t>
            </w:r>
          </w:p>
        </w:tc>
        <w:tc>
          <w:tcPr>
            <w:tcW w:w="30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307"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0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Net sales</w:t>
            </w:r>
          </w:p>
        </w:tc>
        <w:tc>
          <w:tcPr>
            <w:tcW w:w="153" w:type="dxa"/>
            <w:tcBorders/>
            <w:shd w:fill="auto" w:val="clear"/>
            <w:vAlign w:val="bottom"/>
          </w:tcPr>
          <w:p>
            <w:pPr>
              <w:pStyle w:val="TableContents"/>
              <w:spacing w:before="0" w:after="283"/>
              <w:rPr/>
            </w:pPr>
            <w:r>
              <w:rPr/>
              <w:t xml:space="preserve">  </w:t>
            </w:r>
          </w:p>
        </w:tc>
        <w:tc>
          <w:tcPr>
            <w:tcW w:w="15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1,812,798</w:t>
            </w:r>
          </w:p>
        </w:tc>
        <w:tc>
          <w:tcPr>
            <w:tcW w:w="302" w:type="dxa"/>
            <w:tcBorders/>
            <w:shd w:fill="auto" w:val="clear"/>
            <w:vAlign w:val="bottom"/>
          </w:tcPr>
          <w:p>
            <w:pPr>
              <w:pStyle w:val="TableContents"/>
              <w:spacing w:before="0" w:after="283"/>
              <w:rPr/>
            </w:pPr>
            <w:r>
              <w:rPr/>
              <w:t xml:space="preserve">  </w:t>
            </w:r>
          </w:p>
        </w:tc>
        <w:tc>
          <w:tcPr>
            <w:tcW w:w="30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779,058</w:t>
            </w:r>
          </w:p>
        </w:tc>
        <w:tc>
          <w:tcPr>
            <w:tcW w:w="302" w:type="dxa"/>
            <w:tcBorders/>
            <w:shd w:fill="auto" w:val="clear"/>
            <w:vAlign w:val="bottom"/>
          </w:tcPr>
          <w:p>
            <w:pPr>
              <w:pStyle w:val="TableContents"/>
              <w:spacing w:before="0" w:after="283"/>
              <w:rPr/>
            </w:pPr>
            <w:r>
              <w:rPr/>
              <w:t xml:space="preserve">  </w:t>
            </w:r>
          </w:p>
        </w:tc>
        <w:tc>
          <w:tcPr>
            <w:tcW w:w="31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6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(285,505</w:t>
            </w:r>
          </w:p>
        </w:tc>
        <w:tc>
          <w:tcPr>
            <w:tcW w:w="30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30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2,306,351</w:t>
            </w:r>
          </w:p>
        </w:tc>
        <w:tc>
          <w:tcPr>
            <w:tcW w:w="164" w:type="dxa"/>
            <w:tcBorders/>
            <w:shd w:fill="auto" w:val="clear"/>
            <w:vAlign w:val="bottom"/>
          </w:tcPr>
          <w:p>
            <w:pPr>
              <w:pStyle w:val="TableContents"/>
              <w:spacing w:before="0" w:after="283"/>
              <w:rPr/>
            </w:pPr>
            <w:r>
              <w:rPr/>
              <w:t xml:space="preserve">  </w:t>
            </w:r>
          </w:p>
        </w:tc>
      </w:tr>
      <w:tr>
        <w:trPr/>
        <w:tc>
          <w:tcPr>
            <w:tcW w:w="3478"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Long-lived assets</w:t>
            </w:r>
          </w:p>
        </w:tc>
        <w:tc>
          <w:tcPr>
            <w:tcW w:w="153" w:type="dxa"/>
            <w:tcBorders/>
            <w:shd w:fill="auto" w:val="clear"/>
            <w:vAlign w:val="bottom"/>
          </w:tcPr>
          <w:p>
            <w:pPr>
              <w:pStyle w:val="TableContents"/>
              <w:spacing w:before="0" w:after="283"/>
              <w:rPr/>
            </w:pPr>
            <w:r>
              <w:rPr/>
              <w:t xml:space="preserve">  </w:t>
            </w:r>
          </w:p>
        </w:tc>
        <w:tc>
          <w:tcPr>
            <w:tcW w:w="15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5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122,005</w:t>
            </w:r>
          </w:p>
        </w:tc>
        <w:tc>
          <w:tcPr>
            <w:tcW w:w="302" w:type="dxa"/>
            <w:tcBorders/>
            <w:shd w:fill="auto" w:val="clear"/>
            <w:vAlign w:val="bottom"/>
          </w:tcPr>
          <w:p>
            <w:pPr>
              <w:pStyle w:val="TableContents"/>
              <w:spacing w:before="0" w:after="283"/>
              <w:rPr/>
            </w:pPr>
            <w:r>
              <w:rPr/>
              <w:t xml:space="preserve">  </w:t>
            </w:r>
          </w:p>
        </w:tc>
        <w:tc>
          <w:tcPr>
            <w:tcW w:w="30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29,131</w:t>
            </w:r>
          </w:p>
        </w:tc>
        <w:tc>
          <w:tcPr>
            <w:tcW w:w="302" w:type="dxa"/>
            <w:tcBorders/>
            <w:shd w:fill="auto" w:val="clear"/>
            <w:vAlign w:val="bottom"/>
          </w:tcPr>
          <w:p>
            <w:pPr>
              <w:pStyle w:val="TableContents"/>
              <w:spacing w:before="0" w:after="283"/>
              <w:rPr/>
            </w:pPr>
            <w:r>
              <w:rPr/>
              <w:t xml:space="preserve">  </w:t>
            </w:r>
          </w:p>
        </w:tc>
        <w:tc>
          <w:tcPr>
            <w:tcW w:w="31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6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304" w:type="dxa"/>
            <w:tcBorders/>
            <w:shd w:fill="auto" w:val="clear"/>
            <w:vAlign w:val="bottom"/>
          </w:tcPr>
          <w:p>
            <w:pPr>
              <w:pStyle w:val="TableContents"/>
              <w:spacing w:before="0" w:after="283"/>
              <w:rPr/>
            </w:pPr>
            <w:r>
              <w:rPr/>
              <w:t xml:space="preserve">  </w:t>
            </w:r>
          </w:p>
        </w:tc>
        <w:tc>
          <w:tcPr>
            <w:tcW w:w="30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151,136</w:t>
            </w:r>
          </w:p>
        </w:tc>
        <w:tc>
          <w:tcPr>
            <w:tcW w:w="164"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Export sales from the United States during the years ended December 31, 2010, 2009 and 2008 were $358 million, $301 million and $358 million, respectively. In the year ended December 31, 2010, these exports were shipped primarily to Asia (34%), Europe (27%), Canada (11%), Middle East (11%), South America (6%) and other (11%).</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Sales to customers outside the United States accounted for a significant portion of Roper’s revenues. Sales are attributed to geographic areas based upon the location where the product is ultimately shipped. Roper’s net sales for the years ended December 31, 2010, 2009 and 2008 are shown below by region, except for Canada, which is presented separately as it is the only country in which Roper has had greater than 5% of total sales for any of the three years presented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595"/>
        <w:gridCol w:w="161"/>
        <w:gridCol w:w="161"/>
        <w:gridCol w:w="1135"/>
        <w:gridCol w:w="161"/>
        <w:gridCol w:w="161"/>
        <w:gridCol w:w="1135"/>
        <w:gridCol w:w="161"/>
        <w:gridCol w:w="162"/>
        <w:gridCol w:w="1297"/>
        <w:gridCol w:w="161"/>
        <w:gridCol w:w="161"/>
        <w:gridCol w:w="1135"/>
        <w:gridCol w:w="161"/>
        <w:gridCol w:w="162"/>
        <w:gridCol w:w="1134"/>
        <w:gridCol w:w="162"/>
      </w:tblGrid>
      <w:tr>
        <w:trPr/>
        <w:tc>
          <w:tcPr>
            <w:tcW w:w="259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29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Industrial Technology</w:t>
            </w:r>
          </w:p>
        </w:tc>
        <w:tc>
          <w:tcPr>
            <w:tcW w:w="16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9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Energy Systems and Controls</w:t>
            </w:r>
          </w:p>
        </w:tc>
        <w:tc>
          <w:tcPr>
            <w:tcW w:w="16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45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Medical and Scientific Imaging</w:t>
            </w:r>
          </w:p>
        </w:tc>
        <w:tc>
          <w:tcPr>
            <w:tcW w:w="16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9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RF Technology</w:t>
            </w:r>
          </w:p>
        </w:tc>
        <w:tc>
          <w:tcPr>
            <w:tcW w:w="16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9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b/>
                <w:sz w:val="20"/>
              </w:rPr>
            </w:pPr>
            <w:r>
              <w:rPr>
                <w:rFonts w:ascii="times new roman" w:hAnsi="times new roman"/>
                <w:b/>
                <w:sz w:val="20"/>
              </w:rPr>
              <w:t>2010</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297"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134"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Canada</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44,678</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27,360</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9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15,306</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35,270</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122,614</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Europe</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91,815</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135,019</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29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126,116</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64,605</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13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417,555</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Asia</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49,232</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100,094</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29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79,343</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5,389</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13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234,058</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Middle East</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2,805</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34,912</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29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5,853</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22,387</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13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65,957</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Rest of the world</w:t>
            </w:r>
          </w:p>
        </w:tc>
        <w:tc>
          <w:tcPr>
            <w:tcW w:w="161" w:type="dxa"/>
            <w:tcBorders/>
            <w:shd w:fill="auto" w:val="clear"/>
            <w:vAlign w:val="bottom"/>
          </w:tcPr>
          <w:p>
            <w:pPr>
              <w:pStyle w:val="TableContents"/>
              <w:spacing w:before="0" w:after="283"/>
              <w:rPr/>
            </w:pPr>
            <w:r>
              <w:rPr/>
              <w:t xml:space="preserve">  </w:t>
            </w:r>
          </w:p>
        </w:tc>
        <w:tc>
          <w:tcPr>
            <w:tcW w:w="16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3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22,328</w:t>
            </w:r>
          </w:p>
        </w:tc>
        <w:tc>
          <w:tcPr>
            <w:tcW w:w="161" w:type="dxa"/>
            <w:tcBorders/>
            <w:shd w:fill="auto" w:val="clear"/>
            <w:vAlign w:val="bottom"/>
          </w:tcPr>
          <w:p>
            <w:pPr>
              <w:pStyle w:val="TableContents"/>
              <w:spacing w:before="0" w:after="283"/>
              <w:rPr/>
            </w:pPr>
            <w:r>
              <w:rPr/>
              <w:t xml:space="preserve">  </w:t>
            </w:r>
          </w:p>
        </w:tc>
        <w:tc>
          <w:tcPr>
            <w:tcW w:w="16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3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55,280</w:t>
            </w:r>
          </w:p>
        </w:tc>
        <w:tc>
          <w:tcPr>
            <w:tcW w:w="161" w:type="dxa"/>
            <w:tcBorders/>
            <w:shd w:fill="auto" w:val="clear"/>
            <w:vAlign w:val="bottom"/>
          </w:tcPr>
          <w:p>
            <w:pPr>
              <w:pStyle w:val="TableContents"/>
              <w:spacing w:before="0" w:after="283"/>
              <w:rPr/>
            </w:pPr>
            <w:r>
              <w:rPr/>
              <w:t xml:space="preserve">  </w:t>
            </w:r>
          </w:p>
        </w:tc>
        <w:tc>
          <w:tcPr>
            <w:tcW w:w="16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9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15,169</w:t>
            </w:r>
          </w:p>
        </w:tc>
        <w:tc>
          <w:tcPr>
            <w:tcW w:w="161" w:type="dxa"/>
            <w:tcBorders/>
            <w:shd w:fill="auto" w:val="clear"/>
            <w:vAlign w:val="bottom"/>
          </w:tcPr>
          <w:p>
            <w:pPr>
              <w:pStyle w:val="TableContents"/>
              <w:spacing w:before="0" w:after="283"/>
              <w:rPr/>
            </w:pPr>
            <w:r>
              <w:rPr/>
              <w:t xml:space="preserve">  </w:t>
            </w:r>
          </w:p>
        </w:tc>
        <w:tc>
          <w:tcPr>
            <w:tcW w:w="16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3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10,542</w:t>
            </w:r>
          </w:p>
        </w:tc>
        <w:tc>
          <w:tcPr>
            <w:tcW w:w="161" w:type="dxa"/>
            <w:tcBorders/>
            <w:shd w:fill="auto" w:val="clear"/>
            <w:vAlign w:val="bottom"/>
          </w:tcPr>
          <w:p>
            <w:pPr>
              <w:pStyle w:val="TableContents"/>
              <w:spacing w:before="0" w:after="283"/>
              <w:rPr/>
            </w:pPr>
            <w:r>
              <w:rPr/>
              <w:t xml:space="preserve">  </w:t>
            </w:r>
          </w:p>
        </w:tc>
        <w:tc>
          <w:tcPr>
            <w:tcW w:w="16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34"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103,319</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540" w:right="0" w:hanging="360"/>
              <w:jc w:val="left"/>
              <w:rPr>
                <w:rFonts w:ascii="times new roman" w:hAnsi="times new roman"/>
                <w:sz w:val="20"/>
              </w:rPr>
            </w:pPr>
            <w:r>
              <w:rPr>
                <w:rFonts w:ascii="times new roman" w:hAnsi="times new roman"/>
                <w:sz w:val="20"/>
              </w:rPr>
              <w:t>Total</w:t>
            </w:r>
          </w:p>
        </w:tc>
        <w:tc>
          <w:tcPr>
            <w:tcW w:w="161" w:type="dxa"/>
            <w:tcBorders/>
            <w:shd w:fill="auto" w:val="clear"/>
            <w:vAlign w:val="bottom"/>
          </w:tcPr>
          <w:p>
            <w:pPr>
              <w:pStyle w:val="TableContents"/>
              <w:spacing w:before="0" w:after="283"/>
              <w:rPr/>
            </w:pPr>
            <w:r>
              <w:rPr/>
              <w:t xml:space="preserve">  </w:t>
            </w:r>
          </w:p>
        </w:tc>
        <w:tc>
          <w:tcPr>
            <w:tcW w:w="16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210,858</w:t>
            </w:r>
          </w:p>
        </w:tc>
        <w:tc>
          <w:tcPr>
            <w:tcW w:w="161" w:type="dxa"/>
            <w:tcBorders/>
            <w:shd w:fill="auto" w:val="clear"/>
            <w:vAlign w:val="bottom"/>
          </w:tcPr>
          <w:p>
            <w:pPr>
              <w:pStyle w:val="TableContents"/>
              <w:spacing w:before="0" w:after="283"/>
              <w:rPr/>
            </w:pPr>
            <w:r>
              <w:rPr/>
              <w:t xml:space="preserve">  </w:t>
            </w:r>
          </w:p>
        </w:tc>
        <w:tc>
          <w:tcPr>
            <w:tcW w:w="16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352,665</w:t>
            </w:r>
          </w:p>
        </w:tc>
        <w:tc>
          <w:tcPr>
            <w:tcW w:w="161" w:type="dxa"/>
            <w:tcBorders/>
            <w:shd w:fill="auto" w:val="clear"/>
            <w:vAlign w:val="bottom"/>
          </w:tcPr>
          <w:p>
            <w:pPr>
              <w:pStyle w:val="TableContents"/>
              <w:spacing w:before="0" w:after="283"/>
              <w:rPr/>
            </w:pPr>
            <w:r>
              <w:rPr/>
              <w:t xml:space="preserve">  </w:t>
            </w:r>
          </w:p>
        </w:tc>
        <w:tc>
          <w:tcPr>
            <w:tcW w:w="16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9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241,787</w:t>
            </w:r>
          </w:p>
        </w:tc>
        <w:tc>
          <w:tcPr>
            <w:tcW w:w="161" w:type="dxa"/>
            <w:tcBorders/>
            <w:shd w:fill="auto" w:val="clear"/>
            <w:vAlign w:val="bottom"/>
          </w:tcPr>
          <w:p>
            <w:pPr>
              <w:pStyle w:val="TableContents"/>
              <w:spacing w:before="0" w:after="283"/>
              <w:rPr/>
            </w:pPr>
            <w:r>
              <w:rPr/>
              <w:t xml:space="preserve">  </w:t>
            </w:r>
          </w:p>
        </w:tc>
        <w:tc>
          <w:tcPr>
            <w:tcW w:w="16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138,193</w:t>
            </w:r>
          </w:p>
        </w:tc>
        <w:tc>
          <w:tcPr>
            <w:tcW w:w="161" w:type="dxa"/>
            <w:tcBorders/>
            <w:shd w:fill="auto" w:val="clear"/>
            <w:vAlign w:val="bottom"/>
          </w:tcPr>
          <w:p>
            <w:pPr>
              <w:pStyle w:val="TableContents"/>
              <w:spacing w:before="0" w:after="283"/>
              <w:rPr/>
            </w:pPr>
            <w:r>
              <w:rPr/>
              <w:t xml:space="preserve">  </w:t>
            </w:r>
          </w:p>
        </w:tc>
        <w:tc>
          <w:tcPr>
            <w:tcW w:w="16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4"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943,503</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297"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134"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b/>
                <w:sz w:val="20"/>
              </w:rPr>
            </w:pPr>
            <w:r>
              <w:rPr>
                <w:rFonts w:ascii="times new roman" w:hAnsi="times new roman"/>
                <w:b/>
                <w:sz w:val="20"/>
              </w:rPr>
              <w:t>2009</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297"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134"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Canada</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40,121</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25,746</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9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7,251</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30,184</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103,302</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Europe</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79,000</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118,770</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29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98,328</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48,849</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13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344,947</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Asia</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41,364</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85,323</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29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65,687</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6,157</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13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198,531</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Middle East</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4,040</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28,121</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29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2,162</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28,316</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13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62,639</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Rest of the world</w:t>
            </w:r>
          </w:p>
        </w:tc>
        <w:tc>
          <w:tcPr>
            <w:tcW w:w="161" w:type="dxa"/>
            <w:tcBorders/>
            <w:shd w:fill="auto" w:val="clear"/>
            <w:vAlign w:val="bottom"/>
          </w:tcPr>
          <w:p>
            <w:pPr>
              <w:pStyle w:val="TableContents"/>
              <w:spacing w:before="0" w:after="283"/>
              <w:rPr/>
            </w:pPr>
            <w:r>
              <w:rPr/>
              <w:t xml:space="preserve">  </w:t>
            </w:r>
          </w:p>
        </w:tc>
        <w:tc>
          <w:tcPr>
            <w:tcW w:w="16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3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12,256</w:t>
            </w:r>
          </w:p>
        </w:tc>
        <w:tc>
          <w:tcPr>
            <w:tcW w:w="161" w:type="dxa"/>
            <w:tcBorders/>
            <w:shd w:fill="auto" w:val="clear"/>
            <w:vAlign w:val="bottom"/>
          </w:tcPr>
          <w:p>
            <w:pPr>
              <w:pStyle w:val="TableContents"/>
              <w:spacing w:before="0" w:after="283"/>
              <w:rPr/>
            </w:pPr>
            <w:r>
              <w:rPr/>
              <w:t xml:space="preserve">  </w:t>
            </w:r>
          </w:p>
        </w:tc>
        <w:tc>
          <w:tcPr>
            <w:tcW w:w="16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3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48,657</w:t>
            </w:r>
          </w:p>
        </w:tc>
        <w:tc>
          <w:tcPr>
            <w:tcW w:w="161" w:type="dxa"/>
            <w:tcBorders/>
            <w:shd w:fill="auto" w:val="clear"/>
            <w:vAlign w:val="bottom"/>
          </w:tcPr>
          <w:p>
            <w:pPr>
              <w:pStyle w:val="TableContents"/>
              <w:spacing w:before="0" w:after="283"/>
              <w:rPr/>
            </w:pPr>
            <w:r>
              <w:rPr/>
              <w:t xml:space="preserve">  </w:t>
            </w:r>
          </w:p>
        </w:tc>
        <w:tc>
          <w:tcPr>
            <w:tcW w:w="16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9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9,424</w:t>
            </w:r>
          </w:p>
        </w:tc>
        <w:tc>
          <w:tcPr>
            <w:tcW w:w="161" w:type="dxa"/>
            <w:tcBorders/>
            <w:shd w:fill="auto" w:val="clear"/>
            <w:vAlign w:val="bottom"/>
          </w:tcPr>
          <w:p>
            <w:pPr>
              <w:pStyle w:val="TableContents"/>
              <w:spacing w:before="0" w:after="283"/>
              <w:rPr/>
            </w:pPr>
            <w:r>
              <w:rPr/>
              <w:t xml:space="preserve">  </w:t>
            </w:r>
          </w:p>
        </w:tc>
        <w:tc>
          <w:tcPr>
            <w:tcW w:w="16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3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11,042</w:t>
            </w:r>
          </w:p>
        </w:tc>
        <w:tc>
          <w:tcPr>
            <w:tcW w:w="161" w:type="dxa"/>
            <w:tcBorders/>
            <w:shd w:fill="auto" w:val="clear"/>
            <w:vAlign w:val="bottom"/>
          </w:tcPr>
          <w:p>
            <w:pPr>
              <w:pStyle w:val="TableContents"/>
              <w:spacing w:before="0" w:after="283"/>
              <w:rPr/>
            </w:pPr>
            <w:r>
              <w:rPr/>
              <w:t xml:space="preserve">  </w:t>
            </w:r>
          </w:p>
        </w:tc>
        <w:tc>
          <w:tcPr>
            <w:tcW w:w="16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34"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81,379</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540" w:right="0" w:hanging="360"/>
              <w:jc w:val="left"/>
              <w:rPr>
                <w:rFonts w:ascii="times new roman" w:hAnsi="times new roman"/>
                <w:sz w:val="20"/>
              </w:rPr>
            </w:pPr>
            <w:r>
              <w:rPr>
                <w:rFonts w:ascii="times new roman" w:hAnsi="times new roman"/>
                <w:sz w:val="20"/>
              </w:rPr>
              <w:t>Total</w:t>
            </w:r>
          </w:p>
        </w:tc>
        <w:tc>
          <w:tcPr>
            <w:tcW w:w="161" w:type="dxa"/>
            <w:tcBorders/>
            <w:shd w:fill="auto" w:val="clear"/>
            <w:vAlign w:val="bottom"/>
          </w:tcPr>
          <w:p>
            <w:pPr>
              <w:pStyle w:val="TableContents"/>
              <w:spacing w:before="0" w:after="283"/>
              <w:rPr/>
            </w:pPr>
            <w:r>
              <w:rPr/>
              <w:t xml:space="preserve">  </w:t>
            </w:r>
          </w:p>
        </w:tc>
        <w:tc>
          <w:tcPr>
            <w:tcW w:w="16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176,781</w:t>
            </w:r>
          </w:p>
        </w:tc>
        <w:tc>
          <w:tcPr>
            <w:tcW w:w="161" w:type="dxa"/>
            <w:tcBorders/>
            <w:shd w:fill="auto" w:val="clear"/>
            <w:vAlign w:val="bottom"/>
          </w:tcPr>
          <w:p>
            <w:pPr>
              <w:pStyle w:val="TableContents"/>
              <w:spacing w:before="0" w:after="283"/>
              <w:rPr/>
            </w:pPr>
            <w:r>
              <w:rPr/>
              <w:t xml:space="preserve">  </w:t>
            </w:r>
          </w:p>
        </w:tc>
        <w:tc>
          <w:tcPr>
            <w:tcW w:w="16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306,617</w:t>
            </w:r>
          </w:p>
        </w:tc>
        <w:tc>
          <w:tcPr>
            <w:tcW w:w="161" w:type="dxa"/>
            <w:tcBorders/>
            <w:shd w:fill="auto" w:val="clear"/>
            <w:vAlign w:val="bottom"/>
          </w:tcPr>
          <w:p>
            <w:pPr>
              <w:pStyle w:val="TableContents"/>
              <w:spacing w:before="0" w:after="283"/>
              <w:rPr/>
            </w:pPr>
            <w:r>
              <w:rPr/>
              <w:t xml:space="preserve">  </w:t>
            </w:r>
          </w:p>
        </w:tc>
        <w:tc>
          <w:tcPr>
            <w:tcW w:w="16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9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182,852</w:t>
            </w:r>
          </w:p>
        </w:tc>
        <w:tc>
          <w:tcPr>
            <w:tcW w:w="161" w:type="dxa"/>
            <w:tcBorders/>
            <w:shd w:fill="auto" w:val="clear"/>
            <w:vAlign w:val="bottom"/>
          </w:tcPr>
          <w:p>
            <w:pPr>
              <w:pStyle w:val="TableContents"/>
              <w:spacing w:before="0" w:after="283"/>
              <w:rPr/>
            </w:pPr>
            <w:r>
              <w:rPr/>
              <w:t xml:space="preserve">  </w:t>
            </w:r>
          </w:p>
        </w:tc>
        <w:tc>
          <w:tcPr>
            <w:tcW w:w="16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124,548</w:t>
            </w:r>
          </w:p>
        </w:tc>
        <w:tc>
          <w:tcPr>
            <w:tcW w:w="161" w:type="dxa"/>
            <w:tcBorders/>
            <w:shd w:fill="auto" w:val="clear"/>
            <w:vAlign w:val="bottom"/>
          </w:tcPr>
          <w:p>
            <w:pPr>
              <w:pStyle w:val="TableContents"/>
              <w:spacing w:before="0" w:after="283"/>
              <w:rPr/>
            </w:pPr>
            <w:r>
              <w:rPr/>
              <w:t xml:space="preserve">  </w:t>
            </w:r>
          </w:p>
        </w:tc>
        <w:tc>
          <w:tcPr>
            <w:tcW w:w="16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4"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790,798</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297"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134"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b/>
                <w:sz w:val="20"/>
              </w:rPr>
            </w:pPr>
            <w:r>
              <w:rPr>
                <w:rFonts w:ascii="times new roman" w:hAnsi="times new roman"/>
                <w:b/>
                <w:sz w:val="20"/>
              </w:rPr>
              <w:t>2008</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297"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134"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Canada</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39,831</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40,951</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9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8,814</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30,909</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120,505</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Europe</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110,590</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171,627</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29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111,373</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21,372</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13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414,962</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Asia</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50,333</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90,265</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29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69,820</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4,473</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13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214,891</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Middle East</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3,766</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23,506</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297"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1,576</w:t>
            </w:r>
          </w:p>
        </w:tc>
        <w:tc>
          <w:tcPr>
            <w:tcW w:w="161" w:type="dxa"/>
            <w:tcBorders/>
            <w:shd w:fill="auto" w:val="clear"/>
            <w:vAlign w:val="bottom"/>
          </w:tcPr>
          <w:p>
            <w:pPr>
              <w:pStyle w:val="TableContents"/>
              <w:spacing w:before="0" w:after="283"/>
              <w:rPr/>
            </w:pPr>
            <w:r>
              <w:rPr/>
              <w:t xml:space="preserve">  </w:t>
            </w:r>
          </w:p>
        </w:tc>
        <w:tc>
          <w:tcPr>
            <w:tcW w:w="161" w:type="dxa"/>
            <w:tcBorders/>
            <w:shd w:fill="auto" w:val="clear"/>
            <w:vAlign w:val="bottom"/>
          </w:tcPr>
          <w:p>
            <w:pPr>
              <w:pStyle w:val="TableContents"/>
              <w:spacing w:before="0" w:after="283"/>
              <w:rPr/>
            </w:pPr>
            <w:r>
              <w:rPr/>
              <w:t xml:space="preserve">  </w:t>
            </w:r>
          </w:p>
        </w:tc>
        <w:tc>
          <w:tcPr>
            <w:tcW w:w="113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34,418</w:t>
            </w:r>
          </w:p>
        </w:tc>
        <w:tc>
          <w:tcPr>
            <w:tcW w:w="161" w:type="dxa"/>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rPr/>
            </w:pPr>
            <w:r>
              <w:rPr/>
              <w:t xml:space="preserve">  </w:t>
            </w:r>
          </w:p>
        </w:tc>
        <w:tc>
          <w:tcPr>
            <w:tcW w:w="113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63,266</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Rest of the world</w:t>
            </w:r>
          </w:p>
        </w:tc>
        <w:tc>
          <w:tcPr>
            <w:tcW w:w="161" w:type="dxa"/>
            <w:tcBorders/>
            <w:shd w:fill="auto" w:val="clear"/>
            <w:vAlign w:val="bottom"/>
          </w:tcPr>
          <w:p>
            <w:pPr>
              <w:pStyle w:val="TableContents"/>
              <w:spacing w:before="0" w:after="283"/>
              <w:rPr/>
            </w:pPr>
            <w:r>
              <w:rPr/>
              <w:t xml:space="preserve">  </w:t>
            </w:r>
          </w:p>
        </w:tc>
        <w:tc>
          <w:tcPr>
            <w:tcW w:w="16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3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27,406</w:t>
            </w:r>
          </w:p>
        </w:tc>
        <w:tc>
          <w:tcPr>
            <w:tcW w:w="161" w:type="dxa"/>
            <w:tcBorders/>
            <w:shd w:fill="auto" w:val="clear"/>
            <w:vAlign w:val="bottom"/>
          </w:tcPr>
          <w:p>
            <w:pPr>
              <w:pStyle w:val="TableContents"/>
              <w:spacing w:before="0" w:after="283"/>
              <w:rPr/>
            </w:pPr>
            <w:r>
              <w:rPr/>
              <w:t xml:space="preserve">  </w:t>
            </w:r>
          </w:p>
        </w:tc>
        <w:tc>
          <w:tcPr>
            <w:tcW w:w="16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3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58,330</w:t>
            </w:r>
          </w:p>
        </w:tc>
        <w:tc>
          <w:tcPr>
            <w:tcW w:w="161" w:type="dxa"/>
            <w:tcBorders/>
            <w:shd w:fill="auto" w:val="clear"/>
            <w:vAlign w:val="bottom"/>
          </w:tcPr>
          <w:p>
            <w:pPr>
              <w:pStyle w:val="TableContents"/>
              <w:spacing w:before="0" w:after="283"/>
              <w:rPr/>
            </w:pPr>
            <w:r>
              <w:rPr/>
              <w:t xml:space="preserve">  </w:t>
            </w:r>
          </w:p>
        </w:tc>
        <w:tc>
          <w:tcPr>
            <w:tcW w:w="16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297"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7,732</w:t>
            </w:r>
          </w:p>
        </w:tc>
        <w:tc>
          <w:tcPr>
            <w:tcW w:w="161" w:type="dxa"/>
            <w:tcBorders/>
            <w:shd w:fill="auto" w:val="clear"/>
            <w:vAlign w:val="bottom"/>
          </w:tcPr>
          <w:p>
            <w:pPr>
              <w:pStyle w:val="TableContents"/>
              <w:spacing w:before="0" w:after="283"/>
              <w:rPr/>
            </w:pPr>
            <w:r>
              <w:rPr/>
              <w:t xml:space="preserve">  </w:t>
            </w:r>
          </w:p>
        </w:tc>
        <w:tc>
          <w:tcPr>
            <w:tcW w:w="16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35"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11,993</w:t>
            </w:r>
          </w:p>
        </w:tc>
        <w:tc>
          <w:tcPr>
            <w:tcW w:w="161" w:type="dxa"/>
            <w:tcBorders/>
            <w:shd w:fill="auto" w:val="clear"/>
            <w:vAlign w:val="bottom"/>
          </w:tcPr>
          <w:p>
            <w:pPr>
              <w:pStyle w:val="TableContents"/>
              <w:spacing w:before="0" w:after="283"/>
              <w:rPr/>
            </w:pPr>
            <w:r>
              <w:rPr/>
              <w:t xml:space="preserve">  </w:t>
            </w:r>
          </w:p>
        </w:tc>
        <w:tc>
          <w:tcPr>
            <w:tcW w:w="162"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134"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105,461</w:t>
            </w:r>
          </w:p>
        </w:tc>
        <w:tc>
          <w:tcPr>
            <w:tcW w:w="162" w:type="dxa"/>
            <w:tcBorders/>
            <w:shd w:fill="auto" w:val="clear"/>
            <w:vAlign w:val="bottom"/>
          </w:tcPr>
          <w:p>
            <w:pPr>
              <w:pStyle w:val="TableContents"/>
              <w:spacing w:before="0" w:after="283"/>
              <w:rPr/>
            </w:pPr>
            <w:r>
              <w:rPr/>
              <w:t xml:space="preserve">  </w:t>
            </w:r>
          </w:p>
        </w:tc>
      </w:tr>
      <w:tr>
        <w:trPr/>
        <w:tc>
          <w:tcPr>
            <w:tcW w:w="2595" w:type="dxa"/>
            <w:tcBorders/>
            <w:shd w:fill="auto" w:val="clear"/>
            <w:vAlign w:val="bottom"/>
          </w:tcPr>
          <w:p>
            <w:pPr>
              <w:pStyle w:val="TableContents"/>
              <w:spacing w:before="0" w:after="0"/>
              <w:ind w:left="540" w:right="0" w:hanging="360"/>
              <w:jc w:val="left"/>
              <w:rPr>
                <w:rFonts w:ascii="times new roman" w:hAnsi="times new roman"/>
                <w:sz w:val="20"/>
              </w:rPr>
            </w:pPr>
            <w:r>
              <w:rPr>
                <w:rFonts w:ascii="times new roman" w:hAnsi="times new roman"/>
                <w:sz w:val="20"/>
              </w:rPr>
              <w:t>Total</w:t>
            </w:r>
          </w:p>
        </w:tc>
        <w:tc>
          <w:tcPr>
            <w:tcW w:w="161" w:type="dxa"/>
            <w:tcBorders/>
            <w:shd w:fill="auto" w:val="clear"/>
            <w:vAlign w:val="bottom"/>
          </w:tcPr>
          <w:p>
            <w:pPr>
              <w:pStyle w:val="TableContents"/>
              <w:spacing w:before="0" w:after="283"/>
              <w:rPr/>
            </w:pPr>
            <w:r>
              <w:rPr/>
              <w:t xml:space="preserve">  </w:t>
            </w:r>
          </w:p>
        </w:tc>
        <w:tc>
          <w:tcPr>
            <w:tcW w:w="16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231,926</w:t>
            </w:r>
          </w:p>
        </w:tc>
        <w:tc>
          <w:tcPr>
            <w:tcW w:w="161" w:type="dxa"/>
            <w:tcBorders/>
            <w:shd w:fill="auto" w:val="clear"/>
            <w:vAlign w:val="bottom"/>
          </w:tcPr>
          <w:p>
            <w:pPr>
              <w:pStyle w:val="TableContents"/>
              <w:spacing w:before="0" w:after="283"/>
              <w:rPr/>
            </w:pPr>
            <w:r>
              <w:rPr/>
              <w:t xml:space="preserve">  </w:t>
            </w:r>
          </w:p>
        </w:tc>
        <w:tc>
          <w:tcPr>
            <w:tcW w:w="16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384,679</w:t>
            </w:r>
          </w:p>
        </w:tc>
        <w:tc>
          <w:tcPr>
            <w:tcW w:w="161" w:type="dxa"/>
            <w:tcBorders/>
            <w:shd w:fill="auto" w:val="clear"/>
            <w:vAlign w:val="bottom"/>
          </w:tcPr>
          <w:p>
            <w:pPr>
              <w:pStyle w:val="TableContents"/>
              <w:spacing w:before="0" w:after="283"/>
              <w:rPr/>
            </w:pPr>
            <w:r>
              <w:rPr/>
              <w:t xml:space="preserve">  </w:t>
            </w:r>
          </w:p>
        </w:tc>
        <w:tc>
          <w:tcPr>
            <w:tcW w:w="16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9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199,315</w:t>
            </w:r>
          </w:p>
        </w:tc>
        <w:tc>
          <w:tcPr>
            <w:tcW w:w="161" w:type="dxa"/>
            <w:tcBorders/>
            <w:shd w:fill="auto" w:val="clear"/>
            <w:vAlign w:val="bottom"/>
          </w:tcPr>
          <w:p>
            <w:pPr>
              <w:pStyle w:val="TableContents"/>
              <w:spacing w:before="0" w:after="283"/>
              <w:rPr/>
            </w:pPr>
            <w:r>
              <w:rPr/>
              <w:t xml:space="preserve">  </w:t>
            </w:r>
          </w:p>
        </w:tc>
        <w:tc>
          <w:tcPr>
            <w:tcW w:w="16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103,165</w:t>
            </w:r>
          </w:p>
        </w:tc>
        <w:tc>
          <w:tcPr>
            <w:tcW w:w="161" w:type="dxa"/>
            <w:tcBorders/>
            <w:shd w:fill="auto" w:val="clear"/>
            <w:vAlign w:val="bottom"/>
          </w:tcPr>
          <w:p>
            <w:pPr>
              <w:pStyle w:val="TableContents"/>
              <w:spacing w:before="0" w:after="283"/>
              <w:rPr/>
            </w:pPr>
            <w:r>
              <w:rPr/>
              <w:t xml:space="preserve">  </w:t>
            </w:r>
          </w:p>
        </w:tc>
        <w:tc>
          <w:tcPr>
            <w:tcW w:w="16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4"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919,085</w:t>
            </w:r>
          </w:p>
        </w:tc>
        <w:tc>
          <w:tcPr>
            <w:tcW w:w="162"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297" w:name="list53"/>
      <w:bookmarkStart w:id="298" w:name="list53"/>
      <w:bookmarkEnd w:id="298"/>
    </w:p>
    <w:tbl>
      <w:tblPr>
        <w:tblW w:w="5000" w:type="pct"/>
        <w:jc w:val="left"/>
        <w:tblInd w:w="0" w:type="dxa"/>
        <w:tblCellMar>
          <w:top w:w="0" w:type="dxa"/>
          <w:left w:w="0" w:type="dxa"/>
          <w:bottom w:w="0" w:type="dxa"/>
          <w:right w:w="0" w:type="dxa"/>
        </w:tblCellMar>
      </w:tblPr>
      <w:tblGrid>
        <w:gridCol w:w="2027"/>
        <w:gridCol w:w="8178"/>
      </w:tblGrid>
      <w:tr>
        <w:trPr/>
        <w:tc>
          <w:tcPr>
            <w:tcW w:w="202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(16)  </w:t>
            </w:r>
          </w:p>
        </w:tc>
        <w:tc>
          <w:tcPr>
            <w:tcW w:w="8178"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Concentration of Risk</w:t>
            </w:r>
          </w:p>
        </w:tc>
      </w:tr>
    </w:tbl>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Financial instruments which potentially subject the Company to credit risk consist primarily of cash, cash equivalents and trade receivables.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The Company maintains cash and cash equivalents with various major financial institutions. Cash equivalents include investments in commercial paper of companies with high credit ratings, investments in money market securities and securities backed by the U.S. Government. At times such amounts may exceed the F.D.I.C. limits. The Company limits the amount of credit exposure with any one financial institution and believes that no significant concentration of credit risk exists with respect to cash investments.</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Trade receivables subject the company to the potential for credit risk with customers. To reduce credit risk, the Company performs ongoing evaluations of its customers’ financial condition.</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299" w:name="list54"/>
      <w:bookmarkStart w:id="300" w:name="list54"/>
      <w:bookmarkEnd w:id="300"/>
    </w:p>
    <w:tbl>
      <w:tblPr>
        <w:tblW w:w="5000" w:type="pct"/>
        <w:jc w:val="left"/>
        <w:tblInd w:w="0" w:type="dxa"/>
        <w:tblCellMar>
          <w:top w:w="0" w:type="dxa"/>
          <w:left w:w="0" w:type="dxa"/>
          <w:bottom w:w="0" w:type="dxa"/>
          <w:right w:w="0" w:type="dxa"/>
        </w:tblCellMar>
      </w:tblPr>
      <w:tblGrid>
        <w:gridCol w:w="1336"/>
        <w:gridCol w:w="8869"/>
      </w:tblGrid>
      <w:tr>
        <w:trPr/>
        <w:tc>
          <w:tcPr>
            <w:tcW w:w="133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(17)  </w:t>
            </w:r>
          </w:p>
        </w:tc>
        <w:tc>
          <w:tcPr>
            <w:tcW w:w="8869"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Quarterly Financial Data (unaudited)</w:t>
            </w:r>
          </w:p>
        </w:tc>
      </w:tr>
    </w:tbl>
    <w:p>
      <w:pPr>
        <w:pStyle w:val="TextBody"/>
        <w:spacing w:before="0" w:after="0"/>
        <w:ind w:left="0" w:right="0" w:hanging="0"/>
        <w:rPr/>
      </w:pPr>
      <w:r>
        <w:rPr/>
      </w:r>
    </w:p>
    <w:tbl>
      <w:tblPr>
        <w:tblW w:w="3750" w:type="pct"/>
        <w:jc w:val="center"/>
        <w:tblInd w:w="0" w:type="dxa"/>
        <w:tblCellMar>
          <w:top w:w="0" w:type="dxa"/>
          <w:left w:w="0" w:type="dxa"/>
          <w:bottom w:w="0" w:type="dxa"/>
          <w:right w:w="0" w:type="dxa"/>
        </w:tblCellMar>
      </w:tblPr>
      <w:tblGrid>
        <w:gridCol w:w="2649"/>
        <w:gridCol w:w="99"/>
        <w:gridCol w:w="138"/>
        <w:gridCol w:w="865"/>
        <w:gridCol w:w="99"/>
        <w:gridCol w:w="202"/>
        <w:gridCol w:w="865"/>
        <w:gridCol w:w="99"/>
        <w:gridCol w:w="246"/>
        <w:gridCol w:w="1106"/>
        <w:gridCol w:w="99"/>
        <w:gridCol w:w="202"/>
        <w:gridCol w:w="865"/>
        <w:gridCol w:w="119"/>
      </w:tblGrid>
      <w:tr>
        <w:trPr/>
        <w:tc>
          <w:tcPr>
            <w:tcW w:w="2649"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10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First Quarter</w:t>
            </w:r>
          </w:p>
        </w:tc>
        <w:tc>
          <w:tcPr>
            <w:tcW w:w="99"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Second Quarter</w:t>
            </w:r>
          </w:p>
        </w:tc>
        <w:tc>
          <w:tcPr>
            <w:tcW w:w="99"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35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Third  Quarter</w:t>
            </w:r>
          </w:p>
        </w:tc>
        <w:tc>
          <w:tcPr>
            <w:tcW w:w="99"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Fourth Quarter</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4786" w:type="dxa"/>
            <w:gridSpan w:val="11"/>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(in thousands, except per share data)</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360" w:right="0" w:hanging="360"/>
              <w:jc w:val="left"/>
              <w:rPr>
                <w:rFonts w:ascii="times new roman" w:hAnsi="times new roman"/>
                <w:b/>
                <w:sz w:val="20"/>
              </w:rPr>
            </w:pPr>
            <w:r>
              <w:rPr>
                <w:rFonts w:ascii="times new roman" w:hAnsi="times new roman"/>
                <w:b/>
                <w:sz w:val="20"/>
              </w:rPr>
              <w:t>2010</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Net sales</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534,441</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567,104</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605,088</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679,479</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Gross profit</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279,565</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301,947</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321,749</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371,865</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Income from operations</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100,716</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119,187</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128,233</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166,158</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Net earnings</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59,725</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71,281</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84,263</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107,311</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540" w:right="0" w:hanging="360"/>
              <w:jc w:val="left"/>
              <w:rPr>
                <w:rFonts w:ascii="times new roman" w:hAnsi="times new roman"/>
                <w:sz w:val="20"/>
              </w:rPr>
            </w:pPr>
            <w:r>
              <w:rPr>
                <w:rFonts w:ascii="times new roman" w:hAnsi="times new roman"/>
                <w:sz w:val="20"/>
              </w:rPr>
              <w:t>Earnings from continuing operations per common share:</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900" w:right="0" w:hanging="360"/>
              <w:jc w:val="left"/>
              <w:rPr>
                <w:rFonts w:ascii="times new roman" w:hAnsi="times new roman"/>
                <w:sz w:val="20"/>
              </w:rPr>
            </w:pPr>
            <w:r>
              <w:rPr>
                <w:rFonts w:ascii="times new roman" w:hAnsi="times new roman"/>
                <w:sz w:val="20"/>
              </w:rPr>
              <w:t>Basic</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0.64</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0.76</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0.89</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1.13</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900" w:right="0" w:hanging="360"/>
              <w:jc w:val="left"/>
              <w:rPr>
                <w:rFonts w:ascii="times new roman" w:hAnsi="times new roman"/>
                <w:sz w:val="20"/>
              </w:rPr>
            </w:pPr>
            <w:r>
              <w:rPr>
                <w:rFonts w:ascii="times new roman" w:hAnsi="times new roman"/>
                <w:sz w:val="20"/>
              </w:rPr>
              <w:t>Diluted</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0.62</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0.74</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0.87</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1.10</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360" w:right="0" w:hanging="360"/>
              <w:jc w:val="left"/>
              <w:rPr>
                <w:rFonts w:ascii="times new roman" w:hAnsi="times new roman"/>
                <w:b/>
                <w:sz w:val="20"/>
              </w:rPr>
            </w:pPr>
            <w:r>
              <w:rPr>
                <w:rFonts w:ascii="times new roman" w:hAnsi="times new roman"/>
                <w:b/>
                <w:sz w:val="20"/>
              </w:rPr>
              <w:t>2009</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Net sales</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505,444</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504,910</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485,676</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553,638</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Gross profit</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251,136</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255,070</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245,520</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291,412</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Income from operations</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86,792</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95,964</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91,872</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120,768</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Net earnings</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51,559</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59,588</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56,410</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71,924</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540" w:right="0" w:hanging="360"/>
              <w:jc w:val="left"/>
              <w:rPr>
                <w:rFonts w:ascii="times new roman" w:hAnsi="times new roman"/>
                <w:sz w:val="20"/>
              </w:rPr>
            </w:pPr>
            <w:r>
              <w:rPr>
                <w:rFonts w:ascii="times new roman" w:hAnsi="times new roman"/>
                <w:sz w:val="20"/>
              </w:rPr>
              <w:t>Earnings from continuing operations per common share:</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900" w:right="0" w:hanging="360"/>
              <w:jc w:val="left"/>
              <w:rPr>
                <w:rFonts w:ascii="times new roman" w:hAnsi="times new roman"/>
                <w:sz w:val="20"/>
              </w:rPr>
            </w:pPr>
            <w:r>
              <w:rPr>
                <w:rFonts w:ascii="times new roman" w:hAnsi="times new roman"/>
                <w:sz w:val="20"/>
              </w:rPr>
              <w:t>Basic</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0.57</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0.66</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0.62</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0.79</w:t>
            </w:r>
          </w:p>
        </w:tc>
        <w:tc>
          <w:tcPr>
            <w:tcW w:w="119" w:type="dxa"/>
            <w:tcBorders/>
            <w:shd w:fill="auto" w:val="clear"/>
            <w:vAlign w:val="bottom"/>
          </w:tcPr>
          <w:p>
            <w:pPr>
              <w:pStyle w:val="TableContents"/>
              <w:spacing w:before="0" w:after="283"/>
              <w:rPr/>
            </w:pPr>
            <w:r>
              <w:rPr/>
              <w:t xml:space="preserve">  </w:t>
            </w:r>
          </w:p>
        </w:tc>
      </w:tr>
      <w:tr>
        <w:trPr/>
        <w:tc>
          <w:tcPr>
            <w:tcW w:w="2649" w:type="dxa"/>
            <w:tcBorders/>
            <w:shd w:fill="auto" w:val="clear"/>
            <w:vAlign w:val="bottom"/>
          </w:tcPr>
          <w:p>
            <w:pPr>
              <w:pStyle w:val="TableContents"/>
              <w:spacing w:before="0" w:after="0"/>
              <w:ind w:left="900" w:right="0" w:hanging="360"/>
              <w:jc w:val="left"/>
              <w:rPr>
                <w:rFonts w:ascii="times new roman" w:hAnsi="times new roman"/>
                <w:sz w:val="20"/>
              </w:rPr>
            </w:pPr>
            <w:r>
              <w:rPr>
                <w:rFonts w:ascii="times new roman" w:hAnsi="times new roman"/>
                <w:sz w:val="20"/>
              </w:rPr>
              <w:t>Diluted</w:t>
            </w:r>
          </w:p>
        </w:tc>
        <w:tc>
          <w:tcPr>
            <w:tcW w:w="99"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0.56</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0.64</w:t>
            </w:r>
          </w:p>
        </w:tc>
        <w:tc>
          <w:tcPr>
            <w:tcW w:w="99"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xml:space="preserve">  </w:t>
            </w:r>
          </w:p>
        </w:tc>
        <w:tc>
          <w:tcPr>
            <w:tcW w:w="110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0.61</w:t>
            </w:r>
          </w:p>
        </w:tc>
        <w:tc>
          <w:tcPr>
            <w:tcW w:w="99"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86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0.77</w:t>
            </w:r>
          </w:p>
        </w:tc>
        <w:tc>
          <w:tcPr>
            <w:tcW w:w="119"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360" w:right="0" w:hanging="0"/>
        <w:jc w:val="left"/>
        <w:rPr>
          <w:rFonts w:ascii="Times New Roman" w:hAnsi="Times New Roman"/>
          <w:sz w:val="20"/>
        </w:rPr>
      </w:pPr>
      <w:r>
        <w:rPr>
          <w:rFonts w:ascii="Times New Roman" w:hAnsi="Times New Roman"/>
          <w:sz w:val="20"/>
        </w:rPr>
        <w:t>The sum of the four quarters may not agree with the total for the year due to rounding.</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1" w:name="PGBRK15"/>
      <w:bookmarkStart w:id="302" w:name="PGBRK15"/>
      <w:bookmarkEnd w:id="3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03" w:name="FTR15"/>
      <w:bookmarkEnd w:id="30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4" w:name="GLFTR15"/>
      <w:bookmarkEnd w:id="3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5" w:name="PN15"/>
      <w:bookmarkEnd w:id="305"/>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6" w:name="HDR15"/>
      <w:bookmarkStart w:id="307" w:name="HDR15"/>
      <w:bookmarkEnd w:id="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8" w:name="GLHDR15"/>
      <w:bookmarkEnd w:id="3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ROPER INDUSTRIES, INC. AND SUBSIDIARIES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309" w:name="hangingindent29"/>
      <w:bookmarkEnd w:id="309"/>
      <w:r>
        <w:rPr>
          <w:rFonts w:ascii="Times New Roman" w:hAnsi="Times New Roman"/>
          <w:sz w:val="20"/>
        </w:rPr>
        <w:t>Schedule II – Consolidated Valuation and Qualifying Accounts</w:t>
      </w:r>
    </w:p>
    <w:p>
      <w:pPr>
        <w:pStyle w:val="TextBody"/>
        <w:spacing w:before="0" w:after="0"/>
        <w:jc w:val="center"/>
        <w:rPr>
          <w:rFonts w:ascii="Times New Roman" w:hAnsi="Times New Roman"/>
          <w:sz w:val="20"/>
        </w:rPr>
      </w:pPr>
      <w:r>
        <w:rPr>
          <w:rFonts w:ascii="Times New Roman" w:hAnsi="Times New Roman"/>
          <w:sz w:val="20"/>
        </w:rPr>
        <w:t>Years ended December 31, 2010, 2009 and 2008</w:t>
      </w:r>
    </w:p>
    <w:p>
      <w:pPr>
        <w:pStyle w:val="TextBody"/>
        <w:spacing w:before="0" w:after="0"/>
        <w:ind w:left="0" w:right="0" w:hanging="0"/>
        <w:rPr/>
      </w:pPr>
      <w:r>
        <w:rPr/>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2095"/>
        <w:gridCol w:w="182"/>
        <w:gridCol w:w="151"/>
        <w:gridCol w:w="917"/>
        <w:gridCol w:w="88"/>
        <w:gridCol w:w="88"/>
        <w:gridCol w:w="148"/>
        <w:gridCol w:w="900"/>
        <w:gridCol w:w="88"/>
        <w:gridCol w:w="88"/>
        <w:gridCol w:w="153"/>
        <w:gridCol w:w="978"/>
        <w:gridCol w:w="102"/>
        <w:gridCol w:w="88"/>
        <w:gridCol w:w="134"/>
        <w:gridCol w:w="697"/>
        <w:gridCol w:w="102"/>
        <w:gridCol w:w="88"/>
        <w:gridCol w:w="133"/>
        <w:gridCol w:w="833"/>
        <w:gridCol w:w="111"/>
      </w:tblGrid>
      <w:tr>
        <w:trPr/>
        <w:tc>
          <w:tcPr>
            <w:tcW w:w="2095" w:type="dxa"/>
            <w:tcBorders/>
            <w:shd w:fill="auto" w:val="clear"/>
            <w:vAlign w:val="bottom"/>
          </w:tcPr>
          <w:p>
            <w:pPr>
              <w:pStyle w:val="TableContents"/>
              <w:spacing w:before="0" w:after="283"/>
              <w:rPr/>
            </w:pPr>
            <w:r>
              <w:rPr/>
              <w:t xml:space="preserve">  </w:t>
            </w:r>
          </w:p>
        </w:tc>
        <w:tc>
          <w:tcPr>
            <w:tcW w:w="182" w:type="dxa"/>
            <w:tcBorders/>
            <w:shd w:fill="auto" w:val="clear"/>
            <w:vAlign w:val="bottom"/>
          </w:tcPr>
          <w:p>
            <w:pPr>
              <w:pStyle w:val="TableContents"/>
              <w:spacing w:before="0" w:after="283"/>
              <w:rPr/>
            </w:pPr>
            <w:r>
              <w:rPr/>
              <w:t> </w:t>
            </w:r>
          </w:p>
        </w:tc>
        <w:tc>
          <w:tcPr>
            <w:tcW w:w="10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 beginning of year</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10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Additions charged to costs and expenses</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11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Deductions</w:t>
            </w:r>
          </w:p>
        </w:tc>
        <w:tc>
          <w:tcPr>
            <w:tcW w:w="102"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8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102"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96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 end</w:t>
            </w:r>
          </w:p>
          <w:p>
            <w:pPr>
              <w:pStyle w:val="TableContents"/>
              <w:spacing w:before="0" w:after="0"/>
              <w:ind w:left="0" w:right="0" w:hanging="0"/>
              <w:jc w:val="center"/>
              <w:rPr>
                <w:rFonts w:ascii="times new roman" w:hAnsi="times new roman"/>
                <w:sz w:val="20"/>
              </w:rPr>
            </w:pPr>
            <w:r>
              <w:rPr>
                <w:rFonts w:ascii="times new roman" w:hAnsi="times new roman"/>
                <w:sz w:val="20"/>
              </w:rPr>
              <w:t>of year</w:t>
            </w:r>
          </w:p>
        </w:tc>
        <w:tc>
          <w:tcPr>
            <w:tcW w:w="111" w:type="dxa"/>
            <w:tcBorders/>
            <w:shd w:fill="auto" w:val="clear"/>
            <w:vAlign w:val="bottom"/>
          </w:tcPr>
          <w:p>
            <w:pPr>
              <w:pStyle w:val="TableContents"/>
              <w:spacing w:before="0" w:after="283"/>
              <w:jc w:val="left"/>
              <w:rPr/>
            </w:pPr>
            <w:r>
              <w:rPr/>
              <w:t> </w:t>
            </w:r>
          </w:p>
        </w:tc>
      </w:tr>
      <w:tr>
        <w:trPr/>
        <w:tc>
          <w:tcPr>
            <w:tcW w:w="2095" w:type="dxa"/>
            <w:tcBorders/>
            <w:shd w:fill="auto" w:val="clear"/>
            <w:vAlign w:val="bottom"/>
          </w:tcPr>
          <w:p>
            <w:pPr>
              <w:pStyle w:val="TableContents"/>
              <w:spacing w:before="0" w:after="283"/>
              <w:rPr/>
            </w:pPr>
            <w:r>
              <w:rPr/>
              <w:t xml:space="preserve">  </w:t>
            </w:r>
          </w:p>
        </w:tc>
        <w:tc>
          <w:tcPr>
            <w:tcW w:w="182" w:type="dxa"/>
            <w:tcBorders/>
            <w:shd w:fill="auto" w:val="clear"/>
            <w:vAlign w:val="bottom"/>
          </w:tcPr>
          <w:p>
            <w:pPr>
              <w:pStyle w:val="TableContents"/>
              <w:spacing w:before="0" w:after="283"/>
              <w:rPr/>
            </w:pPr>
            <w:r>
              <w:rPr/>
              <w:t> </w:t>
            </w:r>
          </w:p>
        </w:tc>
        <w:tc>
          <w:tcPr>
            <w:tcW w:w="5776" w:type="dxa"/>
            <w:gridSpan w:val="18"/>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 thousands)</w:t>
            </w:r>
          </w:p>
        </w:tc>
        <w:tc>
          <w:tcPr>
            <w:tcW w:w="111" w:type="dxa"/>
            <w:tcBorders/>
            <w:shd w:fill="auto" w:val="clear"/>
            <w:vAlign w:val="bottom"/>
          </w:tcPr>
          <w:p>
            <w:pPr>
              <w:pStyle w:val="TableContents"/>
              <w:spacing w:before="0" w:after="283"/>
              <w:jc w:val="left"/>
              <w:rPr/>
            </w:pPr>
            <w:r>
              <w:rPr/>
              <w:t> </w:t>
            </w:r>
          </w:p>
        </w:tc>
      </w:tr>
      <w:tr>
        <w:trPr/>
        <w:tc>
          <w:tcPr>
            <w:tcW w:w="8053" w:type="dxa"/>
            <w:gridSpan w:val="2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Allowance for doubtful accounts and sales allowances</w:t>
            </w:r>
          </w:p>
        </w:tc>
        <w:tc>
          <w:tcPr>
            <w:tcW w:w="111" w:type="dxa"/>
            <w:tcBorders/>
            <w:shd w:fill="auto" w:val="clear"/>
            <w:vAlign w:val="bottom"/>
          </w:tcPr>
          <w:p>
            <w:pPr>
              <w:pStyle w:val="TableContents"/>
              <w:spacing w:before="0" w:after="283"/>
              <w:jc w:val="left"/>
              <w:rPr/>
            </w:pPr>
            <w:r>
              <w:rPr/>
              <w:t> </w:t>
            </w:r>
          </w:p>
        </w:tc>
      </w:tr>
      <w:tr>
        <w:trPr/>
        <w:tc>
          <w:tcPr>
            <w:tcW w:w="209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2010</w:t>
            </w:r>
          </w:p>
        </w:tc>
        <w:tc>
          <w:tcPr>
            <w:tcW w:w="182"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11,187</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4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1,558</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(2,900</w:t>
            </w:r>
          </w:p>
        </w:tc>
        <w:tc>
          <w:tcPr>
            <w:tcW w:w="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504</w:t>
            </w:r>
          </w:p>
        </w:tc>
        <w:tc>
          <w:tcPr>
            <w:tcW w:w="102"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10,349</w:t>
            </w:r>
          </w:p>
        </w:tc>
        <w:tc>
          <w:tcPr>
            <w:tcW w:w="111" w:type="dxa"/>
            <w:tcBorders/>
            <w:shd w:fill="auto" w:val="clear"/>
            <w:vAlign w:val="bottom"/>
          </w:tcPr>
          <w:p>
            <w:pPr>
              <w:pStyle w:val="TableContents"/>
              <w:spacing w:before="0" w:after="283"/>
              <w:jc w:val="left"/>
              <w:rPr/>
            </w:pPr>
            <w:r>
              <w:rPr/>
              <w:t> </w:t>
            </w:r>
          </w:p>
        </w:tc>
      </w:tr>
      <w:tr>
        <w:trPr/>
        <w:tc>
          <w:tcPr>
            <w:tcW w:w="209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2009</w:t>
            </w:r>
          </w:p>
        </w:tc>
        <w:tc>
          <w:tcPr>
            <w:tcW w:w="182"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pPr>
            <w:r>
              <w:rPr/>
              <w:t> </w:t>
            </w:r>
          </w:p>
        </w:tc>
        <w:tc>
          <w:tcPr>
            <w:tcW w:w="9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12,658</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48" w:type="dxa"/>
            <w:tcBorders/>
            <w:shd w:fill="auto" w:val="clear"/>
            <w:vAlign w:val="bottom"/>
          </w:tcPr>
          <w:p>
            <w:pPr>
              <w:pStyle w:val="TableContents"/>
              <w:spacing w:before="0" w:after="283"/>
              <w:jc w:val="left"/>
              <w:rPr/>
            </w:pPr>
            <w:r>
              <w:rPr/>
              <w:t> </w:t>
            </w:r>
          </w:p>
        </w:tc>
        <w:tc>
          <w:tcPr>
            <w:tcW w:w="9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2,762</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9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(4,874</w:t>
            </w:r>
          </w:p>
        </w:tc>
        <w:tc>
          <w:tcPr>
            <w:tcW w:w="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641</w:t>
            </w:r>
          </w:p>
        </w:tc>
        <w:tc>
          <w:tcPr>
            <w:tcW w:w="102"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8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11,187</w:t>
            </w:r>
          </w:p>
        </w:tc>
        <w:tc>
          <w:tcPr>
            <w:tcW w:w="111" w:type="dxa"/>
            <w:tcBorders/>
            <w:shd w:fill="auto" w:val="clear"/>
            <w:vAlign w:val="bottom"/>
          </w:tcPr>
          <w:p>
            <w:pPr>
              <w:pStyle w:val="TableContents"/>
              <w:spacing w:before="0" w:after="283"/>
              <w:jc w:val="left"/>
              <w:rPr/>
            </w:pPr>
            <w:r>
              <w:rPr/>
              <w:t> </w:t>
            </w:r>
          </w:p>
        </w:tc>
      </w:tr>
      <w:tr>
        <w:trPr/>
        <w:tc>
          <w:tcPr>
            <w:tcW w:w="209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2008</w:t>
            </w:r>
          </w:p>
        </w:tc>
        <w:tc>
          <w:tcPr>
            <w:tcW w:w="182"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pPr>
            <w:r>
              <w:rPr/>
              <w:t> </w:t>
            </w:r>
          </w:p>
        </w:tc>
        <w:tc>
          <w:tcPr>
            <w:tcW w:w="9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11,907</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48" w:type="dxa"/>
            <w:tcBorders/>
            <w:shd w:fill="auto" w:val="clear"/>
            <w:vAlign w:val="bottom"/>
          </w:tcPr>
          <w:p>
            <w:pPr>
              <w:pStyle w:val="TableContents"/>
              <w:spacing w:before="0" w:after="283"/>
              <w:jc w:val="left"/>
              <w:rPr/>
            </w:pPr>
            <w:r>
              <w:rPr/>
              <w:t> </w:t>
            </w:r>
          </w:p>
        </w:tc>
        <w:tc>
          <w:tcPr>
            <w:tcW w:w="9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5,953</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9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(5,402</w:t>
            </w:r>
          </w:p>
        </w:tc>
        <w:tc>
          <w:tcPr>
            <w:tcW w:w="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02"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8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12,658</w:t>
            </w:r>
          </w:p>
        </w:tc>
        <w:tc>
          <w:tcPr>
            <w:tcW w:w="111" w:type="dxa"/>
            <w:tcBorders/>
            <w:shd w:fill="auto" w:val="clear"/>
            <w:vAlign w:val="bottom"/>
          </w:tcPr>
          <w:p>
            <w:pPr>
              <w:pStyle w:val="TableContents"/>
              <w:spacing w:before="0" w:after="283"/>
              <w:jc w:val="left"/>
              <w:rPr/>
            </w:pPr>
            <w:r>
              <w:rPr/>
              <w:t> </w:t>
            </w:r>
          </w:p>
        </w:tc>
      </w:tr>
      <w:tr>
        <w:trPr/>
        <w:tc>
          <w:tcPr>
            <w:tcW w:w="8164" w:type="dxa"/>
            <w:gridSpan w:val="21"/>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Reserve for inventory obsolescence</w:t>
            </w:r>
          </w:p>
        </w:tc>
      </w:tr>
      <w:tr>
        <w:trPr/>
        <w:tc>
          <w:tcPr>
            <w:tcW w:w="209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2010</w:t>
            </w:r>
          </w:p>
        </w:tc>
        <w:tc>
          <w:tcPr>
            <w:tcW w:w="182"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29,037</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4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12,905</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(9,125</w:t>
            </w:r>
          </w:p>
        </w:tc>
        <w:tc>
          <w:tcPr>
            <w:tcW w:w="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(301</w:t>
            </w:r>
          </w:p>
        </w:tc>
        <w:tc>
          <w:tcPr>
            <w:tcW w:w="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32,516</w:t>
            </w:r>
          </w:p>
        </w:tc>
        <w:tc>
          <w:tcPr>
            <w:tcW w:w="111" w:type="dxa"/>
            <w:tcBorders/>
            <w:shd w:fill="auto" w:val="clear"/>
            <w:vAlign w:val="bottom"/>
          </w:tcPr>
          <w:p>
            <w:pPr>
              <w:pStyle w:val="TableContents"/>
              <w:spacing w:before="0" w:after="283"/>
              <w:jc w:val="left"/>
              <w:rPr/>
            </w:pPr>
            <w:r>
              <w:rPr/>
              <w:t> </w:t>
            </w:r>
          </w:p>
        </w:tc>
      </w:tr>
      <w:tr>
        <w:trPr/>
        <w:tc>
          <w:tcPr>
            <w:tcW w:w="209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2009</w:t>
            </w:r>
          </w:p>
        </w:tc>
        <w:tc>
          <w:tcPr>
            <w:tcW w:w="182"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pPr>
            <w:r>
              <w:rPr/>
              <w:t> </w:t>
            </w:r>
          </w:p>
        </w:tc>
        <w:tc>
          <w:tcPr>
            <w:tcW w:w="9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30,108</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48" w:type="dxa"/>
            <w:tcBorders/>
            <w:shd w:fill="auto" w:val="clear"/>
            <w:vAlign w:val="bottom"/>
          </w:tcPr>
          <w:p>
            <w:pPr>
              <w:pStyle w:val="TableContents"/>
              <w:spacing w:before="0" w:after="283"/>
              <w:jc w:val="left"/>
              <w:rPr/>
            </w:pPr>
            <w:r>
              <w:rPr/>
              <w:t> </w:t>
            </w:r>
          </w:p>
        </w:tc>
        <w:tc>
          <w:tcPr>
            <w:tcW w:w="9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8,789</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9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(10,508</w:t>
            </w:r>
          </w:p>
        </w:tc>
        <w:tc>
          <w:tcPr>
            <w:tcW w:w="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648</w:t>
            </w:r>
          </w:p>
        </w:tc>
        <w:tc>
          <w:tcPr>
            <w:tcW w:w="102"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8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29,037</w:t>
            </w:r>
          </w:p>
        </w:tc>
        <w:tc>
          <w:tcPr>
            <w:tcW w:w="111" w:type="dxa"/>
            <w:tcBorders/>
            <w:shd w:fill="auto" w:val="clear"/>
            <w:vAlign w:val="bottom"/>
          </w:tcPr>
          <w:p>
            <w:pPr>
              <w:pStyle w:val="TableContents"/>
              <w:spacing w:before="0" w:after="283"/>
              <w:jc w:val="left"/>
              <w:rPr/>
            </w:pPr>
            <w:r>
              <w:rPr/>
              <w:t> </w:t>
            </w:r>
          </w:p>
        </w:tc>
      </w:tr>
      <w:tr>
        <w:trPr/>
        <w:tc>
          <w:tcPr>
            <w:tcW w:w="2095"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2008</w:t>
            </w:r>
          </w:p>
        </w:tc>
        <w:tc>
          <w:tcPr>
            <w:tcW w:w="182"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pPr>
            <w:r>
              <w:rPr/>
              <w:t> </w:t>
            </w:r>
          </w:p>
        </w:tc>
        <w:tc>
          <w:tcPr>
            <w:tcW w:w="9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28,390</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48" w:type="dxa"/>
            <w:tcBorders/>
            <w:shd w:fill="auto" w:val="clear"/>
            <w:vAlign w:val="bottom"/>
          </w:tcPr>
          <w:p>
            <w:pPr>
              <w:pStyle w:val="TableContents"/>
              <w:spacing w:before="0" w:after="283"/>
              <w:jc w:val="left"/>
              <w:rPr/>
            </w:pPr>
            <w:r>
              <w:rPr/>
              <w:t> </w:t>
            </w:r>
          </w:p>
        </w:tc>
        <w:tc>
          <w:tcPr>
            <w:tcW w:w="9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6,321</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9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(4,063</w:t>
            </w:r>
          </w:p>
        </w:tc>
        <w:tc>
          <w:tcPr>
            <w:tcW w:w="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(540</w:t>
            </w:r>
          </w:p>
        </w:tc>
        <w:tc>
          <w:tcPr>
            <w:tcW w:w="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8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30,108</w:t>
            </w:r>
          </w:p>
        </w:tc>
        <w:tc>
          <w:tcPr>
            <w:tcW w:w="111" w:type="dxa"/>
            <w:tcBorders/>
            <w:shd w:fill="auto"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Deductions from the allowance for doubtful accounts represented the net write-off of uncollectible accounts receivable. Deductions from the inventory obsolescence reserve represented the disposal of obsolete items.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included the allowance for doubtful accounts and reserve for inventory obsolescence of acquired businesses at the dates of acquisition, the effects of foreign currency translation adjustments for those companies whose functional currency was not the U.S. dollar, reclassifications and other.</w:t>
      </w:r>
    </w:p>
    <w:p>
      <w:pPr>
        <w:pStyle w:val="TextBody"/>
        <w:spacing w:before="0" w:after="0"/>
        <w:rPr/>
      </w:pPr>
      <w:r>
        <w:rPr/>
        <w:t> </w:t>
      </w:r>
    </w:p>
    <w:p>
      <w:pPr>
        <w:pStyle w:val="TextBody"/>
        <w:spacing w:before="0" w:after="0"/>
        <w:rPr/>
      </w:pPr>
      <w:r>
        <w:rPr/>
      </w:r>
    </w:p>
    <w:p>
      <w:pPr>
        <w:pStyle w:val="Normal"/>
        <w:spacing w:before="0" w:after="0"/>
        <w:rPr>
          <w:sz w:val="4"/>
          <w:szCs w:val="4"/>
        </w:rPr>
      </w:pPr>
      <w:r>
        <w:rPr>
          <w:sz w:val="4"/>
          <w:szCs w:val="4"/>
        </w:rPr>
      </w:r>
      <w:bookmarkStart w:id="310" w:name="hangingindent30"/>
      <w:bookmarkStart w:id="311" w:name="hangingindent30"/>
      <w:bookmarkEnd w:id="311"/>
    </w:p>
    <w:tbl>
      <w:tblPr>
        <w:tblW w:w="5000" w:type="pct"/>
        <w:jc w:val="center"/>
        <w:tblInd w:w="0" w:type="dxa"/>
        <w:tblCellMar>
          <w:top w:w="0" w:type="dxa"/>
          <w:left w:w="0" w:type="dxa"/>
          <w:bottom w:w="0" w:type="dxa"/>
          <w:right w:w="0" w:type="dxa"/>
        </w:tblCellMar>
      </w:tblPr>
      <w:tblGrid>
        <w:gridCol w:w="724"/>
        <w:gridCol w:w="9481"/>
      </w:tblGrid>
      <w:tr>
        <w:trPr/>
        <w:tc>
          <w:tcPr>
            <w:tcW w:w="724"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9.</w:t>
            </w:r>
          </w:p>
        </w:tc>
        <w:tc>
          <w:tcPr>
            <w:tcW w:w="9481"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CHANGES IN AND DISAGREEMENTS WITH ACCOUNTANTS ON ACCOUNTING AND FINANCIAL DISCLOSURE</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have been no changes in accountants or disagreements with accountants on accounting and financial disclosures.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9A.   CONTROLS AND PROCEDURES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Management’s Report on Internal Control over Financial Reporting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management is responsible for establishing and maintaining adequate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 w:hAnsi="Times New Roman"/>
          <w:i/>
          <w:sz w:val="20"/>
        </w:rPr>
        <w:t>Internal Control-Integrated Framework</w:t>
      </w:r>
      <w:r>
        <w:rPr>
          <w:rFonts w:ascii="Times New Roman" w:hAnsi="Times New Roman"/>
          <w:sz w:val="20"/>
        </w:rPr>
        <w:t xml:space="preserve"> issued by the Committee of Sponsoring Organizations of the Treadway Commission. Based on our evaluation under the framework in Internal Control-Integrated Framework, our management concluded that our internal control over financial reporting was effective as of December 31, 2010. The Company’s internal control over financial reporting as of December 31, 2010 has been audited by PricewaterhouseCoopers LLP, an independent registered public accounting firm, as stated in their report which is included herein.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Management excluded iTrade from its assessment of internal control over financial reporting as of December 31, 2010, because it was acquired by the Company in a purchase business combination during 2010.  iTrade is a wholly-owned subsidiary whose excluded aggregate assets represent 0.3%, and whose aggregate total revenues represent 1.4%, of the related consolidated financial statement amounts as of and for the year ended December 31, 2010.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required by SEC rules, we have evaluated the effectiveness of the design and operation of our disclosure controls and procedures as of the end of the period covered by this report. This evaluation was carried out under the supervision and with the participation of our management, including our principal executive officer and principal financial officer. Based on this evaluation, we have concluded that our disclosure controls and procedures are effective as of December 31, 2010.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Disclosure controls and procedures are our controls and other procedures designed to ensure that information required to be disclosed by us in the reports that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that we file or submit under the Exchange Act are accumulated and communicated to our management, including our principal executive officer and principal financial officer, as appropriate, to allow timely decisions regarding required disclosure.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was no change in the Company’s internal control over financial reporting that occurred during the fourth quarter that has materially affected, or is reasonably likely to materially affect, the Company’s internal control over financial reporting.</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9B.   OTHER INFORMATION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There were no disclosures of any information required to be filed on Form 8-K during the fourth quarter of 2010 that were not filed.</w:t>
      </w:r>
    </w:p>
    <w:p>
      <w:pPr>
        <w:pStyle w:val="TextBody"/>
        <w:spacing w:before="0" w:after="0"/>
        <w:rPr/>
      </w:pPr>
      <w:r>
        <w:rPr/>
        <w:t> </w:t>
      </w: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PART III</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Except as otherwise indicated, the following information required by the Instructions to Form 10-K is incorporated herein by reference from the sections of the Roper Proxy Statement for the annual meeting of shareholders to be held on June 1, 2011, as specified below:</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312" w:name="hangingindent31"/>
      <w:bookmarkStart w:id="313" w:name="hangingindent31"/>
      <w:bookmarkEnd w:id="313"/>
    </w:p>
    <w:tbl>
      <w:tblPr>
        <w:tblW w:w="5000" w:type="pct"/>
        <w:jc w:val="center"/>
        <w:tblInd w:w="0" w:type="dxa"/>
        <w:tblCellMar>
          <w:top w:w="0" w:type="dxa"/>
          <w:left w:w="0" w:type="dxa"/>
          <w:bottom w:w="0" w:type="dxa"/>
          <w:right w:w="0" w:type="dxa"/>
        </w:tblCellMar>
      </w:tblPr>
      <w:tblGrid>
        <w:gridCol w:w="1162"/>
        <w:gridCol w:w="9043"/>
      </w:tblGrid>
      <w:tr>
        <w:trPr/>
        <w:tc>
          <w:tcPr>
            <w:tcW w:w="1162"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10.</w:t>
            </w:r>
          </w:p>
        </w:tc>
        <w:tc>
          <w:tcPr>
            <w:tcW w:w="904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DIRECTORS, EXECUTIVE OFFICERS AND CORPORATE GOVERNANCE</w:t>
            </w:r>
          </w:p>
        </w:tc>
      </w:tr>
    </w:tbl>
    <w:p>
      <w:pPr>
        <w:pStyle w:val="TextBody"/>
        <w:spacing w:before="0" w:after="0"/>
        <w:ind w:left="0" w:right="0" w:hanging="0"/>
        <w:rPr/>
      </w:pPr>
      <w:r>
        <w:rPr/>
      </w:r>
    </w:p>
    <w:p>
      <w:pPr>
        <w:pStyle w:val="TextBody"/>
        <w:spacing w:before="0" w:after="0"/>
        <w:ind w:left="0" w:right="0" w:hanging="0"/>
        <w:jc w:val="left"/>
        <w:rPr/>
      </w:pPr>
      <w:r>
        <w:rPr/>
        <w:t>“</w:t>
      </w:r>
      <w:r>
        <w:rPr>
          <w:rFonts w:ascii="Times New Roman" w:hAnsi="Times New Roman"/>
          <w:sz w:val="20"/>
        </w:rPr>
        <w:t>Proposal 1: Election of Directors;” “Section 16(a) Beneficial Ownership Reporting Compliance;” “Corporate Governance;” “Executive Officers;” “Audit Committee Report;” and “Board Committees and Meetings.”</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314" w:name="hangingindent32"/>
      <w:bookmarkStart w:id="315" w:name="hangingindent32"/>
      <w:bookmarkEnd w:id="315"/>
    </w:p>
    <w:tbl>
      <w:tblPr>
        <w:tblW w:w="5000" w:type="pct"/>
        <w:jc w:val="center"/>
        <w:tblInd w:w="0" w:type="dxa"/>
        <w:tblCellMar>
          <w:top w:w="0" w:type="dxa"/>
          <w:left w:w="0" w:type="dxa"/>
          <w:bottom w:w="0" w:type="dxa"/>
          <w:right w:w="0" w:type="dxa"/>
        </w:tblCellMar>
      </w:tblPr>
      <w:tblGrid>
        <w:gridCol w:w="2359"/>
        <w:gridCol w:w="7846"/>
      </w:tblGrid>
      <w:tr>
        <w:trPr/>
        <w:tc>
          <w:tcPr>
            <w:tcW w:w="2359"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11.</w:t>
            </w:r>
          </w:p>
        </w:tc>
        <w:tc>
          <w:tcPr>
            <w:tcW w:w="784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EXECUTIVE COMPENSATION</w:t>
            </w:r>
          </w:p>
        </w:tc>
      </w:tr>
    </w:tbl>
    <w:p>
      <w:pPr>
        <w:pStyle w:val="TextBody"/>
        <w:spacing w:before="0" w:after="0"/>
        <w:ind w:left="0" w:right="0" w:hanging="0"/>
        <w:rPr/>
      </w:pPr>
      <w:r>
        <w:rPr/>
      </w:r>
    </w:p>
    <w:p>
      <w:pPr>
        <w:pStyle w:val="TextBody"/>
        <w:spacing w:before="0" w:after="0"/>
        <w:ind w:left="0" w:right="0" w:hanging="0"/>
        <w:jc w:val="both"/>
        <w:rPr/>
      </w:pPr>
      <w:r>
        <w:rPr/>
        <w:t>“</w:t>
      </w:r>
      <w:r>
        <w:rPr>
          <w:rFonts w:ascii="Times New Roman" w:hAnsi="Times New Roman"/>
          <w:sz w:val="20"/>
        </w:rPr>
        <w:t>Compensation Discussion and Analysis;” “Executive Compensation;” “Director Compensation;” “Compensation Committee Interlocks and Insider Participation;” and “Compensation Committee Report.”</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316" w:name="hangingindent33"/>
      <w:bookmarkStart w:id="317" w:name="hangingindent33"/>
      <w:bookmarkEnd w:id="317"/>
    </w:p>
    <w:tbl>
      <w:tblPr>
        <w:tblW w:w="5000" w:type="pct"/>
        <w:jc w:val="center"/>
        <w:tblInd w:w="0" w:type="dxa"/>
        <w:tblCellMar>
          <w:top w:w="0" w:type="dxa"/>
          <w:left w:w="0" w:type="dxa"/>
          <w:bottom w:w="0" w:type="dxa"/>
          <w:right w:w="0" w:type="dxa"/>
        </w:tblCellMar>
      </w:tblPr>
      <w:tblGrid>
        <w:gridCol w:w="778"/>
        <w:gridCol w:w="9427"/>
      </w:tblGrid>
      <w:tr>
        <w:trPr/>
        <w:tc>
          <w:tcPr>
            <w:tcW w:w="77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12.</w:t>
            </w:r>
          </w:p>
        </w:tc>
        <w:tc>
          <w:tcPr>
            <w:tcW w:w="942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SECURITY OWNERSHIP OF CERTAIN BENEFICIAL OWNERS AND MANAGEMENT AND RELATED STOCKHOLDER MATTERS</w:t>
            </w:r>
          </w:p>
        </w:tc>
      </w:tr>
    </w:tbl>
    <w:p>
      <w:pPr>
        <w:pStyle w:val="TextBody"/>
        <w:spacing w:before="0" w:after="0"/>
        <w:ind w:left="0" w:right="0" w:hanging="0"/>
        <w:rPr/>
      </w:pPr>
      <w:r>
        <w:rPr/>
      </w:r>
    </w:p>
    <w:p>
      <w:pPr>
        <w:pStyle w:val="TextBody"/>
        <w:spacing w:before="0" w:after="0"/>
        <w:ind w:left="0" w:right="0" w:hanging="0"/>
        <w:jc w:val="both"/>
        <w:rPr/>
      </w:pPr>
      <w:r>
        <w:rPr/>
        <w:t>“</w:t>
      </w:r>
      <w:r>
        <w:rPr>
          <w:rFonts w:ascii="Times New Roman" w:hAnsi="Times New Roman"/>
          <w:sz w:val="20"/>
        </w:rPr>
        <w:t>Beneficial Ownership.”</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Securities Authorized for Issuance under Equity Compensation Plans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provides information as of December 31, 2010 regarding compensation plans (including individual compensation arrangements) under which our equity securities are authorized for issuance.</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037"/>
        <w:gridCol w:w="2186"/>
        <w:gridCol w:w="2309"/>
        <w:gridCol w:w="2673"/>
      </w:tblGrid>
      <w:tr>
        <w:trPr/>
        <w:tc>
          <w:tcPr>
            <w:tcW w:w="3037"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Plan Category</w:t>
            </w:r>
          </w:p>
        </w:tc>
        <w:tc>
          <w:tcPr>
            <w:tcW w:w="2186"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w:t>
            </w:r>
          </w:p>
          <w:p>
            <w:pPr>
              <w:pStyle w:val="TableContents"/>
              <w:spacing w:before="0" w:after="0"/>
              <w:ind w:left="0" w:right="0" w:hanging="0"/>
              <w:jc w:val="center"/>
              <w:rPr>
                <w:rFonts w:ascii="times new roman" w:hAnsi="times new roman"/>
                <w:sz w:val="20"/>
              </w:rPr>
            </w:pPr>
            <w:r>
              <w:rPr>
                <w:rFonts w:ascii="times new roman" w:hAnsi="times new roman"/>
                <w:sz w:val="20"/>
              </w:rPr>
              <w:t>Number of Securities to be Issued Upon Exercise of Outstanding Options, Warrants and Rights</w:t>
            </w:r>
          </w:p>
        </w:tc>
        <w:tc>
          <w:tcPr>
            <w:tcW w:w="2309"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w:t>
            </w:r>
          </w:p>
          <w:p>
            <w:pPr>
              <w:pStyle w:val="TableContents"/>
              <w:spacing w:before="0" w:after="0"/>
              <w:ind w:left="0" w:right="0" w:hanging="0"/>
              <w:jc w:val="center"/>
              <w:rPr>
                <w:rFonts w:ascii="times new roman" w:hAnsi="times new roman"/>
                <w:sz w:val="20"/>
              </w:rPr>
            </w:pPr>
            <w:r>
              <w:rPr>
                <w:rFonts w:ascii="times new roman" w:hAnsi="times new roman"/>
                <w:sz w:val="20"/>
              </w:rPr>
              <w:t>Weighted-Average Exercise Price of Outstanding Options, Warrants and Rights</w:t>
            </w:r>
          </w:p>
        </w:tc>
        <w:tc>
          <w:tcPr>
            <w:tcW w:w="2673"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w:t>
            </w:r>
          </w:p>
          <w:p>
            <w:pPr>
              <w:pStyle w:val="TableContents"/>
              <w:spacing w:before="0" w:after="0"/>
              <w:ind w:left="0" w:right="0" w:hanging="0"/>
              <w:jc w:val="center"/>
              <w:rPr>
                <w:rFonts w:ascii="times new roman" w:hAnsi="times new roman"/>
                <w:sz w:val="20"/>
              </w:rPr>
            </w:pPr>
            <w:r>
              <w:rPr>
                <w:rFonts w:ascii="times new roman" w:hAnsi="times new roman"/>
                <w:sz w:val="20"/>
              </w:rPr>
              <w:t>Number of Securities Remaining Available for Future Issuance Under Equity Compensation Plans (Excluding Securities Reflected in Column (a))</w:t>
            </w:r>
          </w:p>
        </w:tc>
      </w:tr>
      <w:tr>
        <w:trPr/>
        <w:tc>
          <w:tcPr>
            <w:tcW w:w="303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Equity Compensation Plans Approved by Shareholders (1)</w:t>
            </w:r>
          </w:p>
        </w:tc>
        <w:tc>
          <w:tcPr>
            <w:tcW w:w="2186"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3,933,000</w:t>
            </w:r>
          </w:p>
        </w:tc>
        <w:tc>
          <w:tcPr>
            <w:tcW w:w="2309"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$ 42.32</w:t>
            </w:r>
          </w:p>
        </w:tc>
        <w:tc>
          <w:tcPr>
            <w:tcW w:w="2673"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3,522,000</w:t>
            </w:r>
          </w:p>
        </w:tc>
      </w:tr>
      <w:tr>
        <w:trPr/>
        <w:tc>
          <w:tcPr>
            <w:tcW w:w="303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Equity Compensation Plans Not Approved by Shareholders</w:t>
            </w:r>
          </w:p>
        </w:tc>
        <w:tc>
          <w:tcPr>
            <w:tcW w:w="2186"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2309"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2673"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30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Total</w:t>
            </w:r>
          </w:p>
        </w:tc>
        <w:tc>
          <w:tcPr>
            <w:tcW w:w="2186"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3,933,000</w:t>
            </w:r>
          </w:p>
        </w:tc>
        <w:tc>
          <w:tcPr>
            <w:tcW w:w="2309"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$ 42.32</w:t>
            </w:r>
          </w:p>
        </w:tc>
        <w:tc>
          <w:tcPr>
            <w:tcW w:w="2673"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3,522,000</w:t>
            </w:r>
          </w:p>
        </w:tc>
      </w:tr>
    </w:tbl>
    <w:p>
      <w:pPr>
        <w:pStyle w:val="TextBody"/>
        <w:spacing w:before="0" w:after="0"/>
        <w:ind w:left="0" w:right="0" w:hanging="0"/>
        <w:rPr/>
      </w:pPr>
      <w:r>
        <w:rPr/>
      </w:r>
    </w:p>
    <w:p>
      <w:pPr>
        <w:pStyle w:val="Normal"/>
        <w:spacing w:before="0" w:after="0"/>
        <w:rPr>
          <w:sz w:val="4"/>
          <w:szCs w:val="4"/>
        </w:rPr>
      </w:pPr>
      <w:r>
        <w:rPr>
          <w:sz w:val="4"/>
          <w:szCs w:val="4"/>
        </w:rPr>
      </w:r>
      <w:bookmarkStart w:id="318" w:name="hangingindent34"/>
      <w:bookmarkStart w:id="319" w:name="hangingindent34"/>
      <w:bookmarkEnd w:id="319"/>
    </w:p>
    <w:tbl>
      <w:tblPr>
        <w:tblW w:w="5000" w:type="pct"/>
        <w:jc w:val="center"/>
        <w:tblInd w:w="0" w:type="dxa"/>
        <w:tblCellMar>
          <w:top w:w="0" w:type="dxa"/>
          <w:left w:w="0" w:type="dxa"/>
          <w:bottom w:w="0" w:type="dxa"/>
          <w:right w:w="0" w:type="dxa"/>
        </w:tblCellMar>
      </w:tblPr>
      <w:tblGrid>
        <w:gridCol w:w="212"/>
        <w:gridCol w:w="9993"/>
      </w:tblGrid>
      <w:tr>
        <w:trPr/>
        <w:tc>
          <w:tcPr>
            <w:tcW w:w="2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9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Consists of the 1991 Stock Option Plan, the Amended and Restated 2000 Stock Incentive Plan, the 1993 Stock Plan for Non-Employee Directors (no additional equity awards may be granted under these three plans) and the 2006 Incentive Plan.</w:t>
            </w:r>
          </w:p>
        </w:tc>
      </w:tr>
    </w:tbl>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320" w:name="hangingindent35"/>
      <w:bookmarkStart w:id="321" w:name="hangingindent35"/>
      <w:bookmarkEnd w:id="321"/>
    </w:p>
    <w:tbl>
      <w:tblPr>
        <w:tblW w:w="5000" w:type="pct"/>
        <w:jc w:val="center"/>
        <w:tblInd w:w="0" w:type="dxa"/>
        <w:tblCellMar>
          <w:top w:w="0" w:type="dxa"/>
          <w:left w:w="0" w:type="dxa"/>
          <w:bottom w:w="0" w:type="dxa"/>
          <w:right w:w="0" w:type="dxa"/>
        </w:tblCellMar>
      </w:tblPr>
      <w:tblGrid>
        <w:gridCol w:w="907"/>
        <w:gridCol w:w="9298"/>
      </w:tblGrid>
      <w:tr>
        <w:trPr/>
        <w:tc>
          <w:tcPr>
            <w:tcW w:w="907"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13.</w:t>
            </w:r>
          </w:p>
        </w:tc>
        <w:tc>
          <w:tcPr>
            <w:tcW w:w="92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CERTAIN RELATIONSHIPS AND RELATED TRANSACTIONS AND DIRECTOR INDEPENDENCE</w:t>
            </w:r>
          </w:p>
        </w:tc>
      </w:tr>
    </w:tbl>
    <w:p>
      <w:pPr>
        <w:pStyle w:val="TextBody"/>
        <w:spacing w:before="0" w:after="0"/>
        <w:ind w:left="0" w:right="0" w:hanging="0"/>
        <w:rPr/>
      </w:pPr>
      <w:r>
        <w:rPr/>
      </w:r>
    </w:p>
    <w:p>
      <w:pPr>
        <w:pStyle w:val="TextBody"/>
        <w:spacing w:before="0" w:after="0"/>
        <w:ind w:left="0" w:right="0" w:hanging="0"/>
        <w:jc w:val="left"/>
        <w:rPr/>
      </w:pPr>
      <w:r>
        <w:rPr/>
        <w:t>“</w:t>
      </w:r>
      <w:r>
        <w:rPr>
          <w:rFonts w:ascii="Times New Roman" w:hAnsi="Times New Roman"/>
          <w:sz w:val="20"/>
        </w:rPr>
        <w:t>Review and Approval of Related Party Transactions” and “Director Independence.”</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322" w:name="hangingindent36"/>
      <w:bookmarkStart w:id="323" w:name="hangingindent36"/>
      <w:bookmarkEnd w:id="323"/>
    </w:p>
    <w:tbl>
      <w:tblPr>
        <w:tblW w:w="5000" w:type="pct"/>
        <w:jc w:val="center"/>
        <w:tblInd w:w="0" w:type="dxa"/>
        <w:tblCellMar>
          <w:top w:w="0" w:type="dxa"/>
          <w:left w:w="0" w:type="dxa"/>
          <w:bottom w:w="0" w:type="dxa"/>
          <w:right w:w="0" w:type="dxa"/>
        </w:tblCellMar>
      </w:tblPr>
      <w:tblGrid>
        <w:gridCol w:w="1616"/>
        <w:gridCol w:w="8589"/>
      </w:tblGrid>
      <w:tr>
        <w:trPr/>
        <w:tc>
          <w:tcPr>
            <w:tcW w:w="1616"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14.</w:t>
            </w:r>
          </w:p>
        </w:tc>
        <w:tc>
          <w:tcPr>
            <w:tcW w:w="8589"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PRINCIPAL ACCOUNTANT FEES AND SERVICES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Fees paid to the Company’s independent registered public accounting firm are disclosed under the caption “Proposal 2: Ratification of the Appointment of PricewaterhouseCoopers LLP as our Independent Registered Public Accounting Firm for the Year Ending December 31, 2010.”</w:t>
      </w:r>
    </w:p>
    <w:p>
      <w:pPr>
        <w:pStyle w:val="TextBody"/>
        <w:spacing w:before="0" w:after="0"/>
        <w:rPr/>
      </w:pPr>
      <w:r>
        <w:rPr/>
        <w:t> </w:t>
      </w: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PART IV</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324" w:name="hangingindent37"/>
      <w:bookmarkStart w:id="325" w:name="hangingindent37"/>
      <w:bookmarkEnd w:id="325"/>
    </w:p>
    <w:tbl>
      <w:tblPr>
        <w:tblW w:w="5000" w:type="pct"/>
        <w:jc w:val="center"/>
        <w:tblInd w:w="0" w:type="dxa"/>
        <w:tblCellMar>
          <w:top w:w="0" w:type="dxa"/>
          <w:left w:w="0" w:type="dxa"/>
          <w:bottom w:w="0" w:type="dxa"/>
          <w:right w:w="0" w:type="dxa"/>
        </w:tblCellMar>
      </w:tblPr>
      <w:tblGrid>
        <w:gridCol w:w="1467"/>
        <w:gridCol w:w="8738"/>
      </w:tblGrid>
      <w:tr>
        <w:trPr/>
        <w:tc>
          <w:tcPr>
            <w:tcW w:w="1467"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15.</w:t>
            </w:r>
          </w:p>
        </w:tc>
        <w:tc>
          <w:tcPr>
            <w:tcW w:w="873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EXHIBITS AND FINANCIAL STATEMENT SCHEDULES</w:t>
            </w:r>
          </w:p>
        </w:tc>
      </w:tr>
    </w:tbl>
    <w:p>
      <w:pPr>
        <w:pStyle w:val="TextBody"/>
        <w:spacing w:before="0" w:after="0"/>
        <w:ind w:left="0" w:right="0" w:hanging="0"/>
        <w:rPr/>
      </w:pPr>
      <w:r>
        <w:rPr/>
      </w:r>
    </w:p>
    <w:p>
      <w:pPr>
        <w:pStyle w:val="Normal"/>
        <w:spacing w:before="0" w:after="0"/>
        <w:rPr>
          <w:sz w:val="4"/>
          <w:szCs w:val="4"/>
        </w:rPr>
      </w:pPr>
      <w:r>
        <w:rPr>
          <w:sz w:val="4"/>
          <w:szCs w:val="4"/>
        </w:rPr>
      </w:r>
      <w:bookmarkStart w:id="326" w:name="hangingindent38"/>
      <w:bookmarkStart w:id="327" w:name="hangingindent38"/>
      <w:bookmarkEnd w:id="327"/>
    </w:p>
    <w:tbl>
      <w:tblPr>
        <w:tblW w:w="5000" w:type="pct"/>
        <w:jc w:val="center"/>
        <w:tblInd w:w="0" w:type="dxa"/>
        <w:tblCellMar>
          <w:top w:w="0" w:type="dxa"/>
          <w:left w:w="0" w:type="dxa"/>
          <w:bottom w:w="0" w:type="dxa"/>
          <w:right w:w="0" w:type="dxa"/>
        </w:tblCellMar>
      </w:tblPr>
      <w:tblGrid>
        <w:gridCol w:w="419"/>
        <w:gridCol w:w="9786"/>
      </w:tblGrid>
      <w:tr>
        <w:trPr/>
        <w:tc>
          <w:tcPr>
            <w:tcW w:w="41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7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following documents are filed as a part of this Annual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328" w:name="hangingindent39"/>
      <w:bookmarkStart w:id="329" w:name="hangingindent39"/>
      <w:bookmarkEnd w:id="329"/>
    </w:p>
    <w:tbl>
      <w:tblPr>
        <w:tblW w:w="5000" w:type="pct"/>
        <w:jc w:val="center"/>
        <w:tblInd w:w="0" w:type="dxa"/>
        <w:tblCellMar>
          <w:top w:w="0" w:type="dxa"/>
          <w:left w:w="0" w:type="dxa"/>
          <w:bottom w:w="0" w:type="dxa"/>
          <w:right w:w="0" w:type="dxa"/>
        </w:tblCellMar>
      </w:tblPr>
      <w:tblGrid>
        <w:gridCol w:w="115"/>
        <w:gridCol w:w="241"/>
        <w:gridCol w:w="9849"/>
      </w:tblGrid>
      <w:tr>
        <w:trPr/>
        <w:tc>
          <w:tcPr>
            <w:tcW w:w="115" w:type="dxa"/>
            <w:tcBorders/>
            <w:shd w:fill="auto" w:val="clear"/>
          </w:tcPr>
          <w:p>
            <w:pPr>
              <w:pStyle w:val="TableContents"/>
              <w:spacing w:before="0" w:after="0"/>
              <w:rPr/>
            </w:pPr>
            <w:r>
              <w:rPr/>
              <w:t xml:space="preserve">  </w:t>
            </w:r>
          </w:p>
        </w:tc>
        <w:tc>
          <w:tcPr>
            <w:tcW w:w="2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4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Consolidated Financial Statements: The following consolidated financial statements are included in Part II, Item 8 of this report.</w:t>
            </w:r>
          </w:p>
        </w:tc>
      </w:tr>
    </w:tbl>
    <w:p>
      <w:pPr>
        <w:pStyle w:val="TextBody"/>
        <w:spacing w:before="0" w:after="0"/>
        <w:ind w:left="0" w:right="0" w:hanging="0"/>
        <w:rPr/>
      </w:pPr>
      <w:r>
        <w:rPr/>
      </w:r>
    </w:p>
    <w:p>
      <w:pPr>
        <w:pStyle w:val="TextBody"/>
        <w:spacing w:before="0" w:after="0"/>
        <w:ind w:left="1080" w:right="0" w:hanging="0"/>
        <w:jc w:val="both"/>
        <w:rPr>
          <w:rFonts w:ascii="Times New Roman" w:hAnsi="Times New Roman"/>
          <w:sz w:val="20"/>
        </w:rPr>
      </w:pPr>
      <w:r>
        <w:rPr>
          <w:rFonts w:ascii="Times New Roman" w:hAnsi="Times New Roman"/>
          <w:sz w:val="20"/>
        </w:rPr>
        <w:t>Consolidated Balance Sheets as of December 31, 2010 and 2009</w:t>
      </w:r>
    </w:p>
    <w:p>
      <w:pPr>
        <w:pStyle w:val="TextBody"/>
        <w:spacing w:before="0" w:after="0"/>
        <w:ind w:left="0" w:right="0" w:hanging="0"/>
        <w:rPr/>
      </w:pPr>
      <w:r>
        <w:rPr/>
      </w:r>
    </w:p>
    <w:p>
      <w:pPr>
        <w:pStyle w:val="TextBody"/>
        <w:spacing w:before="0" w:after="0"/>
        <w:ind w:left="1080" w:right="720" w:hanging="0"/>
        <w:jc w:val="both"/>
        <w:rPr>
          <w:rFonts w:ascii="Times New Roman" w:hAnsi="Times New Roman"/>
          <w:sz w:val="20"/>
        </w:rPr>
      </w:pPr>
      <w:r>
        <w:rPr>
          <w:rFonts w:ascii="Times New Roman" w:hAnsi="Times New Roman"/>
          <w:sz w:val="20"/>
        </w:rPr>
        <w:t>Consolidated Statements of Earnings for the years ended December 31, 2010, 2009 and 2008</w:t>
      </w:r>
    </w:p>
    <w:p>
      <w:pPr>
        <w:pStyle w:val="TextBody"/>
        <w:spacing w:before="0" w:after="0"/>
        <w:ind w:left="0" w:right="0" w:hanging="0"/>
        <w:rPr/>
      </w:pPr>
      <w:r>
        <w:rPr/>
      </w:r>
    </w:p>
    <w:p>
      <w:pPr>
        <w:pStyle w:val="TextBody"/>
        <w:spacing w:before="0" w:after="0"/>
        <w:ind w:left="1080" w:right="720" w:hanging="0"/>
        <w:jc w:val="both"/>
        <w:rPr>
          <w:rFonts w:ascii="Times New Roman" w:hAnsi="Times New Roman"/>
          <w:sz w:val="20"/>
        </w:rPr>
      </w:pPr>
      <w:r>
        <w:rPr>
          <w:rFonts w:ascii="Times New Roman" w:hAnsi="Times New Roman"/>
          <w:sz w:val="20"/>
        </w:rPr>
        <w:t>Consolidated Statements of Stockholders’ Equity and Comprehensive Earnings for the years ended December 31, 2010, 2009 and 2008</w:t>
      </w:r>
    </w:p>
    <w:p>
      <w:pPr>
        <w:pStyle w:val="TextBody"/>
        <w:spacing w:before="0" w:after="0"/>
        <w:ind w:left="0" w:right="0" w:hanging="0"/>
        <w:rPr/>
      </w:pPr>
      <w:r>
        <w:rPr/>
      </w:r>
    </w:p>
    <w:p>
      <w:pPr>
        <w:pStyle w:val="TextBody"/>
        <w:spacing w:before="0" w:after="0"/>
        <w:ind w:left="1080" w:right="0" w:hanging="0"/>
        <w:jc w:val="both"/>
        <w:rPr>
          <w:rFonts w:ascii="Times New Roman" w:hAnsi="Times New Roman"/>
          <w:sz w:val="20"/>
        </w:rPr>
      </w:pPr>
      <w:r>
        <w:rPr>
          <w:rFonts w:ascii="Times New Roman" w:hAnsi="Times New Roman"/>
          <w:sz w:val="20"/>
        </w:rPr>
        <w:t>Consolidated Statements of Cash Flows for the years ended December 31, 2010, 2009 and 2008</w:t>
      </w:r>
    </w:p>
    <w:p>
      <w:pPr>
        <w:pStyle w:val="TextBody"/>
        <w:spacing w:before="0" w:after="0"/>
        <w:ind w:left="0" w:right="0" w:hanging="0"/>
        <w:rPr/>
      </w:pPr>
      <w:r>
        <w:rPr/>
      </w:r>
    </w:p>
    <w:p>
      <w:pPr>
        <w:pStyle w:val="TextBody"/>
        <w:spacing w:before="0" w:after="0"/>
        <w:ind w:left="1080" w:right="0" w:hanging="0"/>
        <w:jc w:val="both"/>
        <w:rPr>
          <w:rFonts w:ascii="Times New Roman" w:hAnsi="Times New Roman"/>
          <w:sz w:val="20"/>
        </w:rPr>
      </w:pPr>
      <w:r>
        <w:rPr>
          <w:rFonts w:ascii="Times New Roman" w:hAnsi="Times New Roman"/>
          <w:sz w:val="20"/>
        </w:rPr>
        <w:t>Notes to Consolidated Financial Statements</w:t>
      </w:r>
    </w:p>
    <w:p>
      <w:pPr>
        <w:pStyle w:val="TextBody"/>
        <w:spacing w:before="0" w:after="0"/>
        <w:ind w:left="0" w:right="0" w:hanging="0"/>
        <w:rPr/>
      </w:pPr>
      <w:r>
        <w:rPr/>
      </w:r>
    </w:p>
    <w:p>
      <w:pPr>
        <w:pStyle w:val="Normal"/>
        <w:spacing w:before="0" w:after="0"/>
        <w:rPr>
          <w:sz w:val="4"/>
          <w:szCs w:val="4"/>
        </w:rPr>
      </w:pPr>
      <w:r>
        <w:rPr>
          <w:sz w:val="4"/>
          <w:szCs w:val="4"/>
        </w:rPr>
      </w:r>
      <w:bookmarkStart w:id="330" w:name="hangingindent40"/>
      <w:bookmarkStart w:id="331" w:name="hangingindent40"/>
      <w:bookmarkEnd w:id="331"/>
    </w:p>
    <w:tbl>
      <w:tblPr>
        <w:tblW w:w="5000" w:type="pct"/>
        <w:jc w:val="center"/>
        <w:tblInd w:w="0" w:type="dxa"/>
        <w:tblCellMar>
          <w:top w:w="0" w:type="dxa"/>
          <w:left w:w="0" w:type="dxa"/>
          <w:bottom w:w="0" w:type="dxa"/>
          <w:right w:w="0" w:type="dxa"/>
        </w:tblCellMar>
      </w:tblPr>
      <w:tblGrid>
        <w:gridCol w:w="137"/>
        <w:gridCol w:w="279"/>
        <w:gridCol w:w="9789"/>
      </w:tblGrid>
      <w:tr>
        <w:trPr/>
        <w:tc>
          <w:tcPr>
            <w:tcW w:w="137" w:type="dxa"/>
            <w:tcBorders/>
            <w:shd w:fill="auto" w:val="clear"/>
          </w:tcPr>
          <w:p>
            <w:pPr>
              <w:pStyle w:val="TableContents"/>
              <w:spacing w:before="0" w:after="0"/>
              <w:rPr/>
            </w:pPr>
            <w:r>
              <w:rPr/>
              <w:t xml:space="preserve">  </w:t>
            </w:r>
          </w:p>
        </w:tc>
        <w:tc>
          <w:tcPr>
            <w:tcW w:w="27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7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Consolidated Valuation and Qualifying Accounts for the years ended December 31, 2010, 2009 and 2008</w:t>
            </w:r>
          </w:p>
        </w:tc>
      </w:tr>
    </w:tbl>
    <w:p>
      <w:pPr>
        <w:pStyle w:val="TextBody"/>
        <w:spacing w:before="0" w:after="0"/>
        <w:ind w:left="0" w:right="0" w:hanging="0"/>
        <w:rPr/>
      </w:pPr>
      <w:r>
        <w:rPr/>
      </w:r>
    </w:p>
    <w:p>
      <w:pPr>
        <w:pStyle w:val="Normal"/>
        <w:spacing w:before="0" w:after="0"/>
        <w:rPr>
          <w:sz w:val="4"/>
          <w:szCs w:val="4"/>
        </w:rPr>
      </w:pPr>
      <w:r>
        <w:rPr>
          <w:sz w:val="4"/>
          <w:szCs w:val="4"/>
        </w:rPr>
      </w:r>
      <w:bookmarkStart w:id="332" w:name="hangingindent41"/>
      <w:bookmarkStart w:id="333" w:name="hangingindent41"/>
      <w:bookmarkEnd w:id="333"/>
    </w:p>
    <w:tbl>
      <w:tblPr>
        <w:tblW w:w="5000" w:type="pct"/>
        <w:jc w:val="center"/>
        <w:tblInd w:w="0" w:type="dxa"/>
        <w:tblCellMar>
          <w:top w:w="0" w:type="dxa"/>
          <w:left w:w="0" w:type="dxa"/>
          <w:bottom w:w="0" w:type="dxa"/>
          <w:right w:w="0" w:type="dxa"/>
        </w:tblCellMar>
      </w:tblPr>
      <w:tblGrid>
        <w:gridCol w:w="2617"/>
        <w:gridCol w:w="7588"/>
      </w:tblGrid>
      <w:tr>
        <w:trPr/>
        <w:tc>
          <w:tcPr>
            <w:tcW w:w="261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75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Exhibits</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244"/>
        <w:gridCol w:w="123"/>
        <w:gridCol w:w="8838"/>
      </w:tblGrid>
      <w:tr>
        <w:trPr/>
        <w:tc>
          <w:tcPr>
            <w:tcW w:w="1244" w:type="dxa"/>
            <w:tcBorders>
              <w:bottom w:val="single" w:sz="12" w:space="0" w:color="000000"/>
            </w:tcBorders>
            <w:shd w:fill="auto" w:val="clear"/>
            <w:vAlign w:val="bottom"/>
          </w:tcPr>
          <w:p>
            <w:pPr>
              <w:pStyle w:val="TableContents"/>
              <w:spacing w:before="0" w:after="0"/>
              <w:ind w:left="0" w:right="90" w:hanging="0"/>
              <w:jc w:val="center"/>
              <w:rPr>
                <w:rFonts w:ascii="times new roman" w:hAnsi="times new roman"/>
                <w:sz w:val="20"/>
              </w:rPr>
            </w:pPr>
            <w:r>
              <w:rPr>
                <w:rFonts w:ascii="times new roman" w:hAnsi="times new roman"/>
                <w:sz w:val="20"/>
              </w:rPr>
              <w:t>Exhibit No.</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(a)3.1</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Certificate of Incorporation.</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(b)3.2</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By-Laws.</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(c)3.3</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Certificate of Amendment, amending Restated Certificate of Incorporation.</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(d)3.4</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Certificate Eliminating References to Roper Industries, Inc.’s Series A Preferred Stock from the Certificate of Incorporation of Roper Industries, Inc. dated November 16, 2006.</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(e)3.5</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Certificate of Amendment, amending Restated Certificate of Incorporation.</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(f)4.2</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Indenture between Roper Industries, Inc. and SunTrust Bank, dated as of November 28, 2003.</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4.3</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Form of Debt Securities (included in Exhibit 4.2).</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(g)4.4</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First Supplemental Indenture between Roper Industries, Inc. and SunTrust Bank, dated as of December 29, 2003.</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(h)4.5</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Second Supplemental Indenture between Roper Industries, Inc. and Sun Trust Bank, dated as of December 7, 2004.</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(i)4.6</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Indenture between Roper Industries, Inc. and Wells Fargo Bank, dated as of August 4, 2008.</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(j)4.7</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Form of Note.</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(k)4.8</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Form of 6.625% Notes due 2013.</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(l)4.9</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Form of 6.25% Senior Notes due 2019.</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(m)10.01</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Form of Amended and Restated Indemnification Agreement. †</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(n)10.02</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Employee Stock Purchase Plan, as amended and restated. †</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(o)10.03</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2000 Stock Incentive Plan, as amended. †</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(p)10.04</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Non-Qualified Retirement Plan, as amended. †</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(q)10.05</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Brian D. Jellison Employment Agreement, dated as of December 29, 2008. †</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(r)10.06</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Timothy J. Winfrey offer letter dated May 20, 2002. †</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(s)10.07</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Credit Agreement, dated as of July 7, 2008, among Roper Industries, Inc., as parent borrower, the foreign subsidiary borrowers of Roper Industries, Inc. from time to time parties thereto, the several lenders from time to time parties thereto, Bank of Tokyo-Mitsubishi UFJ Trust Company and BNP Paribas, as documentation agents, Wachovia Capital Markets, LLC and Banc of America Securities, LLC, as syndication agents, and JPMorgan Chase Bank, N.A., as administrative agent.</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(t)10.08</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Form of Executive Officer Restricted Stock Award Agreement. †</w:t>
            </w:r>
          </w:p>
        </w:tc>
      </w:tr>
      <w:tr>
        <w:trPr/>
        <w:tc>
          <w:tcPr>
            <w:tcW w:w="1244" w:type="dxa"/>
            <w:tcBorders/>
            <w:shd w:fill="auto" w:val="clear"/>
            <w:tcMar>
              <w:bottom w:w="0" w:type="dxa"/>
            </w:tcMar>
          </w:tcPr>
          <w:p>
            <w:pPr>
              <w:pStyle w:val="TableContents"/>
              <w:spacing w:before="0" w:after="0"/>
              <w:ind w:left="0" w:right="90" w:hanging="0"/>
              <w:jc w:val="right"/>
              <w:rPr>
                <w:rFonts w:ascii="times new roman" w:hAnsi="times new roman"/>
                <w:sz w:val="20"/>
              </w:rPr>
            </w:pPr>
            <w:r>
              <w:rPr>
                <w:rFonts w:ascii="times new roman" w:hAnsi="times new roman"/>
                <w:sz w:val="20"/>
              </w:rPr>
              <w:t>(u)10.09</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Brian D. Jellison Restricted Stock Unit Award Agreement. †</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(v)10.10</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Offer letter for John Humphrey, dated March 31, 2006. †</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(v)10.11</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2006 Incentive Plan, as amended. †</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(w)10.12</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Form of Restricted Stock Agreement for Employee Directors. †</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(x)10.13</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Form of Restricted Stock Agreement for Non-Employee Directors. †</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(y)10.14</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Form of Restricted Stock Agreement for Employees. †</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(y)10.15</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Form of Incentive Stock Option Agreement. †</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(y)10.16</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Form of Non-Statutory Stock Option Agreement. †</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(y)10.17</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 Compensation Plan, as amended. †</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(y)10.18</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David B. Liner offer letter dated July 21, 2005. †</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(z)10.19</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Amendment to John Humphrey offer letter. †</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(aa)10.20</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Amendment to Timothy J. Winfrey offer letter. †</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(bb)10.21</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Amendment to David B. Liner offer letter. †</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21.1</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List of Subsidiaries, filed herewith.</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23.1</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Consent of Independent Registered Public Accounting Firm, filed herewith.</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31.1</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Rule 13a-14(a)/15d-14(a) Certification of Chief Executive Officer, filed herewith.</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31.2</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Rule 13a-14(a)/15d-14(a) Certification of Chief Financial Officer, filed herewith.</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32.1</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Section 1350 Certification of Chief Executive and Chief Financial Officers, filed herewith.</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101.INS</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XBRL Instance Document, furnished herewith.</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101.SCH</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Schema Document, furnished herewith.</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101.CAL</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Calculation Linkbase Document, furnished herewith.</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101.DEF</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Definition Linkbase Document, furnished herewith.</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101.LAB</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Label Linkbase Document, furnished herewith.</w:t>
            </w:r>
          </w:p>
        </w:tc>
      </w:tr>
      <w:tr>
        <w:trPr/>
        <w:tc>
          <w:tcPr>
            <w:tcW w:w="1244" w:type="dxa"/>
            <w:tcBorders/>
            <w:shd w:fill="auto" w:val="clear"/>
            <w:tcMar>
              <w:bottom w:w="0" w:type="dxa"/>
            </w:tcMar>
            <w:vAlign w:val="bottom"/>
          </w:tcPr>
          <w:p>
            <w:pPr>
              <w:pStyle w:val="TableContents"/>
              <w:spacing w:before="0" w:after="0"/>
              <w:ind w:left="0" w:right="90" w:hanging="0"/>
              <w:jc w:val="right"/>
              <w:rPr>
                <w:rFonts w:ascii="times new roman" w:hAnsi="times new roman"/>
                <w:sz w:val="20"/>
              </w:rPr>
            </w:pPr>
            <w:r>
              <w:rPr>
                <w:rFonts w:ascii="times new roman" w:hAnsi="times new roman"/>
                <w:sz w:val="20"/>
              </w:rPr>
              <w:t>101.PRE</w:t>
            </w:r>
          </w:p>
        </w:tc>
        <w:tc>
          <w:tcPr>
            <w:tcW w:w="123" w:type="dxa"/>
            <w:tcBorders/>
            <w:shd w:fill="auto" w:val="clear"/>
            <w:tcMar>
              <w:bottom w:w="0" w:type="dxa"/>
            </w:tcMar>
            <w:vAlign w:val="bottom"/>
          </w:tcPr>
          <w:p>
            <w:pPr>
              <w:pStyle w:val="TableContents"/>
              <w:spacing w:before="0" w:after="283"/>
              <w:rPr/>
            </w:pPr>
            <w:r>
              <w:rPr/>
              <w:t xml:space="preserve">  </w:t>
            </w:r>
          </w:p>
        </w:tc>
        <w:tc>
          <w:tcPr>
            <w:tcW w:w="883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Presentation Linkbase Document, furnished herewith.</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22"/>
        <w:gridCol w:w="523"/>
        <w:gridCol w:w="9160"/>
      </w:tblGrid>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3.1 to the Roper Industries, Inc. Quarterly Report on Form 10-Q filed March 17, 2003 (file no. 1-12273), as amended by the Certificate Eliminating References to the Company’s Series A Preferred Stock from the Certificate of Incorporation of Roper Industries, Inc. dated November 16, 2006, incorporated herein by reference to Exhibit 3.1 to the Roper Industries, Inc. Current Report on Form 8-K filed November 16, 2006 (file no. 1-12273).</w:t>
            </w:r>
          </w:p>
        </w:tc>
      </w:tr>
      <w:tr>
        <w:trPr/>
        <w:tc>
          <w:tcPr>
            <w:tcW w:w="522" w:type="dxa"/>
            <w:tcBorders/>
            <w:shd w:fill="auto" w:val="clear"/>
          </w:tcPr>
          <w:p>
            <w:pPr>
              <w:pStyle w:val="TableContents"/>
              <w:spacing w:before="0" w:after="283"/>
              <w:jc w:val="left"/>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3.1 to the Roper Industries, Inc. Current Report on Form 8-K filed February 19, 2009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10.1 to the Roper Industries, Inc. Quarterly Report on Form 10-Q filed August 9, 2006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3.1 to the Roper Industries, Inc. Current Report on Form 8-K filed November 17, 2006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3.1 to the Roper Industries, Inc. Quarterly Report on Form 10-Q filed on August 9, 2007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4.2 to the Roper Industries, Inc. Pre-Effective Amendment No. 1 to the Registration Statement on Form S-3 filed November 28, 2003 (file no. 333-110491).</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4.1 to the Roper Industries, Inc. Current Report on Form 8-K filed January 13, 2004 (file no. 1-12273).</w:t>
            </w:r>
          </w:p>
        </w:tc>
      </w:tr>
      <w:tr>
        <w:trPr/>
        <w:tc>
          <w:tcPr>
            <w:tcW w:w="522" w:type="dxa"/>
            <w:tcBorders/>
            <w:shd w:fill="auto" w:val="clear"/>
          </w:tcPr>
          <w:p>
            <w:pPr>
              <w:pStyle w:val="TableContents"/>
              <w:spacing w:before="0" w:after="283"/>
              <w:jc w:val="left"/>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(h)</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4.1 to the Roper Industries, Inc. Current Report on Form 8-K filed December 7, 2004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4.2 to the Roper Industries, Inc. Quarterly Report on Form 10-Q filed on November 7, 2008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(j)</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4.2 to the Registration Statement on Form S-3 filed July 29, 2008 (file no. 333-152590).</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(k)</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4.09 to the Roper Industries, Inc. Current Report on Form 8-K filed August 4, 2008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4.1 to the Roper Industries, Inc. Current Report on Form 8-K filed September 2, 2009 (file no. 1-12273).</w:t>
            </w:r>
          </w:p>
        </w:tc>
      </w:tr>
      <w:tr>
        <w:trPr/>
        <w:tc>
          <w:tcPr>
            <w:tcW w:w="522" w:type="dxa"/>
            <w:tcBorders/>
            <w:shd w:fill="auto" w:val="clear"/>
          </w:tcPr>
          <w:p>
            <w:pPr>
              <w:pStyle w:val="TableContents"/>
              <w:spacing w:before="0" w:after="283"/>
              <w:jc w:val="left"/>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10.04 to the Roper Industries, Inc. Quarterly Report on Form 10-Q filed August 31, 1999 (file no. 1-12273).</w:t>
            </w:r>
          </w:p>
        </w:tc>
      </w:tr>
      <w:tr>
        <w:trPr/>
        <w:tc>
          <w:tcPr>
            <w:tcW w:w="522" w:type="dxa"/>
            <w:tcBorders/>
            <w:shd w:fill="auto" w:val="clear"/>
          </w:tcPr>
          <w:p>
            <w:pPr>
              <w:pStyle w:val="TableContents"/>
              <w:spacing w:before="0" w:after="283"/>
              <w:jc w:val="left"/>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10.1 to the Roper Industries, Inc. Quarterly Report on Form 10-Q filed November 5, 2010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10.05 to the Roper Industries, Inc. Annual Report on Form 10-K filed March 2, 2009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10.06 to the Roper Industries, Inc. Annual Report on Form 10-K filed March 2, 2009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(q)</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10.07 to the Roper Industries, Inc. Annual Report on Form 10-K filed March 2, 2009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Exhibits 10.06 and 10.09 to the Roper Industries, Inc. Annual Report on Form 10-K/A filed November 3, 2003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10.1 to the Roper Industries, Inc. Current Report on Form 8-K filed July 7, 2008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Exhibits 99.1 and 99.2 to the Roper Industries, Inc. Current Report on Form 8-K filed December 30, 2004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(u)</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10.1 to the Roper Industries, Inc. Quarterly Report on Form 10-Q filed August 9, 2006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(v)</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10.1 to the Roper Industries, Inc. Quarterly Report on Form 10-Q filed November 7, 2008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Exhibits 10.1, 10.2, 10.3, 10.4 and 10.5 to the Roper Industries, Inc. Current Report on Form 8-K filed December 6, 2006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(x)</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10.01 to the Roper Industries, Inc. Quarterly Report on Form 10-Q filed May 7, 2009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(y)</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10.20 to the Roper Industries, Inc. Annual Report on Form 10-K filed March 2, 2009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(z)</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10.21 to the Roper Industries, Inc. Annual Report on Form 10-K filed March 2, 2009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(aa)</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10.22 to the Roper Industries, Inc. Annual Report on Form 10-K filed March 2, 2009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(bb)</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Incorporated herein by reference to Exhibit 10.23 to the Roper Industries, Inc. Annual Report on Form 10-K filed March 2, 2009 (file no. 1-12273).</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283"/>
              <w:rPr/>
            </w:pPr>
            <w:r>
              <w:rPr/>
              <w:t xml:space="preserve">  </w:t>
            </w:r>
          </w:p>
        </w:tc>
        <w:tc>
          <w:tcPr>
            <w:tcW w:w="9160" w:type="dxa"/>
            <w:tcBorders/>
            <w:shd w:fill="auto" w:val="clear"/>
            <w:vAlign w:val="bottom"/>
          </w:tcPr>
          <w:p>
            <w:pPr>
              <w:pStyle w:val="TableContents"/>
              <w:spacing w:before="0" w:after="283"/>
              <w:rPr/>
            </w:pPr>
            <w:r>
              <w:rPr/>
              <w:t xml:space="preserve">  </w:t>
            </w:r>
          </w:p>
        </w:tc>
      </w:tr>
      <w:tr>
        <w:trPr/>
        <w:tc>
          <w:tcPr>
            <w:tcW w:w="522"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left"/>
              <w:rPr/>
            </w:pPr>
            <w:r>
              <w:rPr/>
              <w:t>†</w:t>
            </w:r>
          </w:p>
        </w:tc>
        <w:tc>
          <w:tcPr>
            <w:tcW w:w="9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contract or compensatory plan or arrangement.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4" w:name="PGBRK16"/>
      <w:bookmarkStart w:id="335" w:name="PGBRK16"/>
      <w:bookmarkEnd w:id="3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6" w:name="FTR16"/>
      <w:bookmarkStart w:id="337" w:name="FTR16"/>
      <w:bookmarkEnd w:id="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8" w:name="GLFTR16"/>
      <w:bookmarkEnd w:id="3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9" w:name="PN16"/>
      <w:bookmarkEnd w:id="339"/>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0" w:name="HDR16"/>
      <w:bookmarkStart w:id="341" w:name="HDR16"/>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2" w:name="GLHDR16"/>
      <w:bookmarkEnd w:id="3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requirements of Section 13 or 15(d) of the Securities Exchange Act of 1934, Roper has duly caused this Report to be signed on its behalf by the undersigned, therewith duly authorized</w:t>
      </w:r>
      <w:r>
        <w:rPr>
          <w:rFonts w:ascii="Times New Roman" w:hAnsi="Times New Roman"/>
          <w:b/>
          <w:sz w:val="20"/>
        </w:rPr>
        <w:t>.</w:t>
      </w:r>
    </w:p>
    <w:p>
      <w:pPr>
        <w:pStyle w:val="TextBody"/>
        <w:spacing w:before="0" w:after="0"/>
        <w:ind w:left="0" w:right="0" w:hanging="0"/>
        <w:rPr/>
      </w:pPr>
      <w:r>
        <w:rPr/>
      </w:r>
    </w:p>
    <w:p>
      <w:pPr>
        <w:pStyle w:val="Normal"/>
        <w:spacing w:before="0" w:after="0"/>
        <w:rPr>
          <w:sz w:val="4"/>
          <w:szCs w:val="4"/>
        </w:rPr>
      </w:pPr>
      <w:r>
        <w:rPr>
          <w:sz w:val="4"/>
          <w:szCs w:val="4"/>
        </w:rPr>
      </w:r>
      <w:bookmarkStart w:id="343" w:name="hangingindent42"/>
      <w:bookmarkStart w:id="344" w:name="hangingindent42"/>
      <w:bookmarkEnd w:id="344"/>
    </w:p>
    <w:tbl>
      <w:tblPr>
        <w:tblW w:w="5000" w:type="pct"/>
        <w:jc w:val="center"/>
        <w:tblInd w:w="0" w:type="dxa"/>
        <w:tblCellMar>
          <w:top w:w="0" w:type="dxa"/>
          <w:left w:w="0" w:type="dxa"/>
          <w:bottom w:w="0" w:type="dxa"/>
          <w:right w:w="0" w:type="dxa"/>
        </w:tblCellMar>
      </w:tblPr>
      <w:tblGrid>
        <w:gridCol w:w="487"/>
        <w:gridCol w:w="9718"/>
      </w:tblGrid>
      <w:tr>
        <w:trPr/>
        <w:tc>
          <w:tcPr>
            <w:tcW w:w="487" w:type="dxa"/>
            <w:tcBorders/>
            <w:shd w:fill="auto" w:val="clear"/>
          </w:tcPr>
          <w:p>
            <w:pPr>
              <w:pStyle w:val="TableContents"/>
              <w:spacing w:before="0" w:after="0"/>
              <w:rPr/>
            </w:pPr>
            <w:r>
              <w:rPr/>
              <w:t xml:space="preserve">  </w:t>
            </w:r>
          </w:p>
        </w:tc>
        <w:tc>
          <w:tcPr>
            <w:tcW w:w="9718"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ROPER INDUSTRIES, INC.</w:t>
            </w:r>
          </w:p>
        </w:tc>
      </w:tr>
    </w:tbl>
    <w:p>
      <w:pPr>
        <w:pStyle w:val="TextBody"/>
        <w:spacing w:before="0" w:after="0"/>
        <w:ind w:left="0" w:right="0" w:hanging="0"/>
        <w:jc w:val="center"/>
        <w:rPr>
          <w:rFonts w:ascii="Times New Roman" w:hAnsi="Times New Roman"/>
          <w:b/>
          <w:sz w:val="20"/>
        </w:rPr>
      </w:pPr>
      <w:r>
        <w:rPr>
          <w:rFonts w:ascii="Times New Roman" w:hAnsi="Times New Roman"/>
          <w:b/>
          <w:sz w:val="20"/>
        </w:rPr>
        <w:t>(Registrant)</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73"/>
        <w:gridCol w:w="5463"/>
        <w:gridCol w:w="4169"/>
      </w:tblGrid>
      <w:tr>
        <w:trPr/>
        <w:tc>
          <w:tcPr>
            <w:tcW w:w="57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By:</w:t>
            </w:r>
          </w:p>
        </w:tc>
        <w:tc>
          <w:tcPr>
            <w:tcW w:w="5463"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BRIAN D. JELLISON</w:t>
            </w:r>
          </w:p>
        </w:tc>
        <w:tc>
          <w:tcPr>
            <w:tcW w:w="4169"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February 25, 2011</w:t>
            </w:r>
          </w:p>
        </w:tc>
      </w:tr>
      <w:tr>
        <w:trPr/>
        <w:tc>
          <w:tcPr>
            <w:tcW w:w="573" w:type="dxa"/>
            <w:tcBorders/>
            <w:shd w:fill="auto" w:val="clear"/>
          </w:tcPr>
          <w:p>
            <w:pPr>
              <w:pStyle w:val="TableContents"/>
              <w:spacing w:before="0" w:after="283"/>
              <w:rPr/>
            </w:pPr>
            <w:r>
              <w:rPr/>
              <w:t xml:space="preserve">  </w:t>
            </w:r>
          </w:p>
        </w:tc>
        <w:tc>
          <w:tcPr>
            <w:tcW w:w="546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Brian D. Jellison, President and Chief Executive Officer</w:t>
            </w:r>
          </w:p>
        </w:tc>
        <w:tc>
          <w:tcPr>
            <w:tcW w:w="4169"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pPr>
      <w:r>
        <w:rPr/>
        <w:t> </w:t>
      </w: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this Report has been signed below by the following persons on behalf of Roper and in the capacities and on the dates indicated.</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266"/>
        <w:gridCol w:w="407"/>
        <w:gridCol w:w="4219"/>
        <w:gridCol w:w="2313"/>
      </w:tblGrid>
      <w:tr>
        <w:trPr/>
        <w:tc>
          <w:tcPr>
            <w:tcW w:w="3266" w:type="dxa"/>
            <w:tcBorders>
              <w:bottom w:val="single" w:sz="12"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 BRIAN D. JELLISON</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President, Chief Executive Officer and</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Brian D. Jellison</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Chairman of the Board of Directors</w:t>
            </w:r>
          </w:p>
        </w:tc>
        <w:tc>
          <w:tcPr>
            <w:tcW w:w="231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February 25, 2011</w:t>
            </w:r>
          </w:p>
        </w:tc>
      </w:tr>
      <w:tr>
        <w:trPr/>
        <w:tc>
          <w:tcPr>
            <w:tcW w:w="3266" w:type="dxa"/>
            <w:tcBorders/>
            <w:shd w:fill="auto" w:val="clear"/>
            <w:tcMar>
              <w:bottom w:w="0" w:type="dxa"/>
            </w:tcMar>
          </w:tcPr>
          <w:p>
            <w:pPr>
              <w:pStyle w:val="TableContents"/>
              <w:spacing w:before="0" w:after="283"/>
              <w:rPr/>
            </w:pPr>
            <w:r>
              <w:rPr/>
              <w:t xml:space="preserve">  </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(Principal Executive Officer)</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shd w:fill="auto" w:val="clear"/>
            <w:tcMar>
              <w:bottom w:w="0" w:type="dxa"/>
            </w:tcMar>
          </w:tcPr>
          <w:p>
            <w:pPr>
              <w:pStyle w:val="TableContents"/>
              <w:spacing w:before="0" w:after="283"/>
              <w:rPr/>
            </w:pPr>
            <w:r>
              <w:rPr/>
              <w:t xml:space="preserve">  </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bottom w:val="single" w:sz="12"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 JOHN HUMPHREY</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Vice President, Chief Financial Officer</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John Humphrey</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(Principal Financial Officer)</w:t>
            </w:r>
          </w:p>
        </w:tc>
        <w:tc>
          <w:tcPr>
            <w:tcW w:w="231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February 25, 2011</w:t>
            </w:r>
          </w:p>
        </w:tc>
      </w:tr>
      <w:tr>
        <w:trPr/>
        <w:tc>
          <w:tcPr>
            <w:tcW w:w="3266" w:type="dxa"/>
            <w:tcBorders/>
            <w:shd w:fill="auto" w:val="clear"/>
            <w:tcMar>
              <w:bottom w:w="0" w:type="dxa"/>
            </w:tcMar>
          </w:tcPr>
          <w:p>
            <w:pPr>
              <w:pStyle w:val="TableContents"/>
              <w:spacing w:before="0" w:after="283"/>
              <w:rPr/>
            </w:pPr>
            <w:r>
              <w:rPr/>
              <w:t xml:space="preserve">  </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bottom w:val="single" w:sz="12"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 PAUL J. SONI</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Vice President and Controller</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Paul J. Soni</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(Principal Accounting Officer)</w:t>
            </w:r>
          </w:p>
        </w:tc>
        <w:tc>
          <w:tcPr>
            <w:tcW w:w="231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February 25, 2011</w:t>
            </w:r>
          </w:p>
        </w:tc>
      </w:tr>
      <w:tr>
        <w:trPr/>
        <w:tc>
          <w:tcPr>
            <w:tcW w:w="3266" w:type="dxa"/>
            <w:tcBorders/>
            <w:shd w:fill="auto" w:val="clear"/>
            <w:tcMar>
              <w:bottom w:w="0" w:type="dxa"/>
            </w:tcMar>
          </w:tcPr>
          <w:p>
            <w:pPr>
              <w:pStyle w:val="TableContents"/>
              <w:spacing w:before="0" w:after="283"/>
              <w:rPr/>
            </w:pPr>
            <w:r>
              <w:rPr/>
              <w:t xml:space="preserve">  </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bottom w:val="single" w:sz="12"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 DAVID W. DEVONSHIRE</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David W. Devonshire</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c>
          <w:tcPr>
            <w:tcW w:w="231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February 25, 2011</w:t>
            </w:r>
          </w:p>
        </w:tc>
      </w:tr>
      <w:tr>
        <w:trPr/>
        <w:tc>
          <w:tcPr>
            <w:tcW w:w="3266" w:type="dxa"/>
            <w:tcBorders/>
            <w:shd w:fill="auto" w:val="clear"/>
            <w:tcMar>
              <w:bottom w:w="0" w:type="dxa"/>
            </w:tcMar>
          </w:tcPr>
          <w:p>
            <w:pPr>
              <w:pStyle w:val="TableContents"/>
              <w:spacing w:before="0" w:after="283"/>
              <w:rPr/>
            </w:pPr>
            <w:r>
              <w:rPr/>
              <w:t xml:space="preserve">  </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bottom w:val="single" w:sz="12"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 JOHN F. FORT, III</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John F. Fort, III</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c>
          <w:tcPr>
            <w:tcW w:w="231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February 25, 2011</w:t>
            </w:r>
          </w:p>
        </w:tc>
      </w:tr>
      <w:tr>
        <w:trPr/>
        <w:tc>
          <w:tcPr>
            <w:tcW w:w="3266" w:type="dxa"/>
            <w:tcBorders/>
            <w:shd w:fill="auto" w:val="clear"/>
            <w:tcMar>
              <w:bottom w:w="0" w:type="dxa"/>
            </w:tcMar>
          </w:tcPr>
          <w:p>
            <w:pPr>
              <w:pStyle w:val="TableContents"/>
              <w:spacing w:before="0" w:after="283"/>
              <w:rPr/>
            </w:pPr>
            <w:r>
              <w:rPr/>
              <w:t xml:space="preserve">  </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bottom w:val="single" w:sz="12"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 ROBERT D. JOHNSON</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Robert D. Johnson</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c>
          <w:tcPr>
            <w:tcW w:w="231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February 25, 2011</w:t>
            </w:r>
          </w:p>
        </w:tc>
      </w:tr>
      <w:tr>
        <w:trPr/>
        <w:tc>
          <w:tcPr>
            <w:tcW w:w="3266" w:type="dxa"/>
            <w:tcBorders/>
            <w:shd w:fill="auto" w:val="clear"/>
            <w:tcMar>
              <w:bottom w:w="0" w:type="dxa"/>
            </w:tcMar>
          </w:tcPr>
          <w:p>
            <w:pPr>
              <w:pStyle w:val="TableContents"/>
              <w:spacing w:before="0" w:after="283"/>
              <w:rPr/>
            </w:pPr>
            <w:r>
              <w:rPr/>
              <w:t xml:space="preserve">  </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bottom w:val="single" w:sz="12"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 ROBERT E. KNOWLING</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Robert E. Knowling</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c>
          <w:tcPr>
            <w:tcW w:w="231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February 25, 2011</w:t>
            </w:r>
          </w:p>
        </w:tc>
      </w:tr>
      <w:tr>
        <w:trPr/>
        <w:tc>
          <w:tcPr>
            <w:tcW w:w="3266" w:type="dxa"/>
            <w:tcBorders/>
            <w:shd w:fill="auto" w:val="clear"/>
            <w:tcMar>
              <w:bottom w:w="0" w:type="dxa"/>
            </w:tcMar>
          </w:tcPr>
          <w:p>
            <w:pPr>
              <w:pStyle w:val="TableContents"/>
              <w:spacing w:before="0" w:after="283"/>
              <w:rPr/>
            </w:pPr>
            <w:r>
              <w:rPr/>
              <w:t xml:space="preserve">  </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bottom w:val="single" w:sz="12"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 WILBUR J. PREZZANO</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Wilbur J. Prezzano</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c>
          <w:tcPr>
            <w:tcW w:w="231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February 25, 2011</w:t>
            </w:r>
          </w:p>
        </w:tc>
      </w:tr>
      <w:tr>
        <w:trPr/>
        <w:tc>
          <w:tcPr>
            <w:tcW w:w="3266" w:type="dxa"/>
            <w:tcBorders/>
            <w:shd w:fill="auto" w:val="clear"/>
            <w:tcMar>
              <w:bottom w:w="0" w:type="dxa"/>
            </w:tcMar>
          </w:tcPr>
          <w:p>
            <w:pPr>
              <w:pStyle w:val="TableContents"/>
              <w:spacing w:before="0" w:after="283"/>
              <w:rPr/>
            </w:pPr>
            <w:r>
              <w:rPr/>
              <w:t xml:space="preserve">  </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bottom w:val="single" w:sz="12"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 RICHARD F. WALLMAN</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Richard F. Wallman</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c>
          <w:tcPr>
            <w:tcW w:w="231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February 25, 2011</w:t>
            </w:r>
          </w:p>
        </w:tc>
      </w:tr>
      <w:tr>
        <w:trPr/>
        <w:tc>
          <w:tcPr>
            <w:tcW w:w="3266" w:type="dxa"/>
            <w:tcBorders/>
            <w:shd w:fill="auto" w:val="clear"/>
            <w:tcMar>
              <w:bottom w:w="0" w:type="dxa"/>
            </w:tcMar>
          </w:tcPr>
          <w:p>
            <w:pPr>
              <w:pStyle w:val="TableContents"/>
              <w:spacing w:before="0" w:after="283"/>
              <w:rPr/>
            </w:pPr>
            <w:r>
              <w:rPr/>
              <w:t xml:space="preserve">  </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bottom w:val="single" w:sz="12"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 CHRISTOPHER WRIGHT</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283"/>
              <w:rPr/>
            </w:pPr>
            <w:r>
              <w:rPr/>
              <w:t xml:space="preserve">  </w:t>
            </w:r>
          </w:p>
        </w:tc>
        <w:tc>
          <w:tcPr>
            <w:tcW w:w="2313" w:type="dxa"/>
            <w:tcBorders/>
            <w:shd w:fill="auto" w:val="clear"/>
            <w:tcMar>
              <w:bottom w:w="0" w:type="dxa"/>
            </w:tcMar>
          </w:tcPr>
          <w:p>
            <w:pPr>
              <w:pStyle w:val="TableContents"/>
              <w:spacing w:before="0" w:after="283"/>
              <w:rPr/>
            </w:pPr>
            <w:r>
              <w:rPr/>
              <w:t xml:space="preserve">  </w:t>
            </w:r>
          </w:p>
        </w:tc>
      </w:tr>
      <w:tr>
        <w:trPr/>
        <w:tc>
          <w:tcPr>
            <w:tcW w:w="3266"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Christopher Wright</w:t>
            </w:r>
          </w:p>
        </w:tc>
        <w:tc>
          <w:tcPr>
            <w:tcW w:w="407" w:type="dxa"/>
            <w:tcBorders/>
            <w:shd w:fill="auto" w:val="clear"/>
            <w:tcMar>
              <w:bottom w:w="0" w:type="dxa"/>
            </w:tcMar>
          </w:tcPr>
          <w:p>
            <w:pPr>
              <w:pStyle w:val="TableContents"/>
              <w:spacing w:before="0" w:after="283"/>
              <w:rPr/>
            </w:pPr>
            <w:r>
              <w:rPr/>
              <w:t xml:space="preserve">  </w:t>
            </w:r>
          </w:p>
        </w:tc>
        <w:tc>
          <w:tcPr>
            <w:tcW w:w="4219"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c>
          <w:tcPr>
            <w:tcW w:w="2313"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February 25, 2011</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ind w:left="0" w:right="0" w:hanging="0"/>
        <w:rPr/>
      </w:pPr>
      <w:r>
        <w:rPr/>
        <w:t> </w:t>
      </w:r>
      <w:r>
        <w:br w:type="page"/>
      </w:r>
    </w:p>
    <w:p>
      <w:pPr>
        <w:pStyle w:val="TextBody"/>
        <w:spacing w:before="0" w:after="0"/>
        <w:jc w:val="right"/>
        <w:rPr/>
      </w:pPr>
      <w:bookmarkStart w:id="345" w:name="ex21-1.htm"/>
      <w:bookmarkStart w:id="346" w:name="ksex211"/>
      <w:bookmarkEnd w:id="345"/>
      <w:bookmarkEnd w:id="346"/>
      <w:r>
        <w:rPr/>
        <w:t>Exhibit 21.1</w:t>
      </w:r>
    </w:p>
    <w:p>
      <w:pPr>
        <w:pStyle w:val="TextBody"/>
        <w:spacing w:before="0" w:after="0"/>
        <w:jc w:val="right"/>
        <w:rPr/>
      </w:pPr>
      <w:r>
        <w:rPr/>
        <w:t> </w:t>
      </w:r>
    </w:p>
    <w:p>
      <w:pPr>
        <w:pStyle w:val="TextBody"/>
        <w:spacing w:before="0" w:after="0"/>
        <w:rPr/>
      </w:pPr>
      <w:r>
        <w:rPr/>
      </w:r>
    </w:p>
    <w:tbl>
      <w:tblPr>
        <w:tblW w:w="5000" w:type="pct"/>
        <w:jc w:val="left"/>
        <w:tblInd w:w="0" w:type="dxa"/>
        <w:tblCellMar>
          <w:top w:w="0" w:type="dxa"/>
          <w:left w:w="0" w:type="dxa"/>
          <w:bottom w:w="28" w:type="dxa"/>
          <w:right w:w="0" w:type="dxa"/>
        </w:tblCellMar>
      </w:tblPr>
      <w:tblGrid>
        <w:gridCol w:w="7043"/>
        <w:gridCol w:w="3162"/>
      </w:tblGrid>
      <w:tr>
        <w:trPr/>
        <w:tc>
          <w:tcPr>
            <w:tcW w:w="704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 of Subsidiary</w:t>
            </w:r>
          </w:p>
        </w:tc>
        <w:tc>
          <w:tcPr>
            <w:tcW w:w="316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Jurisdiction of Incorporation/Organization</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3089554 Nova Scotia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Canada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Abel Equipos, S.A.</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Spain</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Abel GmbH &amp; Co KG</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Abel Pumpen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Abel Pumps, L.P.</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AC Analytical Control Services B.V</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Netherlands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AC Analytical Controls B.V.</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Netherlands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AC Analytical Controls Holding B.V.</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Netherlands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Acton Research Corporation</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Alpha Holdings of Delaware 1,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Alpha Holdings of Delaware 11,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Alpha Technologies B.V.</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Netherlands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Alpha Technologies Japan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Alpha Technologies S.R.O.</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Czech Republic</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Alpha Technologies Services,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Alpha Technologies UK</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Alpha UK Holdings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Amot Controls Corporation</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Amot Controls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Amot/Metrix Investment Company,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Amphire Solutions,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Amtech Systems (Hong Kong),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Hong Kong</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Amtech Systems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Amtech World Corporation</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Barbox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CBORD Holdings Corp.</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CCC Services,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Chalwyn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CIVCO Holding,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CIVCO Medical Instruments Co.,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Iowa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Colorado MEDTEC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Colorado</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Compressor Controls (Beijing) Corporation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China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Compressor Controls Corporation B.V.</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Netherlands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Compressor Controls Corporation</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Iowa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Compressor Controls Corporation Middle East</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Compressor Controls Corporation S.r.l.</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Italy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Compressor Controls Corporation Mauritius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Mauritius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Cornell Pump Company</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Cornell Pump Europe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Cruden Bay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DAP Technologies Corp.</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DAP Technologies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DAP Technologies SARL</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France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DAP Technologies,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Canada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Dynamic Instruments,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California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 (UK)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 B.V.</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Netherlands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 Enterprises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 Enterprises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 Europe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 Europe Holdings II, B.V.</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Netherlands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 Instruments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 Instruments SARL</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France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 Parent,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 Polymer Test,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Pennsylvania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 S.R.L.</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Italy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 SPOL, SRO</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Czech Republic</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 –Viatran (M) Sdn Bhd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Malaysia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 Viatran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Dynisco-Viatran Instruments Sdn Bhd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Malaysia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Eclipse Laboratory Automation BV</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Netherlands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Fluid Metering,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FTI Flow Technology,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Gatan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Gatan Service Corporation</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Pennsylvania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Gatan,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Pennsylvania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Getloaded Corporation</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Hansen Technologies Corporation</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Illinois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Hansen Technologies Europe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Harbour Holding Corp.</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Hardy Instruments,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California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Horizon Software International,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Georgia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Imager Labs</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California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Inovonics Corporation</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Colorado</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Instill Corporation</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Integrated Designs L.P.</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IntelliTrans Canada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Canada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IntelliTrans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IntelliTrans,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Intellitrans Sweden AB</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Sweden</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ISL Finance</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France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ISL Holding SNC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France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ISL Scientifique de Laboratoire - ISL, S.A.S.</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France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IT Canada Holdings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iTradeNetwork,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iTradeNetwork,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K/S Roper Finance</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Denmark</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Law 1059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Logitech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Lumenera Corporation</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Canada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Lumenera,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Marumoto Struers KK</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Japan</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Media Cybernetics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MEDTEC S.A.R.L.</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France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MEDTEC,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Iowa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Metrix Instrument Co., L.P.</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Neptune Technology Group (Canada)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Canada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Neptune Technology Group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Neptune Technology Group Mexico S.de R.L. de C.V.</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Mexico</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Neptune Technology Group Servicios S.de R.L. de C.V.</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Mexico</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Nippon Roper K.K.</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Japan</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Off-Campus Advantage,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PAC Denmark ApS</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Denmark</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PAC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PAC Instruments Asia Pte.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Singapore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Petroleum Analyzer Company LP</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Photometrics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Quantitative Imaging Corp.</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Canada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Redlake MASD,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RI Marketing India Private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India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RMT,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Arizona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Roda Deaco Valve,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Canada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Brasil Comercio E Promocano De Produtos E Servicos LTDA</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Brazil</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Canada Holdings,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Canada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Canada Partners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Canada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Capital Deutschland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Engineering s.r.o.</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Czech Republic</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Europe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Fundings Deutschland GmbH &amp; Co. KG</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Georgia,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Germany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Germany GmbH &amp; Co., KG</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Holdings,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Holdings,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Hong Kong Holdings,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Hong Kong</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Industrial Products Investment Company</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Iowa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Industries L.P.</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Canada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Industries  UK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Industries B.V.</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Netherlands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Industries Denmark ApS</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Denmark</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Industries Deutschland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Industries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Industries Manufacturing (Shanghai) Co.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China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Industries Mauritius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Mauritius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International Products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Virgin Islands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International Holding,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Russia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Luxembourg Finance S.a.r.l.</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Luxembourg</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Luxembourg Holdings S.a.r.l.</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Luxembourg</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Luxembourg S.a.r.l.</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Luxembourg</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Mex, L.P.</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Pump Company</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Scientific B.V.</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Netherlands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Scientific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Scientific SAS</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France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Scientific,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Roper Southeast Asia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Ropintassco 1,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Ropintassco 2,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Ropintassco 3,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Ropintassco 4,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Ropintassco 5,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Ropintassco 6,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Ropintassco 7,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Ropintassco Holdings, L.P.</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Shanghai Roper Industries Trading Co.,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China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Sinmed B.V.</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Netherlands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Sinmed Holding International B.V.</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Netherlands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Struers (Shanghai) International Trading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China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Struers A/S</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Denmark</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Struers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Struers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Struers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Canada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Struers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Struers SARL</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France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Struers S.A.S.</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France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Student Advantage,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TC License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Technolog Group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Technolog Holdings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Technolog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Technolog S.a.r.l</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France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The CBORD Group,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TLP Holdings,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TransCore Atlantic,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TransCore CNUS,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TransCore Commercial Services,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TransCore Holdings,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TransCore ITS,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TransCore Link Logistics Corporation</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Canada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TransCore Nova Scotia Corporation</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Canada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TransCore Partners,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Transcore Quebec Corporation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Canada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TransCore, LP</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TransCore Transportation Systems Mauritius Private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Mauritius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TransCore Transportation Solutions India Private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India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Toll Systems,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Uson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Uson L.P.</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Uson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Utilitec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Utilitec Services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Utility Data Services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Verathon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Washington</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Verathon Holdings (Delaware)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Verathon Medical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Washington</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Verathon Medical (Australia) Pty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Verathon Medical (Canada) ULC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Canada</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Verathon Medical (Europe) B.V.</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Netherlands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Verathon Medical (France) S.a.r.l.</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France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Verathon Medical (Hong Kong) Limited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Hong Kong</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Verathon Medical (Japan) K.K.</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Japan</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Verathon Medical (UK) Ltd.</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United Kingdom</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Viastar Properties,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Texas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Viastar Services, LP</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Texas</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Viatran Corporation</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York</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Walter Herzog GmbH</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Germany</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Zetec Korea,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Zetec Rental LLC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Zetec Services,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704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Zetec, Inc.</w:t>
            </w:r>
          </w:p>
        </w:tc>
        <w:tc>
          <w:tcPr>
            <w:tcW w:w="316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Washington</w:t>
            </w:r>
          </w:p>
        </w:tc>
      </w:tr>
    </w:tbl>
    <w:p>
      <w:pPr>
        <w:pStyle w:val="TextBody"/>
        <w:ind w:left="0" w:right="0" w:hanging="0"/>
        <w:jc w:val="center"/>
        <w:rPr/>
      </w:pPr>
      <w:r>
        <w:rPr/>
      </w:r>
      <w:r>
        <w:br w:type="page"/>
      </w:r>
    </w:p>
    <w:p>
      <w:pPr>
        <w:pStyle w:val="TextBody"/>
        <w:spacing w:before="0" w:after="0"/>
        <w:ind w:left="0" w:right="0" w:hanging="0"/>
        <w:jc w:val="right"/>
        <w:rPr>
          <w:rFonts w:ascii="Times New Roman" w:hAnsi="Times New Roman"/>
          <w:sz w:val="20"/>
        </w:rPr>
      </w:pPr>
      <w:bookmarkStart w:id="347" w:name="ex23-1.htm"/>
      <w:bookmarkStart w:id="348" w:name="ksex231"/>
      <w:bookmarkEnd w:id="347"/>
      <w:bookmarkEnd w:id="348"/>
      <w:r>
        <w:rPr>
          <w:rFonts w:ascii="Times New Roman" w:hAnsi="Times New Roman"/>
          <w:sz w:val="20"/>
        </w:rPr>
        <w:t>Exhibit 23.1</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CONSENT OF INDEPENDENT REGISTERED PUBLIC ACCOUNTING FIRM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hereby consent to the incorporation by reference in the Registration Statement on Form S-3 (No. 333-152590) and Form S-8 (Nos. 33-71094, 33-77770, 33-78026, 333-36897, 333-73139, 333-35666, 333-35672, 333-35648, 333-59130, 333-105919, 333-105920, 333-135700) of Roper Industries, Inc. of our report dated February 25, 2011  relating to the financial statements, financial statement schedule and the effectiveness of internal control over financial reporting, which appears in this Form 10-K.</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PricewaterhouseCoopers LLP</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Atlanta, Georgia</w:t>
      </w:r>
    </w:p>
    <w:p>
      <w:pPr>
        <w:pStyle w:val="TextBody"/>
        <w:spacing w:before="0" w:after="0"/>
        <w:ind w:left="0" w:right="0" w:hanging="0"/>
        <w:jc w:val="both"/>
        <w:rPr/>
      </w:pPr>
      <w:r>
        <w:rPr/>
        <w:t> </w:t>
      </w:r>
    </w:p>
    <w:p>
      <w:pPr>
        <w:pStyle w:val="TextBody"/>
        <w:ind w:left="0" w:right="0" w:hanging="0"/>
        <w:jc w:val="left"/>
        <w:rPr>
          <w:rFonts w:ascii="Times New Roman" w:hAnsi="Times New Roman"/>
          <w:sz w:val="20"/>
        </w:rPr>
      </w:pPr>
      <w:r>
        <w:rPr>
          <w:rFonts w:ascii="Times New Roman" w:hAnsi="Times New Roman"/>
          <w:sz w:val="20"/>
        </w:rPr>
        <w:t>February 25, 2011</w:t>
      </w:r>
      <w:r>
        <w:br w:type="page"/>
      </w:r>
    </w:p>
    <w:p>
      <w:pPr>
        <w:pStyle w:val="TextBody"/>
        <w:spacing w:before="0" w:after="0"/>
        <w:ind w:left="0" w:right="0" w:hanging="0"/>
        <w:jc w:val="right"/>
        <w:rPr>
          <w:rFonts w:ascii="Times New Roman" w:hAnsi="Times New Roman"/>
          <w:sz w:val="20"/>
        </w:rPr>
      </w:pPr>
      <w:bookmarkStart w:id="349" w:name="ex31-1.htm"/>
      <w:bookmarkStart w:id="350" w:name="ksex311"/>
      <w:bookmarkEnd w:id="349"/>
      <w:bookmarkEnd w:id="350"/>
      <w:r>
        <w:rPr>
          <w:rFonts w:ascii="Times New Roman" w:hAnsi="Times New Roman"/>
          <w:sz w:val="20"/>
        </w:rPr>
        <w:t>Exhibit 31.1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Brian D. Jellison, certify that:</w:t>
      </w:r>
    </w:p>
    <w:p>
      <w:pPr>
        <w:pStyle w:val="TextBody"/>
        <w:spacing w:before="0" w:after="0"/>
        <w:ind w:left="0" w:right="0" w:hanging="0"/>
        <w:rPr/>
      </w:pPr>
      <w:r>
        <w:rPr/>
      </w:r>
    </w:p>
    <w:p>
      <w:pPr>
        <w:pStyle w:val="Normal"/>
        <w:spacing w:before="0" w:after="0"/>
        <w:rPr>
          <w:sz w:val="4"/>
          <w:szCs w:val="4"/>
        </w:rPr>
      </w:pPr>
      <w:r>
        <w:rPr>
          <w:sz w:val="4"/>
          <w:szCs w:val="4"/>
        </w:rPr>
      </w:r>
      <w:bookmarkStart w:id="351" w:name="hangingindent43"/>
      <w:bookmarkStart w:id="352" w:name="hangingindent43"/>
      <w:bookmarkEnd w:id="352"/>
    </w:p>
    <w:tbl>
      <w:tblPr>
        <w:tblW w:w="5000" w:type="pct"/>
        <w:jc w:val="center"/>
        <w:tblInd w:w="0" w:type="dxa"/>
        <w:tblCellMar>
          <w:top w:w="0" w:type="dxa"/>
          <w:left w:w="0" w:type="dxa"/>
          <w:bottom w:w="0" w:type="dxa"/>
          <w:right w:w="0" w:type="dxa"/>
        </w:tblCellMar>
      </w:tblPr>
      <w:tblGrid>
        <w:gridCol w:w="276"/>
        <w:gridCol w:w="9929"/>
      </w:tblGrid>
      <w:tr>
        <w:trPr/>
        <w:tc>
          <w:tcPr>
            <w:tcW w:w="27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2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 have reviewed this Annual Report on Form 10-K of Roper Industries, Inc.;</w:t>
            </w:r>
          </w:p>
        </w:tc>
      </w:tr>
    </w:tbl>
    <w:p>
      <w:pPr>
        <w:pStyle w:val="TextBody"/>
        <w:spacing w:before="0" w:after="0"/>
        <w:ind w:left="0" w:right="0" w:hanging="0"/>
        <w:rPr/>
      </w:pPr>
      <w:r>
        <w:rPr/>
      </w:r>
    </w:p>
    <w:p>
      <w:pPr>
        <w:pStyle w:val="Normal"/>
        <w:spacing w:before="0" w:after="0"/>
        <w:rPr>
          <w:sz w:val="4"/>
          <w:szCs w:val="4"/>
        </w:rPr>
      </w:pPr>
      <w:r>
        <w:rPr>
          <w:sz w:val="4"/>
          <w:szCs w:val="4"/>
        </w:rPr>
      </w:r>
      <w:bookmarkStart w:id="353" w:name="hangingindent44"/>
      <w:bookmarkStart w:id="354" w:name="hangingindent44"/>
      <w:bookmarkEnd w:id="354"/>
    </w:p>
    <w:tbl>
      <w:tblPr>
        <w:tblW w:w="5000" w:type="pct"/>
        <w:jc w:val="center"/>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6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5" w:name="hangingindent45"/>
      <w:bookmarkStart w:id="356" w:name="hangingindent45"/>
      <w:bookmarkEnd w:id="356"/>
    </w:p>
    <w:tbl>
      <w:tblPr>
        <w:tblW w:w="5000" w:type="pct"/>
        <w:jc w:val="center"/>
        <w:tblInd w:w="0" w:type="dxa"/>
        <w:tblCellMar>
          <w:top w:w="0" w:type="dxa"/>
          <w:left w:w="0" w:type="dxa"/>
          <w:bottom w:w="0" w:type="dxa"/>
          <w:right w:w="0" w:type="dxa"/>
        </w:tblCellMar>
      </w:tblPr>
      <w:tblGrid>
        <w:gridCol w:w="143"/>
        <w:gridCol w:w="10062"/>
      </w:tblGrid>
      <w:tr>
        <w:trPr/>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6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7" w:name="hangingindent46"/>
      <w:bookmarkStart w:id="358" w:name="hangingindent46"/>
      <w:bookmarkEnd w:id="358"/>
    </w:p>
    <w:tbl>
      <w:tblPr>
        <w:tblW w:w="5000" w:type="pct"/>
        <w:jc w:val="center"/>
        <w:tblInd w:w="0" w:type="dxa"/>
        <w:tblCellMar>
          <w:top w:w="0" w:type="dxa"/>
          <w:left w:w="0" w:type="dxa"/>
          <w:bottom w:w="0" w:type="dxa"/>
          <w:right w:w="0" w:type="dxa"/>
        </w:tblCellMar>
      </w:tblPr>
      <w:tblGrid>
        <w:gridCol w:w="140"/>
        <w:gridCol w:w="10065"/>
      </w:tblGrid>
      <w:tr>
        <w:trPr/>
        <w:tc>
          <w:tcPr>
            <w:tcW w:w="14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6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9" w:name="hangingindent47"/>
      <w:bookmarkStart w:id="360" w:name="hangingindent47"/>
      <w:bookmarkEnd w:id="360"/>
    </w:p>
    <w:tbl>
      <w:tblPr>
        <w:tblW w:w="5000" w:type="pct"/>
        <w:jc w:val="center"/>
        <w:tblInd w:w="0" w:type="dxa"/>
        <w:tblCellMar>
          <w:top w:w="0" w:type="dxa"/>
          <w:left w:w="0" w:type="dxa"/>
          <w:bottom w:w="0" w:type="dxa"/>
          <w:right w:w="0" w:type="dxa"/>
        </w:tblCellMar>
      </w:tblPr>
      <w:tblGrid>
        <w:gridCol w:w="78"/>
        <w:gridCol w:w="129"/>
        <w:gridCol w:w="9998"/>
      </w:tblGrid>
      <w:tr>
        <w:trPr/>
        <w:tc>
          <w:tcPr>
            <w:tcW w:w="78" w:type="dxa"/>
            <w:tcBorders/>
            <w:shd w:fill="auto" w:val="clear"/>
          </w:tcPr>
          <w:p>
            <w:pPr>
              <w:pStyle w:val="TableContents"/>
              <w:spacing w:before="0" w:after="0"/>
              <w:rPr/>
            </w:pPr>
            <w:r>
              <w:rPr/>
              <w:t xml:space="preserve">  </w:t>
            </w:r>
          </w:p>
        </w:tc>
        <w:tc>
          <w:tcPr>
            <w:tcW w:w="12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1" w:name="hangingindent48"/>
      <w:bookmarkStart w:id="362" w:name="hangingindent48"/>
      <w:bookmarkEnd w:id="362"/>
    </w:p>
    <w:tbl>
      <w:tblPr>
        <w:tblW w:w="5000" w:type="pct"/>
        <w:jc w:val="center"/>
        <w:tblInd w:w="0" w:type="dxa"/>
        <w:tblCellMar>
          <w:top w:w="0" w:type="dxa"/>
          <w:left w:w="0" w:type="dxa"/>
          <w:bottom w:w="0" w:type="dxa"/>
          <w:right w:w="0" w:type="dxa"/>
        </w:tblCellMar>
      </w:tblPr>
      <w:tblGrid>
        <w:gridCol w:w="78"/>
        <w:gridCol w:w="144"/>
        <w:gridCol w:w="9983"/>
      </w:tblGrid>
      <w:tr>
        <w:trPr/>
        <w:tc>
          <w:tcPr>
            <w:tcW w:w="78"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3" w:name="hangingindent49"/>
      <w:bookmarkStart w:id="364" w:name="hangingindent49"/>
      <w:bookmarkEnd w:id="364"/>
    </w:p>
    <w:tbl>
      <w:tblPr>
        <w:tblW w:w="5000" w:type="pct"/>
        <w:jc w:val="center"/>
        <w:tblInd w:w="0" w:type="dxa"/>
        <w:tblCellMar>
          <w:top w:w="0" w:type="dxa"/>
          <w:left w:w="0" w:type="dxa"/>
          <w:bottom w:w="0" w:type="dxa"/>
          <w:right w:w="0" w:type="dxa"/>
        </w:tblCellMar>
      </w:tblPr>
      <w:tblGrid>
        <w:gridCol w:w="84"/>
        <w:gridCol w:w="135"/>
        <w:gridCol w:w="9986"/>
      </w:tblGrid>
      <w:tr>
        <w:trPr/>
        <w:tc>
          <w:tcPr>
            <w:tcW w:w="84" w:type="dxa"/>
            <w:tcBorders/>
            <w:shd w:fill="auto" w:val="clear"/>
          </w:tcPr>
          <w:p>
            <w:pPr>
              <w:pStyle w:val="TableContents"/>
              <w:spacing w:before="0" w:after="0"/>
              <w:rPr/>
            </w:pPr>
            <w:r>
              <w:rPr/>
              <w:t xml:space="preserve">  </w:t>
            </w:r>
          </w:p>
        </w:tc>
        <w:tc>
          <w:tcPr>
            <w:tcW w:w="13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5" w:name="hangingindent50"/>
      <w:bookmarkStart w:id="366" w:name="hangingindent50"/>
      <w:bookmarkEnd w:id="366"/>
    </w:p>
    <w:tbl>
      <w:tblPr>
        <w:tblW w:w="5000" w:type="pct"/>
        <w:jc w:val="center"/>
        <w:tblInd w:w="0" w:type="dxa"/>
        <w:tblCellMar>
          <w:top w:w="0" w:type="dxa"/>
          <w:left w:w="0" w:type="dxa"/>
          <w:bottom w:w="0" w:type="dxa"/>
          <w:right w:w="0" w:type="dxa"/>
        </w:tblCellMar>
      </w:tblPr>
      <w:tblGrid>
        <w:gridCol w:w="78"/>
        <w:gridCol w:w="144"/>
        <w:gridCol w:w="9983"/>
      </w:tblGrid>
      <w:tr>
        <w:trPr/>
        <w:tc>
          <w:tcPr>
            <w:tcW w:w="78"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7" w:name="hangingindent51"/>
      <w:bookmarkStart w:id="368" w:name="hangingindent51"/>
      <w:bookmarkEnd w:id="368"/>
    </w:p>
    <w:tbl>
      <w:tblPr>
        <w:tblW w:w="5000" w:type="pct"/>
        <w:jc w:val="center"/>
        <w:tblInd w:w="0" w:type="dxa"/>
        <w:tblCellMar>
          <w:top w:w="0" w:type="dxa"/>
          <w:left w:w="0" w:type="dxa"/>
          <w:bottom w:w="0" w:type="dxa"/>
          <w:right w:w="0" w:type="dxa"/>
        </w:tblCellMar>
      </w:tblPr>
      <w:tblGrid>
        <w:gridCol w:w="143"/>
        <w:gridCol w:w="10062"/>
      </w:tblGrid>
      <w:tr>
        <w:trPr/>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1006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9" w:name="hangingindent52"/>
      <w:bookmarkStart w:id="370" w:name="hangingindent52"/>
      <w:bookmarkEnd w:id="370"/>
    </w:p>
    <w:tbl>
      <w:tblPr>
        <w:tblW w:w="5000" w:type="pct"/>
        <w:jc w:val="center"/>
        <w:tblInd w:w="0" w:type="dxa"/>
        <w:tblCellMar>
          <w:top w:w="0" w:type="dxa"/>
          <w:left w:w="0" w:type="dxa"/>
          <w:bottom w:w="0" w:type="dxa"/>
          <w:right w:w="0" w:type="dxa"/>
        </w:tblCellMar>
      </w:tblPr>
      <w:tblGrid>
        <w:gridCol w:w="85"/>
        <w:gridCol w:w="136"/>
        <w:gridCol w:w="9984"/>
      </w:tblGrid>
      <w:tr>
        <w:trPr/>
        <w:tc>
          <w:tcPr>
            <w:tcW w:w="85" w:type="dxa"/>
            <w:tcBorders/>
            <w:shd w:fill="auto" w:val="clear"/>
          </w:tcPr>
          <w:p>
            <w:pPr>
              <w:pStyle w:val="TableContents"/>
              <w:spacing w:before="0" w:after="0"/>
              <w:rPr/>
            </w:pPr>
            <w:r>
              <w:rPr/>
              <w:t xml:space="preserve">  </w:t>
            </w:r>
          </w:p>
        </w:tc>
        <w:tc>
          <w:tcPr>
            <w:tcW w:w="13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1" w:name="hangingindent53"/>
      <w:bookmarkStart w:id="372" w:name="hangingindent53"/>
      <w:bookmarkEnd w:id="372"/>
    </w:p>
    <w:tbl>
      <w:tblPr>
        <w:tblW w:w="5000" w:type="pct"/>
        <w:jc w:val="center"/>
        <w:tblInd w:w="0" w:type="dxa"/>
        <w:tblCellMar>
          <w:top w:w="0" w:type="dxa"/>
          <w:left w:w="0" w:type="dxa"/>
          <w:bottom w:w="0" w:type="dxa"/>
          <w:right w:w="0" w:type="dxa"/>
        </w:tblCellMar>
      </w:tblPr>
      <w:tblGrid>
        <w:gridCol w:w="101"/>
        <w:gridCol w:w="167"/>
        <w:gridCol w:w="9937"/>
      </w:tblGrid>
      <w:tr>
        <w:trPr/>
        <w:tc>
          <w:tcPr>
            <w:tcW w:w="101" w:type="dxa"/>
            <w:tcBorders/>
            <w:shd w:fill="auto" w:val="clear"/>
          </w:tcPr>
          <w:p>
            <w:pPr>
              <w:pStyle w:val="TableContents"/>
              <w:spacing w:before="0" w:after="0"/>
              <w:rPr/>
            </w:pPr>
            <w:r>
              <w:rPr/>
              <w:t xml:space="preserve">  </w:t>
            </w:r>
          </w:p>
        </w:tc>
        <w:tc>
          <w:tcPr>
            <w:tcW w:w="16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February 25, 2011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Brian D. Jellison</w:t>
      </w:r>
    </w:p>
    <w:p>
      <w:pPr>
        <w:pStyle w:val="TextBody"/>
        <w:spacing w:before="0" w:after="0"/>
        <w:ind w:left="0" w:right="0" w:hanging="0"/>
        <w:jc w:val="left"/>
        <w:rPr>
          <w:rFonts w:ascii="Times New Roman" w:hAnsi="Times New Roman"/>
          <w:sz w:val="20"/>
        </w:rPr>
      </w:pPr>
      <w:r>
        <w:rPr>
          <w:rFonts w:ascii="Times New Roman" w:hAnsi="Times New Roman"/>
          <w:sz w:val="20"/>
        </w:rPr>
        <w:t>Brian D. Jellison</w:t>
      </w:r>
    </w:p>
    <w:p>
      <w:pPr>
        <w:pStyle w:val="TextBody"/>
        <w:spacing w:before="0" w:after="0"/>
        <w:ind w:left="0" w:right="0" w:hanging="0"/>
        <w:jc w:val="left"/>
        <w:rPr>
          <w:rFonts w:ascii="Times New Roman" w:hAnsi="Times New Roman"/>
          <w:sz w:val="20"/>
        </w:rPr>
      </w:pPr>
      <w:r>
        <w:rPr>
          <w:rFonts w:ascii="Times New Roman" w:hAnsi="Times New Roman"/>
          <w:sz w:val="20"/>
        </w:rPr>
        <w:t>Chairman of the Board, President and</w:t>
      </w:r>
    </w:p>
    <w:p>
      <w:pPr>
        <w:pStyle w:val="TextBody"/>
        <w:spacing w:before="0" w:after="0"/>
        <w:ind w:left="0" w:right="0" w:hanging="0"/>
        <w:jc w:val="left"/>
        <w:rPr>
          <w:rFonts w:ascii="Times New Roman" w:hAnsi="Times New Roman"/>
          <w:sz w:val="20"/>
        </w:rPr>
      </w:pPr>
      <w:r>
        <w:rPr>
          <w:rFonts w:ascii="Times New Roman" w:hAnsi="Times New Roman"/>
          <w:sz w:val="20"/>
        </w:rPr>
        <w:t>Chief Executive Officer</w:t>
      </w:r>
    </w:p>
    <w:p>
      <w:pPr>
        <w:pStyle w:val="TextBody"/>
        <w:spacing w:before="0" w:after="0"/>
        <w:ind w:left="0" w:right="0" w:hanging="0"/>
        <w:jc w:val="left"/>
        <w:rPr>
          <w:rFonts w:ascii="Times New Roman" w:hAnsi="Times New Roman"/>
          <w:sz w:val="20"/>
        </w:rPr>
      </w:pPr>
      <w:r>
        <w:rPr>
          <w:rFonts w:ascii="Times New Roman" w:hAnsi="Times New Roman"/>
          <w:sz w:val="20"/>
        </w:rPr>
        <w:t>(Principal Executive Officer)</w:t>
      </w:r>
    </w:p>
    <w:p>
      <w:pPr>
        <w:pStyle w:val="TextBody"/>
        <w:rPr/>
      </w:pPr>
      <w:r>
        <w:rPr/>
      </w:r>
      <w:r>
        <w:br w:type="page"/>
      </w:r>
    </w:p>
    <w:p>
      <w:pPr>
        <w:pStyle w:val="TextBody"/>
        <w:spacing w:before="0" w:after="0"/>
        <w:rPr/>
      </w:pPr>
      <w:r>
        <w:rPr/>
      </w:r>
      <w:bookmarkStart w:id="373" w:name="ex31-2.htm"/>
      <w:bookmarkStart w:id="374" w:name="ksex312"/>
      <w:bookmarkStart w:id="375" w:name="ex31-2.htm"/>
      <w:bookmarkStart w:id="376" w:name="ksex312"/>
      <w:bookmarkEnd w:id="375"/>
      <w:bookmarkEnd w:id="376"/>
    </w:p>
    <w:p>
      <w:pPr>
        <w:pStyle w:val="TextBody"/>
        <w:spacing w:before="0" w:after="0"/>
        <w:ind w:left="0" w:right="0" w:hanging="0"/>
        <w:jc w:val="right"/>
        <w:rPr>
          <w:rFonts w:ascii="Times New Roman" w:hAnsi="Times New Roman"/>
          <w:sz w:val="20"/>
        </w:rPr>
      </w:pPr>
      <w:r>
        <w:rPr>
          <w:rFonts w:ascii="Times New Roman" w:hAnsi="Times New Roman"/>
          <w:sz w:val="20"/>
        </w:rPr>
        <w:t>Exhibit 31.2</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John Humphrey, certify that:</w:t>
      </w:r>
    </w:p>
    <w:p>
      <w:pPr>
        <w:pStyle w:val="TextBody"/>
        <w:spacing w:before="0" w:after="0"/>
        <w:ind w:left="0" w:right="0" w:hanging="0"/>
        <w:rPr/>
      </w:pPr>
      <w:r>
        <w:rPr/>
      </w:r>
    </w:p>
    <w:p>
      <w:pPr>
        <w:pStyle w:val="Normal"/>
        <w:spacing w:before="0" w:after="0"/>
        <w:rPr>
          <w:sz w:val="4"/>
          <w:szCs w:val="4"/>
        </w:rPr>
      </w:pPr>
      <w:r>
        <w:rPr>
          <w:sz w:val="4"/>
          <w:szCs w:val="4"/>
        </w:rPr>
      </w:r>
      <w:bookmarkStart w:id="377" w:name="hangingindent54"/>
      <w:bookmarkStart w:id="378" w:name="hangingindent54"/>
      <w:bookmarkEnd w:id="378"/>
    </w:p>
    <w:tbl>
      <w:tblPr>
        <w:tblW w:w="5000" w:type="pct"/>
        <w:jc w:val="center"/>
        <w:tblInd w:w="0" w:type="dxa"/>
        <w:tblCellMar>
          <w:top w:w="0" w:type="dxa"/>
          <w:left w:w="0" w:type="dxa"/>
          <w:bottom w:w="0" w:type="dxa"/>
          <w:right w:w="0" w:type="dxa"/>
        </w:tblCellMar>
      </w:tblPr>
      <w:tblGrid>
        <w:gridCol w:w="276"/>
        <w:gridCol w:w="9929"/>
      </w:tblGrid>
      <w:tr>
        <w:trPr/>
        <w:tc>
          <w:tcPr>
            <w:tcW w:w="27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2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 have reviewed this Annual Report on Form 10-K of Roper Industries, Inc.;</w:t>
            </w:r>
          </w:p>
        </w:tc>
      </w:tr>
    </w:tbl>
    <w:p>
      <w:pPr>
        <w:pStyle w:val="TextBody"/>
        <w:spacing w:before="0" w:after="0"/>
        <w:ind w:left="0" w:right="0" w:hanging="0"/>
        <w:rPr/>
      </w:pPr>
      <w:r>
        <w:rPr/>
      </w:r>
    </w:p>
    <w:p>
      <w:pPr>
        <w:pStyle w:val="Normal"/>
        <w:spacing w:before="0" w:after="0"/>
        <w:rPr>
          <w:sz w:val="4"/>
          <w:szCs w:val="4"/>
        </w:rPr>
      </w:pPr>
      <w:r>
        <w:rPr>
          <w:sz w:val="4"/>
          <w:szCs w:val="4"/>
        </w:rPr>
      </w:r>
      <w:bookmarkStart w:id="379" w:name="hangingindent55"/>
      <w:bookmarkStart w:id="380" w:name="hangingindent55"/>
      <w:bookmarkEnd w:id="380"/>
    </w:p>
    <w:tbl>
      <w:tblPr>
        <w:tblW w:w="5000" w:type="pct"/>
        <w:jc w:val="center"/>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6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1" w:name="hangingindent56"/>
      <w:bookmarkStart w:id="382" w:name="hangingindent56"/>
      <w:bookmarkEnd w:id="382"/>
    </w:p>
    <w:tbl>
      <w:tblPr>
        <w:tblW w:w="5000" w:type="pct"/>
        <w:jc w:val="center"/>
        <w:tblInd w:w="0" w:type="dxa"/>
        <w:tblCellMar>
          <w:top w:w="0" w:type="dxa"/>
          <w:left w:w="0" w:type="dxa"/>
          <w:bottom w:w="0" w:type="dxa"/>
          <w:right w:w="0" w:type="dxa"/>
        </w:tblCellMar>
      </w:tblPr>
      <w:tblGrid>
        <w:gridCol w:w="143"/>
        <w:gridCol w:w="10062"/>
      </w:tblGrid>
      <w:tr>
        <w:trPr/>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6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3" w:name="hangingindent57"/>
      <w:bookmarkStart w:id="384" w:name="hangingindent57"/>
      <w:bookmarkEnd w:id="384"/>
    </w:p>
    <w:tbl>
      <w:tblPr>
        <w:tblW w:w="5000" w:type="pct"/>
        <w:jc w:val="center"/>
        <w:tblInd w:w="0" w:type="dxa"/>
        <w:tblCellMar>
          <w:top w:w="0" w:type="dxa"/>
          <w:left w:w="0" w:type="dxa"/>
          <w:bottom w:w="0" w:type="dxa"/>
          <w:right w:w="0" w:type="dxa"/>
        </w:tblCellMar>
      </w:tblPr>
      <w:tblGrid>
        <w:gridCol w:w="140"/>
        <w:gridCol w:w="10065"/>
      </w:tblGrid>
      <w:tr>
        <w:trPr/>
        <w:tc>
          <w:tcPr>
            <w:tcW w:w="14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6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5" w:name="hangingindent58"/>
      <w:bookmarkStart w:id="386" w:name="hangingindent58"/>
      <w:bookmarkEnd w:id="386"/>
    </w:p>
    <w:tbl>
      <w:tblPr>
        <w:tblW w:w="5000" w:type="pct"/>
        <w:jc w:val="center"/>
        <w:tblInd w:w="0" w:type="dxa"/>
        <w:tblCellMar>
          <w:top w:w="0" w:type="dxa"/>
          <w:left w:w="0" w:type="dxa"/>
          <w:bottom w:w="0" w:type="dxa"/>
          <w:right w:w="0" w:type="dxa"/>
        </w:tblCellMar>
      </w:tblPr>
      <w:tblGrid>
        <w:gridCol w:w="78"/>
        <w:gridCol w:w="129"/>
        <w:gridCol w:w="9998"/>
      </w:tblGrid>
      <w:tr>
        <w:trPr/>
        <w:tc>
          <w:tcPr>
            <w:tcW w:w="78" w:type="dxa"/>
            <w:tcBorders/>
            <w:shd w:fill="auto" w:val="clear"/>
          </w:tcPr>
          <w:p>
            <w:pPr>
              <w:pStyle w:val="TableContents"/>
              <w:spacing w:before="0" w:after="0"/>
              <w:rPr/>
            </w:pPr>
            <w:r>
              <w:rPr/>
              <w:t xml:space="preserve">  </w:t>
            </w:r>
          </w:p>
        </w:tc>
        <w:tc>
          <w:tcPr>
            <w:tcW w:w="12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7" w:name="hangingindent59"/>
      <w:bookmarkStart w:id="388" w:name="hangingindent59"/>
      <w:bookmarkEnd w:id="388"/>
    </w:p>
    <w:tbl>
      <w:tblPr>
        <w:tblW w:w="5000" w:type="pct"/>
        <w:jc w:val="center"/>
        <w:tblInd w:w="0" w:type="dxa"/>
        <w:tblCellMar>
          <w:top w:w="0" w:type="dxa"/>
          <w:left w:w="0" w:type="dxa"/>
          <w:bottom w:w="0" w:type="dxa"/>
          <w:right w:w="0" w:type="dxa"/>
        </w:tblCellMar>
      </w:tblPr>
      <w:tblGrid>
        <w:gridCol w:w="78"/>
        <w:gridCol w:w="144"/>
        <w:gridCol w:w="9983"/>
      </w:tblGrid>
      <w:tr>
        <w:trPr/>
        <w:tc>
          <w:tcPr>
            <w:tcW w:w="78"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9" w:name="hangingindent60"/>
      <w:bookmarkStart w:id="390" w:name="hangingindent60"/>
      <w:bookmarkEnd w:id="390"/>
    </w:p>
    <w:tbl>
      <w:tblPr>
        <w:tblW w:w="5000" w:type="pct"/>
        <w:jc w:val="center"/>
        <w:tblInd w:w="0" w:type="dxa"/>
        <w:tblCellMar>
          <w:top w:w="0" w:type="dxa"/>
          <w:left w:w="0" w:type="dxa"/>
          <w:bottom w:w="0" w:type="dxa"/>
          <w:right w:w="0" w:type="dxa"/>
        </w:tblCellMar>
      </w:tblPr>
      <w:tblGrid>
        <w:gridCol w:w="84"/>
        <w:gridCol w:w="135"/>
        <w:gridCol w:w="9986"/>
      </w:tblGrid>
      <w:tr>
        <w:trPr/>
        <w:tc>
          <w:tcPr>
            <w:tcW w:w="84" w:type="dxa"/>
            <w:tcBorders/>
            <w:shd w:fill="auto" w:val="clear"/>
          </w:tcPr>
          <w:p>
            <w:pPr>
              <w:pStyle w:val="TableContents"/>
              <w:spacing w:before="0" w:after="0"/>
              <w:rPr/>
            </w:pPr>
            <w:r>
              <w:rPr/>
              <w:t xml:space="preserve">  </w:t>
            </w:r>
          </w:p>
        </w:tc>
        <w:tc>
          <w:tcPr>
            <w:tcW w:w="13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1" w:name="hangingindent61"/>
      <w:bookmarkStart w:id="392" w:name="hangingindent61"/>
      <w:bookmarkEnd w:id="392"/>
    </w:p>
    <w:tbl>
      <w:tblPr>
        <w:tblW w:w="5000" w:type="pct"/>
        <w:jc w:val="center"/>
        <w:tblInd w:w="0" w:type="dxa"/>
        <w:tblCellMar>
          <w:top w:w="0" w:type="dxa"/>
          <w:left w:w="0" w:type="dxa"/>
          <w:bottom w:w="0" w:type="dxa"/>
          <w:right w:w="0" w:type="dxa"/>
        </w:tblCellMar>
      </w:tblPr>
      <w:tblGrid>
        <w:gridCol w:w="78"/>
        <w:gridCol w:w="144"/>
        <w:gridCol w:w="9983"/>
      </w:tblGrid>
      <w:tr>
        <w:trPr/>
        <w:tc>
          <w:tcPr>
            <w:tcW w:w="78"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3" w:name="hangingindent62"/>
      <w:bookmarkStart w:id="394" w:name="hangingindent62"/>
      <w:bookmarkEnd w:id="394"/>
    </w:p>
    <w:tbl>
      <w:tblPr>
        <w:tblW w:w="5000" w:type="pct"/>
        <w:jc w:val="center"/>
        <w:tblInd w:w="0" w:type="dxa"/>
        <w:tblCellMar>
          <w:top w:w="0" w:type="dxa"/>
          <w:left w:w="0" w:type="dxa"/>
          <w:bottom w:w="0" w:type="dxa"/>
          <w:right w:w="0" w:type="dxa"/>
        </w:tblCellMar>
      </w:tblPr>
      <w:tblGrid>
        <w:gridCol w:w="143"/>
        <w:gridCol w:w="10062"/>
      </w:tblGrid>
      <w:tr>
        <w:trPr/>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1006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5" w:name="hangingindent63"/>
      <w:bookmarkStart w:id="396" w:name="hangingindent63"/>
      <w:bookmarkEnd w:id="396"/>
    </w:p>
    <w:tbl>
      <w:tblPr>
        <w:tblW w:w="5000" w:type="pct"/>
        <w:jc w:val="center"/>
        <w:tblInd w:w="0" w:type="dxa"/>
        <w:tblCellMar>
          <w:top w:w="0" w:type="dxa"/>
          <w:left w:w="0" w:type="dxa"/>
          <w:bottom w:w="0" w:type="dxa"/>
          <w:right w:w="0" w:type="dxa"/>
        </w:tblCellMar>
      </w:tblPr>
      <w:tblGrid>
        <w:gridCol w:w="85"/>
        <w:gridCol w:w="136"/>
        <w:gridCol w:w="9984"/>
      </w:tblGrid>
      <w:tr>
        <w:trPr/>
        <w:tc>
          <w:tcPr>
            <w:tcW w:w="85" w:type="dxa"/>
            <w:tcBorders/>
            <w:shd w:fill="auto" w:val="clear"/>
          </w:tcPr>
          <w:p>
            <w:pPr>
              <w:pStyle w:val="TableContents"/>
              <w:spacing w:before="0" w:after="0"/>
              <w:rPr/>
            </w:pPr>
            <w:r>
              <w:rPr/>
              <w:t xml:space="preserve">  </w:t>
            </w:r>
          </w:p>
        </w:tc>
        <w:tc>
          <w:tcPr>
            <w:tcW w:w="13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7" w:name="hangingindent64"/>
      <w:bookmarkStart w:id="398" w:name="hangingindent64"/>
      <w:bookmarkEnd w:id="398"/>
    </w:p>
    <w:tbl>
      <w:tblPr>
        <w:tblW w:w="5000" w:type="pct"/>
        <w:jc w:val="center"/>
        <w:tblInd w:w="0" w:type="dxa"/>
        <w:tblCellMar>
          <w:top w:w="0" w:type="dxa"/>
          <w:left w:w="0" w:type="dxa"/>
          <w:bottom w:w="0" w:type="dxa"/>
          <w:right w:w="0" w:type="dxa"/>
        </w:tblCellMar>
      </w:tblPr>
      <w:tblGrid>
        <w:gridCol w:w="101"/>
        <w:gridCol w:w="167"/>
        <w:gridCol w:w="9937"/>
      </w:tblGrid>
      <w:tr>
        <w:trPr/>
        <w:tc>
          <w:tcPr>
            <w:tcW w:w="101" w:type="dxa"/>
            <w:tcBorders/>
            <w:shd w:fill="auto" w:val="clear"/>
          </w:tcPr>
          <w:p>
            <w:pPr>
              <w:pStyle w:val="TableContents"/>
              <w:spacing w:before="0" w:after="0"/>
              <w:rPr/>
            </w:pPr>
            <w:r>
              <w:rPr/>
              <w:t xml:space="preserve">  </w:t>
            </w:r>
          </w:p>
        </w:tc>
        <w:tc>
          <w:tcPr>
            <w:tcW w:w="16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  February 25, 2011                                                                           </w:t>
      </w:r>
    </w:p>
    <w:p>
      <w:pPr>
        <w:pStyle w:val="TextBody"/>
        <w:spacing w:before="0" w:after="0"/>
        <w:ind w:left="0" w:right="0" w:hanging="0"/>
        <w:rPr/>
      </w:pPr>
      <w:r>
        <w:rPr/>
      </w:r>
    </w:p>
    <w:p>
      <w:pPr>
        <w:pStyle w:val="TextBody"/>
        <w:spacing w:before="0" w:after="0"/>
        <w:ind w:left="0" w:right="0" w:hanging="0"/>
        <w:jc w:val="left"/>
        <w:rPr/>
      </w:pPr>
      <w:r>
        <w:rPr/>
        <w:t> </w:t>
      </w:r>
      <w:r>
        <w:rPr>
          <w:rFonts w:ascii="Times New Roman" w:hAnsi="Times New Roman"/>
          <w:sz w:val="20"/>
          <w:u w:val="single"/>
        </w:rPr>
        <w:t>/s/ John Humphrey</w:t>
      </w:r>
    </w:p>
    <w:p>
      <w:pPr>
        <w:pStyle w:val="TextBody"/>
        <w:spacing w:before="0" w:after="0"/>
        <w:ind w:left="0" w:right="0" w:hanging="0"/>
        <w:jc w:val="left"/>
        <w:rPr>
          <w:rFonts w:ascii="Times New Roman" w:hAnsi="Times New Roman"/>
          <w:sz w:val="20"/>
        </w:rPr>
      </w:pPr>
      <w:r>
        <w:rPr>
          <w:rFonts w:ascii="Times New Roman" w:hAnsi="Times New Roman"/>
          <w:sz w:val="20"/>
        </w:rPr>
        <w:t>John Humphrey</w:t>
      </w:r>
    </w:p>
    <w:p>
      <w:pPr>
        <w:pStyle w:val="TextBody"/>
        <w:spacing w:before="0" w:after="0"/>
        <w:ind w:left="0" w:right="0" w:hanging="0"/>
        <w:jc w:val="left"/>
        <w:rPr>
          <w:rFonts w:ascii="Times New Roman" w:hAnsi="Times New Roman"/>
          <w:sz w:val="20"/>
        </w:rPr>
      </w:pPr>
      <w:r>
        <w:rPr>
          <w:rFonts w:ascii="Times New Roman" w:hAnsi="Times New Roman"/>
          <w:sz w:val="20"/>
        </w:rPr>
        <w:t>Vice President,</w:t>
      </w:r>
    </w:p>
    <w:p>
      <w:pPr>
        <w:pStyle w:val="TextBody"/>
        <w:spacing w:before="0" w:after="0"/>
        <w:ind w:left="0" w:right="0" w:hanging="0"/>
        <w:jc w:val="left"/>
        <w:rPr>
          <w:rFonts w:ascii="Times New Roman" w:hAnsi="Times New Roman"/>
          <w:sz w:val="20"/>
        </w:rPr>
      </w:pPr>
      <w:r>
        <w:rPr>
          <w:rFonts w:ascii="Times New Roman" w:hAnsi="Times New Roman"/>
          <w:sz w:val="20"/>
        </w:rPr>
        <w:t>Chief Financial Officer</w:t>
      </w:r>
    </w:p>
    <w:p>
      <w:pPr>
        <w:pStyle w:val="TextBody"/>
        <w:ind w:left="0" w:right="0" w:hanging="0"/>
        <w:jc w:val="left"/>
        <w:rPr>
          <w:rFonts w:ascii="Times New Roman" w:hAnsi="Times New Roman"/>
          <w:sz w:val="20"/>
        </w:rPr>
      </w:pPr>
      <w:r>
        <w:rPr>
          <w:rFonts w:ascii="Times New Roman" w:hAnsi="Times New Roman"/>
          <w:sz w:val="20"/>
        </w:rPr>
        <w:t>(Principal Financial Officer)</w:t>
      </w:r>
      <w:r>
        <w:br w:type="page"/>
      </w:r>
    </w:p>
    <w:p>
      <w:pPr>
        <w:pStyle w:val="TextBody"/>
        <w:spacing w:before="0" w:after="0"/>
        <w:rPr/>
      </w:pPr>
      <w:r>
        <w:rPr/>
      </w:r>
      <w:bookmarkStart w:id="399" w:name="ex32-1.htm"/>
      <w:bookmarkStart w:id="400" w:name="ksex321"/>
      <w:bookmarkStart w:id="401" w:name="ex32-1.htm"/>
      <w:bookmarkStart w:id="402" w:name="ksex321"/>
      <w:bookmarkEnd w:id="401"/>
      <w:bookmarkEnd w:id="402"/>
    </w:p>
    <w:p>
      <w:pPr>
        <w:pStyle w:val="TextBody"/>
        <w:spacing w:before="0" w:after="0"/>
        <w:ind w:left="0" w:right="0" w:hanging="0"/>
        <w:jc w:val="right"/>
        <w:rPr>
          <w:rFonts w:ascii="Times New Roman" w:hAnsi="Times New Roman"/>
          <w:sz w:val="20"/>
        </w:rPr>
      </w:pPr>
      <w:r>
        <w:rPr>
          <w:rFonts w:ascii="Times New Roman" w:hAnsi="Times New Roman"/>
          <w:sz w:val="20"/>
        </w:rPr>
        <w:t>EXHIBIT 32.1</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CERTIFICATION PURSUANT TO 18 U.S.C. SECTION 1350, AS ADOPTED PURSUANT TO SECTION 906 OF THE SARBANES-OXLEY ACT OF 2002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Annual Report of Roper Industries, Inc. (the “Company”) on Form 10-K for the period ending December 31, 2010, as filed with the Securities and Exchange Commission on the date hereof (the “Report”), Brian D. Jellison, Chief Executive Officer of the Company, and John Humphrey, Chief Financial Officer of the Company, both hereby certifies, pursuant to 18 U.S.C. 1350, as adopted pursuant to Section 906 of the Sarbanes-Oxley Act of 2002, to the best of his knowledge:</w:t>
      </w:r>
    </w:p>
    <w:p>
      <w:pPr>
        <w:pStyle w:val="TextBody"/>
        <w:spacing w:before="0" w:after="0"/>
        <w:ind w:left="0" w:right="0" w:hanging="0"/>
        <w:rPr/>
      </w:pPr>
      <w:r>
        <w:rPr/>
      </w:r>
    </w:p>
    <w:p>
      <w:pPr>
        <w:pStyle w:val="Normal"/>
        <w:spacing w:before="0" w:after="0"/>
        <w:rPr>
          <w:sz w:val="4"/>
          <w:szCs w:val="4"/>
        </w:rPr>
      </w:pPr>
      <w:r>
        <w:rPr>
          <w:sz w:val="4"/>
          <w:szCs w:val="4"/>
        </w:rPr>
      </w:r>
      <w:bookmarkStart w:id="403" w:name="hangingindent65"/>
      <w:bookmarkStart w:id="404" w:name="hangingindent65"/>
      <w:bookmarkEnd w:id="404"/>
    </w:p>
    <w:tbl>
      <w:tblPr>
        <w:tblW w:w="5000" w:type="pct"/>
        <w:jc w:val="center"/>
        <w:tblInd w:w="0" w:type="dxa"/>
        <w:tblCellMar>
          <w:top w:w="0" w:type="dxa"/>
          <w:left w:w="0" w:type="dxa"/>
          <w:bottom w:w="0" w:type="dxa"/>
          <w:right w:w="0" w:type="dxa"/>
        </w:tblCellMar>
      </w:tblPr>
      <w:tblGrid>
        <w:gridCol w:w="114"/>
        <w:gridCol w:w="166"/>
        <w:gridCol w:w="9925"/>
      </w:tblGrid>
      <w:tr>
        <w:trPr/>
        <w:tc>
          <w:tcPr>
            <w:tcW w:w="114" w:type="dxa"/>
            <w:tcBorders/>
            <w:shd w:fill="auto" w:val="clear"/>
          </w:tcPr>
          <w:p>
            <w:pPr>
              <w:pStyle w:val="TableContents"/>
              <w:spacing w:before="0" w:after="0"/>
              <w:rPr/>
            </w:pPr>
            <w:r>
              <w:rPr/>
              <w:t xml:space="preserve">  </w:t>
            </w:r>
          </w:p>
        </w:tc>
        <w:tc>
          <w:tcPr>
            <w:tcW w:w="16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2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Report fully complies with the requirements of section 13(a) or 15(d) of the Securities Exchange Act of 1934, as amended;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05" w:name="hangingindent66"/>
      <w:bookmarkStart w:id="406" w:name="hangingindent66"/>
      <w:bookmarkEnd w:id="406"/>
    </w:p>
    <w:tbl>
      <w:tblPr>
        <w:tblW w:w="5000" w:type="pct"/>
        <w:jc w:val="center"/>
        <w:tblInd w:w="0" w:type="dxa"/>
        <w:tblCellMar>
          <w:top w:w="0" w:type="dxa"/>
          <w:left w:w="0" w:type="dxa"/>
          <w:bottom w:w="0" w:type="dxa"/>
          <w:right w:w="0" w:type="dxa"/>
        </w:tblCellMar>
      </w:tblPr>
      <w:tblGrid>
        <w:gridCol w:w="108"/>
        <w:gridCol w:w="162"/>
        <w:gridCol w:w="9935"/>
      </w:tblGrid>
      <w:tr>
        <w:trPr/>
        <w:tc>
          <w:tcPr>
            <w:tcW w:w="108" w:type="dxa"/>
            <w:tcBorders/>
            <w:shd w:fill="auto" w:val="clear"/>
          </w:tcPr>
          <w:p>
            <w:pPr>
              <w:pStyle w:val="TableContents"/>
              <w:spacing w:before="0" w:after="0"/>
              <w:rPr/>
            </w:pPr>
            <w:r>
              <w:rPr/>
              <w:t xml:space="preserve">  </w:t>
            </w:r>
          </w:p>
        </w:tc>
        <w:tc>
          <w:tcPr>
            <w:tcW w:w="16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3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February 25, 2011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Brian D. Jellison</w:t>
      </w:r>
    </w:p>
    <w:p>
      <w:pPr>
        <w:pStyle w:val="TextBody"/>
        <w:spacing w:before="0" w:after="0"/>
        <w:ind w:left="0" w:right="0" w:hanging="0"/>
        <w:jc w:val="left"/>
        <w:rPr>
          <w:rFonts w:ascii="Times New Roman" w:hAnsi="Times New Roman"/>
          <w:sz w:val="20"/>
        </w:rPr>
      </w:pPr>
      <w:r>
        <w:rPr>
          <w:rFonts w:ascii="Times New Roman" w:hAnsi="Times New Roman"/>
          <w:sz w:val="20"/>
        </w:rPr>
        <w:t>Brian D. Jellison</w:t>
      </w:r>
    </w:p>
    <w:p>
      <w:pPr>
        <w:pStyle w:val="TextBody"/>
        <w:spacing w:before="0" w:after="0"/>
        <w:ind w:left="0" w:right="0" w:hanging="0"/>
        <w:jc w:val="left"/>
        <w:rPr>
          <w:rFonts w:ascii="Times New Roman" w:hAnsi="Times New Roman"/>
          <w:sz w:val="20"/>
        </w:rPr>
      </w:pPr>
      <w:r>
        <w:rPr>
          <w:rFonts w:ascii="Times New Roman" w:hAnsi="Times New Roman"/>
          <w:sz w:val="20"/>
        </w:rPr>
        <w:t>Chairman of the Board, President and Chief Executive Officer</w:t>
      </w:r>
    </w:p>
    <w:p>
      <w:pPr>
        <w:pStyle w:val="TextBody"/>
        <w:spacing w:before="0" w:after="0"/>
        <w:ind w:left="0" w:right="0" w:hanging="0"/>
        <w:jc w:val="left"/>
        <w:rPr>
          <w:rFonts w:ascii="Times New Roman" w:hAnsi="Times New Roman"/>
          <w:sz w:val="20"/>
        </w:rPr>
      </w:pPr>
      <w:r>
        <w:rPr>
          <w:rFonts w:ascii="Times New Roman" w:hAnsi="Times New Roman"/>
          <w:sz w:val="20"/>
        </w:rPr>
        <w:t>(Principal Executive Officer)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John Humphrey</w:t>
      </w:r>
    </w:p>
    <w:p>
      <w:pPr>
        <w:pStyle w:val="TextBody"/>
        <w:spacing w:before="0" w:after="0"/>
        <w:ind w:left="0" w:right="0" w:hanging="0"/>
        <w:jc w:val="left"/>
        <w:rPr>
          <w:rFonts w:ascii="Times New Roman" w:hAnsi="Times New Roman"/>
          <w:sz w:val="20"/>
        </w:rPr>
      </w:pPr>
      <w:r>
        <w:rPr>
          <w:rFonts w:ascii="Times New Roman" w:hAnsi="Times New Roman"/>
          <w:sz w:val="20"/>
        </w:rPr>
        <w:t>John Humphrey</w:t>
      </w:r>
    </w:p>
    <w:p>
      <w:pPr>
        <w:pStyle w:val="TextBody"/>
        <w:spacing w:before="0" w:after="0"/>
        <w:ind w:left="0" w:right="0" w:hanging="0"/>
        <w:jc w:val="left"/>
        <w:rPr>
          <w:rFonts w:ascii="Times New Roman" w:hAnsi="Times New Roman"/>
          <w:sz w:val="20"/>
        </w:rPr>
      </w:pPr>
      <w:r>
        <w:rPr>
          <w:rFonts w:ascii="Times New Roman" w:hAnsi="Times New Roman"/>
          <w:sz w:val="20"/>
        </w:rPr>
        <w:t>Vice President,</w:t>
      </w:r>
    </w:p>
    <w:p>
      <w:pPr>
        <w:pStyle w:val="TextBody"/>
        <w:spacing w:before="0" w:after="0"/>
        <w:ind w:left="0" w:right="0" w:hanging="0"/>
        <w:jc w:val="left"/>
        <w:rPr>
          <w:rFonts w:ascii="Times New Roman" w:hAnsi="Times New Roman"/>
          <w:sz w:val="20"/>
        </w:rPr>
      </w:pPr>
      <w:r>
        <w:rPr>
          <w:rFonts w:ascii="Times New Roman" w:hAnsi="Times New Roman"/>
          <w:sz w:val="20"/>
        </w:rPr>
        <w:t>Chief Financial Officer</w:t>
      </w:r>
    </w:p>
    <w:p>
      <w:pPr>
        <w:pStyle w:val="TextBody"/>
        <w:spacing w:before="0" w:after="0"/>
        <w:ind w:left="0" w:right="0" w:hanging="0"/>
        <w:jc w:val="left"/>
        <w:rPr>
          <w:rFonts w:ascii="Times New Roman" w:hAnsi="Times New Roman"/>
          <w:sz w:val="20"/>
        </w:rPr>
      </w:pPr>
      <w:r>
        <w:rPr>
          <w:rFonts w:ascii="Times New Roman" w:hAnsi="Times New Roman"/>
          <w:sz w:val="20"/>
        </w:rPr>
        <w:t>(Principal Financial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283"/>
        <w:ind w:left="0" w:right="0" w:hanging="0"/>
        <w:jc w:val="both"/>
        <w:rPr>
          <w:rFonts w:ascii="Times New Roman" w:hAnsi="Times New Roman"/>
          <w:sz w:val="20"/>
        </w:rPr>
      </w:pPr>
      <w:r>
        <w:rPr>
          <w:rFonts w:ascii="Times New Roman" w:hAnsi="Times New Roman"/>
          <w:sz w:val="20"/>
        </w:rPr>
        <w:t>This certificate is being made for the exclusive purpose of compliance of the Company with the requirements of Section 906 of the Sarbanes-Oxley Act of 2002, and may not be disclosed, distributed or used by any person or for any reason other than specifically required by law.</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31147</Words>
  <CharactersWithSpaces>209526</CharactersWithSpaces>
  <Paragraphs>8592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