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88"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UNITED STATES</w:t>
      </w:r>
    </w:p>
    <w:p>
      <w:pPr>
        <w:spacing w:after="0" w:line="50"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spacing w:after="0" w:line="1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37"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SCHEDULE 14A</w:t>
      </w:r>
    </w:p>
    <w:p>
      <w:pPr>
        <w:spacing w:after="0" w:line="10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1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Exchange Act of 1934</w:t>
      </w:r>
    </w:p>
    <w:p>
      <w:pPr>
        <w:jc w:val="center"/>
        <w:ind w:right="-79"/>
        <w:spacing w:after="0"/>
        <w:tabs>
          <w:tab w:leader="none" w:pos="180" w:val="left"/>
        </w:tabs>
        <w:rPr>
          <w:sz w:val="20"/>
          <w:szCs w:val="20"/>
          <w:color w:val="auto"/>
        </w:rPr>
      </w:pPr>
      <w:r>
        <w:rPr>
          <w:rFonts w:ascii="Arial" w:cs="Arial" w:eastAsia="Arial" w:hAnsi="Arial"/>
          <w:sz w:val="18"/>
          <w:szCs w:val="18"/>
          <w:b w:val="1"/>
          <w:bCs w:val="1"/>
          <w:color w:val="auto"/>
        </w:rPr>
        <w:t>(Amendment No.</w:t>
        <w:tab/>
        <w:t>)</w:t>
      </w:r>
    </w:p>
    <w:p>
      <w:pPr>
        <w:spacing w:after="0" w:line="33" w:lineRule="exact"/>
        <w:rPr>
          <w:sz w:val="24"/>
          <w:szCs w:val="24"/>
          <w:color w:val="auto"/>
        </w:rPr>
      </w:pPr>
    </w:p>
    <w:p>
      <w:pPr>
        <w:spacing w:after="0" w:line="207" w:lineRule="exact"/>
        <w:tabs>
          <w:tab w:leader="none" w:pos="342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3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77" w:lineRule="exact"/>
        <w:rPr>
          <w:sz w:val="24"/>
          <w:szCs w:val="24"/>
          <w:color w:val="auto"/>
        </w:rPr>
      </w:pPr>
    </w:p>
    <w:p>
      <w:pPr>
        <w:ind w:left="680" w:hanging="672"/>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68" w:lineRule="exact"/>
        <w:rPr>
          <w:rFonts w:ascii="MS PGothic" w:cs="MS PGothic" w:eastAsia="MS PGothic" w:hAnsi="MS PGothic"/>
          <w:sz w:val="18"/>
          <w:szCs w:val="18"/>
          <w:color w:val="auto"/>
        </w:rPr>
      </w:pPr>
    </w:p>
    <w:p>
      <w:pPr>
        <w:ind w:left="680" w:hanging="672"/>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68"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Definitive Proxy Statement</w:t>
      </w:r>
    </w:p>
    <w:p>
      <w:pPr>
        <w:spacing w:after="0" w:line="134" w:lineRule="exact"/>
        <w:rPr>
          <w:rFonts w:ascii="MS PGothic" w:cs="MS PGothic" w:eastAsia="MS PGothic" w:hAnsi="MS PGothic"/>
          <w:sz w:val="18"/>
          <w:szCs w:val="18"/>
          <w:color w:val="auto"/>
        </w:rPr>
      </w:pPr>
    </w:p>
    <w:p>
      <w:pPr>
        <w:ind w:left="680" w:hanging="672"/>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0" w:lineRule="exact"/>
        <w:rPr>
          <w:rFonts w:ascii="MS PGothic" w:cs="MS PGothic" w:eastAsia="MS PGothic" w:hAnsi="MS PGothic"/>
          <w:sz w:val="18"/>
          <w:szCs w:val="18"/>
          <w:color w:val="auto"/>
        </w:rPr>
      </w:pPr>
    </w:p>
    <w:p>
      <w:pPr>
        <w:ind w:left="680" w:hanging="672"/>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 240.14a-12</w:t>
      </w:r>
    </w:p>
    <w:p>
      <w:pPr>
        <w:spacing w:after="0" w:line="33"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ROPER TECHNOLOGIES, INC.</w:t>
      </w:r>
    </w:p>
    <w:p>
      <w:pPr>
        <w:spacing w:after="0" w:line="12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(Formerly Roper Industries, Inc.)</w:t>
      </w:r>
    </w:p>
    <w:p>
      <w:pPr>
        <w:spacing w:after="0" w:line="1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57" w:lineRule="exact"/>
        <w:rPr>
          <w:sz w:val="24"/>
          <w:szCs w:val="24"/>
          <w:color w:val="auto"/>
        </w:rPr>
      </w:pPr>
    </w:p>
    <w:p>
      <w:pPr>
        <w:ind w:left="342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88"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77" w:lineRule="exact"/>
        <w:rPr>
          <w:sz w:val="24"/>
          <w:szCs w:val="24"/>
          <w:color w:val="auto"/>
        </w:rPr>
      </w:pPr>
    </w:p>
    <w:p>
      <w:pPr>
        <w:ind w:left="820" w:hanging="812"/>
        <w:spacing w:after="0"/>
        <w:tabs>
          <w:tab w:leader="none" w:pos="8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17" w:lineRule="exact"/>
        <w:rPr>
          <w:sz w:val="24"/>
          <w:szCs w:val="24"/>
          <w:color w:val="auto"/>
        </w:rPr>
      </w:pPr>
    </w:p>
    <w:p>
      <w:pPr>
        <w:ind w:left="820" w:hanging="812"/>
        <w:spacing w:after="0"/>
        <w:tabs>
          <w:tab w:leader="none" w:pos="8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117" w:lineRule="exact"/>
        <w:rPr>
          <w:rFonts w:ascii="MS PGothic" w:cs="MS PGothic" w:eastAsia="MS PGothic" w:hAnsi="MS PGothic"/>
          <w:sz w:val="18"/>
          <w:szCs w:val="18"/>
          <w:color w:val="auto"/>
        </w:rPr>
      </w:pPr>
    </w:p>
    <w:p>
      <w:pPr>
        <w:ind w:left="1620" w:hanging="802"/>
        <w:spacing w:after="0"/>
        <w:tabs>
          <w:tab w:leader="none" w:pos="1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06" w:lineRule="exact"/>
        <w:rPr>
          <w:rFonts w:ascii="Arial" w:cs="Arial" w:eastAsia="Arial" w:hAnsi="Arial"/>
          <w:sz w:val="18"/>
          <w:szCs w:val="18"/>
          <w:color w:val="auto"/>
        </w:rPr>
      </w:pPr>
    </w:p>
    <w:p>
      <w:pPr>
        <w:ind w:left="1620" w:hanging="802"/>
        <w:spacing w:after="0"/>
        <w:tabs>
          <w:tab w:leader="none" w:pos="1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06" w:lineRule="exact"/>
        <w:rPr>
          <w:rFonts w:ascii="Arial" w:cs="Arial" w:eastAsia="Arial" w:hAnsi="Arial"/>
          <w:sz w:val="18"/>
          <w:szCs w:val="18"/>
          <w:color w:val="auto"/>
        </w:rPr>
      </w:pPr>
    </w:p>
    <w:p>
      <w:pPr>
        <w:ind w:left="1620" w:hanging="802"/>
        <w:spacing w:after="0" w:line="239" w:lineRule="auto"/>
        <w:tabs>
          <w:tab w:leader="none" w:pos="1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03" w:lineRule="exact"/>
        <w:rPr>
          <w:rFonts w:ascii="Arial" w:cs="Arial" w:eastAsia="Arial" w:hAnsi="Arial"/>
          <w:sz w:val="18"/>
          <w:szCs w:val="18"/>
          <w:color w:val="auto"/>
        </w:rPr>
      </w:pPr>
    </w:p>
    <w:p>
      <w:pPr>
        <w:ind w:left="1620" w:hanging="802"/>
        <w:spacing w:after="0"/>
        <w:tabs>
          <w:tab w:leader="none" w:pos="1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06" w:lineRule="exact"/>
        <w:rPr>
          <w:rFonts w:ascii="Arial" w:cs="Arial" w:eastAsia="Arial" w:hAnsi="Arial"/>
          <w:sz w:val="18"/>
          <w:szCs w:val="18"/>
          <w:color w:val="auto"/>
        </w:rPr>
      </w:pPr>
    </w:p>
    <w:p>
      <w:pPr>
        <w:ind w:left="1620" w:hanging="802"/>
        <w:spacing w:after="0"/>
        <w:tabs>
          <w:tab w:leader="none" w:pos="1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820" w:hanging="812"/>
        <w:spacing w:after="0"/>
        <w:tabs>
          <w:tab w:leader="none" w:pos="8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820" w:right="140" w:hanging="812"/>
        <w:spacing w:after="0" w:line="299" w:lineRule="auto"/>
        <w:tabs>
          <w:tab w:leader="none" w:pos="82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54" w:lineRule="exact"/>
        <w:rPr>
          <w:rFonts w:ascii="MS PGothic" w:cs="MS PGothic" w:eastAsia="MS PGothic" w:hAnsi="MS PGothic"/>
          <w:sz w:val="16"/>
          <w:szCs w:val="16"/>
          <w:color w:val="auto"/>
        </w:rPr>
      </w:pPr>
    </w:p>
    <w:p>
      <w:pPr>
        <w:ind w:left="1620" w:hanging="802"/>
        <w:spacing w:after="0"/>
        <w:tabs>
          <w:tab w:leader="none" w:pos="1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06" w:lineRule="exact"/>
        <w:rPr>
          <w:rFonts w:ascii="Arial" w:cs="Arial" w:eastAsia="Arial" w:hAnsi="Arial"/>
          <w:sz w:val="18"/>
          <w:szCs w:val="18"/>
          <w:color w:val="auto"/>
        </w:rPr>
      </w:pPr>
    </w:p>
    <w:p>
      <w:pPr>
        <w:ind w:left="1620" w:hanging="802"/>
        <w:spacing w:after="0"/>
        <w:tabs>
          <w:tab w:leader="none" w:pos="1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06" w:lineRule="exact"/>
        <w:rPr>
          <w:rFonts w:ascii="Arial" w:cs="Arial" w:eastAsia="Arial" w:hAnsi="Arial"/>
          <w:sz w:val="18"/>
          <w:szCs w:val="18"/>
          <w:color w:val="auto"/>
        </w:rPr>
      </w:pPr>
    </w:p>
    <w:p>
      <w:pPr>
        <w:ind w:left="1620" w:hanging="802"/>
        <w:spacing w:after="0"/>
        <w:tabs>
          <w:tab w:leader="none" w:pos="1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06" w:lineRule="exact"/>
        <w:rPr>
          <w:rFonts w:ascii="Arial" w:cs="Arial" w:eastAsia="Arial" w:hAnsi="Arial"/>
          <w:sz w:val="18"/>
          <w:szCs w:val="18"/>
          <w:color w:val="auto"/>
        </w:rPr>
      </w:pPr>
    </w:p>
    <w:p>
      <w:pPr>
        <w:ind w:left="1620" w:hanging="802"/>
        <w:spacing w:after="0"/>
        <w:tabs>
          <w:tab w:leader="none" w:pos="1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1025525</wp:posOffset>
            </wp:positionH>
            <wp:positionV relativeFrom="paragraph">
              <wp:posOffset>-3160395</wp:posOffset>
            </wp:positionV>
            <wp:extent cx="6226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26175" cy="8890"/>
                    </a:xfrm>
                    <a:prstGeom prst="rect">
                      <a:avLst/>
                    </a:prstGeom>
                    <a:noFill/>
                  </pic:spPr>
                </pic:pic>
              </a:graphicData>
            </a:graphic>
          </wp:anchor>
        </w:drawing>
        <w:drawing>
          <wp:anchor simplePos="0" relativeHeight="251657728" behindDoc="1" locked="0" layoutInCell="0" allowOverlap="1">
            <wp:simplePos x="0" y="0"/>
            <wp:positionH relativeFrom="column">
              <wp:posOffset>1025525</wp:posOffset>
            </wp:positionH>
            <wp:positionV relativeFrom="paragraph">
              <wp:posOffset>-2834005</wp:posOffset>
            </wp:positionV>
            <wp:extent cx="6226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26175" cy="8890"/>
                    </a:xfrm>
                    <a:prstGeom prst="rect">
                      <a:avLst/>
                    </a:prstGeom>
                    <a:noFill/>
                  </pic:spPr>
                </pic:pic>
              </a:graphicData>
            </a:graphic>
          </wp:anchor>
        </w:drawing>
        <w:drawing>
          <wp:anchor simplePos="0" relativeHeight="251657728" behindDoc="1" locked="0" layoutInCell="0" allowOverlap="1">
            <wp:simplePos x="0" y="0"/>
            <wp:positionH relativeFrom="column">
              <wp:posOffset>1025525</wp:posOffset>
            </wp:positionH>
            <wp:positionV relativeFrom="paragraph">
              <wp:posOffset>-2379980</wp:posOffset>
            </wp:positionV>
            <wp:extent cx="62261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26175" cy="8890"/>
                    </a:xfrm>
                    <a:prstGeom prst="rect">
                      <a:avLst/>
                    </a:prstGeom>
                    <a:noFill/>
                  </pic:spPr>
                </pic:pic>
              </a:graphicData>
            </a:graphic>
          </wp:anchor>
        </w:drawing>
        <w:drawing>
          <wp:anchor simplePos="0" relativeHeight="251657728" behindDoc="1" locked="0" layoutInCell="0" allowOverlap="1">
            <wp:simplePos x="0" y="0"/>
            <wp:positionH relativeFrom="column">
              <wp:posOffset>1025525</wp:posOffset>
            </wp:positionH>
            <wp:positionV relativeFrom="paragraph">
              <wp:posOffset>-2053590</wp:posOffset>
            </wp:positionV>
            <wp:extent cx="6226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26175" cy="8890"/>
                    </a:xfrm>
                    <a:prstGeom prst="rect">
                      <a:avLst/>
                    </a:prstGeom>
                    <a:noFill/>
                  </pic:spPr>
                </pic:pic>
              </a:graphicData>
            </a:graphic>
          </wp:anchor>
        </w:drawing>
        <w:drawing>
          <wp:anchor simplePos="0" relativeHeight="251657728" behindDoc="1" locked="0" layoutInCell="0" allowOverlap="1">
            <wp:simplePos x="0" y="0"/>
            <wp:positionH relativeFrom="column">
              <wp:posOffset>1025525</wp:posOffset>
            </wp:positionH>
            <wp:positionV relativeFrom="paragraph">
              <wp:posOffset>-1727835</wp:posOffset>
            </wp:positionV>
            <wp:extent cx="6226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26175" cy="8890"/>
                    </a:xfrm>
                    <a:prstGeom prst="rect">
                      <a:avLst/>
                    </a:prstGeom>
                    <a:noFill/>
                  </pic:spPr>
                </pic:pic>
              </a:graphicData>
            </a:graphic>
          </wp:anchor>
        </w:drawing>
        <w:drawing>
          <wp:anchor simplePos="0" relativeHeight="251657728" behindDoc="1" locked="0" layoutInCell="0" allowOverlap="1">
            <wp:simplePos x="0" y="0"/>
            <wp:positionH relativeFrom="column">
              <wp:posOffset>1025525</wp:posOffset>
            </wp:positionH>
            <wp:positionV relativeFrom="paragraph">
              <wp:posOffset>-802005</wp:posOffset>
            </wp:positionV>
            <wp:extent cx="6226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26175" cy="8890"/>
                    </a:xfrm>
                    <a:prstGeom prst="rect">
                      <a:avLst/>
                    </a:prstGeom>
                    <a:noFill/>
                  </pic:spPr>
                </pic:pic>
              </a:graphicData>
            </a:graphic>
          </wp:anchor>
        </w:drawing>
        <w:drawing>
          <wp:anchor simplePos="0" relativeHeight="251657728" behindDoc="1" locked="0" layoutInCell="0" allowOverlap="1">
            <wp:simplePos x="0" y="0"/>
            <wp:positionH relativeFrom="column">
              <wp:posOffset>1025525</wp:posOffset>
            </wp:positionH>
            <wp:positionV relativeFrom="paragraph">
              <wp:posOffset>-475615</wp:posOffset>
            </wp:positionV>
            <wp:extent cx="62261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26175" cy="8890"/>
                    </a:xfrm>
                    <a:prstGeom prst="rect">
                      <a:avLst/>
                    </a:prstGeom>
                    <a:noFill/>
                  </pic:spPr>
                </pic:pic>
              </a:graphicData>
            </a:graphic>
          </wp:anchor>
        </w:drawing>
        <w:drawing>
          <wp:anchor simplePos="0" relativeHeight="251657728" behindDoc="1" locked="0" layoutInCell="0" allowOverlap="1">
            <wp:simplePos x="0" y="0"/>
            <wp:positionH relativeFrom="column">
              <wp:posOffset>1025525</wp:posOffset>
            </wp:positionH>
            <wp:positionV relativeFrom="paragraph">
              <wp:posOffset>-149860</wp:posOffset>
            </wp:positionV>
            <wp:extent cx="62261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26175" cy="8890"/>
                    </a:xfrm>
                    <a:prstGeom prst="rect">
                      <a:avLst/>
                    </a:prstGeom>
                    <a:noFill/>
                  </pic:spPr>
                </pic:pic>
              </a:graphicData>
            </a:graphic>
          </wp:anchor>
        </w:drawing>
        <w:drawing>
          <wp:anchor simplePos="0" relativeHeight="251657728" behindDoc="1" locked="0" layoutInCell="0" allowOverlap="1">
            <wp:simplePos x="0" y="0"/>
            <wp:positionH relativeFrom="column">
              <wp:posOffset>1025525</wp:posOffset>
            </wp:positionH>
            <wp:positionV relativeFrom="paragraph">
              <wp:posOffset>175260</wp:posOffset>
            </wp:positionV>
            <wp:extent cx="62261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26175" cy="8890"/>
                    </a:xfrm>
                    <a:prstGeom prst="rect">
                      <a:avLst/>
                    </a:prstGeom>
                    <a:noFill/>
                  </pic:spPr>
                </pic:pic>
              </a:graphicData>
            </a:graphic>
          </wp:anchor>
        </w:drawing>
      </w:r>
    </w:p>
    <w:p>
      <w:pPr>
        <w:sectPr>
          <w:pgSz w:w="11900" w:h="16838" w:orient="portrait"/>
          <w:cols w:equalWidth="0" w:num="1">
            <w:col w:w="11340"/>
          </w:cols>
          <w:pgMar w:left="240" w:top="230" w:right="31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20" w:type="dxa"/>
            <w:vAlign w:val="bottom"/>
          </w:tcPr>
          <w:p>
            <w:pPr>
              <w:spacing w:after="0"/>
              <w:rPr>
                <w:sz w:val="20"/>
                <w:szCs w:val="20"/>
                <w:color w:val="auto"/>
              </w:rPr>
            </w:pPr>
            <w:r>
              <w:rPr>
                <w:rFonts w:ascii="Arial" w:cs="Arial" w:eastAsia="Arial" w:hAnsi="Arial"/>
                <w:sz w:val="18"/>
                <w:szCs w:val="18"/>
                <w:b w:val="1"/>
                <w:bCs w:val="1"/>
                <w:color w:val="auto"/>
              </w:rPr>
              <w:t>6901 Professional Parkway E.</w:t>
            </w:r>
          </w:p>
        </w:tc>
        <w:tc>
          <w:tcPr>
            <w:tcW w:w="4680" w:type="dxa"/>
            <w:vAlign w:val="bottom"/>
          </w:tcPr>
          <w:p>
            <w:pPr>
              <w:jc w:val="right"/>
              <w:spacing w:after="0"/>
              <w:rPr>
                <w:sz w:val="20"/>
                <w:szCs w:val="20"/>
                <w:color w:val="auto"/>
              </w:rPr>
            </w:pPr>
            <w:r>
              <w:rPr>
                <w:rFonts w:ascii="Arial" w:cs="Arial" w:eastAsia="Arial" w:hAnsi="Arial"/>
                <w:sz w:val="18"/>
                <w:szCs w:val="18"/>
                <w:b w:val="1"/>
                <w:bCs w:val="1"/>
                <w:color w:val="auto"/>
              </w:rPr>
              <w:t>Telephone (941)</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w w:val="99"/>
              </w:rPr>
              <w:t>556-2601</w:t>
            </w:r>
          </w:p>
        </w:tc>
      </w:tr>
      <w:tr>
        <w:trPr>
          <w:trHeight w:val="216"/>
        </w:trPr>
        <w:tc>
          <w:tcPr>
            <w:tcW w:w="5820" w:type="dxa"/>
            <w:vAlign w:val="bottom"/>
          </w:tcPr>
          <w:p>
            <w:pPr>
              <w:spacing w:after="0"/>
              <w:rPr>
                <w:sz w:val="20"/>
                <w:szCs w:val="20"/>
                <w:color w:val="auto"/>
              </w:rPr>
            </w:pPr>
            <w:r>
              <w:rPr>
                <w:rFonts w:ascii="Arial" w:cs="Arial" w:eastAsia="Arial" w:hAnsi="Arial"/>
                <w:sz w:val="18"/>
                <w:szCs w:val="18"/>
                <w:b w:val="1"/>
                <w:bCs w:val="1"/>
                <w:color w:val="auto"/>
              </w:rPr>
              <w:t>Suite 200</w:t>
            </w:r>
          </w:p>
        </w:tc>
        <w:tc>
          <w:tcPr>
            <w:tcW w:w="4680" w:type="dxa"/>
            <w:vAlign w:val="bottom"/>
          </w:tcPr>
          <w:p>
            <w:pPr>
              <w:jc w:val="right"/>
              <w:spacing w:after="0"/>
              <w:rPr>
                <w:sz w:val="20"/>
                <w:szCs w:val="20"/>
                <w:color w:val="auto"/>
              </w:rPr>
            </w:pPr>
            <w:r>
              <w:rPr>
                <w:rFonts w:ascii="Arial" w:cs="Arial" w:eastAsia="Arial" w:hAnsi="Arial"/>
                <w:sz w:val="18"/>
                <w:szCs w:val="18"/>
                <w:b w:val="1"/>
                <w:bCs w:val="1"/>
                <w:color w:val="auto"/>
              </w:rPr>
              <w:t>Fax (941)</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w w:val="99"/>
              </w:rPr>
              <w:t>556-2670</w:t>
            </w:r>
          </w:p>
        </w:tc>
      </w:tr>
      <w:tr>
        <w:trPr>
          <w:trHeight w:val="233"/>
        </w:trPr>
        <w:tc>
          <w:tcPr>
            <w:tcW w:w="5820" w:type="dxa"/>
            <w:vAlign w:val="bottom"/>
          </w:tcPr>
          <w:p>
            <w:pPr>
              <w:spacing w:after="0"/>
              <w:rPr>
                <w:sz w:val="20"/>
                <w:szCs w:val="20"/>
                <w:color w:val="auto"/>
              </w:rPr>
            </w:pPr>
            <w:r>
              <w:rPr>
                <w:rFonts w:ascii="Arial" w:cs="Arial" w:eastAsia="Arial" w:hAnsi="Arial"/>
                <w:sz w:val="18"/>
                <w:szCs w:val="18"/>
                <w:b w:val="1"/>
                <w:bCs w:val="1"/>
                <w:color w:val="auto"/>
              </w:rPr>
              <w:t>Sarasota, FL 34240</w:t>
            </w:r>
          </w:p>
        </w:tc>
        <w:tc>
          <w:tcPr>
            <w:tcW w:w="4680" w:type="dxa"/>
            <w:vAlign w:val="bottom"/>
          </w:tcPr>
          <w:p>
            <w:pPr>
              <w:spacing w:after="0"/>
              <w:rPr>
                <w:sz w:val="20"/>
                <w:szCs w:val="20"/>
                <w:color w:val="auto"/>
              </w:rPr>
            </w:pPr>
          </w:p>
        </w:tc>
        <w:tc>
          <w:tcPr>
            <w:tcW w:w="7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3401060</wp:posOffset>
            </wp:positionH>
            <wp:positionV relativeFrom="paragraph">
              <wp:posOffset>-401320</wp:posOffset>
            </wp:positionV>
            <wp:extent cx="1020445" cy="4972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20445" cy="497205"/>
                    </a:xfrm>
                    <a:prstGeom prst="rect">
                      <a:avLst/>
                    </a:prstGeom>
                    <a:noFill/>
                  </pic:spPr>
                </pic:pic>
              </a:graphicData>
            </a:graphic>
          </wp:anchor>
        </w:drawing>
      </w:r>
    </w:p>
    <w:p>
      <w:pPr>
        <w:spacing w:after="0" w:line="98" w:lineRule="exact"/>
        <w:rPr>
          <w:sz w:val="20"/>
          <w:szCs w:val="20"/>
          <w:color w:val="auto"/>
        </w:rPr>
      </w:pPr>
    </w:p>
    <w:p>
      <w:pPr>
        <w:ind w:left="4880"/>
        <w:spacing w:after="0"/>
        <w:rPr>
          <w:sz w:val="20"/>
          <w:szCs w:val="20"/>
          <w:color w:val="auto"/>
        </w:rPr>
      </w:pPr>
      <w:r>
        <w:rPr>
          <w:rFonts w:ascii="Arial" w:cs="Arial" w:eastAsia="Arial" w:hAnsi="Arial"/>
          <w:sz w:val="22"/>
          <w:szCs w:val="22"/>
          <w:b w:val="1"/>
          <w:bCs w:val="1"/>
          <w:color w:val="auto"/>
        </w:rPr>
        <w:t>Roper Technologies, Inc.</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April 26, 2016</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Dear Fellow Shareholders,</w:t>
      </w:r>
    </w:p>
    <w:p>
      <w:pPr>
        <w:spacing w:after="0" w:line="77" w:lineRule="exact"/>
        <w:rPr>
          <w:sz w:val="20"/>
          <w:szCs w:val="20"/>
          <w:color w:val="auto"/>
        </w:rPr>
      </w:pPr>
    </w:p>
    <w:p>
      <w:pPr>
        <w:jc w:val="both"/>
        <w:ind w:right="40"/>
        <w:spacing w:after="0" w:line="238" w:lineRule="auto"/>
        <w:rPr>
          <w:sz w:val="20"/>
          <w:szCs w:val="20"/>
          <w:color w:val="auto"/>
        </w:rPr>
      </w:pPr>
      <w:r>
        <w:rPr>
          <w:rFonts w:ascii="Arial" w:cs="Arial" w:eastAsia="Arial" w:hAnsi="Arial"/>
          <w:sz w:val="18"/>
          <w:szCs w:val="18"/>
          <w:color w:val="auto"/>
        </w:rPr>
        <w:t>As the members of your Board of Directors, we oversee Roper’s efforts to consistently create long-term value through the efficient execution of our strategy, sound risk management, performance-driven compensation programs, effective talent and succession planning, adherence to the highest ethical standards and levels of integrity, and continual review and refinement of the Board’s governance practices.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 for Outstanding Value Creation for Shareholders</w:t>
      </w:r>
    </w:p>
    <w:p>
      <w:pPr>
        <w:spacing w:after="0" w:line="99"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Over the past decade, our shareholders have enjoyed a compound annual return of 17.7%, compared to 7.3% for the S&amp;P 500. Over the past five years, our Company has delivered an even better 20.6% compound annual return to shareholders.</w:t>
      </w:r>
    </w:p>
    <w:p>
      <w:pPr>
        <w:spacing w:after="0" w:line="155"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This long history of superior shareholder returns is the result of Roper’s simple yet powerful strategy: Focus on niche, asset-light businesses with leading technologies that create significant free cash flow, enabling future investments for sustainable growth. We believe that our strategic focus on intellectual capital, channel expansion and a high degree of customer intimacy has driven sustained growth. We have a unique and disciplined capital deployment model that has guided the successful investment of billions of dollars in new businesses. We continue to evolve strategically with an increased emphasis on technology.</w:t>
      </w:r>
    </w:p>
    <w:p>
      <w:pPr>
        <w:spacing w:after="0" w:line="15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Board contributes significantly to our Company’s strong performance. As directors, each of us commits to the rigor and extensive time required to serve on the Board, including participation in at least 15 days of board meetings each year. We monitor the existing portfolio of Roper businesses and carefully examine with management the different ways our Company can invest for future growth.</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Access and Shareholder Outreach</w:t>
      </w:r>
    </w:p>
    <w:p>
      <w:pPr>
        <w:spacing w:after="0" w:line="99"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As part of our continual efforts to enhance governance practices and discussions with our shareholders, we recently amended our By-laws to provide for “proxy access” for our shareholders. Our proxy access provision permits a shareholder, or a group of up to 20 shareholders, that has owned at least 3% of our outstanding common stock continuously for at least three years to nominate and include in our proxy materials up to the greater of two directors or 20% of the number of our directors then in office, provided that the shareholders and the nominees satisfy the requirements specified in our By-laws. In adopting our proxy access provisions, we reached out to shareholders representing over 50% of our outstanding common stock to understand their views. During this outreach, our shareholders expressed support and general flexibility for the proxy access provisions that we ultimately adopted.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Enhanced Governance Practices and Other Best Practices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Our governance practices include:</w:t>
      </w:r>
    </w:p>
    <w:p>
      <w:pPr>
        <w:spacing w:after="0" w:line="55"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Declassified Board</w:t>
      </w:r>
      <w:r>
        <w:rPr>
          <w:rFonts w:ascii="Arial" w:cs="Arial" w:eastAsia="Arial" w:hAnsi="Arial"/>
          <w:sz w:val="18"/>
          <w:szCs w:val="18"/>
          <w:color w:val="auto"/>
        </w:rPr>
        <w:t>. We declassified the Board so all directors are elected annually.</w:t>
      </w:r>
    </w:p>
    <w:p>
      <w:pPr>
        <w:spacing w:after="0" w:line="76" w:lineRule="exact"/>
        <w:rPr>
          <w:rFonts w:ascii="Arial" w:cs="Arial" w:eastAsia="Arial" w:hAnsi="Arial"/>
          <w:sz w:val="18"/>
          <w:szCs w:val="18"/>
          <w:color w:val="auto"/>
        </w:rPr>
      </w:pPr>
    </w:p>
    <w:p>
      <w:pPr>
        <w:ind w:left="220" w:right="320" w:hanging="212"/>
        <w:spacing w:after="0" w:line="264" w:lineRule="auto"/>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Majority Voting for Directors</w:t>
      </w:r>
      <w:r>
        <w:rPr>
          <w:rFonts w:ascii="Arial" w:cs="Arial" w:eastAsia="Arial" w:hAnsi="Arial"/>
          <w:sz w:val="18"/>
          <w:szCs w:val="18"/>
          <w:color w:val="auto"/>
        </w:rPr>
        <w:t>. Our By-laws include a resignation requirement for directors who fail to receive a majority vote in uncontested</w:t>
      </w:r>
      <w:r>
        <w:rPr>
          <w:rFonts w:ascii="Arial" w:cs="Arial" w:eastAsia="Arial" w:hAnsi="Arial"/>
          <w:sz w:val="18"/>
          <w:szCs w:val="18"/>
          <w:b w:val="1"/>
          <w:bCs w:val="1"/>
          <w:color w:val="auto"/>
        </w:rPr>
        <w:t xml:space="preserve"> </w:t>
      </w:r>
      <w:r>
        <w:rPr>
          <w:rFonts w:ascii="Arial" w:cs="Arial" w:eastAsia="Arial" w:hAnsi="Arial"/>
          <w:sz w:val="18"/>
          <w:szCs w:val="18"/>
          <w:color w:val="auto"/>
        </w:rPr>
        <w:t>elections.</w:t>
      </w:r>
    </w:p>
    <w:p>
      <w:pPr>
        <w:spacing w:after="0" w:line="30" w:lineRule="exact"/>
        <w:rPr>
          <w:rFonts w:ascii="Arial" w:cs="Arial" w:eastAsia="Arial" w:hAnsi="Arial"/>
          <w:sz w:val="18"/>
          <w:szCs w:val="18"/>
          <w:color w:val="auto"/>
        </w:rPr>
      </w:pPr>
    </w:p>
    <w:p>
      <w:pPr>
        <w:ind w:left="220" w:right="180" w:hanging="212"/>
        <w:spacing w:after="0" w:line="244" w:lineRule="auto"/>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Executive Compensation Practices Align with Shareholder Interests. </w:t>
      </w:r>
      <w:r>
        <w:rPr>
          <w:rFonts w:ascii="Arial" w:cs="Arial" w:eastAsia="Arial" w:hAnsi="Arial"/>
          <w:sz w:val="18"/>
          <w:szCs w:val="18"/>
          <w:color w:val="auto"/>
        </w:rPr>
        <w:t>Because much of our shareholder value creation is derived from the</w:t>
      </w:r>
      <w:r>
        <w:rPr>
          <w:rFonts w:ascii="Arial" w:cs="Arial" w:eastAsia="Arial" w:hAnsi="Arial"/>
          <w:sz w:val="18"/>
          <w:szCs w:val="18"/>
          <w:b w:val="1"/>
          <w:bCs w:val="1"/>
          <w:color w:val="auto"/>
        </w:rPr>
        <w:t xml:space="preserve"> </w:t>
      </w:r>
      <w:r>
        <w:rPr>
          <w:rFonts w:ascii="Arial" w:cs="Arial" w:eastAsia="Arial" w:hAnsi="Arial"/>
          <w:sz w:val="18"/>
          <w:szCs w:val="18"/>
          <w:color w:val="auto"/>
        </w:rPr>
        <w:t>Roper executive team’s capital deployment strategy, our executives must have a unique set of skills. We continue to refine our executive compensation practices (as described in more detail in our “Compensation Discussion and Analysis”) to maintain close alignment with the interests of our shareholders.</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hanging="212"/>
        <w:spacing w:after="0" w:line="264" w:lineRule="auto"/>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Pay for Performance</w:t>
      </w:r>
      <w:r>
        <w:rPr>
          <w:rFonts w:ascii="Arial" w:cs="Arial" w:eastAsia="Arial" w:hAnsi="Arial"/>
          <w:sz w:val="18"/>
          <w:szCs w:val="18"/>
          <w:color w:val="auto"/>
        </w:rPr>
        <w:t>. In 2015, 95% of our CEO’s compensation was subject to performance risk and tied to long-term results and our stock</w:t>
      </w:r>
      <w:r>
        <w:rPr>
          <w:rFonts w:ascii="Arial" w:cs="Arial" w:eastAsia="Arial" w:hAnsi="Arial"/>
          <w:sz w:val="18"/>
          <w:szCs w:val="18"/>
          <w:b w:val="1"/>
          <w:bCs w:val="1"/>
          <w:color w:val="auto"/>
        </w:rPr>
        <w:t xml:space="preserve"> </w:t>
      </w:r>
      <w:r>
        <w:rPr>
          <w:rFonts w:ascii="Arial" w:cs="Arial" w:eastAsia="Arial" w:hAnsi="Arial"/>
          <w:sz w:val="18"/>
          <w:szCs w:val="18"/>
          <w:color w:val="auto"/>
        </w:rPr>
        <w:t>price, and for our other executive officers, 86% of their compensation was performance-based.</w:t>
      </w:r>
    </w:p>
    <w:p>
      <w:pPr>
        <w:spacing w:after="0" w:line="30" w:lineRule="exact"/>
        <w:rPr>
          <w:rFonts w:ascii="Arial" w:cs="Arial" w:eastAsia="Arial" w:hAnsi="Arial"/>
          <w:sz w:val="18"/>
          <w:szCs w:val="18"/>
          <w:color w:val="auto"/>
        </w:rPr>
      </w:pPr>
    </w:p>
    <w:p>
      <w:pPr>
        <w:ind w:left="220" w:hanging="212"/>
        <w:spacing w:after="0"/>
        <w:tabs>
          <w:tab w:leader="none" w:pos="22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Clear Proxy Statement disclosure</w:t>
      </w:r>
      <w:r>
        <w:rPr>
          <w:rFonts w:ascii="Arial" w:cs="Arial" w:eastAsia="Arial" w:hAnsi="Arial"/>
          <w:sz w:val="16"/>
          <w:szCs w:val="16"/>
          <w:color w:val="auto"/>
        </w:rPr>
        <w:t>. We have strived to present the information in our Proxy Statement in a clear and easy-to-read manner</w:t>
      </w:r>
    </w:p>
    <w:p>
      <w:pPr>
        <w:spacing w:after="0" w:line="99" w:lineRule="exact"/>
        <w:rPr>
          <w:rFonts w:ascii="Arial" w:cs="Arial" w:eastAsia="Arial" w:hAnsi="Arial"/>
          <w:sz w:val="16"/>
          <w:szCs w:val="16"/>
          <w:color w:val="auto"/>
        </w:rPr>
      </w:pPr>
    </w:p>
    <w:p>
      <w:pPr>
        <w:ind w:left="220" w:hanging="212"/>
        <w:spacing w:after="0"/>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Shareholder Outreach Program</w:t>
      </w:r>
      <w:r>
        <w:rPr>
          <w:rFonts w:ascii="Arial" w:cs="Arial" w:eastAsia="Arial" w:hAnsi="Arial"/>
          <w:sz w:val="18"/>
          <w:szCs w:val="18"/>
          <w:color w:val="auto"/>
        </w:rPr>
        <w:t>. Roper’s senior management team regularly engages our largest shareholders for feedback.</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Incentive Plan</w:t>
      </w:r>
    </w:p>
    <w:p>
      <w:pPr>
        <w:spacing w:after="0" w:line="99"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Our agenda this year includes a proposal to approve the 2016 Incentive Plan. This new plan would replace our existing incentive plan, which expires in June 2016. Equity compensation is one way we link pay for performance, and it is an important part of our overall compensation program. We urge you to vote FOR the approval of the 2016 Incentive Plan, so that we can continue to use equity as a key component in our compensation programs.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99" w:lineRule="exact"/>
        <w:rPr>
          <w:sz w:val="20"/>
          <w:szCs w:val="20"/>
          <w:color w:val="auto"/>
        </w:rPr>
      </w:pPr>
    </w:p>
    <w:p>
      <w:pPr>
        <w:ind w:right="20"/>
        <w:spacing w:after="0" w:line="299" w:lineRule="auto"/>
        <w:rPr>
          <w:sz w:val="20"/>
          <w:szCs w:val="20"/>
          <w:color w:val="auto"/>
        </w:rPr>
      </w:pPr>
      <w:r>
        <w:rPr>
          <w:rFonts w:ascii="Arial" w:cs="Arial" w:eastAsia="Arial" w:hAnsi="Arial"/>
          <w:sz w:val="16"/>
          <w:szCs w:val="16"/>
          <w:color w:val="auto"/>
        </w:rPr>
        <w:t>In June 2015, we were saddened by the passing of David Devonshire, who had served as a Roper director since 2002. Mr. Devonshire brought wisdom to our Board and provided excellent advice to our management team over many years. We will miss our colleague and friend.</w:t>
      </w:r>
    </w:p>
    <w:p>
      <w:pPr>
        <w:spacing w:after="0" w:line="109" w:lineRule="exact"/>
        <w:rPr>
          <w:sz w:val="20"/>
          <w:szCs w:val="20"/>
          <w:color w:val="auto"/>
        </w:rPr>
      </w:pPr>
    </w:p>
    <w:p>
      <w:pPr>
        <w:ind w:right="380"/>
        <w:spacing w:after="0" w:line="239" w:lineRule="auto"/>
        <w:rPr>
          <w:sz w:val="20"/>
          <w:szCs w:val="20"/>
          <w:color w:val="auto"/>
        </w:rPr>
      </w:pPr>
      <w:r>
        <w:rPr>
          <w:rFonts w:ascii="Arial" w:cs="Arial" w:eastAsia="Arial" w:hAnsi="Arial"/>
          <w:sz w:val="18"/>
          <w:szCs w:val="18"/>
          <w:color w:val="auto"/>
        </w:rPr>
        <w:t>We value your support and input. Please continue to share your comments with us on any topic. Communications can be addressed to the directors in care of the Secretary, Roper Technologies, Inc., 6901 Professional Parkway East, Suite 200, Sarasota, Florida 34240.</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369570</wp:posOffset>
            </wp:positionV>
            <wp:extent cx="1509395" cy="291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09395" cy="291465"/>
                    </a:xfrm>
                    <a:prstGeom prst="rect">
                      <a:avLst/>
                    </a:prstGeom>
                    <a:noFill/>
                  </pic:spPr>
                </pic:pic>
              </a:graphicData>
            </a:graphic>
          </wp:anchor>
        </w:drawing>
        <w:drawing>
          <wp:anchor simplePos="0" relativeHeight="251657728" behindDoc="1" locked="0" layoutInCell="0" allowOverlap="1">
            <wp:simplePos x="0" y="0"/>
            <wp:positionH relativeFrom="column">
              <wp:posOffset>3589655</wp:posOffset>
            </wp:positionH>
            <wp:positionV relativeFrom="paragraph">
              <wp:posOffset>137795</wp:posOffset>
            </wp:positionV>
            <wp:extent cx="848995" cy="7632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48995" cy="763270"/>
                    </a:xfrm>
                    <a:prstGeom prst="rect">
                      <a:avLst/>
                    </a:prstGeom>
                    <a:noFill/>
                  </pic:spPr>
                </pic:pic>
              </a:graphicData>
            </a:graphic>
          </wp:anchor>
        </w:drawing>
        <w:drawing>
          <wp:anchor simplePos="0" relativeHeight="251657728" behindDoc="1" locked="0" layoutInCell="0" allowOverlap="1">
            <wp:simplePos x="0" y="0"/>
            <wp:positionH relativeFrom="column">
              <wp:posOffset>5690870</wp:posOffset>
            </wp:positionH>
            <wp:positionV relativeFrom="paragraph">
              <wp:posOffset>326390</wp:posOffset>
            </wp:positionV>
            <wp:extent cx="1157605" cy="3429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5760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060"/>
        <w:spacing w:after="0"/>
        <w:tabs>
          <w:tab w:leader="none" w:pos="5700" w:val="left"/>
          <w:tab w:leader="none" w:pos="9220" w:val="left"/>
        </w:tabs>
        <w:rPr>
          <w:sz w:val="20"/>
          <w:szCs w:val="20"/>
          <w:color w:val="auto"/>
        </w:rPr>
      </w:pPr>
      <w:r>
        <w:rPr>
          <w:rFonts w:ascii="Arial" w:cs="Arial" w:eastAsia="Arial" w:hAnsi="Arial"/>
          <w:sz w:val="18"/>
          <w:szCs w:val="18"/>
          <w:b w:val="1"/>
          <w:bCs w:val="1"/>
          <w:color w:val="auto"/>
        </w:rPr>
        <w:t>Amy Woods Brinkley</w:t>
      </w:r>
      <w:r>
        <w:rPr>
          <w:sz w:val="20"/>
          <w:szCs w:val="20"/>
          <w:color w:val="auto"/>
        </w:rPr>
        <w:tab/>
      </w:r>
      <w:r>
        <w:rPr>
          <w:rFonts w:ascii="Arial" w:cs="Arial" w:eastAsia="Arial" w:hAnsi="Arial"/>
          <w:sz w:val="18"/>
          <w:szCs w:val="18"/>
          <w:b w:val="1"/>
          <w:bCs w:val="1"/>
          <w:color w:val="auto"/>
        </w:rPr>
        <w:t>John F. Fort III</w:t>
      </w:r>
      <w:r>
        <w:rPr>
          <w:sz w:val="20"/>
          <w:szCs w:val="20"/>
          <w:color w:val="auto"/>
        </w:rPr>
        <w:tab/>
      </w:r>
      <w:r>
        <w:rPr>
          <w:rFonts w:ascii="Arial" w:cs="Arial" w:eastAsia="Arial" w:hAnsi="Arial"/>
          <w:sz w:val="16"/>
          <w:szCs w:val="16"/>
          <w:b w:val="1"/>
          <w:bCs w:val="1"/>
          <w:color w:val="auto"/>
        </w:rPr>
        <w:t>Brian D. Jellison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198120</wp:posOffset>
            </wp:positionV>
            <wp:extent cx="917575" cy="2571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17575" cy="257175"/>
                    </a:xfrm>
                    <a:prstGeom prst="rect">
                      <a:avLst/>
                    </a:prstGeom>
                    <a:noFill/>
                  </pic:spPr>
                </pic:pic>
              </a:graphicData>
            </a:graphic>
          </wp:anchor>
        </w:drawing>
        <w:drawing>
          <wp:anchor simplePos="0" relativeHeight="251657728" behindDoc="1" locked="0" layoutInCell="0" allowOverlap="1">
            <wp:simplePos x="0" y="0"/>
            <wp:positionH relativeFrom="column">
              <wp:posOffset>3392805</wp:posOffset>
            </wp:positionH>
            <wp:positionV relativeFrom="paragraph">
              <wp:posOffset>8890</wp:posOffset>
            </wp:positionV>
            <wp:extent cx="1243330" cy="643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43330" cy="643255"/>
                    </a:xfrm>
                    <a:prstGeom prst="rect">
                      <a:avLst/>
                    </a:prstGeom>
                    <a:noFill/>
                  </pic:spPr>
                </pic:pic>
              </a:graphicData>
            </a:graphic>
          </wp:anchor>
        </w:drawing>
        <w:drawing>
          <wp:anchor simplePos="0" relativeHeight="251657728" behindDoc="1" locked="0" layoutInCell="0" allowOverlap="1">
            <wp:simplePos x="0" y="0"/>
            <wp:positionH relativeFrom="column">
              <wp:posOffset>5664835</wp:posOffset>
            </wp:positionH>
            <wp:positionV relativeFrom="paragraph">
              <wp:posOffset>103505</wp:posOffset>
            </wp:positionV>
            <wp:extent cx="1200785" cy="4114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0078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160"/>
        <w:spacing w:after="0"/>
        <w:tabs>
          <w:tab w:leader="none" w:pos="5340" w:val="left"/>
          <w:tab w:leader="none" w:pos="9120" w:val="left"/>
        </w:tabs>
        <w:rPr>
          <w:sz w:val="20"/>
          <w:szCs w:val="20"/>
          <w:color w:val="auto"/>
        </w:rPr>
      </w:pPr>
      <w:r>
        <w:rPr>
          <w:rFonts w:ascii="Arial" w:cs="Arial" w:eastAsia="Arial" w:hAnsi="Arial"/>
          <w:sz w:val="18"/>
          <w:szCs w:val="18"/>
          <w:b w:val="1"/>
          <w:bCs w:val="1"/>
          <w:color w:val="auto"/>
        </w:rPr>
        <w:t>Robert D. Johnson</w:t>
      </w:r>
      <w:r>
        <w:rPr>
          <w:sz w:val="20"/>
          <w:szCs w:val="20"/>
          <w:color w:val="auto"/>
        </w:rPr>
        <w:tab/>
      </w:r>
      <w:r>
        <w:rPr>
          <w:rFonts w:ascii="Arial" w:cs="Arial" w:eastAsia="Arial" w:hAnsi="Arial"/>
          <w:sz w:val="18"/>
          <w:szCs w:val="18"/>
          <w:b w:val="1"/>
          <w:bCs w:val="1"/>
          <w:color w:val="auto"/>
        </w:rPr>
        <w:t>Robert E. Knowling, Jr.</w:t>
      </w:r>
      <w:r>
        <w:rPr>
          <w:sz w:val="20"/>
          <w:szCs w:val="20"/>
          <w:color w:val="auto"/>
        </w:rPr>
        <w:tab/>
      </w:r>
      <w:r>
        <w:rPr>
          <w:rFonts w:ascii="Arial" w:cs="Arial" w:eastAsia="Arial" w:hAnsi="Arial"/>
          <w:sz w:val="16"/>
          <w:szCs w:val="16"/>
          <w:b w:val="1"/>
          <w:bCs w:val="1"/>
          <w:color w:val="auto"/>
        </w:rPr>
        <w:t>Wilbur J. Prezzano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163830</wp:posOffset>
            </wp:positionV>
            <wp:extent cx="1329055" cy="3943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29055" cy="394335"/>
                    </a:xfrm>
                    <a:prstGeom prst="rect">
                      <a:avLst/>
                    </a:prstGeom>
                    <a:noFill/>
                  </pic:spPr>
                </pic:pic>
              </a:graphicData>
            </a:graphic>
          </wp:anchor>
        </w:drawing>
        <w:drawing>
          <wp:anchor simplePos="0" relativeHeight="251657728" behindDoc="1" locked="0" layoutInCell="0" allowOverlap="1">
            <wp:simplePos x="0" y="0"/>
            <wp:positionH relativeFrom="column">
              <wp:posOffset>3401060</wp:posOffset>
            </wp:positionH>
            <wp:positionV relativeFrom="paragraph">
              <wp:posOffset>249555</wp:posOffset>
            </wp:positionV>
            <wp:extent cx="1235075" cy="2317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35075" cy="231775"/>
                    </a:xfrm>
                    <a:prstGeom prst="rect">
                      <a:avLst/>
                    </a:prstGeom>
                    <a:noFill/>
                  </pic:spPr>
                </pic:pic>
              </a:graphicData>
            </a:graphic>
          </wp:anchor>
        </w:drawing>
        <w:drawing>
          <wp:anchor simplePos="0" relativeHeight="251657728" behindDoc="1" locked="0" layoutInCell="0" allowOverlap="1">
            <wp:simplePos x="0" y="0"/>
            <wp:positionH relativeFrom="column">
              <wp:posOffset>5836920</wp:posOffset>
            </wp:positionH>
            <wp:positionV relativeFrom="paragraph">
              <wp:posOffset>146685</wp:posOffset>
            </wp:positionV>
            <wp:extent cx="866140" cy="4032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66140"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00"/>
        <w:spacing w:after="0"/>
        <w:tabs>
          <w:tab w:leader="none" w:pos="5500" w:val="left"/>
          <w:tab w:leader="none" w:pos="9100" w:val="left"/>
        </w:tabs>
        <w:rPr>
          <w:sz w:val="20"/>
          <w:szCs w:val="20"/>
          <w:color w:val="auto"/>
        </w:rPr>
      </w:pPr>
      <w:r>
        <w:rPr>
          <w:rFonts w:ascii="Arial" w:cs="Arial" w:eastAsia="Arial" w:hAnsi="Arial"/>
          <w:sz w:val="18"/>
          <w:szCs w:val="18"/>
          <w:b w:val="1"/>
          <w:bCs w:val="1"/>
          <w:color w:val="auto"/>
        </w:rPr>
        <w:t>Laura G. Thatcher</w:t>
      </w:r>
      <w:r>
        <w:rPr>
          <w:sz w:val="20"/>
          <w:szCs w:val="20"/>
          <w:color w:val="auto"/>
        </w:rPr>
        <w:tab/>
      </w:r>
      <w:r>
        <w:rPr>
          <w:rFonts w:ascii="Arial" w:cs="Arial" w:eastAsia="Arial" w:hAnsi="Arial"/>
          <w:sz w:val="18"/>
          <w:szCs w:val="18"/>
          <w:b w:val="1"/>
          <w:bCs w:val="1"/>
          <w:color w:val="auto"/>
        </w:rPr>
        <w:t>Richard F. Wallman</w:t>
      </w:r>
      <w:r>
        <w:rPr>
          <w:sz w:val="20"/>
          <w:szCs w:val="20"/>
          <w:color w:val="auto"/>
        </w:rPr>
        <w:tab/>
      </w:r>
      <w:r>
        <w:rPr>
          <w:rFonts w:ascii="Arial" w:cs="Arial" w:eastAsia="Arial" w:hAnsi="Arial"/>
          <w:sz w:val="16"/>
          <w:szCs w:val="16"/>
          <w:b w:val="1"/>
          <w:bCs w:val="1"/>
          <w:color w:val="auto"/>
        </w:rPr>
        <w:t>Christopher Wright</w:t>
      </w:r>
    </w:p>
    <w:p>
      <w:pPr>
        <w:sectPr>
          <w:pgSz w:w="11900" w:h="16838" w:orient="portrait"/>
          <w:cols w:equalWidth="0" w:num="1">
            <w:col w:w="11120"/>
          </w:cols>
          <w:pgMar w:left="240" w:top="459" w:right="5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3117850</wp:posOffset>
            </wp:positionH>
            <wp:positionV relativeFrom="paragraph">
              <wp:posOffset>205740</wp:posOffset>
            </wp:positionV>
            <wp:extent cx="1020445" cy="4972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2044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32"/>
          <w:szCs w:val="32"/>
          <w:b w:val="1"/>
          <w:bCs w:val="1"/>
          <w:color w:val="225CAB"/>
        </w:rPr>
        <w:t>NOTICE OF 2016 ANNUAL MEETING OF SHAREHOLDERS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460" w:type="dxa"/>
            <w:vAlign w:val="bottom"/>
          </w:tcPr>
          <w:p>
            <w:pPr>
              <w:spacing w:after="0"/>
              <w:rPr>
                <w:sz w:val="20"/>
                <w:szCs w:val="20"/>
                <w:color w:val="auto"/>
              </w:rPr>
            </w:pPr>
            <w:r>
              <w:rPr>
                <w:rFonts w:ascii="Arial" w:cs="Arial" w:eastAsia="Arial" w:hAnsi="Arial"/>
                <w:sz w:val="18"/>
                <w:szCs w:val="18"/>
                <w:b w:val="1"/>
                <w:bCs w:val="1"/>
                <w:i w:val="1"/>
                <w:iCs w:val="1"/>
                <w:color w:val="auto"/>
              </w:rPr>
              <w:t>Date and Time</w:t>
            </w:r>
          </w:p>
        </w:tc>
        <w:tc>
          <w:tcPr>
            <w:tcW w:w="8960" w:type="dxa"/>
            <w:vAlign w:val="bottom"/>
          </w:tcPr>
          <w:p>
            <w:pPr>
              <w:ind w:left="1880"/>
              <w:spacing w:after="0"/>
              <w:rPr>
                <w:sz w:val="20"/>
                <w:szCs w:val="20"/>
                <w:color w:val="auto"/>
              </w:rPr>
            </w:pPr>
            <w:r>
              <w:rPr>
                <w:rFonts w:ascii="Arial" w:cs="Arial" w:eastAsia="Arial" w:hAnsi="Arial"/>
                <w:sz w:val="18"/>
                <w:szCs w:val="18"/>
                <w:color w:val="auto"/>
              </w:rPr>
              <w:t xml:space="preserve">Friday, </w:t>
            </w:r>
            <w:r>
              <w:rPr>
                <w:rFonts w:ascii="Arial" w:cs="Arial" w:eastAsia="Arial" w:hAnsi="Arial"/>
                <w:sz w:val="18"/>
                <w:szCs w:val="18"/>
                <w:b w:val="1"/>
                <w:bCs w:val="1"/>
                <w:color w:val="auto"/>
              </w:rPr>
              <w:t>May 27, 2016</w:t>
            </w:r>
            <w:r>
              <w:rPr>
                <w:rFonts w:ascii="Arial" w:cs="Arial" w:eastAsia="Arial" w:hAnsi="Arial"/>
                <w:sz w:val="18"/>
                <w:szCs w:val="18"/>
                <w:color w:val="auto"/>
              </w:rPr>
              <w:t xml:space="preserve">, at </w:t>
            </w:r>
            <w:r>
              <w:rPr>
                <w:rFonts w:ascii="Arial" w:cs="Arial" w:eastAsia="Arial" w:hAnsi="Arial"/>
                <w:sz w:val="18"/>
                <w:szCs w:val="18"/>
                <w:b w:val="1"/>
                <w:bCs w:val="1"/>
                <w:color w:val="auto"/>
              </w:rPr>
              <w:t>9:30 a.m. local time</w:t>
            </w:r>
          </w:p>
        </w:tc>
      </w:tr>
      <w:tr>
        <w:trPr>
          <w:trHeight w:val="297"/>
        </w:trPr>
        <w:tc>
          <w:tcPr>
            <w:tcW w:w="2460" w:type="dxa"/>
            <w:vAlign w:val="bottom"/>
          </w:tcPr>
          <w:p>
            <w:pPr>
              <w:spacing w:after="0"/>
              <w:rPr>
                <w:sz w:val="20"/>
                <w:szCs w:val="20"/>
                <w:color w:val="auto"/>
              </w:rPr>
            </w:pPr>
            <w:r>
              <w:rPr>
                <w:rFonts w:ascii="Arial" w:cs="Arial" w:eastAsia="Arial" w:hAnsi="Arial"/>
                <w:sz w:val="18"/>
                <w:szCs w:val="18"/>
                <w:b w:val="1"/>
                <w:bCs w:val="1"/>
                <w:i w:val="1"/>
                <w:iCs w:val="1"/>
                <w:color w:val="auto"/>
              </w:rPr>
              <w:t>Place</w:t>
            </w:r>
          </w:p>
        </w:tc>
        <w:tc>
          <w:tcPr>
            <w:tcW w:w="8960" w:type="dxa"/>
            <w:vAlign w:val="bottom"/>
          </w:tcPr>
          <w:p>
            <w:pPr>
              <w:ind w:left="1880"/>
              <w:spacing w:after="0"/>
              <w:rPr>
                <w:sz w:val="20"/>
                <w:szCs w:val="20"/>
                <w:color w:val="auto"/>
              </w:rPr>
            </w:pPr>
            <w:r>
              <w:rPr>
                <w:rFonts w:ascii="Arial" w:cs="Arial" w:eastAsia="Arial" w:hAnsi="Arial"/>
                <w:sz w:val="18"/>
                <w:szCs w:val="18"/>
                <w:color w:val="auto"/>
              </w:rPr>
              <w:t>6901 Professional Parkway East, Suite 200, Sarasota, Florida 34240</w:t>
            </w:r>
          </w:p>
        </w:tc>
      </w:tr>
      <w:tr>
        <w:trPr>
          <w:trHeight w:val="297"/>
        </w:trPr>
        <w:tc>
          <w:tcPr>
            <w:tcW w:w="2460" w:type="dxa"/>
            <w:vAlign w:val="bottom"/>
          </w:tcPr>
          <w:p>
            <w:pPr>
              <w:spacing w:after="0"/>
              <w:rPr>
                <w:sz w:val="20"/>
                <w:szCs w:val="20"/>
                <w:color w:val="auto"/>
              </w:rPr>
            </w:pPr>
            <w:r>
              <w:rPr>
                <w:rFonts w:ascii="Arial" w:cs="Arial" w:eastAsia="Arial" w:hAnsi="Arial"/>
                <w:sz w:val="18"/>
                <w:szCs w:val="18"/>
                <w:b w:val="1"/>
                <w:bCs w:val="1"/>
                <w:i w:val="1"/>
                <w:iCs w:val="1"/>
                <w:color w:val="auto"/>
              </w:rPr>
              <w:t>Agenda</w:t>
            </w:r>
          </w:p>
        </w:tc>
        <w:tc>
          <w:tcPr>
            <w:tcW w:w="8960" w:type="dxa"/>
            <w:vAlign w:val="bottom"/>
          </w:tcPr>
          <w:p>
            <w:pPr>
              <w:ind w:left="18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Proposal 1:</w:t>
            </w:r>
            <w:r>
              <w:rPr>
                <w:rFonts w:ascii="Arial" w:cs="Arial" w:eastAsia="Arial" w:hAnsi="Arial"/>
                <w:sz w:val="18"/>
                <w:szCs w:val="18"/>
                <w:color w:val="auto"/>
              </w:rPr>
              <w:t xml:space="preserve"> To elect nine directors.</w:t>
            </w:r>
          </w:p>
        </w:tc>
      </w:tr>
      <w:tr>
        <w:trPr>
          <w:trHeight w:val="289"/>
        </w:trPr>
        <w:tc>
          <w:tcPr>
            <w:tcW w:w="2460" w:type="dxa"/>
            <w:vAlign w:val="bottom"/>
          </w:tcPr>
          <w:p>
            <w:pPr>
              <w:spacing w:after="0"/>
              <w:rPr>
                <w:sz w:val="24"/>
                <w:szCs w:val="24"/>
                <w:color w:val="auto"/>
              </w:rPr>
            </w:pPr>
          </w:p>
        </w:tc>
        <w:tc>
          <w:tcPr>
            <w:tcW w:w="8960" w:type="dxa"/>
            <w:vAlign w:val="bottom"/>
          </w:tcPr>
          <w:p>
            <w:pPr>
              <w:ind w:left="18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Proposal 2:</w:t>
            </w:r>
            <w:r>
              <w:rPr>
                <w:rFonts w:ascii="Arial" w:cs="Arial" w:eastAsia="Arial" w:hAnsi="Arial"/>
                <w:sz w:val="18"/>
                <w:szCs w:val="18"/>
                <w:color w:val="auto"/>
              </w:rPr>
              <w:t xml:space="preserve"> To consider, on a non-binding advisory basis, a resolution approving the</w:t>
            </w:r>
          </w:p>
        </w:tc>
      </w:tr>
      <w:tr>
        <w:trPr>
          <w:trHeight w:val="211"/>
        </w:trPr>
        <w:tc>
          <w:tcPr>
            <w:tcW w:w="2460" w:type="dxa"/>
            <w:vAlign w:val="bottom"/>
          </w:tcPr>
          <w:p>
            <w:pPr>
              <w:spacing w:after="0"/>
              <w:rPr>
                <w:sz w:val="18"/>
                <w:szCs w:val="18"/>
                <w:color w:val="auto"/>
              </w:rPr>
            </w:pPr>
          </w:p>
        </w:tc>
        <w:tc>
          <w:tcPr>
            <w:tcW w:w="8960" w:type="dxa"/>
            <w:vAlign w:val="bottom"/>
          </w:tcPr>
          <w:p>
            <w:pPr>
              <w:ind w:left="2220"/>
              <w:spacing w:after="0"/>
              <w:rPr>
                <w:sz w:val="20"/>
                <w:szCs w:val="20"/>
                <w:color w:val="auto"/>
              </w:rPr>
            </w:pPr>
            <w:r>
              <w:rPr>
                <w:rFonts w:ascii="Arial" w:cs="Arial" w:eastAsia="Arial" w:hAnsi="Arial"/>
                <w:sz w:val="18"/>
                <w:szCs w:val="18"/>
                <w:color w:val="auto"/>
              </w:rPr>
              <w:t>compensation of our named executive officers.</w:t>
            </w:r>
          </w:p>
        </w:tc>
      </w:tr>
      <w:tr>
        <w:trPr>
          <w:trHeight w:val="275"/>
        </w:trPr>
        <w:tc>
          <w:tcPr>
            <w:tcW w:w="2460" w:type="dxa"/>
            <w:vAlign w:val="bottom"/>
          </w:tcPr>
          <w:p>
            <w:pPr>
              <w:spacing w:after="0"/>
              <w:rPr>
                <w:sz w:val="23"/>
                <w:szCs w:val="23"/>
                <w:color w:val="auto"/>
              </w:rPr>
            </w:pPr>
          </w:p>
        </w:tc>
        <w:tc>
          <w:tcPr>
            <w:tcW w:w="8960" w:type="dxa"/>
            <w:vAlign w:val="bottom"/>
          </w:tcPr>
          <w:p>
            <w:pPr>
              <w:ind w:left="18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Proposal 3:</w:t>
            </w:r>
            <w:r>
              <w:rPr>
                <w:rFonts w:ascii="Arial" w:cs="Arial" w:eastAsia="Arial" w:hAnsi="Arial"/>
                <w:sz w:val="18"/>
                <w:szCs w:val="18"/>
                <w:color w:val="auto"/>
              </w:rPr>
              <w:t xml:space="preserve"> To ratify the appointment of PricewaterhouseCoopers LLP as our</w:t>
            </w:r>
          </w:p>
        </w:tc>
      </w:tr>
      <w:tr>
        <w:trPr>
          <w:trHeight w:val="211"/>
        </w:trPr>
        <w:tc>
          <w:tcPr>
            <w:tcW w:w="2460" w:type="dxa"/>
            <w:vAlign w:val="bottom"/>
          </w:tcPr>
          <w:p>
            <w:pPr>
              <w:spacing w:after="0"/>
              <w:rPr>
                <w:sz w:val="18"/>
                <w:szCs w:val="18"/>
                <w:color w:val="auto"/>
              </w:rPr>
            </w:pPr>
          </w:p>
        </w:tc>
        <w:tc>
          <w:tcPr>
            <w:tcW w:w="8960" w:type="dxa"/>
            <w:vAlign w:val="bottom"/>
          </w:tcPr>
          <w:p>
            <w:pPr>
              <w:ind w:left="2220"/>
              <w:spacing w:after="0"/>
              <w:rPr>
                <w:sz w:val="20"/>
                <w:szCs w:val="20"/>
                <w:color w:val="auto"/>
              </w:rPr>
            </w:pPr>
            <w:r>
              <w:rPr>
                <w:rFonts w:ascii="Arial" w:cs="Arial" w:eastAsia="Arial" w:hAnsi="Arial"/>
                <w:sz w:val="18"/>
                <w:szCs w:val="18"/>
                <w:color w:val="auto"/>
              </w:rPr>
              <w:t>independent registered accounting firm for the year ending December 31, 2016.</w:t>
            </w:r>
          </w:p>
        </w:tc>
      </w:tr>
      <w:tr>
        <w:trPr>
          <w:trHeight w:val="284"/>
        </w:trPr>
        <w:tc>
          <w:tcPr>
            <w:tcW w:w="2460" w:type="dxa"/>
            <w:vAlign w:val="bottom"/>
          </w:tcPr>
          <w:p>
            <w:pPr>
              <w:spacing w:after="0"/>
              <w:rPr>
                <w:sz w:val="24"/>
                <w:szCs w:val="24"/>
                <w:color w:val="auto"/>
              </w:rPr>
            </w:pPr>
          </w:p>
        </w:tc>
        <w:tc>
          <w:tcPr>
            <w:tcW w:w="8960" w:type="dxa"/>
            <w:vAlign w:val="bottom"/>
          </w:tcPr>
          <w:p>
            <w:pPr>
              <w:ind w:left="18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Proposal 4:</w:t>
            </w:r>
            <w:r>
              <w:rPr>
                <w:rFonts w:ascii="Arial" w:cs="Arial" w:eastAsia="Arial" w:hAnsi="Arial"/>
                <w:sz w:val="18"/>
                <w:szCs w:val="18"/>
                <w:color w:val="auto"/>
              </w:rPr>
              <w:t xml:space="preserve"> To approve the Roper Technologies, Inc. 2016 Incentive Plan.</w:t>
            </w:r>
          </w:p>
        </w:tc>
      </w:tr>
      <w:tr>
        <w:trPr>
          <w:trHeight w:val="284"/>
        </w:trPr>
        <w:tc>
          <w:tcPr>
            <w:tcW w:w="2460" w:type="dxa"/>
            <w:vAlign w:val="bottom"/>
          </w:tcPr>
          <w:p>
            <w:pPr>
              <w:spacing w:after="0"/>
              <w:rPr>
                <w:sz w:val="24"/>
                <w:szCs w:val="24"/>
                <w:color w:val="auto"/>
              </w:rPr>
            </w:pPr>
          </w:p>
        </w:tc>
        <w:tc>
          <w:tcPr>
            <w:tcW w:w="8960" w:type="dxa"/>
            <w:vAlign w:val="bottom"/>
          </w:tcPr>
          <w:p>
            <w:pPr>
              <w:ind w:left="2220"/>
              <w:spacing w:after="0"/>
              <w:rPr>
                <w:sz w:val="20"/>
                <w:szCs w:val="20"/>
                <w:color w:val="auto"/>
              </w:rPr>
            </w:pPr>
            <w:r>
              <w:rPr>
                <w:rFonts w:ascii="Arial" w:cs="Arial" w:eastAsia="Arial" w:hAnsi="Arial"/>
                <w:sz w:val="18"/>
                <w:szCs w:val="18"/>
                <w:color w:val="auto"/>
                <w:w w:val="99"/>
              </w:rPr>
              <w:t>We will also transact any other business properly brought before the Annual Meeting.</w:t>
            </w:r>
          </w:p>
        </w:tc>
      </w:tr>
      <w:tr>
        <w:trPr>
          <w:trHeight w:val="275"/>
        </w:trPr>
        <w:tc>
          <w:tcPr>
            <w:tcW w:w="2460" w:type="dxa"/>
            <w:vAlign w:val="bottom"/>
          </w:tcPr>
          <w:p>
            <w:pPr>
              <w:spacing w:after="0"/>
              <w:rPr>
                <w:sz w:val="20"/>
                <w:szCs w:val="20"/>
                <w:color w:val="auto"/>
              </w:rPr>
            </w:pPr>
            <w:r>
              <w:rPr>
                <w:rFonts w:ascii="Arial" w:cs="Arial" w:eastAsia="Arial" w:hAnsi="Arial"/>
                <w:sz w:val="18"/>
                <w:szCs w:val="18"/>
                <w:b w:val="1"/>
                <w:bCs w:val="1"/>
                <w:i w:val="1"/>
                <w:iCs w:val="1"/>
                <w:color w:val="auto"/>
              </w:rPr>
              <w:t>Record Date</w:t>
            </w:r>
          </w:p>
        </w:tc>
        <w:tc>
          <w:tcPr>
            <w:tcW w:w="8960" w:type="dxa"/>
            <w:vAlign w:val="bottom"/>
          </w:tcPr>
          <w:p>
            <w:pPr>
              <w:ind w:left="1880"/>
              <w:spacing w:after="0"/>
              <w:rPr>
                <w:sz w:val="20"/>
                <w:szCs w:val="20"/>
                <w:color w:val="auto"/>
              </w:rPr>
            </w:pPr>
            <w:r>
              <w:rPr>
                <w:rFonts w:ascii="Arial" w:cs="Arial" w:eastAsia="Arial" w:hAnsi="Arial"/>
                <w:sz w:val="18"/>
                <w:szCs w:val="18"/>
                <w:color w:val="auto"/>
                <w:w w:val="99"/>
              </w:rPr>
              <w:t>Only shareholders of record at the close of business on March 29, 2016 will be entitled to</w:t>
            </w:r>
          </w:p>
        </w:tc>
      </w:tr>
      <w:tr>
        <w:trPr>
          <w:trHeight w:val="203"/>
        </w:trPr>
        <w:tc>
          <w:tcPr>
            <w:tcW w:w="2460" w:type="dxa"/>
            <w:vAlign w:val="bottom"/>
          </w:tcPr>
          <w:p>
            <w:pPr>
              <w:spacing w:after="0"/>
              <w:rPr>
                <w:sz w:val="17"/>
                <w:szCs w:val="17"/>
                <w:color w:val="auto"/>
              </w:rPr>
            </w:pPr>
          </w:p>
        </w:tc>
        <w:tc>
          <w:tcPr>
            <w:tcW w:w="8960" w:type="dxa"/>
            <w:vAlign w:val="bottom"/>
          </w:tcPr>
          <w:p>
            <w:pPr>
              <w:ind w:left="1880"/>
              <w:spacing w:after="0" w:line="202" w:lineRule="exact"/>
              <w:rPr>
                <w:sz w:val="20"/>
                <w:szCs w:val="20"/>
                <w:color w:val="auto"/>
              </w:rPr>
            </w:pPr>
            <w:r>
              <w:rPr>
                <w:rFonts w:ascii="Arial" w:cs="Arial" w:eastAsia="Arial" w:hAnsi="Arial"/>
                <w:sz w:val="18"/>
                <w:szCs w:val="18"/>
                <w:color w:val="auto"/>
              </w:rPr>
              <w:t>vote at the Annual Meeting or any adjourned meeting, and these shareholders will be</w:t>
            </w:r>
          </w:p>
        </w:tc>
      </w:tr>
      <w:tr>
        <w:trPr>
          <w:trHeight w:val="203"/>
        </w:trPr>
        <w:tc>
          <w:tcPr>
            <w:tcW w:w="2460" w:type="dxa"/>
            <w:vAlign w:val="bottom"/>
          </w:tcPr>
          <w:p>
            <w:pPr>
              <w:spacing w:after="0"/>
              <w:rPr>
                <w:sz w:val="17"/>
                <w:szCs w:val="17"/>
                <w:color w:val="auto"/>
              </w:rPr>
            </w:pPr>
          </w:p>
        </w:tc>
        <w:tc>
          <w:tcPr>
            <w:tcW w:w="8960" w:type="dxa"/>
            <w:vAlign w:val="bottom"/>
          </w:tcPr>
          <w:p>
            <w:pPr>
              <w:ind w:left="1880"/>
              <w:spacing w:after="0" w:line="202" w:lineRule="exact"/>
              <w:rPr>
                <w:sz w:val="20"/>
                <w:szCs w:val="20"/>
                <w:color w:val="auto"/>
              </w:rPr>
            </w:pPr>
            <w:r>
              <w:rPr>
                <w:rFonts w:ascii="Arial" w:cs="Arial" w:eastAsia="Arial" w:hAnsi="Arial"/>
                <w:sz w:val="18"/>
                <w:szCs w:val="18"/>
                <w:color w:val="auto"/>
              </w:rPr>
              <w:t>entitled to vote whether or not they have transferred any of their shares of our common</w:t>
            </w:r>
          </w:p>
        </w:tc>
      </w:tr>
      <w:tr>
        <w:trPr>
          <w:trHeight w:val="211"/>
        </w:trPr>
        <w:tc>
          <w:tcPr>
            <w:tcW w:w="2460" w:type="dxa"/>
            <w:vAlign w:val="bottom"/>
          </w:tcPr>
          <w:p>
            <w:pPr>
              <w:spacing w:after="0"/>
              <w:rPr>
                <w:sz w:val="18"/>
                <w:szCs w:val="18"/>
                <w:color w:val="auto"/>
              </w:rPr>
            </w:pPr>
          </w:p>
        </w:tc>
        <w:tc>
          <w:tcPr>
            <w:tcW w:w="8960" w:type="dxa"/>
            <w:vAlign w:val="bottom"/>
          </w:tcPr>
          <w:p>
            <w:pPr>
              <w:ind w:left="1880"/>
              <w:spacing w:after="0"/>
              <w:rPr>
                <w:sz w:val="20"/>
                <w:szCs w:val="20"/>
                <w:color w:val="auto"/>
              </w:rPr>
            </w:pPr>
            <w:r>
              <w:rPr>
                <w:rFonts w:ascii="Arial" w:cs="Arial" w:eastAsia="Arial" w:hAnsi="Arial"/>
                <w:sz w:val="18"/>
                <w:szCs w:val="18"/>
                <w:color w:val="auto"/>
              </w:rPr>
              <w:t>stock since that date.</w:t>
            </w:r>
          </w:p>
        </w:tc>
      </w:tr>
      <w:tr>
        <w:trPr>
          <w:trHeight w:val="284"/>
        </w:trPr>
        <w:tc>
          <w:tcPr>
            <w:tcW w:w="2460" w:type="dxa"/>
            <w:vAlign w:val="bottom"/>
          </w:tcPr>
          <w:p>
            <w:pPr>
              <w:spacing w:after="0"/>
              <w:rPr>
                <w:sz w:val="20"/>
                <w:szCs w:val="20"/>
                <w:color w:val="auto"/>
              </w:rPr>
            </w:pPr>
            <w:r>
              <w:rPr>
                <w:rFonts w:ascii="Arial" w:cs="Arial" w:eastAsia="Arial" w:hAnsi="Arial"/>
                <w:sz w:val="18"/>
                <w:szCs w:val="18"/>
                <w:b w:val="1"/>
                <w:bCs w:val="1"/>
                <w:i w:val="1"/>
                <w:iCs w:val="1"/>
                <w:color w:val="auto"/>
              </w:rPr>
              <w:t>Voting Recommendations</w:t>
            </w:r>
          </w:p>
        </w:tc>
        <w:tc>
          <w:tcPr>
            <w:tcW w:w="8960" w:type="dxa"/>
            <w:vAlign w:val="bottom"/>
          </w:tcPr>
          <w:p>
            <w:pPr>
              <w:ind w:left="1880"/>
              <w:spacing w:after="0"/>
              <w:rPr>
                <w:sz w:val="20"/>
                <w:szCs w:val="20"/>
                <w:color w:val="auto"/>
              </w:rPr>
            </w:pPr>
            <w:r>
              <w:rPr>
                <w:rFonts w:ascii="Arial" w:cs="Arial" w:eastAsia="Arial" w:hAnsi="Arial"/>
                <w:sz w:val="18"/>
                <w:szCs w:val="18"/>
                <w:color w:val="auto"/>
              </w:rPr>
              <w:t>The Company recommends that you vote:</w:t>
            </w:r>
          </w:p>
        </w:tc>
      </w:tr>
      <w:tr>
        <w:trPr>
          <w:trHeight w:val="297"/>
        </w:trPr>
        <w:tc>
          <w:tcPr>
            <w:tcW w:w="2460" w:type="dxa"/>
            <w:vAlign w:val="bottom"/>
          </w:tcPr>
          <w:p>
            <w:pPr>
              <w:spacing w:after="0"/>
              <w:rPr>
                <w:sz w:val="24"/>
                <w:szCs w:val="24"/>
                <w:color w:val="auto"/>
              </w:rPr>
            </w:pPr>
          </w:p>
        </w:tc>
        <w:tc>
          <w:tcPr>
            <w:tcW w:w="8960" w:type="dxa"/>
            <w:vAlign w:val="bottom"/>
          </w:tcPr>
          <w:p>
            <w:pPr>
              <w:ind w:left="18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“FOR”</w:t>
            </w:r>
            <w:r>
              <w:rPr>
                <w:rFonts w:ascii="Arial" w:cs="Arial" w:eastAsia="Arial" w:hAnsi="Arial"/>
                <w:sz w:val="18"/>
                <w:szCs w:val="18"/>
                <w:color w:val="auto"/>
              </w:rPr>
              <w:t xml:space="preserve"> all of the director nominees</w:t>
            </w:r>
          </w:p>
        </w:tc>
      </w:tr>
      <w:tr>
        <w:trPr>
          <w:trHeight w:val="284"/>
        </w:trPr>
        <w:tc>
          <w:tcPr>
            <w:tcW w:w="2460" w:type="dxa"/>
            <w:vAlign w:val="bottom"/>
          </w:tcPr>
          <w:p>
            <w:pPr>
              <w:spacing w:after="0"/>
              <w:rPr>
                <w:sz w:val="24"/>
                <w:szCs w:val="24"/>
                <w:color w:val="auto"/>
              </w:rPr>
            </w:pPr>
          </w:p>
        </w:tc>
        <w:tc>
          <w:tcPr>
            <w:tcW w:w="8960" w:type="dxa"/>
            <w:vAlign w:val="bottom"/>
          </w:tcPr>
          <w:p>
            <w:pPr>
              <w:ind w:left="18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“FOR”</w:t>
            </w:r>
            <w:r>
              <w:rPr>
                <w:rFonts w:ascii="Arial" w:cs="Arial" w:eastAsia="Arial" w:hAnsi="Arial"/>
                <w:sz w:val="18"/>
                <w:szCs w:val="18"/>
                <w:color w:val="auto"/>
              </w:rPr>
              <w:t xml:space="preserve"> the approval of the compensation to our named executive officers</w:t>
            </w:r>
          </w:p>
        </w:tc>
      </w:tr>
      <w:tr>
        <w:trPr>
          <w:trHeight w:val="284"/>
        </w:trPr>
        <w:tc>
          <w:tcPr>
            <w:tcW w:w="2460" w:type="dxa"/>
            <w:vAlign w:val="bottom"/>
          </w:tcPr>
          <w:p>
            <w:pPr>
              <w:spacing w:after="0"/>
              <w:rPr>
                <w:sz w:val="24"/>
                <w:szCs w:val="24"/>
                <w:color w:val="auto"/>
              </w:rPr>
            </w:pPr>
          </w:p>
        </w:tc>
        <w:tc>
          <w:tcPr>
            <w:tcW w:w="8960" w:type="dxa"/>
            <w:vAlign w:val="bottom"/>
          </w:tcPr>
          <w:p>
            <w:pPr>
              <w:ind w:left="18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“FOR”</w:t>
            </w:r>
            <w:r>
              <w:rPr>
                <w:rFonts w:ascii="Arial" w:cs="Arial" w:eastAsia="Arial" w:hAnsi="Arial"/>
                <w:sz w:val="18"/>
                <w:szCs w:val="18"/>
                <w:color w:val="auto"/>
              </w:rPr>
              <w:t xml:space="preserve"> the appointment of PricewaterhouseCoopers</w:t>
            </w:r>
          </w:p>
        </w:tc>
      </w:tr>
      <w:tr>
        <w:trPr>
          <w:trHeight w:val="284"/>
        </w:trPr>
        <w:tc>
          <w:tcPr>
            <w:tcW w:w="2460" w:type="dxa"/>
            <w:vAlign w:val="bottom"/>
          </w:tcPr>
          <w:p>
            <w:pPr>
              <w:spacing w:after="0"/>
              <w:rPr>
                <w:sz w:val="24"/>
                <w:szCs w:val="24"/>
                <w:color w:val="auto"/>
              </w:rPr>
            </w:pPr>
          </w:p>
        </w:tc>
        <w:tc>
          <w:tcPr>
            <w:tcW w:w="8960" w:type="dxa"/>
            <w:vAlign w:val="bottom"/>
          </w:tcPr>
          <w:p>
            <w:pPr>
              <w:ind w:left="18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“FOR”</w:t>
            </w:r>
            <w:r>
              <w:rPr>
                <w:rFonts w:ascii="Arial" w:cs="Arial" w:eastAsia="Arial" w:hAnsi="Arial"/>
                <w:sz w:val="18"/>
                <w:szCs w:val="18"/>
                <w:color w:val="auto"/>
              </w:rPr>
              <w:t xml:space="preserve"> the Roper Technologies, Inc. 2016 Incentive Plan</w:t>
            </w:r>
          </w:p>
        </w:tc>
      </w:tr>
      <w:tr>
        <w:trPr>
          <w:trHeight w:val="253"/>
        </w:trPr>
        <w:tc>
          <w:tcPr>
            <w:tcW w:w="2460" w:type="dxa"/>
            <w:vAlign w:val="bottom"/>
          </w:tcPr>
          <w:p>
            <w:pPr>
              <w:spacing w:after="0"/>
              <w:rPr>
                <w:sz w:val="20"/>
                <w:szCs w:val="20"/>
                <w:color w:val="auto"/>
              </w:rPr>
            </w:pPr>
            <w:r>
              <w:rPr>
                <w:rFonts w:ascii="Arial" w:cs="Arial" w:eastAsia="Arial" w:hAnsi="Arial"/>
                <w:sz w:val="18"/>
                <w:szCs w:val="18"/>
                <w:b w:val="1"/>
                <w:bCs w:val="1"/>
                <w:i w:val="1"/>
                <w:iCs w:val="1"/>
                <w:color w:val="auto"/>
              </w:rPr>
              <w:t>Proxy Voting</w:t>
            </w:r>
          </w:p>
        </w:tc>
        <w:tc>
          <w:tcPr>
            <w:tcW w:w="8960" w:type="dxa"/>
            <w:vAlign w:val="bottom"/>
          </w:tcPr>
          <w:p>
            <w:pPr>
              <w:ind w:left="1880"/>
              <w:spacing w:after="0"/>
              <w:rPr>
                <w:sz w:val="20"/>
                <w:szCs w:val="20"/>
                <w:color w:val="auto"/>
              </w:rPr>
            </w:pPr>
            <w:r>
              <w:rPr>
                <w:rFonts w:ascii="Arial" w:cs="Arial" w:eastAsia="Arial" w:hAnsi="Arial"/>
                <w:sz w:val="18"/>
                <w:szCs w:val="18"/>
                <w:b w:val="1"/>
                <w:bCs w:val="1"/>
                <w:color w:val="auto"/>
              </w:rPr>
              <w:t>Your vote is important regardless of the number of shares of stock you own.</w:t>
            </w:r>
          </w:p>
        </w:tc>
      </w:tr>
      <w:tr>
        <w:trPr>
          <w:trHeight w:val="203"/>
        </w:trPr>
        <w:tc>
          <w:tcPr>
            <w:tcW w:w="2460" w:type="dxa"/>
            <w:vAlign w:val="bottom"/>
          </w:tcPr>
          <w:p>
            <w:pPr>
              <w:spacing w:after="0"/>
              <w:rPr>
                <w:sz w:val="17"/>
                <w:szCs w:val="17"/>
                <w:color w:val="auto"/>
              </w:rPr>
            </w:pPr>
          </w:p>
        </w:tc>
        <w:tc>
          <w:tcPr>
            <w:tcW w:w="8960" w:type="dxa"/>
            <w:vAlign w:val="bottom"/>
          </w:tcPr>
          <w:p>
            <w:pPr>
              <w:ind w:left="1880"/>
              <w:spacing w:after="0" w:line="202" w:lineRule="exact"/>
              <w:rPr>
                <w:sz w:val="20"/>
                <w:szCs w:val="20"/>
                <w:color w:val="auto"/>
              </w:rPr>
            </w:pPr>
            <w:r>
              <w:rPr>
                <w:rFonts w:ascii="Arial" w:cs="Arial" w:eastAsia="Arial" w:hAnsi="Arial"/>
                <w:sz w:val="18"/>
                <w:szCs w:val="18"/>
                <w:b w:val="1"/>
                <w:bCs w:val="1"/>
                <w:color w:val="auto"/>
              </w:rPr>
              <w:t>Whether or not you plan to attend the Annual Meeting in person, please promptly</w:t>
            </w:r>
          </w:p>
        </w:tc>
      </w:tr>
      <w:tr>
        <w:trPr>
          <w:trHeight w:val="203"/>
        </w:trPr>
        <w:tc>
          <w:tcPr>
            <w:tcW w:w="2460" w:type="dxa"/>
            <w:vAlign w:val="bottom"/>
          </w:tcPr>
          <w:p>
            <w:pPr>
              <w:spacing w:after="0"/>
              <w:rPr>
                <w:sz w:val="17"/>
                <w:szCs w:val="17"/>
                <w:color w:val="auto"/>
              </w:rPr>
            </w:pPr>
          </w:p>
        </w:tc>
        <w:tc>
          <w:tcPr>
            <w:tcW w:w="8960" w:type="dxa"/>
            <w:vAlign w:val="bottom"/>
          </w:tcPr>
          <w:p>
            <w:pPr>
              <w:ind w:left="1880"/>
              <w:spacing w:after="0" w:line="202" w:lineRule="exact"/>
              <w:rPr>
                <w:sz w:val="20"/>
                <w:szCs w:val="20"/>
                <w:color w:val="auto"/>
              </w:rPr>
            </w:pPr>
            <w:r>
              <w:rPr>
                <w:rFonts w:ascii="Arial" w:cs="Arial" w:eastAsia="Arial" w:hAnsi="Arial"/>
                <w:sz w:val="18"/>
                <w:szCs w:val="18"/>
                <w:b w:val="1"/>
                <w:bCs w:val="1"/>
                <w:color w:val="auto"/>
              </w:rPr>
              <w:t>vote by telephone, via the internet, or by mail. Instructions for each of these</w:t>
            </w:r>
          </w:p>
        </w:tc>
      </w:tr>
      <w:tr>
        <w:trPr>
          <w:trHeight w:val="233"/>
        </w:trPr>
        <w:tc>
          <w:tcPr>
            <w:tcW w:w="2460" w:type="dxa"/>
            <w:vAlign w:val="bottom"/>
          </w:tcPr>
          <w:p>
            <w:pPr>
              <w:spacing w:after="0"/>
              <w:rPr>
                <w:sz w:val="20"/>
                <w:szCs w:val="20"/>
                <w:color w:val="auto"/>
              </w:rPr>
            </w:pPr>
          </w:p>
        </w:tc>
        <w:tc>
          <w:tcPr>
            <w:tcW w:w="8960" w:type="dxa"/>
            <w:vAlign w:val="bottom"/>
          </w:tcPr>
          <w:p>
            <w:pPr>
              <w:ind w:left="1880"/>
              <w:spacing w:after="0"/>
              <w:rPr>
                <w:sz w:val="20"/>
                <w:szCs w:val="20"/>
                <w:color w:val="auto"/>
              </w:rPr>
            </w:pPr>
            <w:r>
              <w:rPr>
                <w:rFonts w:ascii="Arial" w:cs="Arial" w:eastAsia="Arial" w:hAnsi="Arial"/>
                <w:sz w:val="18"/>
                <w:szCs w:val="18"/>
                <w:b w:val="1"/>
                <w:bCs w:val="1"/>
                <w:color w:val="auto"/>
                <w:w w:val="99"/>
              </w:rPr>
              <w:t>methods and the control number that you will need are provided on the proxy card.</w:t>
            </w:r>
          </w:p>
        </w:tc>
      </w:tr>
      <w:tr>
        <w:trPr>
          <w:trHeight w:val="405"/>
        </w:trPr>
        <w:tc>
          <w:tcPr>
            <w:tcW w:w="2460" w:type="dxa"/>
            <w:vAlign w:val="bottom"/>
          </w:tcPr>
          <w:p>
            <w:pPr>
              <w:spacing w:after="0"/>
              <w:rPr>
                <w:sz w:val="20"/>
                <w:szCs w:val="20"/>
                <w:color w:val="auto"/>
              </w:rPr>
            </w:pPr>
            <w:r>
              <w:rPr>
                <w:rFonts w:ascii="Arial" w:cs="Arial" w:eastAsia="Arial" w:hAnsi="Arial"/>
                <w:sz w:val="18"/>
                <w:szCs w:val="18"/>
                <w:color w:val="auto"/>
              </w:rPr>
              <w:t>April 26, 2016</w:t>
            </w:r>
          </w:p>
        </w:tc>
        <w:tc>
          <w:tcPr>
            <w:tcW w:w="8960" w:type="dxa"/>
            <w:vAlign w:val="bottom"/>
          </w:tcPr>
          <w:p>
            <w:pPr>
              <w:ind w:left="3600"/>
              <w:spacing w:after="0"/>
              <w:rPr>
                <w:sz w:val="20"/>
                <w:szCs w:val="20"/>
                <w:color w:val="auto"/>
              </w:rPr>
            </w:pPr>
            <w:r>
              <w:rPr>
                <w:rFonts w:ascii="Arial" w:cs="Arial" w:eastAsia="Arial" w:hAnsi="Arial"/>
                <w:sz w:val="18"/>
                <w:szCs w:val="18"/>
                <w:color w:val="auto"/>
              </w:rPr>
              <w:t>By Order of the Board of Directors</w:t>
            </w:r>
          </w:p>
        </w:tc>
      </w:tr>
      <w:tr>
        <w:trPr>
          <w:trHeight w:val="897"/>
        </w:trPr>
        <w:tc>
          <w:tcPr>
            <w:tcW w:w="2460" w:type="dxa"/>
            <w:vAlign w:val="bottom"/>
          </w:tcPr>
          <w:p>
            <w:pPr>
              <w:spacing w:after="0"/>
              <w:rPr>
                <w:sz w:val="24"/>
                <w:szCs w:val="24"/>
                <w:color w:val="auto"/>
              </w:rPr>
            </w:pPr>
          </w:p>
        </w:tc>
        <w:tc>
          <w:tcPr>
            <w:tcW w:w="8960" w:type="dxa"/>
            <w:vAlign w:val="bottom"/>
          </w:tcPr>
          <w:p>
            <w:pPr>
              <w:ind w:left="3600"/>
              <w:spacing w:after="0"/>
              <w:rPr>
                <w:sz w:val="20"/>
                <w:szCs w:val="20"/>
                <w:color w:val="auto"/>
              </w:rPr>
            </w:pPr>
            <w:r>
              <w:rPr>
                <w:rFonts w:ascii="Arial" w:cs="Arial" w:eastAsia="Arial" w:hAnsi="Arial"/>
                <w:sz w:val="18"/>
                <w:szCs w:val="18"/>
                <w:color w:val="auto"/>
              </w:rPr>
              <w:t>David B. Liner</w:t>
            </w:r>
          </w:p>
        </w:tc>
      </w:tr>
      <w:tr>
        <w:trPr>
          <w:trHeight w:val="211"/>
        </w:trPr>
        <w:tc>
          <w:tcPr>
            <w:tcW w:w="2460" w:type="dxa"/>
            <w:vAlign w:val="bottom"/>
          </w:tcPr>
          <w:p>
            <w:pPr>
              <w:spacing w:after="0"/>
              <w:rPr>
                <w:sz w:val="18"/>
                <w:szCs w:val="18"/>
                <w:color w:val="auto"/>
              </w:rPr>
            </w:pPr>
          </w:p>
        </w:tc>
        <w:tc>
          <w:tcPr>
            <w:tcW w:w="8960" w:type="dxa"/>
            <w:vAlign w:val="bottom"/>
          </w:tcPr>
          <w:p>
            <w:pPr>
              <w:ind w:left="3600"/>
              <w:spacing w:after="0"/>
              <w:rPr>
                <w:sz w:val="20"/>
                <w:szCs w:val="20"/>
                <w:color w:val="auto"/>
              </w:rPr>
            </w:pPr>
            <w:r>
              <w:rPr>
                <w:rFonts w:ascii="Arial" w:cs="Arial" w:eastAsia="Arial" w:hAnsi="Arial"/>
                <w:sz w:val="18"/>
                <w:szCs w:val="18"/>
                <w:color w:val="auto"/>
              </w:rPr>
              <w:t>Vice President, General Counsel and Secretary</w:t>
            </w:r>
          </w:p>
        </w:tc>
      </w:tr>
      <w:tr>
        <w:trPr>
          <w:trHeight w:val="205"/>
        </w:trPr>
        <w:tc>
          <w:tcPr>
            <w:tcW w:w="2460" w:type="dxa"/>
            <w:vAlign w:val="bottom"/>
          </w:tcPr>
          <w:p>
            <w:pPr>
              <w:spacing w:after="0"/>
              <w:rPr>
                <w:sz w:val="17"/>
                <w:szCs w:val="17"/>
                <w:color w:val="auto"/>
              </w:rPr>
            </w:pPr>
          </w:p>
        </w:tc>
        <w:tc>
          <w:tcPr>
            <w:tcW w:w="8960" w:type="dxa"/>
            <w:vAlign w:val="bottom"/>
          </w:tcPr>
          <w:p>
            <w:pPr>
              <w:spacing w:after="0"/>
              <w:rPr>
                <w:sz w:val="17"/>
                <w:szCs w:val="17"/>
                <w:color w:val="auto"/>
              </w:rPr>
            </w:pPr>
          </w:p>
        </w:tc>
      </w:tr>
      <w:tr>
        <w:trPr>
          <w:trHeight w:val="211"/>
        </w:trPr>
        <w:tc>
          <w:tcPr>
            <w:tcW w:w="2460" w:type="dxa"/>
            <w:vAlign w:val="bottom"/>
            <w:shd w:val="clear" w:color="auto" w:fill="D2DEEE"/>
          </w:tcPr>
          <w:p>
            <w:pPr>
              <w:spacing w:after="0"/>
              <w:rPr>
                <w:sz w:val="18"/>
                <w:szCs w:val="18"/>
                <w:color w:val="auto"/>
              </w:rPr>
            </w:pPr>
          </w:p>
        </w:tc>
        <w:tc>
          <w:tcPr>
            <w:tcW w:w="8960" w:type="dxa"/>
            <w:vAlign w:val="bottom"/>
            <w:shd w:val="clear" w:color="auto" w:fill="D2DEEE"/>
          </w:tcPr>
          <w:p>
            <w:pPr>
              <w:jc w:val="center"/>
              <w:ind w:right="2372"/>
              <w:spacing w:after="0"/>
              <w:rPr>
                <w:sz w:val="20"/>
                <w:szCs w:val="20"/>
                <w:color w:val="auto"/>
              </w:rPr>
            </w:pPr>
            <w:r>
              <w:rPr>
                <w:rFonts w:ascii="Arial" w:cs="Arial" w:eastAsia="Arial" w:hAnsi="Arial"/>
                <w:sz w:val="18"/>
                <w:szCs w:val="18"/>
                <w:b w:val="1"/>
                <w:bCs w:val="1"/>
                <w:color w:val="auto"/>
                <w:w w:val="97"/>
              </w:rPr>
              <w:t>Important Notice Regarding the Availability of Proxy Materials for the</w:t>
            </w:r>
          </w:p>
        </w:tc>
      </w:tr>
      <w:tr>
        <w:trPr>
          <w:trHeight w:val="233"/>
        </w:trPr>
        <w:tc>
          <w:tcPr>
            <w:tcW w:w="2460" w:type="dxa"/>
            <w:vAlign w:val="bottom"/>
            <w:shd w:val="clear" w:color="auto" w:fill="D2DEEE"/>
          </w:tcPr>
          <w:p>
            <w:pPr>
              <w:spacing w:after="0"/>
              <w:rPr>
                <w:sz w:val="20"/>
                <w:szCs w:val="20"/>
                <w:color w:val="auto"/>
              </w:rPr>
            </w:pPr>
          </w:p>
        </w:tc>
        <w:tc>
          <w:tcPr>
            <w:tcW w:w="8960" w:type="dxa"/>
            <w:vAlign w:val="bottom"/>
            <w:shd w:val="clear" w:color="auto" w:fill="D2DEEE"/>
          </w:tcPr>
          <w:p>
            <w:pPr>
              <w:jc w:val="center"/>
              <w:ind w:right="2352"/>
              <w:spacing w:after="0"/>
              <w:rPr>
                <w:sz w:val="20"/>
                <w:szCs w:val="20"/>
                <w:color w:val="auto"/>
              </w:rPr>
            </w:pPr>
            <w:r>
              <w:rPr>
                <w:rFonts w:ascii="Arial" w:cs="Arial" w:eastAsia="Arial" w:hAnsi="Arial"/>
                <w:sz w:val="18"/>
                <w:szCs w:val="18"/>
                <w:b w:val="1"/>
                <w:bCs w:val="1"/>
                <w:color w:val="auto"/>
                <w:w w:val="97"/>
              </w:rPr>
              <w:t>Shareholder Meeting To Be Held On May 27, 2016.</w:t>
            </w:r>
          </w:p>
        </w:tc>
      </w:tr>
      <w:tr>
        <w:trPr>
          <w:trHeight w:val="336"/>
        </w:trPr>
        <w:tc>
          <w:tcPr>
            <w:tcW w:w="2460" w:type="dxa"/>
            <w:vAlign w:val="bottom"/>
            <w:shd w:val="clear" w:color="auto" w:fill="D2DEEE"/>
          </w:tcPr>
          <w:p>
            <w:pPr>
              <w:spacing w:after="0"/>
              <w:rPr>
                <w:sz w:val="24"/>
                <w:szCs w:val="24"/>
                <w:color w:val="auto"/>
              </w:rPr>
            </w:pPr>
          </w:p>
        </w:tc>
        <w:tc>
          <w:tcPr>
            <w:tcW w:w="8960" w:type="dxa"/>
            <w:vAlign w:val="bottom"/>
            <w:shd w:val="clear" w:color="auto" w:fill="D2DEEE"/>
          </w:tcPr>
          <w:p>
            <w:pPr>
              <w:jc w:val="center"/>
              <w:ind w:right="2372"/>
              <w:spacing w:after="0"/>
              <w:rPr>
                <w:sz w:val="20"/>
                <w:szCs w:val="20"/>
                <w:color w:val="auto"/>
              </w:rPr>
            </w:pPr>
            <w:r>
              <w:rPr>
                <w:rFonts w:ascii="Arial" w:cs="Arial" w:eastAsia="Arial" w:hAnsi="Arial"/>
                <w:sz w:val="18"/>
                <w:szCs w:val="18"/>
                <w:color w:val="auto"/>
                <w:w w:val="97"/>
              </w:rPr>
              <w:t>This Proxy Statement and the Roper Technologies, Inc. 2015 Annual Report</w:t>
            </w:r>
          </w:p>
        </w:tc>
      </w:tr>
      <w:tr>
        <w:trPr>
          <w:trHeight w:val="231"/>
        </w:trPr>
        <w:tc>
          <w:tcPr>
            <w:tcW w:w="2460" w:type="dxa"/>
            <w:vAlign w:val="bottom"/>
            <w:shd w:val="clear" w:color="auto" w:fill="D2DEEE"/>
          </w:tcPr>
          <w:p>
            <w:pPr>
              <w:spacing w:after="0"/>
              <w:rPr>
                <w:sz w:val="20"/>
                <w:szCs w:val="20"/>
                <w:color w:val="auto"/>
              </w:rPr>
            </w:pPr>
          </w:p>
        </w:tc>
        <w:tc>
          <w:tcPr>
            <w:tcW w:w="8960" w:type="dxa"/>
            <w:vAlign w:val="bottom"/>
            <w:shd w:val="clear" w:color="auto" w:fill="D2DEEE"/>
          </w:tcPr>
          <w:p>
            <w:pPr>
              <w:jc w:val="center"/>
              <w:ind w:right="2372"/>
              <w:spacing w:after="0"/>
              <w:rPr>
                <w:sz w:val="20"/>
                <w:szCs w:val="20"/>
                <w:color w:val="auto"/>
              </w:rPr>
            </w:pPr>
            <w:r>
              <w:rPr>
                <w:rFonts w:ascii="Arial" w:cs="Arial" w:eastAsia="Arial" w:hAnsi="Arial"/>
                <w:sz w:val="18"/>
                <w:szCs w:val="18"/>
                <w:color w:val="auto"/>
                <w:w w:val="97"/>
              </w:rPr>
              <w:t xml:space="preserve">to Shareholders are available at: </w:t>
            </w:r>
            <w:r>
              <w:rPr>
                <w:rFonts w:ascii="Arial" w:cs="Arial" w:eastAsia="Arial" w:hAnsi="Arial"/>
                <w:sz w:val="18"/>
                <w:szCs w:val="18"/>
                <w:b w:val="1"/>
                <w:bCs w:val="1"/>
                <w:i w:val="1"/>
                <w:iCs w:val="1"/>
                <w:color w:val="225CAB"/>
                <w:w w:val="97"/>
              </w:rPr>
              <w:t>www.ropertech.com</w:t>
            </w:r>
          </w:p>
        </w:tc>
      </w:tr>
      <w:tr>
        <w:trPr>
          <w:trHeight w:val="29"/>
        </w:trPr>
        <w:tc>
          <w:tcPr>
            <w:tcW w:w="2460" w:type="dxa"/>
            <w:vAlign w:val="bottom"/>
            <w:shd w:val="clear" w:color="auto" w:fill="D2DEEE"/>
          </w:tcPr>
          <w:p>
            <w:pPr>
              <w:spacing w:after="0"/>
              <w:rPr>
                <w:sz w:val="2"/>
                <w:szCs w:val="2"/>
                <w:color w:val="auto"/>
              </w:rPr>
            </w:pPr>
          </w:p>
        </w:tc>
        <w:tc>
          <w:tcPr>
            <w:tcW w:w="8960" w:type="dxa"/>
            <w:vAlign w:val="bottom"/>
            <w:shd w:val="clear" w:color="auto" w:fill="D2DEEE"/>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-1362710</wp:posOffset>
            </wp:positionV>
            <wp:extent cx="1372235" cy="3086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72235" cy="30861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spacing w:after="0"/>
        <w:rPr>
          <w:sz w:val="20"/>
          <w:szCs w:val="20"/>
          <w:color w:val="auto"/>
        </w:rPr>
      </w:pPr>
      <w:r>
        <w:rPr>
          <w:rFonts w:ascii="Arial" w:cs="Arial" w:eastAsia="Arial" w:hAnsi="Arial"/>
          <w:sz w:val="32"/>
          <w:szCs w:val="32"/>
          <w:color w:val="225CAB"/>
        </w:rPr>
        <w:t>TABLE OF CONTENTS</w:t>
      </w:r>
    </w:p>
    <w:p>
      <w:pPr>
        <w:spacing w:after="0" w:line="325"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0000EE"/>
        </w:rPr>
        <w:t>GENERAL</w:t>
      </w:r>
    </w:p>
    <w:p>
      <w:pPr>
        <w:spacing w:after="0" w:line="18" w:lineRule="exact"/>
        <w:rPr>
          <w:sz w:val="20"/>
          <w:szCs w:val="20"/>
          <w:color w:val="auto"/>
        </w:rPr>
      </w:pPr>
    </w:p>
    <w:p>
      <w:pPr>
        <w:ind w:left="44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Proxy Statement Summary</w:t>
        </w:r>
      </w:hyperlink>
    </w:p>
    <w:p>
      <w:pPr>
        <w:spacing w:after="0" w:line="41" w:lineRule="exact"/>
        <w:rPr>
          <w:sz w:val="20"/>
          <w:szCs w:val="20"/>
          <w:color w:val="auto"/>
        </w:rPr>
      </w:pPr>
    </w:p>
    <w:p>
      <w:pPr>
        <w:ind w:left="20"/>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 xml:space="preserve">PROPOSAL 1: </w:t>
        </w:r>
        <w:r>
          <w:rPr>
            <w:rFonts w:ascii="Arial" w:cs="Arial" w:eastAsia="Arial" w:hAnsi="Arial"/>
            <w:sz w:val="18"/>
            <w:szCs w:val="18"/>
            <w:u w:val="single" w:color="auto"/>
            <w:color w:val="0000EE"/>
          </w:rPr>
          <w:t>ELECTION OF DIRECTORS</w:t>
        </w:r>
      </w:hyperlink>
    </w:p>
    <w:p>
      <w:pPr>
        <w:spacing w:after="0" w:line="63" w:lineRule="exact"/>
        <w:rPr>
          <w:sz w:val="20"/>
          <w:szCs w:val="20"/>
          <w:color w:val="auto"/>
        </w:rPr>
      </w:pPr>
    </w:p>
    <w:p>
      <w:pPr>
        <w:ind w:left="20"/>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BOARD OF DIRECTORS</w:t>
        </w:r>
      </w:hyperlink>
    </w:p>
    <w:p>
      <w:pPr>
        <w:spacing w:after="0" w:line="63" w:lineRule="exact"/>
        <w:rPr>
          <w:sz w:val="20"/>
          <w:szCs w:val="20"/>
          <w:color w:val="auto"/>
        </w:rPr>
      </w:pPr>
    </w:p>
    <w:p>
      <w:pPr>
        <w:ind w:left="20"/>
        <w:spacing w:after="0"/>
        <w:rPr>
          <w:rFonts w:ascii="Arial" w:cs="Arial" w:eastAsia="Arial" w:hAnsi="Arial"/>
          <w:sz w:val="18"/>
          <w:szCs w:val="18"/>
          <w:b w:val="1"/>
          <w:bCs w:val="1"/>
          <w:u w:val="single" w:color="auto"/>
          <w:color w:val="0000EE"/>
        </w:rPr>
      </w:pPr>
      <w:hyperlink w:anchor="page16">
        <w:r>
          <w:rPr>
            <w:rFonts w:ascii="Arial" w:cs="Arial" w:eastAsia="Arial" w:hAnsi="Arial"/>
            <w:sz w:val="18"/>
            <w:szCs w:val="18"/>
            <w:b w:val="1"/>
            <w:bCs w:val="1"/>
            <w:u w:val="single" w:color="auto"/>
            <w:color w:val="0000EE"/>
          </w:rPr>
          <w:t>CORPORATE GOVERNANCE</w:t>
        </w:r>
      </w:hyperlink>
    </w:p>
    <w:p>
      <w:pPr>
        <w:spacing w:after="0" w:line="63" w:lineRule="exact"/>
        <w:rPr>
          <w:sz w:val="20"/>
          <w:szCs w:val="20"/>
          <w:color w:val="auto"/>
        </w:rPr>
      </w:pPr>
    </w:p>
    <w:p>
      <w:pPr>
        <w:ind w:left="20"/>
        <w:spacing w:after="0"/>
        <w:rPr>
          <w:rFonts w:ascii="Arial" w:cs="Arial" w:eastAsia="Arial" w:hAnsi="Arial"/>
          <w:sz w:val="18"/>
          <w:szCs w:val="18"/>
          <w:b w:val="1"/>
          <w:bCs w:val="1"/>
          <w:u w:val="single" w:color="auto"/>
          <w:color w:val="0000EE"/>
        </w:rPr>
      </w:pPr>
      <w:hyperlink w:anchor="page18">
        <w:r>
          <w:rPr>
            <w:rFonts w:ascii="Arial" w:cs="Arial" w:eastAsia="Arial" w:hAnsi="Arial"/>
            <w:sz w:val="18"/>
            <w:szCs w:val="18"/>
            <w:b w:val="1"/>
            <w:bCs w:val="1"/>
            <w:u w:val="single" w:color="auto"/>
            <w:color w:val="0000EE"/>
          </w:rPr>
          <w:t>BOARD COMMITTEES AND MEETINGS</w:t>
        </w:r>
      </w:hyperlink>
    </w:p>
    <w:p>
      <w:pPr>
        <w:spacing w:after="0" w:line="63" w:lineRule="exact"/>
        <w:rPr>
          <w:sz w:val="20"/>
          <w:szCs w:val="20"/>
          <w:color w:val="auto"/>
        </w:rPr>
      </w:pPr>
    </w:p>
    <w:p>
      <w:pPr>
        <w:ind w:left="20"/>
        <w:spacing w:after="0"/>
        <w:rPr>
          <w:rFonts w:ascii="Arial" w:cs="Arial" w:eastAsia="Arial" w:hAnsi="Arial"/>
          <w:sz w:val="18"/>
          <w:szCs w:val="18"/>
          <w:b w:val="1"/>
          <w:bCs w:val="1"/>
          <w:u w:val="single" w:color="auto"/>
          <w:color w:val="0000EE"/>
        </w:rPr>
      </w:pPr>
      <w:hyperlink w:anchor="page22">
        <w:r>
          <w:rPr>
            <w:rFonts w:ascii="Arial" w:cs="Arial" w:eastAsia="Arial" w:hAnsi="Arial"/>
            <w:sz w:val="18"/>
            <w:szCs w:val="18"/>
            <w:b w:val="1"/>
            <w:bCs w:val="1"/>
            <w:u w:val="single" w:color="auto"/>
            <w:color w:val="0000EE"/>
          </w:rPr>
          <w:t>DIRECTOR COMPENSATION</w:t>
        </w:r>
      </w:hyperlink>
    </w:p>
    <w:p>
      <w:pPr>
        <w:spacing w:after="0" w:line="63" w:lineRule="exact"/>
        <w:rPr>
          <w:sz w:val="20"/>
          <w:szCs w:val="20"/>
          <w:color w:val="auto"/>
        </w:rPr>
      </w:pPr>
    </w:p>
    <w:p>
      <w:pPr>
        <w:ind w:left="20"/>
        <w:spacing w:after="0"/>
        <w:rPr>
          <w:rFonts w:ascii="Arial" w:cs="Arial" w:eastAsia="Arial" w:hAnsi="Arial"/>
          <w:sz w:val="18"/>
          <w:szCs w:val="18"/>
          <w:b w:val="1"/>
          <w:bCs w:val="1"/>
          <w:u w:val="single" w:color="auto"/>
          <w:color w:val="0000EE"/>
        </w:rPr>
      </w:pPr>
      <w:hyperlink w:anchor="page24">
        <w:r>
          <w:rPr>
            <w:rFonts w:ascii="Arial" w:cs="Arial" w:eastAsia="Arial" w:hAnsi="Arial"/>
            <w:sz w:val="18"/>
            <w:szCs w:val="18"/>
            <w:b w:val="1"/>
            <w:bCs w:val="1"/>
            <w:u w:val="single" w:color="auto"/>
            <w:color w:val="0000EE"/>
          </w:rPr>
          <w:t>EXECUTIVE OFFICERS</w:t>
        </w:r>
      </w:hyperlink>
    </w:p>
    <w:p>
      <w:pPr>
        <w:spacing w:after="0" w:line="63" w:lineRule="exact"/>
        <w:rPr>
          <w:sz w:val="20"/>
          <w:szCs w:val="20"/>
          <w:color w:val="auto"/>
        </w:rPr>
      </w:pPr>
    </w:p>
    <w:p>
      <w:pPr>
        <w:ind w:left="20"/>
        <w:spacing w:after="0"/>
        <w:rPr>
          <w:rFonts w:ascii="Arial" w:cs="Arial" w:eastAsia="Arial" w:hAnsi="Arial"/>
          <w:sz w:val="18"/>
          <w:szCs w:val="18"/>
          <w:b w:val="1"/>
          <w:bCs w:val="1"/>
          <w:u w:val="single" w:color="auto"/>
          <w:color w:val="0000EE"/>
        </w:rPr>
      </w:pPr>
      <w:hyperlink w:anchor="page25">
        <w:r>
          <w:rPr>
            <w:rFonts w:ascii="Arial" w:cs="Arial" w:eastAsia="Arial" w:hAnsi="Arial"/>
            <w:sz w:val="18"/>
            <w:szCs w:val="18"/>
            <w:b w:val="1"/>
            <w:bCs w:val="1"/>
            <w:u w:val="single" w:color="auto"/>
            <w:color w:val="0000EE"/>
          </w:rPr>
          <w:t>BENEFICIAL OWNERSHIP</w:t>
        </w:r>
      </w:hyperlink>
    </w:p>
    <w:p>
      <w:pPr>
        <w:spacing w:after="0" w:line="63" w:lineRule="exact"/>
        <w:rPr>
          <w:sz w:val="20"/>
          <w:szCs w:val="20"/>
          <w:color w:val="auto"/>
        </w:rPr>
      </w:pPr>
    </w:p>
    <w:p>
      <w:pPr>
        <w:ind w:left="220" w:hanging="215"/>
        <w:spacing w:after="0" w:line="264" w:lineRule="auto"/>
        <w:rPr>
          <w:rFonts w:ascii="Arial" w:cs="Arial" w:eastAsia="Arial" w:hAnsi="Arial"/>
          <w:sz w:val="18"/>
          <w:szCs w:val="18"/>
          <w:b w:val="1"/>
          <w:bCs w:val="1"/>
          <w:u w:val="single" w:color="auto"/>
          <w:color w:val="0000EE"/>
        </w:rPr>
      </w:pPr>
      <w:hyperlink w:anchor="page26">
        <w:r>
          <w:rPr>
            <w:rFonts w:ascii="Arial" w:cs="Arial" w:eastAsia="Arial" w:hAnsi="Arial"/>
            <w:sz w:val="18"/>
            <w:szCs w:val="18"/>
            <w:b w:val="1"/>
            <w:bCs w:val="1"/>
            <w:u w:val="single" w:color="auto"/>
            <w:color w:val="0000EE"/>
          </w:rPr>
          <w:t>SECTION 16(a) BENEFICIAL OWNERSHIP REPORTING</w:t>
        </w:r>
      </w:hyperlink>
      <w:r>
        <w:rPr>
          <w:rFonts w:ascii="Arial" w:cs="Arial" w:eastAsia="Arial" w:hAnsi="Arial"/>
          <w:sz w:val="18"/>
          <w:szCs w:val="18"/>
          <w:b w:val="1"/>
          <w:bCs w:val="1"/>
          <w:u w:val="single" w:color="auto"/>
          <w:color w:val="0000EE"/>
        </w:rPr>
        <w:t xml:space="preserve"> </w:t>
      </w:r>
      <w:hyperlink w:anchor="page26">
        <w:r>
          <w:rPr>
            <w:rFonts w:ascii="Arial" w:cs="Arial" w:eastAsia="Arial" w:hAnsi="Arial"/>
            <w:sz w:val="18"/>
            <w:szCs w:val="18"/>
            <w:b w:val="1"/>
            <w:bCs w:val="1"/>
            <w:u w:val="single" w:color="auto"/>
            <w:color w:val="0000EE"/>
          </w:rPr>
          <w:t>COMPLIANCE</w:t>
        </w:r>
      </w:hyperlink>
    </w:p>
    <w:p>
      <w:pPr>
        <w:spacing w:after="0" w:line="17" w:lineRule="exact"/>
        <w:rPr>
          <w:sz w:val="20"/>
          <w:szCs w:val="20"/>
          <w:color w:val="auto"/>
        </w:rPr>
      </w:pPr>
    </w:p>
    <w:p>
      <w:pPr>
        <w:ind w:left="440" w:right="660" w:hanging="431"/>
        <w:spacing w:after="0" w:line="247" w:lineRule="auto"/>
        <w:rPr>
          <w:rFonts w:ascii="Arial" w:cs="Arial" w:eastAsia="Arial" w:hAnsi="Arial"/>
          <w:sz w:val="18"/>
          <w:szCs w:val="18"/>
          <w:u w:val="single" w:color="auto"/>
          <w:color w:val="0000EE"/>
        </w:rPr>
      </w:pPr>
      <w:hyperlink w:anchor="page27">
        <w:r>
          <w:rPr>
            <w:rFonts w:ascii="Arial" w:cs="Arial" w:eastAsia="Arial" w:hAnsi="Arial"/>
            <w:sz w:val="18"/>
            <w:szCs w:val="18"/>
            <w:b w:val="1"/>
            <w:bCs w:val="1"/>
            <w:u w:val="single" w:color="auto"/>
            <w:color w:val="0000EE"/>
          </w:rPr>
          <w:t>COMPENSATION DISCUSSION AND ANALYSIS</w:t>
        </w:r>
      </w:hyperlink>
      <w:r>
        <w:rPr>
          <w:rFonts w:ascii="Arial" w:cs="Arial" w:eastAsia="Arial" w:hAnsi="Arial"/>
          <w:sz w:val="18"/>
          <w:szCs w:val="18"/>
          <w:b w:val="1"/>
          <w:bCs w:val="1"/>
          <w:u w:val="single" w:color="auto"/>
          <w:color w:val="0000EE"/>
        </w:rPr>
        <w:t xml:space="preserve"> </w:t>
      </w:r>
      <w:hyperlink w:anchor="page27">
        <w:r>
          <w:rPr>
            <w:rFonts w:ascii="Arial" w:cs="Arial" w:eastAsia="Arial" w:hAnsi="Arial"/>
            <w:sz w:val="18"/>
            <w:szCs w:val="18"/>
            <w:u w:val="single" w:color="auto"/>
            <w:color w:val="0000EE"/>
          </w:rPr>
          <w:t>Executive Summary</w:t>
        </w:r>
      </w:hyperlink>
    </w:p>
    <w:p>
      <w:pPr>
        <w:ind w:left="440"/>
        <w:spacing w:after="0" w:line="236" w:lineRule="auto"/>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Creating Shareholder Value</w:t>
        </w:r>
      </w:hyperlink>
    </w:p>
    <w:p>
      <w:pPr>
        <w:ind w:left="440" w:right="880"/>
        <w:spacing w:after="0" w:line="234" w:lineRule="auto"/>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Objectives of Our Compensation Program</w:t>
        </w:r>
      </w:hyperlink>
      <w:r>
        <w:rPr>
          <w:rFonts w:ascii="Arial" w:cs="Arial" w:eastAsia="Arial" w:hAnsi="Arial"/>
          <w:sz w:val="18"/>
          <w:szCs w:val="18"/>
          <w:u w:val="single" w:color="auto"/>
          <w:color w:val="0000EE"/>
        </w:rPr>
        <w:t xml:space="preserve"> </w:t>
      </w:r>
      <w:hyperlink w:anchor="page32">
        <w:r>
          <w:rPr>
            <w:rFonts w:ascii="Arial" w:cs="Arial" w:eastAsia="Arial" w:hAnsi="Arial"/>
            <w:sz w:val="18"/>
            <w:szCs w:val="18"/>
            <w:u w:val="single" w:color="auto"/>
            <w:color w:val="0000EE"/>
          </w:rPr>
          <w:t>Elements of Compensation</w:t>
        </w:r>
      </w:hyperlink>
      <w:r>
        <w:rPr>
          <w:rFonts w:ascii="Arial" w:cs="Arial" w:eastAsia="Arial" w:hAnsi="Arial"/>
          <w:sz w:val="18"/>
          <w:szCs w:val="18"/>
          <w:u w:val="single" w:color="auto"/>
          <w:color w:val="0000EE"/>
        </w:rPr>
        <w:t xml:space="preserve"> </w:t>
      </w:r>
      <w:hyperlink w:anchor="page34">
        <w:r>
          <w:rPr>
            <w:rFonts w:ascii="Arial" w:cs="Arial" w:eastAsia="Arial" w:hAnsi="Arial"/>
            <w:sz w:val="18"/>
            <w:szCs w:val="18"/>
            <w:u w:val="single" w:color="auto"/>
            <w:color w:val="0000EE"/>
          </w:rPr>
          <w:t>Compensation Process</w:t>
        </w:r>
      </w:hyperlink>
    </w:p>
    <w:p>
      <w:pPr>
        <w:spacing w:after="0" w:line="2" w:lineRule="exact"/>
        <w:rPr>
          <w:rFonts w:ascii="Arial" w:cs="Arial" w:eastAsia="Arial" w:hAnsi="Arial"/>
          <w:sz w:val="18"/>
          <w:szCs w:val="18"/>
          <w:u w:val="single" w:color="auto"/>
          <w:color w:val="0000EE"/>
        </w:rPr>
      </w:pPr>
    </w:p>
    <w:p>
      <w:pPr>
        <w:ind w:left="440" w:right="920"/>
        <w:spacing w:after="0" w:line="299" w:lineRule="auto"/>
        <w:rPr>
          <w:rFonts w:ascii="Arial" w:cs="Arial" w:eastAsia="Arial" w:hAnsi="Arial"/>
          <w:sz w:val="16"/>
          <w:szCs w:val="16"/>
          <w:u w:val="single" w:color="auto"/>
          <w:color w:val="0000EE"/>
        </w:rPr>
      </w:pPr>
      <w:hyperlink w:anchor="page38">
        <w:r>
          <w:rPr>
            <w:rFonts w:ascii="Arial" w:cs="Arial" w:eastAsia="Arial" w:hAnsi="Arial"/>
            <w:sz w:val="16"/>
            <w:szCs w:val="16"/>
            <w:u w:val="single" w:color="auto"/>
            <w:color w:val="0000EE"/>
          </w:rPr>
          <w:t>Analysis of 2015 Compensation</w:t>
        </w:r>
      </w:hyperlink>
      <w:r>
        <w:rPr>
          <w:rFonts w:ascii="Arial" w:cs="Arial" w:eastAsia="Arial" w:hAnsi="Arial"/>
          <w:sz w:val="16"/>
          <w:szCs w:val="16"/>
          <w:u w:val="single" w:color="auto"/>
          <w:color w:val="0000EE"/>
        </w:rPr>
        <w:t xml:space="preserve"> </w:t>
      </w:r>
      <w:hyperlink w:anchor="page40">
        <w:r>
          <w:rPr>
            <w:rFonts w:ascii="Arial" w:cs="Arial" w:eastAsia="Arial" w:hAnsi="Arial"/>
            <w:sz w:val="16"/>
            <w:szCs w:val="16"/>
            <w:u w:val="single" w:color="auto"/>
            <w:color w:val="0000EE"/>
          </w:rPr>
          <w:t>Additional Information about our Program</w:t>
        </w:r>
      </w:hyperlink>
    </w:p>
    <w:p>
      <w:pPr>
        <w:spacing w:after="0" w:line="33" w:lineRule="exact"/>
        <w:rPr>
          <w:sz w:val="20"/>
          <w:szCs w:val="20"/>
          <w:color w:val="auto"/>
        </w:rPr>
      </w:pPr>
    </w:p>
    <w:p>
      <w:pPr>
        <w:ind w:left="20"/>
        <w:spacing w:after="0"/>
        <w:rPr>
          <w:rFonts w:ascii="Arial" w:cs="Arial" w:eastAsia="Arial" w:hAnsi="Arial"/>
          <w:sz w:val="18"/>
          <w:szCs w:val="18"/>
          <w:b w:val="1"/>
          <w:bCs w:val="1"/>
          <w:u w:val="single" w:color="auto"/>
          <w:color w:val="0000EE"/>
        </w:rPr>
      </w:pPr>
      <w:hyperlink w:anchor="page42">
        <w:r>
          <w:rPr>
            <w:rFonts w:ascii="Arial" w:cs="Arial" w:eastAsia="Arial" w:hAnsi="Arial"/>
            <w:sz w:val="18"/>
            <w:szCs w:val="18"/>
            <w:b w:val="1"/>
            <w:bCs w:val="1"/>
            <w:u w:val="single" w:color="auto"/>
            <w:color w:val="0000EE"/>
          </w:rPr>
          <w:t>COMPENSATION COMMITTEE REPORT</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line="1" w:lineRule="exact"/>
        <w:rPr>
          <w:sz w:val="1"/>
          <w:szCs w:val="1"/>
          <w:color w:val="auto"/>
        </w:rPr>
      </w:pPr>
    </w:p>
    <w:tbl>
      <w:tblPr>
        <w:tblLayout w:type="fixed"/>
        <w:tblInd w:w="2" w:type="dxa"/>
        <w:tblCellMar>
          <w:top w:w="0" w:type="dxa"/>
          <w:left w:w="0" w:type="dxa"/>
          <w:bottom w:w="0" w:type="dxa"/>
          <w:right w:w="0" w:type="dxa"/>
        </w:tblCellMar>
      </w:tblPr>
      <w:tr>
        <w:trPr>
          <w:trHeight w:val="207"/>
        </w:trPr>
        <w:tc>
          <w:tcPr>
            <w:tcW w:w="660" w:type="dxa"/>
            <w:vAlign w:val="bottom"/>
          </w:tcPr>
          <w:p>
            <w:pPr>
              <w:spacing w:after="0"/>
              <w:rPr>
                <w:sz w:val="17"/>
                <w:szCs w:val="17"/>
                <w:color w:val="auto"/>
              </w:rPr>
            </w:pPr>
          </w:p>
        </w:tc>
        <w:tc>
          <w:tcPr>
            <w:tcW w:w="2460" w:type="dxa"/>
            <w:vAlign w:val="bottom"/>
            <w:tcBorders>
              <w:bottom w:val="single" w:sz="8" w:color="0000EE"/>
            </w:tcBorders>
            <w:gridSpan w:val="5"/>
          </w:tcPr>
          <w:p>
            <w:pPr>
              <w:spacing w:after="0"/>
              <w:rPr>
                <w:rFonts w:ascii="Arial" w:cs="Arial" w:eastAsia="Arial" w:hAnsi="Arial"/>
                <w:sz w:val="18"/>
                <w:szCs w:val="18"/>
                <w:b w:val="1"/>
                <w:bCs w:val="1"/>
                <w:color w:val="0000EE"/>
                <w:w w:val="96"/>
              </w:rPr>
            </w:pPr>
            <w:hyperlink w:anchor="page43">
              <w:r>
                <w:rPr>
                  <w:rFonts w:ascii="Arial" w:cs="Arial" w:eastAsia="Arial" w:hAnsi="Arial"/>
                  <w:sz w:val="18"/>
                  <w:szCs w:val="18"/>
                  <w:b w:val="1"/>
                  <w:bCs w:val="1"/>
                  <w:color w:val="0000EE"/>
                  <w:w w:val="96"/>
                </w:rPr>
                <w:t>EXECUTIVE COMPENSATION</w:t>
              </w:r>
            </w:hyperlink>
          </w:p>
        </w:tc>
        <w:tc>
          <w:tcPr>
            <w:tcW w:w="1980" w:type="dxa"/>
            <w:vAlign w:val="bottom"/>
            <w:gridSpan w:val="7"/>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83"/>
        </w:trPr>
        <w:tc>
          <w:tcPr>
            <w:tcW w:w="660" w:type="dxa"/>
            <w:vAlign w:val="bottom"/>
          </w:tcPr>
          <w:p>
            <w:pPr>
              <w:jc w:val="right"/>
              <w:ind w:right="372"/>
              <w:spacing w:after="0" w:line="182" w:lineRule="exact"/>
              <w:rPr>
                <w:sz w:val="20"/>
                <w:szCs w:val="20"/>
                <w:color w:val="auto"/>
              </w:rPr>
            </w:pPr>
            <w:r>
              <w:rPr>
                <w:rFonts w:ascii="Arial" w:cs="Arial" w:eastAsia="Arial" w:hAnsi="Arial"/>
                <w:sz w:val="18"/>
                <w:szCs w:val="18"/>
                <w:color w:val="auto"/>
              </w:rPr>
              <w:t>i</w:t>
            </w:r>
          </w:p>
        </w:tc>
        <w:tc>
          <w:tcPr>
            <w:tcW w:w="420" w:type="dxa"/>
            <w:vAlign w:val="bottom"/>
          </w:tcPr>
          <w:p>
            <w:pPr>
              <w:spacing w:after="0"/>
              <w:rPr>
                <w:sz w:val="15"/>
                <w:szCs w:val="15"/>
                <w:color w:val="auto"/>
              </w:rPr>
            </w:pPr>
          </w:p>
        </w:tc>
        <w:tc>
          <w:tcPr>
            <w:tcW w:w="4020" w:type="dxa"/>
            <w:vAlign w:val="bottom"/>
            <w:gridSpan w:val="11"/>
          </w:tcPr>
          <w:p>
            <w:pPr>
              <w:spacing w:after="0" w:line="182" w:lineRule="exact"/>
              <w:rPr>
                <w:rFonts w:ascii="Arial" w:cs="Arial" w:eastAsia="Arial" w:hAnsi="Arial"/>
                <w:sz w:val="18"/>
                <w:szCs w:val="18"/>
                <w:color w:val="0000EE"/>
              </w:rPr>
            </w:pPr>
            <w:hyperlink w:anchor="page43">
              <w:r>
                <w:rPr>
                  <w:rFonts w:ascii="Arial" w:cs="Arial" w:eastAsia="Arial" w:hAnsi="Arial"/>
                  <w:sz w:val="18"/>
                  <w:szCs w:val="18"/>
                  <w:color w:val="0000EE"/>
                </w:rPr>
                <w:t>2015 Summary Compensation Table</w:t>
              </w:r>
            </w:hyperlink>
          </w:p>
        </w:tc>
        <w:tc>
          <w:tcPr>
            <w:tcW w:w="920" w:type="dxa"/>
            <w:vAlign w:val="bottom"/>
          </w:tcPr>
          <w:p>
            <w:pPr>
              <w:jc w:val="right"/>
              <w:spacing w:after="0" w:line="182"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83"/>
        </w:trPr>
        <w:tc>
          <w:tcPr>
            <w:tcW w:w="660" w:type="dxa"/>
            <w:vAlign w:val="bottom"/>
            <w:vMerge w:val="restart"/>
          </w:tcPr>
          <w:p>
            <w:pPr>
              <w:jc w:val="right"/>
              <w:ind w:right="372"/>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15"/>
                <w:szCs w:val="15"/>
                <w:color w:val="auto"/>
              </w:rPr>
            </w:pPr>
          </w:p>
        </w:tc>
        <w:tc>
          <w:tcPr>
            <w:tcW w:w="42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9"/>
              </w:rPr>
            </w:pPr>
            <w:hyperlink w:anchor="page44">
              <w:r>
                <w:rPr>
                  <w:rFonts w:ascii="Arial" w:cs="Arial" w:eastAsia="Arial" w:hAnsi="Arial"/>
                  <w:sz w:val="18"/>
                  <w:szCs w:val="18"/>
                  <w:color w:val="0000EE"/>
                  <w:w w:val="99"/>
                </w:rPr>
                <w:t>2015</w:t>
              </w:r>
            </w:hyperlink>
          </w:p>
        </w:tc>
        <w:tc>
          <w:tcPr>
            <w:tcW w:w="2340" w:type="dxa"/>
            <w:vAlign w:val="bottom"/>
            <w:tcBorders>
              <w:top w:val="single" w:sz="8" w:color="0000EE"/>
              <w:bottom w:val="single" w:sz="8" w:color="0000EE"/>
            </w:tcBorders>
            <w:gridSpan w:val="3"/>
          </w:tcPr>
          <w:p>
            <w:pPr>
              <w:ind w:left="20"/>
              <w:spacing w:after="0" w:line="182" w:lineRule="exact"/>
              <w:rPr>
                <w:rFonts w:ascii="Arial" w:cs="Arial" w:eastAsia="Arial" w:hAnsi="Arial"/>
                <w:sz w:val="18"/>
                <w:szCs w:val="18"/>
                <w:color w:val="0000EE"/>
                <w:w w:val="96"/>
              </w:rPr>
            </w:pPr>
            <w:hyperlink w:anchor="page44">
              <w:r>
                <w:rPr>
                  <w:rFonts w:ascii="Arial" w:cs="Arial" w:eastAsia="Arial" w:hAnsi="Arial"/>
                  <w:sz w:val="18"/>
                  <w:szCs w:val="18"/>
                  <w:color w:val="0000EE"/>
                  <w:w w:val="96"/>
                </w:rPr>
                <w:t>Grants of Plan-Based Awards</w:t>
              </w:r>
            </w:hyperlink>
          </w:p>
        </w:tc>
        <w:tc>
          <w:tcPr>
            <w:tcW w:w="80" w:type="dxa"/>
            <w:vAlign w:val="bottom"/>
            <w:tcBorders>
              <w:top w:val="single" w:sz="8" w:color="0000EE"/>
            </w:tcBorders>
          </w:tcPr>
          <w:p>
            <w:pPr>
              <w:spacing w:after="0"/>
              <w:rPr>
                <w:sz w:val="15"/>
                <w:szCs w:val="15"/>
                <w:color w:val="auto"/>
              </w:rPr>
            </w:pPr>
          </w:p>
        </w:tc>
        <w:tc>
          <w:tcPr>
            <w:tcW w:w="1180" w:type="dxa"/>
            <w:vAlign w:val="bottom"/>
            <w:gridSpan w:val="5"/>
          </w:tcPr>
          <w:p>
            <w:pPr>
              <w:spacing w:after="0"/>
              <w:rPr>
                <w:sz w:val="15"/>
                <w:szCs w:val="15"/>
                <w:color w:val="auto"/>
              </w:rPr>
            </w:pPr>
          </w:p>
        </w:tc>
        <w:tc>
          <w:tcPr>
            <w:tcW w:w="920" w:type="dxa"/>
            <w:vAlign w:val="bottom"/>
          </w:tcPr>
          <w:p>
            <w:pPr>
              <w:jc w:val="right"/>
              <w:spacing w:after="0" w:line="182"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86"/>
        </w:trPr>
        <w:tc>
          <w:tcPr>
            <w:tcW w:w="660" w:type="dxa"/>
            <w:vAlign w:val="bottom"/>
            <w:vMerge w:val="continue"/>
          </w:tcPr>
          <w:p>
            <w:pPr>
              <w:spacing w:after="0"/>
              <w:rPr>
                <w:sz w:val="7"/>
                <w:szCs w:val="7"/>
                <w:color w:val="auto"/>
              </w:rPr>
            </w:pPr>
          </w:p>
        </w:tc>
        <w:tc>
          <w:tcPr>
            <w:tcW w:w="420" w:type="dxa"/>
            <w:vAlign w:val="bottom"/>
            <w:vMerge w:val="restart"/>
          </w:tcPr>
          <w:p>
            <w:pPr>
              <w:spacing w:after="0"/>
              <w:rPr>
                <w:sz w:val="7"/>
                <w:szCs w:val="7"/>
                <w:color w:val="auto"/>
              </w:rPr>
            </w:pPr>
          </w:p>
        </w:tc>
        <w:tc>
          <w:tcPr>
            <w:tcW w:w="420" w:type="dxa"/>
            <w:vAlign w:val="bottom"/>
            <w:gridSpan w:val="2"/>
            <w:vMerge w:val="restart"/>
          </w:tcPr>
          <w:p>
            <w:pPr>
              <w:spacing w:after="0" w:line="182" w:lineRule="exact"/>
              <w:rPr>
                <w:rFonts w:ascii="Arial" w:cs="Arial" w:eastAsia="Arial" w:hAnsi="Arial"/>
                <w:sz w:val="18"/>
                <w:szCs w:val="18"/>
                <w:color w:val="0000EE"/>
                <w:w w:val="99"/>
              </w:rPr>
            </w:pPr>
            <w:hyperlink w:anchor="page45">
              <w:r>
                <w:rPr>
                  <w:rFonts w:ascii="Arial" w:cs="Arial" w:eastAsia="Arial" w:hAnsi="Arial"/>
                  <w:sz w:val="18"/>
                  <w:szCs w:val="18"/>
                  <w:color w:val="0000EE"/>
                  <w:w w:val="99"/>
                </w:rPr>
                <w:t>2015</w:t>
              </w:r>
            </w:hyperlink>
          </w:p>
        </w:tc>
        <w:tc>
          <w:tcPr>
            <w:tcW w:w="3600" w:type="dxa"/>
            <w:vAlign w:val="bottom"/>
            <w:gridSpan w:val="9"/>
            <w:vMerge w:val="restart"/>
          </w:tcPr>
          <w:p>
            <w:pPr>
              <w:ind w:left="20"/>
              <w:spacing w:after="0" w:line="182" w:lineRule="exact"/>
              <w:rPr>
                <w:rFonts w:ascii="Arial" w:cs="Arial" w:eastAsia="Arial" w:hAnsi="Arial"/>
                <w:sz w:val="18"/>
                <w:szCs w:val="18"/>
                <w:color w:val="0000EE"/>
                <w:w w:val="96"/>
              </w:rPr>
            </w:pPr>
            <w:hyperlink w:anchor="page45">
              <w:r>
                <w:rPr>
                  <w:rFonts w:ascii="Arial" w:cs="Arial" w:eastAsia="Arial" w:hAnsi="Arial"/>
                  <w:sz w:val="18"/>
                  <w:szCs w:val="18"/>
                  <w:color w:val="0000EE"/>
                  <w:w w:val="96"/>
                </w:rPr>
                <w:t>Outstanding Equity Awards at Fiscal Year End</w:t>
              </w:r>
            </w:hyperlink>
          </w:p>
        </w:tc>
        <w:tc>
          <w:tcPr>
            <w:tcW w:w="920" w:type="dxa"/>
            <w:vAlign w:val="bottom"/>
            <w:vMerge w:val="restart"/>
          </w:tcPr>
          <w:p>
            <w:pPr>
              <w:jc w:val="right"/>
              <w:spacing w:after="0" w:line="182"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02"/>
        </w:trPr>
        <w:tc>
          <w:tcPr>
            <w:tcW w:w="660" w:type="dxa"/>
            <w:vAlign w:val="bottom"/>
            <w:vMerge w:val="restart"/>
          </w:tcPr>
          <w:p>
            <w:pPr>
              <w:jc w:val="right"/>
              <w:ind w:right="372"/>
              <w:spacing w:after="0"/>
              <w:rPr>
                <w:sz w:val="20"/>
                <w:szCs w:val="20"/>
                <w:color w:val="auto"/>
              </w:rPr>
            </w:pPr>
            <w:r>
              <w:rPr>
                <w:rFonts w:ascii="Arial" w:cs="Arial" w:eastAsia="Arial" w:hAnsi="Arial"/>
                <w:sz w:val="18"/>
                <w:szCs w:val="18"/>
                <w:color w:val="auto"/>
              </w:rPr>
              <w:t>2</w:t>
            </w:r>
          </w:p>
        </w:tc>
        <w:tc>
          <w:tcPr>
            <w:tcW w:w="420" w:type="dxa"/>
            <w:vAlign w:val="bottom"/>
            <w:vMerge w:val="continue"/>
          </w:tcPr>
          <w:p>
            <w:pPr>
              <w:spacing w:after="0"/>
              <w:rPr>
                <w:sz w:val="8"/>
                <w:szCs w:val="8"/>
                <w:color w:val="auto"/>
              </w:rPr>
            </w:pPr>
          </w:p>
        </w:tc>
        <w:tc>
          <w:tcPr>
            <w:tcW w:w="420" w:type="dxa"/>
            <w:vAlign w:val="bottom"/>
            <w:tcBorders>
              <w:bottom w:val="single" w:sz="8" w:color="0000EE"/>
            </w:tcBorders>
            <w:gridSpan w:val="2"/>
            <w:vMerge w:val="continue"/>
          </w:tcPr>
          <w:p>
            <w:pPr>
              <w:spacing w:after="0"/>
              <w:rPr>
                <w:sz w:val="8"/>
                <w:szCs w:val="8"/>
                <w:color w:val="auto"/>
              </w:rPr>
            </w:pPr>
          </w:p>
        </w:tc>
        <w:tc>
          <w:tcPr>
            <w:tcW w:w="3600" w:type="dxa"/>
            <w:vAlign w:val="bottom"/>
            <w:tcBorders>
              <w:bottom w:val="single" w:sz="8" w:color="0000EE"/>
            </w:tcBorders>
            <w:gridSpan w:val="9"/>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660" w:type="dxa"/>
            <w:vAlign w:val="bottom"/>
            <w:vMerge w:val="continue"/>
          </w:tcPr>
          <w:p>
            <w:pPr>
              <w:spacing w:after="0"/>
              <w:rPr>
                <w:sz w:val="13"/>
                <w:szCs w:val="13"/>
                <w:color w:val="auto"/>
              </w:rPr>
            </w:pPr>
          </w:p>
        </w:tc>
        <w:tc>
          <w:tcPr>
            <w:tcW w:w="420" w:type="dxa"/>
            <w:vAlign w:val="bottom"/>
            <w:vMerge w:val="restart"/>
          </w:tcPr>
          <w:p>
            <w:pPr>
              <w:spacing w:after="0"/>
              <w:rPr>
                <w:sz w:val="13"/>
                <w:szCs w:val="13"/>
                <w:color w:val="auto"/>
              </w:rPr>
            </w:pPr>
          </w:p>
        </w:tc>
        <w:tc>
          <w:tcPr>
            <w:tcW w:w="420" w:type="dxa"/>
            <w:vAlign w:val="bottom"/>
            <w:gridSpan w:val="2"/>
            <w:vMerge w:val="restart"/>
          </w:tcPr>
          <w:p>
            <w:pPr>
              <w:spacing w:after="0" w:line="182" w:lineRule="exact"/>
              <w:rPr>
                <w:rFonts w:ascii="Arial" w:cs="Arial" w:eastAsia="Arial" w:hAnsi="Arial"/>
                <w:sz w:val="18"/>
                <w:szCs w:val="18"/>
                <w:color w:val="0000EE"/>
                <w:w w:val="99"/>
              </w:rPr>
            </w:pPr>
            <w:hyperlink w:anchor="page46">
              <w:r>
                <w:rPr>
                  <w:rFonts w:ascii="Arial" w:cs="Arial" w:eastAsia="Arial" w:hAnsi="Arial"/>
                  <w:sz w:val="18"/>
                  <w:szCs w:val="18"/>
                  <w:color w:val="0000EE"/>
                  <w:w w:val="99"/>
                </w:rPr>
                <w:t>2015</w:t>
              </w:r>
            </w:hyperlink>
          </w:p>
        </w:tc>
        <w:tc>
          <w:tcPr>
            <w:tcW w:w="3600" w:type="dxa"/>
            <w:vAlign w:val="bottom"/>
            <w:gridSpan w:val="9"/>
            <w:vMerge w:val="restart"/>
          </w:tcPr>
          <w:p>
            <w:pPr>
              <w:ind w:left="20"/>
              <w:spacing w:after="0" w:line="182" w:lineRule="exact"/>
              <w:rPr>
                <w:rFonts w:ascii="Arial" w:cs="Arial" w:eastAsia="Arial" w:hAnsi="Arial"/>
                <w:sz w:val="18"/>
                <w:szCs w:val="18"/>
                <w:color w:val="0000EE"/>
              </w:rPr>
            </w:pPr>
            <w:hyperlink w:anchor="page46">
              <w:r>
                <w:rPr>
                  <w:rFonts w:ascii="Arial" w:cs="Arial" w:eastAsia="Arial" w:hAnsi="Arial"/>
                  <w:sz w:val="18"/>
                  <w:szCs w:val="18"/>
                  <w:color w:val="0000EE"/>
                </w:rPr>
                <w:t>Option Exercises and Stock Vested</w:t>
              </w:r>
            </w:hyperlink>
          </w:p>
        </w:tc>
        <w:tc>
          <w:tcPr>
            <w:tcW w:w="920" w:type="dxa"/>
            <w:vAlign w:val="bottom"/>
            <w:vMerge w:val="restart"/>
          </w:tcPr>
          <w:p>
            <w:pPr>
              <w:jc w:val="right"/>
              <w:spacing w:after="0" w:line="182"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9"/>
        </w:trPr>
        <w:tc>
          <w:tcPr>
            <w:tcW w:w="660" w:type="dxa"/>
            <w:vAlign w:val="bottom"/>
          </w:tcPr>
          <w:p>
            <w:pPr>
              <w:spacing w:after="0"/>
              <w:rPr>
                <w:sz w:val="2"/>
                <w:szCs w:val="2"/>
                <w:color w:val="auto"/>
              </w:rPr>
            </w:pPr>
          </w:p>
        </w:tc>
        <w:tc>
          <w:tcPr>
            <w:tcW w:w="420" w:type="dxa"/>
            <w:vAlign w:val="bottom"/>
            <w:vMerge w:val="continue"/>
          </w:tcPr>
          <w:p>
            <w:pPr>
              <w:spacing w:after="0"/>
              <w:rPr>
                <w:sz w:val="2"/>
                <w:szCs w:val="2"/>
                <w:color w:val="auto"/>
              </w:rPr>
            </w:pPr>
          </w:p>
        </w:tc>
        <w:tc>
          <w:tcPr>
            <w:tcW w:w="420" w:type="dxa"/>
            <w:vAlign w:val="bottom"/>
            <w:gridSpan w:val="2"/>
            <w:vMerge w:val="continue"/>
          </w:tcPr>
          <w:p>
            <w:pPr>
              <w:spacing w:after="0"/>
              <w:rPr>
                <w:sz w:val="2"/>
                <w:szCs w:val="2"/>
                <w:color w:val="auto"/>
              </w:rPr>
            </w:pPr>
          </w:p>
        </w:tc>
        <w:tc>
          <w:tcPr>
            <w:tcW w:w="3600" w:type="dxa"/>
            <w:vAlign w:val="bottom"/>
            <w:gridSpan w:val="9"/>
            <w:vMerge w:val="continue"/>
          </w:tcPr>
          <w:p>
            <w:pPr>
              <w:spacing w:after="0"/>
              <w:rPr>
                <w:sz w:val="2"/>
                <w:szCs w:val="2"/>
                <w:color w:val="auto"/>
              </w:rPr>
            </w:pPr>
          </w:p>
        </w:tc>
        <w:tc>
          <w:tcPr>
            <w:tcW w:w="9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0" w:type="dxa"/>
            <w:vAlign w:val="bottom"/>
            <w:gridSpan w:val="4"/>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60" w:type="dxa"/>
            <w:vAlign w:val="bottom"/>
          </w:tcPr>
          <w:p>
            <w:pPr>
              <w:jc w:val="right"/>
              <w:ind w:right="372"/>
              <w:spacing w:after="0" w:line="182" w:lineRule="exact"/>
              <w:rPr>
                <w:sz w:val="20"/>
                <w:szCs w:val="20"/>
                <w:color w:val="auto"/>
              </w:rPr>
            </w:pPr>
            <w:r>
              <w:rPr>
                <w:rFonts w:ascii="Arial" w:cs="Arial" w:eastAsia="Arial" w:hAnsi="Arial"/>
                <w:sz w:val="18"/>
                <w:szCs w:val="18"/>
                <w:color w:val="auto"/>
              </w:rPr>
              <w:t>7</w:t>
            </w:r>
          </w:p>
        </w:tc>
        <w:tc>
          <w:tcPr>
            <w:tcW w:w="420" w:type="dxa"/>
            <w:vAlign w:val="bottom"/>
          </w:tcPr>
          <w:p>
            <w:pPr>
              <w:spacing w:after="0"/>
              <w:rPr>
                <w:sz w:val="15"/>
                <w:szCs w:val="15"/>
                <w:color w:val="auto"/>
              </w:rPr>
            </w:pPr>
          </w:p>
        </w:tc>
        <w:tc>
          <w:tcPr>
            <w:tcW w:w="420" w:type="dxa"/>
            <w:vAlign w:val="bottom"/>
            <w:gridSpan w:val="2"/>
          </w:tcPr>
          <w:p>
            <w:pPr>
              <w:spacing w:after="0" w:line="182" w:lineRule="exact"/>
              <w:rPr>
                <w:rFonts w:ascii="Arial" w:cs="Arial" w:eastAsia="Arial" w:hAnsi="Arial"/>
                <w:sz w:val="18"/>
                <w:szCs w:val="18"/>
                <w:color w:val="0000EE"/>
                <w:w w:val="99"/>
              </w:rPr>
            </w:pPr>
            <w:hyperlink w:anchor="page46">
              <w:r>
                <w:rPr>
                  <w:rFonts w:ascii="Arial" w:cs="Arial" w:eastAsia="Arial" w:hAnsi="Arial"/>
                  <w:sz w:val="18"/>
                  <w:szCs w:val="18"/>
                  <w:color w:val="0000EE"/>
                  <w:w w:val="99"/>
                </w:rPr>
                <w:t>2015</w:t>
              </w:r>
            </w:hyperlink>
          </w:p>
        </w:tc>
        <w:tc>
          <w:tcPr>
            <w:tcW w:w="3600" w:type="dxa"/>
            <w:vAlign w:val="bottom"/>
            <w:gridSpan w:val="9"/>
          </w:tcPr>
          <w:p>
            <w:pPr>
              <w:ind w:left="20"/>
              <w:spacing w:after="0" w:line="182" w:lineRule="exact"/>
              <w:rPr>
                <w:rFonts w:ascii="Arial" w:cs="Arial" w:eastAsia="Arial" w:hAnsi="Arial"/>
                <w:sz w:val="18"/>
                <w:szCs w:val="18"/>
                <w:color w:val="0000EE"/>
              </w:rPr>
            </w:pPr>
            <w:hyperlink w:anchor="page46">
              <w:r>
                <w:rPr>
                  <w:rFonts w:ascii="Arial" w:cs="Arial" w:eastAsia="Arial" w:hAnsi="Arial"/>
                  <w:sz w:val="18"/>
                  <w:szCs w:val="18"/>
                  <w:color w:val="0000EE"/>
                </w:rPr>
                <w:t>Non-Qualified Deferred Compensation</w:t>
              </w:r>
            </w:hyperlink>
          </w:p>
        </w:tc>
        <w:tc>
          <w:tcPr>
            <w:tcW w:w="920" w:type="dxa"/>
            <w:vAlign w:val="bottom"/>
          </w:tcPr>
          <w:p>
            <w:pPr>
              <w:jc w:val="right"/>
              <w:spacing w:after="0" w:line="182"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640" w:type="dxa"/>
            <w:vAlign w:val="bottom"/>
            <w:gridSpan w:val="5"/>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60" w:type="dxa"/>
            <w:vAlign w:val="bottom"/>
            <w:vMerge w:val="restart"/>
          </w:tcPr>
          <w:p>
            <w:pPr>
              <w:jc w:val="right"/>
              <w:ind w:right="372"/>
              <w:spacing w:after="0"/>
              <w:rPr>
                <w:sz w:val="20"/>
                <w:szCs w:val="20"/>
                <w:color w:val="auto"/>
              </w:rPr>
            </w:pPr>
            <w:r>
              <w:rPr>
                <w:rFonts w:ascii="Arial" w:cs="Arial" w:eastAsia="Arial" w:hAnsi="Arial"/>
                <w:sz w:val="18"/>
                <w:szCs w:val="18"/>
                <w:color w:val="auto"/>
              </w:rPr>
              <w:t>9</w:t>
            </w:r>
          </w:p>
        </w:tc>
        <w:tc>
          <w:tcPr>
            <w:tcW w:w="420" w:type="dxa"/>
            <w:vAlign w:val="bottom"/>
          </w:tcPr>
          <w:p>
            <w:pPr>
              <w:spacing w:after="0"/>
              <w:rPr>
                <w:sz w:val="15"/>
                <w:szCs w:val="15"/>
                <w:color w:val="auto"/>
              </w:rPr>
            </w:pPr>
          </w:p>
        </w:tc>
        <w:tc>
          <w:tcPr>
            <w:tcW w:w="4020" w:type="dxa"/>
            <w:vAlign w:val="bottom"/>
            <w:gridSpan w:val="11"/>
          </w:tcPr>
          <w:p>
            <w:pPr>
              <w:spacing w:after="0" w:line="182" w:lineRule="exact"/>
              <w:rPr>
                <w:rFonts w:ascii="Arial" w:cs="Arial" w:eastAsia="Arial" w:hAnsi="Arial"/>
                <w:sz w:val="18"/>
                <w:szCs w:val="18"/>
                <w:color w:val="0000EE"/>
                <w:w w:val="97"/>
              </w:rPr>
            </w:pPr>
            <w:hyperlink w:anchor="page47">
              <w:r>
                <w:rPr>
                  <w:rFonts w:ascii="Arial" w:cs="Arial" w:eastAsia="Arial" w:hAnsi="Arial"/>
                  <w:sz w:val="18"/>
                  <w:szCs w:val="18"/>
                  <w:color w:val="0000EE"/>
                  <w:w w:val="97"/>
                </w:rPr>
                <w:t>Potential Payments upon Termination or Change in</w:t>
              </w:r>
            </w:hyperlink>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6"/>
        </w:trPr>
        <w:tc>
          <w:tcPr>
            <w:tcW w:w="66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Borders>
              <w:top w:val="single" w:sz="8" w:color="0000EE"/>
            </w:tcBorders>
          </w:tcPr>
          <w:p>
            <w:pPr>
              <w:spacing w:after="0"/>
              <w:rPr>
                <w:sz w:val="7"/>
                <w:szCs w:val="7"/>
                <w:color w:val="auto"/>
              </w:rPr>
            </w:pPr>
          </w:p>
        </w:tc>
        <w:tc>
          <w:tcPr>
            <w:tcW w:w="3740" w:type="dxa"/>
            <w:vAlign w:val="bottom"/>
            <w:tcBorders>
              <w:top w:val="single" w:sz="8" w:color="0000EE"/>
            </w:tcBorders>
            <w:gridSpan w:val="9"/>
            <w:vMerge w:val="restart"/>
          </w:tcPr>
          <w:p>
            <w:pPr>
              <w:spacing w:after="0" w:line="182" w:lineRule="exact"/>
              <w:rPr>
                <w:rFonts w:ascii="Arial" w:cs="Arial" w:eastAsia="Arial" w:hAnsi="Arial"/>
                <w:sz w:val="18"/>
                <w:szCs w:val="18"/>
                <w:color w:val="0000EE"/>
              </w:rPr>
            </w:pPr>
            <w:hyperlink w:anchor="page47">
              <w:r>
                <w:rPr>
                  <w:rFonts w:ascii="Arial" w:cs="Arial" w:eastAsia="Arial" w:hAnsi="Arial"/>
                  <w:sz w:val="18"/>
                  <w:szCs w:val="18"/>
                  <w:color w:val="0000EE"/>
                </w:rPr>
                <w:t>Control</w:t>
              </w:r>
            </w:hyperlink>
          </w:p>
        </w:tc>
        <w:tc>
          <w:tcPr>
            <w:tcW w:w="60" w:type="dxa"/>
            <w:vAlign w:val="bottom"/>
            <w:vMerge w:val="restart"/>
          </w:tcPr>
          <w:p>
            <w:pPr>
              <w:spacing w:after="0"/>
              <w:rPr>
                <w:sz w:val="7"/>
                <w:szCs w:val="7"/>
                <w:color w:val="auto"/>
              </w:rPr>
            </w:pPr>
          </w:p>
        </w:tc>
        <w:tc>
          <w:tcPr>
            <w:tcW w:w="920" w:type="dxa"/>
            <w:vAlign w:val="bottom"/>
            <w:vMerge w:val="restart"/>
          </w:tcPr>
          <w:p>
            <w:pPr>
              <w:jc w:val="right"/>
              <w:spacing w:after="0" w:line="182"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97"/>
        </w:trPr>
        <w:tc>
          <w:tcPr>
            <w:tcW w:w="660" w:type="dxa"/>
            <w:vAlign w:val="bottom"/>
            <w:vMerge w:val="restart"/>
          </w:tcPr>
          <w:p>
            <w:pPr>
              <w:jc w:val="right"/>
              <w:ind w:right="372"/>
              <w:spacing w:after="0"/>
              <w:rPr>
                <w:sz w:val="20"/>
                <w:szCs w:val="20"/>
                <w:color w:val="auto"/>
              </w:rPr>
            </w:pPr>
            <w:r>
              <w:rPr>
                <w:rFonts w:ascii="Arial" w:cs="Arial" w:eastAsia="Arial" w:hAnsi="Arial"/>
                <w:sz w:val="18"/>
                <w:szCs w:val="18"/>
                <w:color w:val="auto"/>
                <w:w w:val="89"/>
              </w:rPr>
              <w:t>13</w:t>
            </w: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740" w:type="dxa"/>
            <w:vAlign w:val="bottom"/>
            <w:gridSpan w:val="9"/>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60" w:type="dxa"/>
            <w:vAlign w:val="bottom"/>
            <w:vMerge w:val="continu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660" w:type="dxa"/>
            <w:vAlign w:val="bottom"/>
            <w:vMerge w:val="continue"/>
          </w:tcPr>
          <w:p>
            <w:pPr>
              <w:spacing w:after="0"/>
              <w:rPr>
                <w:sz w:val="13"/>
                <w:szCs w:val="13"/>
                <w:color w:val="auto"/>
              </w:rPr>
            </w:pPr>
          </w:p>
        </w:tc>
        <w:tc>
          <w:tcPr>
            <w:tcW w:w="420" w:type="dxa"/>
            <w:vAlign w:val="bottom"/>
          </w:tcPr>
          <w:p>
            <w:pPr>
              <w:spacing w:after="0"/>
              <w:rPr>
                <w:sz w:val="13"/>
                <w:szCs w:val="13"/>
                <w:color w:val="auto"/>
              </w:rPr>
            </w:pPr>
          </w:p>
        </w:tc>
        <w:tc>
          <w:tcPr>
            <w:tcW w:w="4020" w:type="dxa"/>
            <w:vAlign w:val="bottom"/>
            <w:gridSpan w:val="11"/>
            <w:vMerge w:val="restart"/>
          </w:tcPr>
          <w:p>
            <w:pPr>
              <w:spacing w:after="0" w:line="182" w:lineRule="exact"/>
              <w:rPr>
                <w:rFonts w:ascii="Arial" w:cs="Arial" w:eastAsia="Arial" w:hAnsi="Arial"/>
                <w:sz w:val="18"/>
                <w:szCs w:val="18"/>
                <w:color w:val="0000EE"/>
              </w:rPr>
            </w:pPr>
            <w:hyperlink w:anchor="page48">
              <w:r>
                <w:rPr>
                  <w:rFonts w:ascii="Arial" w:cs="Arial" w:eastAsia="Arial" w:hAnsi="Arial"/>
                  <w:sz w:val="18"/>
                  <w:szCs w:val="18"/>
                  <w:color w:val="0000EE"/>
                </w:rPr>
                <w:t>Summary of Termination Payments and Benefits</w:t>
              </w:r>
            </w:hyperlink>
          </w:p>
        </w:tc>
        <w:tc>
          <w:tcPr>
            <w:tcW w:w="920" w:type="dxa"/>
            <w:vAlign w:val="bottom"/>
            <w:vMerge w:val="restart"/>
          </w:tcPr>
          <w:p>
            <w:pPr>
              <w:jc w:val="right"/>
              <w:spacing w:after="0" w:line="182"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9"/>
        </w:trPr>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20" w:type="dxa"/>
            <w:vAlign w:val="bottom"/>
            <w:gridSpan w:val="11"/>
            <w:vMerge w:val="continue"/>
          </w:tcPr>
          <w:p>
            <w:pPr>
              <w:spacing w:after="0"/>
              <w:rPr>
                <w:sz w:val="2"/>
                <w:szCs w:val="2"/>
                <w:color w:val="auto"/>
              </w:rPr>
            </w:pPr>
          </w:p>
        </w:tc>
        <w:tc>
          <w:tcPr>
            <w:tcW w:w="9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-3295015</wp:posOffset>
            </wp:positionH>
            <wp:positionV relativeFrom="paragraph">
              <wp:posOffset>-2143125</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662" w:hanging="662"/>
        <w:spacing w:after="0" w:line="181" w:lineRule="auto"/>
        <w:tabs>
          <w:tab w:leader="none" w:pos="662" w:val="left"/>
        </w:tabs>
        <w:numPr>
          <w:ilvl w:val="0"/>
          <w:numId w:val="6"/>
        </w:numPr>
        <w:rPr>
          <w:rFonts w:ascii="Arial" w:cs="Arial" w:eastAsia="Arial" w:hAnsi="Arial"/>
          <w:sz w:val="17"/>
          <w:szCs w:val="17"/>
          <w:b w:val="1"/>
          <w:bCs w:val="1"/>
          <w:u w:val="single" w:color="auto"/>
          <w:color w:val="0000EE"/>
        </w:rPr>
      </w:pPr>
      <w:hyperlink w:anchor="page50">
        <w:r>
          <w:rPr>
            <w:rFonts w:ascii="Arial" w:cs="Arial" w:eastAsia="Arial" w:hAnsi="Arial"/>
            <w:sz w:val="17"/>
            <w:szCs w:val="17"/>
            <w:b w:val="1"/>
            <w:bCs w:val="1"/>
            <w:u w:val="single" w:color="auto"/>
            <w:color w:val="0000EE"/>
          </w:rPr>
          <w:t xml:space="preserve">PROPOSAL 2: </w:t>
        </w:r>
        <w:r>
          <w:rPr>
            <w:rFonts w:ascii="Arial" w:cs="Arial" w:eastAsia="Arial" w:hAnsi="Arial"/>
            <w:sz w:val="17"/>
            <w:szCs w:val="17"/>
            <w:u w:val="single" w:color="auto"/>
            <w:color w:val="0000EE"/>
          </w:rPr>
          <w:t>ADVISORY VOTE ON THE</w:t>
        </w:r>
      </w:hyperlink>
    </w:p>
    <w:p>
      <w:pPr>
        <w:ind w:left="862" w:hanging="862"/>
        <w:spacing w:after="0" w:line="199" w:lineRule="auto"/>
        <w:tabs>
          <w:tab w:leader="none" w:pos="862" w:val="left"/>
        </w:tabs>
        <w:numPr>
          <w:ilvl w:val="0"/>
          <w:numId w:val="6"/>
        </w:numPr>
        <w:rPr>
          <w:rFonts w:ascii="Arial" w:cs="Arial" w:eastAsia="Arial" w:hAnsi="Arial"/>
          <w:sz w:val="18"/>
          <w:szCs w:val="18"/>
          <w:color w:val="0000EE"/>
        </w:rPr>
      </w:pPr>
      <w:hyperlink w:anchor="page50">
        <w:r>
          <w:rPr>
            <w:rFonts w:ascii="Arial" w:cs="Arial" w:eastAsia="Arial" w:hAnsi="Arial"/>
            <w:sz w:val="18"/>
            <w:szCs w:val="18"/>
            <w:color w:val="0000EE"/>
          </w:rPr>
          <w:t>COMPENSATION OF THE COMPANY’S NAMED</w:t>
        </w:r>
      </w:hyperlink>
    </w:p>
    <w:p>
      <w:pPr>
        <w:spacing w:after="0" w:line="1" w:lineRule="exact"/>
        <w:rPr>
          <w:rFonts w:ascii="Arial" w:cs="Arial" w:eastAsia="Arial" w:hAnsi="Arial"/>
          <w:sz w:val="33"/>
          <w:szCs w:val="33"/>
          <w:color w:val="auto"/>
          <w:vertAlign w:val="superscript"/>
        </w:rPr>
      </w:pPr>
    </w:p>
    <w:tbl>
      <w:tblPr>
        <w:tblLayout w:type="fixed"/>
        <w:tblInd w:w="2" w:type="dxa"/>
        <w:tblCellMar>
          <w:top w:w="0" w:type="dxa"/>
          <w:left w:w="0" w:type="dxa"/>
          <w:bottom w:w="0" w:type="dxa"/>
          <w:right w:w="0" w:type="dxa"/>
        </w:tblCellMar>
      </w:tblPr>
      <w:tr>
        <w:trPr>
          <w:trHeight w:val="183"/>
        </w:trPr>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4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6"/>
              </w:rPr>
            </w:pPr>
            <w:hyperlink w:anchor="page50">
              <w:r>
                <w:rPr>
                  <w:rFonts w:ascii="Arial" w:cs="Arial" w:eastAsia="Arial" w:hAnsi="Arial"/>
                  <w:sz w:val="18"/>
                  <w:szCs w:val="18"/>
                  <w:color w:val="0000EE"/>
                  <w:w w:val="96"/>
                </w:rPr>
                <w:t>EXECUTIVE OFFICERS</w:t>
              </w:r>
            </w:hyperlink>
          </w:p>
        </w:tc>
        <w:tc>
          <w:tcPr>
            <w:tcW w:w="1940" w:type="dxa"/>
            <w:vAlign w:val="bottom"/>
            <w:tcBorders>
              <w:top w:val="single" w:sz="8" w:color="0000EE"/>
            </w:tcBorders>
            <w:gridSpan w:val="7"/>
          </w:tcPr>
          <w:p>
            <w:pPr>
              <w:spacing w:after="0"/>
              <w:rPr>
                <w:sz w:val="15"/>
                <w:szCs w:val="15"/>
                <w:color w:val="auto"/>
              </w:rPr>
            </w:pPr>
          </w:p>
        </w:tc>
        <w:tc>
          <w:tcPr>
            <w:tcW w:w="900" w:type="dxa"/>
            <w:vAlign w:val="bottom"/>
            <w:gridSpan w:val="5"/>
          </w:tcPr>
          <w:p>
            <w:pPr>
              <w:spacing w:after="0"/>
              <w:rPr>
                <w:sz w:val="15"/>
                <w:szCs w:val="15"/>
                <w:color w:val="auto"/>
              </w:rPr>
            </w:pPr>
          </w:p>
        </w:tc>
        <w:tc>
          <w:tcPr>
            <w:tcW w:w="380" w:type="dxa"/>
            <w:vAlign w:val="bottom"/>
          </w:tcPr>
          <w:p>
            <w:pPr>
              <w:jc w:val="right"/>
              <w:spacing w:after="0" w:line="182"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50"/>
        </w:trPr>
        <w:tc>
          <w:tcPr>
            <w:tcW w:w="660" w:type="dxa"/>
            <w:vAlign w:val="bottom"/>
          </w:tcPr>
          <w:p>
            <w:pPr>
              <w:jc w:val="right"/>
              <w:ind w:right="373"/>
              <w:spacing w:after="0"/>
              <w:rPr>
                <w:sz w:val="20"/>
                <w:szCs w:val="20"/>
                <w:color w:val="auto"/>
              </w:rPr>
            </w:pPr>
            <w:r>
              <w:rPr>
                <w:rFonts w:ascii="Arial" w:cs="Arial" w:eastAsia="Arial" w:hAnsi="Arial"/>
                <w:sz w:val="18"/>
                <w:szCs w:val="18"/>
                <w:color w:val="auto"/>
                <w:w w:val="89"/>
              </w:rPr>
              <w:t>17</w:t>
            </w:r>
          </w:p>
        </w:tc>
        <w:tc>
          <w:tcPr>
            <w:tcW w:w="2420" w:type="dxa"/>
            <w:vAlign w:val="bottom"/>
            <w:tcBorders>
              <w:bottom w:val="single" w:sz="8" w:color="0000EE"/>
            </w:tcBorders>
            <w:gridSpan w:val="6"/>
          </w:tcPr>
          <w:p>
            <w:pPr>
              <w:spacing w:after="0"/>
              <w:rPr>
                <w:rFonts w:ascii="Arial" w:cs="Arial" w:eastAsia="Arial" w:hAnsi="Arial"/>
                <w:sz w:val="18"/>
                <w:szCs w:val="18"/>
                <w:b w:val="1"/>
                <w:bCs w:val="1"/>
                <w:color w:val="0000EE"/>
                <w:w w:val="96"/>
              </w:rPr>
            </w:pPr>
            <w:hyperlink w:anchor="page51">
              <w:r>
                <w:rPr>
                  <w:rFonts w:ascii="Arial" w:cs="Arial" w:eastAsia="Arial" w:hAnsi="Arial"/>
                  <w:sz w:val="18"/>
                  <w:szCs w:val="18"/>
                  <w:b w:val="1"/>
                  <w:bCs w:val="1"/>
                  <w:color w:val="0000EE"/>
                  <w:w w:val="96"/>
                </w:rPr>
                <w:t>AUDIT COMMITTEE REPORT</w:t>
              </w:r>
            </w:hyperlink>
          </w:p>
        </w:tc>
        <w:tc>
          <w:tcPr>
            <w:tcW w:w="2560" w:type="dxa"/>
            <w:vAlign w:val="bottom"/>
            <w:gridSpan w:val="11"/>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50"/>
        </w:trPr>
        <w:tc>
          <w:tcPr>
            <w:tcW w:w="660" w:type="dxa"/>
            <w:vAlign w:val="bottom"/>
          </w:tcPr>
          <w:p>
            <w:pPr>
              <w:jc w:val="right"/>
              <w:ind w:right="373"/>
              <w:spacing w:after="0"/>
              <w:rPr>
                <w:sz w:val="20"/>
                <w:szCs w:val="20"/>
                <w:color w:val="auto"/>
              </w:rPr>
            </w:pPr>
            <w:r>
              <w:rPr>
                <w:rFonts w:ascii="Arial" w:cs="Arial" w:eastAsia="Arial" w:hAnsi="Arial"/>
                <w:sz w:val="18"/>
                <w:szCs w:val="18"/>
                <w:color w:val="auto"/>
                <w:w w:val="89"/>
              </w:rPr>
              <w:t>18</w:t>
            </w:r>
          </w:p>
        </w:tc>
        <w:tc>
          <w:tcPr>
            <w:tcW w:w="3860" w:type="dxa"/>
            <w:vAlign w:val="bottom"/>
            <w:tcBorders>
              <w:bottom w:val="single" w:sz="8" w:color="0000EE"/>
            </w:tcBorders>
            <w:gridSpan w:val="10"/>
          </w:tcPr>
          <w:p>
            <w:pPr>
              <w:spacing w:after="0"/>
              <w:rPr>
                <w:rFonts w:ascii="Arial" w:cs="Arial" w:eastAsia="Arial" w:hAnsi="Arial"/>
                <w:sz w:val="18"/>
                <w:szCs w:val="18"/>
                <w:b w:val="1"/>
                <w:bCs w:val="1"/>
                <w:color w:val="0000EE"/>
                <w:w w:val="96"/>
              </w:rPr>
            </w:pPr>
            <w:hyperlink w:anchor="page52">
              <w:r>
                <w:rPr>
                  <w:rFonts w:ascii="Arial" w:cs="Arial" w:eastAsia="Arial" w:hAnsi="Arial"/>
                  <w:sz w:val="18"/>
                  <w:szCs w:val="18"/>
                  <w:b w:val="1"/>
                  <w:bCs w:val="1"/>
                  <w:color w:val="0000EE"/>
                  <w:w w:val="96"/>
                </w:rPr>
                <w:t>INDEPENDENT PUBLIC ACCOUNTANTS FEES</w:t>
              </w:r>
            </w:hyperlink>
          </w:p>
        </w:tc>
        <w:tc>
          <w:tcPr>
            <w:tcW w:w="1120" w:type="dxa"/>
            <w:vAlign w:val="bottom"/>
            <w:gridSpan w:val="7"/>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4"/>
        </w:trPr>
        <w:tc>
          <w:tcPr>
            <w:tcW w:w="660" w:type="dxa"/>
            <w:vAlign w:val="bottom"/>
          </w:tcPr>
          <w:p>
            <w:pPr>
              <w:jc w:val="right"/>
              <w:ind w:right="373"/>
              <w:spacing w:after="0"/>
              <w:rPr>
                <w:sz w:val="20"/>
                <w:szCs w:val="20"/>
                <w:color w:val="auto"/>
              </w:rPr>
            </w:pPr>
            <w:r>
              <w:rPr>
                <w:rFonts w:ascii="Arial" w:cs="Arial" w:eastAsia="Arial" w:hAnsi="Arial"/>
                <w:sz w:val="18"/>
                <w:szCs w:val="18"/>
                <w:color w:val="auto"/>
                <w:w w:val="89"/>
              </w:rPr>
              <w:t>18</w:t>
            </w:r>
          </w:p>
        </w:tc>
        <w:tc>
          <w:tcPr>
            <w:tcW w:w="4980" w:type="dxa"/>
            <w:vAlign w:val="bottom"/>
            <w:gridSpan w:val="17"/>
          </w:tcPr>
          <w:p>
            <w:pPr>
              <w:spacing w:after="0"/>
              <w:rPr>
                <w:rFonts w:ascii="Arial" w:cs="Arial" w:eastAsia="Arial" w:hAnsi="Arial"/>
                <w:sz w:val="18"/>
                <w:szCs w:val="18"/>
                <w:b w:val="1"/>
                <w:bCs w:val="1"/>
                <w:color w:val="0000EE"/>
              </w:rPr>
            </w:pPr>
            <w:hyperlink w:anchor="page53">
              <w:r>
                <w:rPr>
                  <w:rFonts w:ascii="Arial" w:cs="Arial" w:eastAsia="Arial" w:hAnsi="Arial"/>
                  <w:sz w:val="18"/>
                  <w:szCs w:val="18"/>
                  <w:b w:val="1"/>
                  <w:bCs w:val="1"/>
                  <w:color w:val="0000EE"/>
                </w:rPr>
                <w:t xml:space="preserve">PROPOSAL 3: </w:t>
              </w:r>
              <w:r>
                <w:rPr>
                  <w:rFonts w:ascii="Arial" w:cs="Arial" w:eastAsia="Arial" w:hAnsi="Arial"/>
                  <w:sz w:val="18"/>
                  <w:szCs w:val="18"/>
                  <w:color w:val="0000EE"/>
                </w:rPr>
                <w:t>RATIFICATION OF THE APPOINTMENT OF</w:t>
              </w:r>
            </w:hyperlink>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2"/>
        </w:trPr>
        <w:tc>
          <w:tcPr>
            <w:tcW w:w="660" w:type="dxa"/>
            <w:vAlign w:val="bottom"/>
          </w:tcPr>
          <w:p>
            <w:pPr>
              <w:jc w:val="right"/>
              <w:ind w:right="373"/>
              <w:spacing w:after="0" w:line="152" w:lineRule="exact"/>
              <w:rPr>
                <w:sz w:val="20"/>
                <w:szCs w:val="20"/>
                <w:color w:val="auto"/>
              </w:rPr>
            </w:pPr>
            <w:r>
              <w:rPr>
                <w:rFonts w:ascii="Arial" w:cs="Arial" w:eastAsia="Arial" w:hAnsi="Arial"/>
                <w:sz w:val="16"/>
                <w:szCs w:val="16"/>
                <w:color w:val="auto"/>
              </w:rPr>
              <w:t>21</w:t>
            </w:r>
          </w:p>
        </w:tc>
        <w:tc>
          <w:tcPr>
            <w:tcW w:w="200" w:type="dxa"/>
            <w:vAlign w:val="bottom"/>
            <w:tcBorders>
              <w:top w:val="single" w:sz="8" w:color="0000EE"/>
            </w:tcBorders>
          </w:tcPr>
          <w:p>
            <w:pPr>
              <w:spacing w:after="0"/>
              <w:rPr>
                <w:sz w:val="13"/>
                <w:szCs w:val="13"/>
                <w:color w:val="auto"/>
              </w:rPr>
            </w:pPr>
          </w:p>
        </w:tc>
        <w:tc>
          <w:tcPr>
            <w:tcW w:w="4520" w:type="dxa"/>
            <w:vAlign w:val="bottom"/>
            <w:tcBorders>
              <w:top w:val="single" w:sz="8" w:color="0000EE"/>
            </w:tcBorders>
            <w:gridSpan w:val="13"/>
            <w:vMerge w:val="restart"/>
          </w:tcPr>
          <w:p>
            <w:pPr>
              <w:spacing w:after="0" w:line="189" w:lineRule="exact"/>
              <w:rPr>
                <w:rFonts w:ascii="Arial" w:cs="Arial" w:eastAsia="Arial" w:hAnsi="Arial"/>
                <w:sz w:val="18"/>
                <w:szCs w:val="18"/>
                <w:color w:val="0000EE"/>
              </w:rPr>
            </w:pPr>
            <w:hyperlink w:anchor="page53">
              <w:r>
                <w:rPr>
                  <w:rFonts w:ascii="Arial" w:cs="Arial" w:eastAsia="Arial" w:hAnsi="Arial"/>
                  <w:sz w:val="18"/>
                  <w:szCs w:val="18"/>
                  <w:color w:val="0000EE"/>
                </w:rPr>
                <w:t>PRICEWATERHOUSECOOPERS LLP AS OUR</w:t>
              </w:r>
            </w:hyperlink>
          </w:p>
        </w:tc>
        <w:tc>
          <w:tcPr>
            <w:tcW w:w="260" w:type="dxa"/>
            <w:vAlign w:val="bottom"/>
            <w:gridSpan w:val="3"/>
            <w:vMerge w:val="restart"/>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
        </w:trPr>
        <w:tc>
          <w:tcPr>
            <w:tcW w:w="660" w:type="dxa"/>
            <w:vAlign w:val="bottom"/>
            <w:vMerge w:val="restart"/>
          </w:tcPr>
          <w:p>
            <w:pPr>
              <w:jc w:val="right"/>
              <w:ind w:right="373"/>
              <w:spacing w:after="0" w:line="202" w:lineRule="exact"/>
              <w:rPr>
                <w:sz w:val="20"/>
                <w:szCs w:val="20"/>
                <w:color w:val="auto"/>
              </w:rPr>
            </w:pPr>
            <w:r>
              <w:rPr>
                <w:rFonts w:ascii="Arial" w:cs="Arial" w:eastAsia="Arial" w:hAnsi="Arial"/>
                <w:sz w:val="18"/>
                <w:szCs w:val="18"/>
                <w:color w:val="auto"/>
                <w:w w:val="89"/>
              </w:rPr>
              <w:t>22</w:t>
            </w:r>
          </w:p>
        </w:tc>
        <w:tc>
          <w:tcPr>
            <w:tcW w:w="200" w:type="dxa"/>
            <w:vAlign w:val="bottom"/>
          </w:tcPr>
          <w:p>
            <w:pPr>
              <w:spacing w:after="0"/>
              <w:rPr>
                <w:sz w:val="3"/>
                <w:szCs w:val="3"/>
                <w:color w:val="auto"/>
              </w:rPr>
            </w:pPr>
          </w:p>
        </w:tc>
        <w:tc>
          <w:tcPr>
            <w:tcW w:w="4520" w:type="dxa"/>
            <w:vAlign w:val="bottom"/>
            <w:gridSpan w:val="13"/>
            <w:vMerge w:val="continue"/>
          </w:tcPr>
          <w:p>
            <w:pPr>
              <w:spacing w:after="0"/>
              <w:rPr>
                <w:sz w:val="3"/>
                <w:szCs w:val="3"/>
                <w:color w:val="auto"/>
              </w:rPr>
            </w:pPr>
          </w:p>
        </w:tc>
        <w:tc>
          <w:tcPr>
            <w:tcW w:w="260" w:type="dxa"/>
            <w:vAlign w:val="bottom"/>
            <w:gridSpan w:val="3"/>
            <w:vMerge w:val="continue"/>
          </w:tcPr>
          <w:p>
            <w:pPr>
              <w:spacing w:after="0"/>
              <w:rPr>
                <w:sz w:val="3"/>
                <w:szCs w:val="3"/>
                <w:color w:val="auto"/>
              </w:rPr>
            </w:pPr>
          </w:p>
        </w:tc>
        <w:tc>
          <w:tcPr>
            <w:tcW w:w="3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
        </w:trPr>
        <w:tc>
          <w:tcPr>
            <w:tcW w:w="66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4780" w:type="dxa"/>
            <w:vAlign w:val="bottom"/>
            <w:gridSpan w:val="16"/>
            <w:vMerge w:val="restart"/>
          </w:tcPr>
          <w:p>
            <w:pPr>
              <w:spacing w:after="0" w:line="182" w:lineRule="exact"/>
              <w:rPr>
                <w:rFonts w:ascii="Arial" w:cs="Arial" w:eastAsia="Arial" w:hAnsi="Arial"/>
                <w:sz w:val="18"/>
                <w:szCs w:val="18"/>
                <w:color w:val="0000EE"/>
              </w:rPr>
            </w:pPr>
            <w:hyperlink w:anchor="page53">
              <w:r>
                <w:rPr>
                  <w:rFonts w:ascii="Arial" w:cs="Arial" w:eastAsia="Arial" w:hAnsi="Arial"/>
                  <w:sz w:val="18"/>
                  <w:szCs w:val="18"/>
                  <w:color w:val="0000EE"/>
                </w:rPr>
                <w:t>INDEPENDENT REGISTERED ACCOUNTING FIRM FOR</w:t>
              </w:r>
            </w:hyperlink>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660" w:type="dxa"/>
            <w:vAlign w:val="bottom"/>
            <w:vMerge w:val="restart"/>
          </w:tcPr>
          <w:p>
            <w:pPr>
              <w:jc w:val="right"/>
              <w:ind w:right="373"/>
              <w:spacing w:after="0"/>
              <w:rPr>
                <w:sz w:val="20"/>
                <w:szCs w:val="20"/>
                <w:color w:val="auto"/>
              </w:rPr>
            </w:pPr>
            <w:r>
              <w:rPr>
                <w:rFonts w:ascii="Arial" w:cs="Arial" w:eastAsia="Arial" w:hAnsi="Arial"/>
                <w:sz w:val="18"/>
                <w:szCs w:val="18"/>
                <w:color w:val="auto"/>
                <w:w w:val="89"/>
              </w:rPr>
              <w:t>23</w:t>
            </w:r>
          </w:p>
        </w:tc>
        <w:tc>
          <w:tcPr>
            <w:tcW w:w="200" w:type="dxa"/>
            <w:vAlign w:val="bottom"/>
          </w:tcPr>
          <w:p>
            <w:pPr>
              <w:spacing w:after="0"/>
              <w:rPr>
                <w:sz w:val="3"/>
                <w:szCs w:val="3"/>
                <w:color w:val="auto"/>
              </w:rPr>
            </w:pPr>
          </w:p>
        </w:tc>
        <w:tc>
          <w:tcPr>
            <w:tcW w:w="4780" w:type="dxa"/>
            <w:vAlign w:val="bottom"/>
            <w:gridSpan w:val="16"/>
            <w:vMerge w:val="continue"/>
          </w:tcPr>
          <w:p>
            <w:pPr>
              <w:spacing w:after="0"/>
              <w:rPr>
                <w:sz w:val="3"/>
                <w:szCs w:val="3"/>
                <w:color w:val="auto"/>
              </w:rPr>
            </w:pPr>
          </w:p>
        </w:tc>
        <w:tc>
          <w:tcPr>
            <w:tcW w:w="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4"/>
        </w:trPr>
        <w:tc>
          <w:tcPr>
            <w:tcW w:w="6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3400" w:type="dxa"/>
            <w:vAlign w:val="bottom"/>
            <w:tcBorders>
              <w:top w:val="single" w:sz="8" w:color="0000EE"/>
            </w:tcBorders>
            <w:gridSpan w:val="8"/>
            <w:vMerge w:val="restart"/>
          </w:tcPr>
          <w:p>
            <w:pPr>
              <w:spacing w:after="0" w:line="182" w:lineRule="exact"/>
              <w:rPr>
                <w:rFonts w:ascii="Arial" w:cs="Arial" w:eastAsia="Arial" w:hAnsi="Arial"/>
                <w:sz w:val="18"/>
                <w:szCs w:val="18"/>
                <w:color w:val="0000EE"/>
                <w:w w:val="97"/>
              </w:rPr>
            </w:pPr>
            <w:hyperlink w:anchor="page53">
              <w:r>
                <w:rPr>
                  <w:rFonts w:ascii="Arial" w:cs="Arial" w:eastAsia="Arial" w:hAnsi="Arial"/>
                  <w:sz w:val="18"/>
                  <w:szCs w:val="18"/>
                  <w:color w:val="0000EE"/>
                  <w:w w:val="97"/>
                </w:rPr>
                <w:t>THE YEAR ENDING DECEMBER 31, 2016</w:t>
              </w:r>
            </w:hyperlink>
          </w:p>
        </w:tc>
        <w:tc>
          <w:tcPr>
            <w:tcW w:w="1180" w:type="dxa"/>
            <w:vAlign w:val="bottom"/>
            <w:tcBorders>
              <w:top w:val="single" w:sz="8" w:color="0000EE"/>
            </w:tcBorders>
            <w:gridSpan w:val="6"/>
            <w:vMerge w:val="restart"/>
          </w:tcPr>
          <w:p>
            <w:pPr>
              <w:spacing w:after="0"/>
              <w:rPr>
                <w:sz w:val="13"/>
                <w:szCs w:val="13"/>
                <w:color w:val="auto"/>
              </w:rPr>
            </w:pPr>
          </w:p>
        </w:tc>
        <w:tc>
          <w:tcPr>
            <w:tcW w:w="200" w:type="dxa"/>
            <w:vAlign w:val="bottom"/>
            <w:gridSpan w:val="2"/>
            <w:vMerge w:val="restart"/>
          </w:tcPr>
          <w:p>
            <w:pPr>
              <w:spacing w:after="0"/>
              <w:rPr>
                <w:sz w:val="13"/>
                <w:szCs w:val="13"/>
                <w:color w:val="auto"/>
              </w:rPr>
            </w:pPr>
          </w:p>
        </w:tc>
        <w:tc>
          <w:tcPr>
            <w:tcW w:w="380" w:type="dxa"/>
            <w:vAlign w:val="bottom"/>
            <w:vMerge w:val="restart"/>
          </w:tcPr>
          <w:p>
            <w:pPr>
              <w:jc w:val="right"/>
              <w:spacing w:after="0" w:line="182"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34"/>
        </w:trPr>
        <w:tc>
          <w:tcPr>
            <w:tcW w:w="660" w:type="dxa"/>
            <w:vAlign w:val="bottom"/>
            <w:vMerge w:val="restart"/>
          </w:tcPr>
          <w:p>
            <w:pPr>
              <w:jc w:val="right"/>
              <w:ind w:right="373"/>
              <w:spacing w:after="0" w:line="195" w:lineRule="exact"/>
              <w:rPr>
                <w:sz w:val="20"/>
                <w:szCs w:val="20"/>
                <w:color w:val="auto"/>
              </w:rPr>
            </w:pPr>
            <w:r>
              <w:rPr>
                <w:rFonts w:ascii="Arial" w:cs="Arial" w:eastAsia="Arial" w:hAnsi="Arial"/>
                <w:sz w:val="18"/>
                <w:szCs w:val="18"/>
                <w:color w:val="auto"/>
                <w:w w:val="89"/>
              </w:rPr>
              <w:t>25</w:t>
            </w:r>
          </w:p>
        </w:tc>
        <w:tc>
          <w:tcPr>
            <w:tcW w:w="200" w:type="dxa"/>
            <w:vAlign w:val="bottom"/>
          </w:tcPr>
          <w:p>
            <w:pPr>
              <w:spacing w:after="0"/>
              <w:rPr>
                <w:sz w:val="2"/>
                <w:szCs w:val="2"/>
                <w:color w:val="auto"/>
              </w:rPr>
            </w:pPr>
          </w:p>
        </w:tc>
        <w:tc>
          <w:tcPr>
            <w:tcW w:w="3400" w:type="dxa"/>
            <w:vAlign w:val="bottom"/>
            <w:tcBorders>
              <w:bottom w:val="single" w:sz="8" w:color="0000EE"/>
            </w:tcBorders>
            <w:gridSpan w:val="8"/>
            <w:vMerge w:val="continue"/>
          </w:tcPr>
          <w:p>
            <w:pPr>
              <w:spacing w:after="0"/>
              <w:rPr>
                <w:sz w:val="2"/>
                <w:szCs w:val="2"/>
                <w:color w:val="auto"/>
              </w:rPr>
            </w:pPr>
          </w:p>
        </w:tc>
        <w:tc>
          <w:tcPr>
            <w:tcW w:w="1180" w:type="dxa"/>
            <w:vAlign w:val="bottom"/>
            <w:gridSpan w:val="6"/>
            <w:vMerge w:val="continue"/>
          </w:tcPr>
          <w:p>
            <w:pPr>
              <w:spacing w:after="0"/>
              <w:rPr>
                <w:sz w:val="2"/>
                <w:szCs w:val="2"/>
                <w:color w:val="auto"/>
              </w:rPr>
            </w:pPr>
          </w:p>
        </w:tc>
        <w:tc>
          <w:tcPr>
            <w:tcW w:w="200" w:type="dxa"/>
            <w:vAlign w:val="bottom"/>
            <w:gridSpan w:val="2"/>
            <w:vMerge w:val="continue"/>
          </w:tcPr>
          <w:p>
            <w:pPr>
              <w:spacing w:after="0"/>
              <w:rPr>
                <w:sz w:val="2"/>
                <w:szCs w:val="2"/>
                <w:color w:val="auto"/>
              </w:rPr>
            </w:pPr>
          </w:p>
        </w:tc>
        <w:tc>
          <w:tcPr>
            <w:tcW w:w="3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45"/>
        </w:trPr>
        <w:tc>
          <w:tcPr>
            <w:tcW w:w="660" w:type="dxa"/>
            <w:vAlign w:val="bottom"/>
            <w:vMerge w:val="continue"/>
          </w:tcPr>
          <w:p>
            <w:pPr>
              <w:spacing w:after="0"/>
              <w:rPr>
                <w:sz w:val="12"/>
                <w:szCs w:val="12"/>
                <w:color w:val="auto"/>
              </w:rPr>
            </w:pPr>
          </w:p>
        </w:tc>
        <w:tc>
          <w:tcPr>
            <w:tcW w:w="4980" w:type="dxa"/>
            <w:vAlign w:val="bottom"/>
            <w:gridSpan w:val="17"/>
            <w:vMerge w:val="restart"/>
          </w:tcPr>
          <w:p>
            <w:pPr>
              <w:spacing w:after="0"/>
              <w:rPr>
                <w:rFonts w:ascii="Arial" w:cs="Arial" w:eastAsia="Arial" w:hAnsi="Arial"/>
                <w:sz w:val="18"/>
                <w:szCs w:val="18"/>
                <w:b w:val="1"/>
                <w:bCs w:val="1"/>
                <w:color w:val="0000EE"/>
              </w:rPr>
            </w:pPr>
            <w:hyperlink w:anchor="page54">
              <w:r>
                <w:rPr>
                  <w:rFonts w:ascii="Arial" w:cs="Arial" w:eastAsia="Arial" w:hAnsi="Arial"/>
                  <w:sz w:val="18"/>
                  <w:szCs w:val="18"/>
                  <w:b w:val="1"/>
                  <w:bCs w:val="1"/>
                  <w:color w:val="0000EE"/>
                </w:rPr>
                <w:t xml:space="preserve">PROPOSAL 4: </w:t>
              </w:r>
              <w:r>
                <w:rPr>
                  <w:rFonts w:ascii="Arial" w:cs="Arial" w:eastAsia="Arial" w:hAnsi="Arial"/>
                  <w:sz w:val="18"/>
                  <w:szCs w:val="18"/>
                  <w:color w:val="0000EE"/>
                </w:rPr>
                <w:t>APPROVAL OF THE ROPER</w:t>
              </w:r>
            </w:hyperlink>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660" w:type="dxa"/>
            <w:vAlign w:val="bottom"/>
            <w:vMerge w:val="restart"/>
          </w:tcPr>
          <w:p>
            <w:pPr>
              <w:jc w:val="right"/>
              <w:ind w:right="373"/>
              <w:spacing w:after="0" w:line="202" w:lineRule="exact"/>
              <w:rPr>
                <w:sz w:val="20"/>
                <w:szCs w:val="20"/>
                <w:color w:val="auto"/>
              </w:rPr>
            </w:pPr>
            <w:r>
              <w:rPr>
                <w:rFonts w:ascii="Arial" w:cs="Arial" w:eastAsia="Arial" w:hAnsi="Arial"/>
                <w:sz w:val="18"/>
                <w:szCs w:val="18"/>
                <w:color w:val="auto"/>
                <w:w w:val="89"/>
              </w:rPr>
              <w:t>29</w:t>
            </w:r>
          </w:p>
        </w:tc>
        <w:tc>
          <w:tcPr>
            <w:tcW w:w="4980" w:type="dxa"/>
            <w:vAlign w:val="bottom"/>
            <w:gridSpan w:val="17"/>
            <w:vMerge w:val="continue"/>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60" w:type="dxa"/>
            <w:vAlign w:val="bottom"/>
            <w:vMerge w:val="continu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
        </w:trPr>
        <w:tc>
          <w:tcPr>
            <w:tcW w:w="66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4780" w:type="dxa"/>
            <w:vAlign w:val="bottom"/>
            <w:gridSpan w:val="16"/>
            <w:vMerge w:val="restart"/>
          </w:tcPr>
          <w:p>
            <w:pPr>
              <w:spacing w:after="0" w:line="182" w:lineRule="exact"/>
              <w:rPr>
                <w:rFonts w:ascii="Arial" w:cs="Arial" w:eastAsia="Arial" w:hAnsi="Arial"/>
                <w:sz w:val="18"/>
                <w:szCs w:val="18"/>
                <w:color w:val="0000EE"/>
              </w:rPr>
            </w:pPr>
            <w:hyperlink w:anchor="page54">
              <w:r>
                <w:rPr>
                  <w:rFonts w:ascii="Arial" w:cs="Arial" w:eastAsia="Arial" w:hAnsi="Arial"/>
                  <w:sz w:val="18"/>
                  <w:szCs w:val="18"/>
                  <w:color w:val="0000EE"/>
                </w:rPr>
                <w:t>TECHNOLOGIES, INC. 2016 INCENTIVE PLAN</w:t>
              </w:r>
            </w:hyperlink>
          </w:p>
        </w:tc>
        <w:tc>
          <w:tcPr>
            <w:tcW w:w="380" w:type="dxa"/>
            <w:vAlign w:val="bottom"/>
            <w:vMerge w:val="restart"/>
          </w:tcPr>
          <w:p>
            <w:pPr>
              <w:jc w:val="right"/>
              <w:spacing w:after="0" w:line="182"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05"/>
        </w:trPr>
        <w:tc>
          <w:tcPr>
            <w:tcW w:w="660" w:type="dxa"/>
            <w:vAlign w:val="bottom"/>
            <w:vMerge w:val="restart"/>
          </w:tcPr>
          <w:p>
            <w:pPr>
              <w:jc w:val="right"/>
              <w:ind w:right="373"/>
              <w:spacing w:after="0"/>
              <w:rPr>
                <w:sz w:val="20"/>
                <w:szCs w:val="20"/>
                <w:color w:val="auto"/>
              </w:rPr>
            </w:pPr>
            <w:r>
              <w:rPr>
                <w:rFonts w:ascii="Arial" w:cs="Arial" w:eastAsia="Arial" w:hAnsi="Arial"/>
                <w:sz w:val="18"/>
                <w:szCs w:val="18"/>
                <w:color w:val="auto"/>
                <w:w w:val="89"/>
              </w:rPr>
              <w:t>31</w:t>
            </w:r>
          </w:p>
        </w:tc>
        <w:tc>
          <w:tcPr>
            <w:tcW w:w="200" w:type="dxa"/>
            <w:vAlign w:val="bottom"/>
          </w:tcPr>
          <w:p>
            <w:pPr>
              <w:spacing w:after="0"/>
              <w:rPr>
                <w:sz w:val="9"/>
                <w:szCs w:val="9"/>
                <w:color w:val="auto"/>
              </w:rPr>
            </w:pPr>
          </w:p>
        </w:tc>
        <w:tc>
          <w:tcPr>
            <w:tcW w:w="4780" w:type="dxa"/>
            <w:vAlign w:val="bottom"/>
            <w:gridSpan w:val="16"/>
            <w:vMerge w:val="continue"/>
          </w:tcPr>
          <w:p>
            <w:pPr>
              <w:spacing w:after="0"/>
              <w:rPr>
                <w:sz w:val="9"/>
                <w:szCs w:val="9"/>
                <w:color w:val="auto"/>
              </w:rPr>
            </w:pPr>
          </w:p>
        </w:tc>
        <w:tc>
          <w:tcPr>
            <w:tcW w:w="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6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660" w:type="dxa"/>
            <w:vAlign w:val="bottom"/>
            <w:vMerge w:val="continue"/>
          </w:tcPr>
          <w:p>
            <w:pPr>
              <w:spacing w:after="0"/>
              <w:rPr>
                <w:sz w:val="7"/>
                <w:szCs w:val="7"/>
                <w:color w:val="auto"/>
              </w:rPr>
            </w:pPr>
          </w:p>
        </w:tc>
        <w:tc>
          <w:tcPr>
            <w:tcW w:w="4980" w:type="dxa"/>
            <w:vAlign w:val="bottom"/>
            <w:gridSpan w:val="17"/>
            <w:vMerge w:val="restart"/>
          </w:tcPr>
          <w:p>
            <w:pPr>
              <w:spacing w:after="0"/>
              <w:rPr>
                <w:rFonts w:ascii="Arial" w:cs="Arial" w:eastAsia="Arial" w:hAnsi="Arial"/>
                <w:sz w:val="18"/>
                <w:szCs w:val="18"/>
                <w:b w:val="1"/>
                <w:bCs w:val="1"/>
                <w:color w:val="0000EE"/>
              </w:rPr>
            </w:pPr>
            <w:hyperlink w:anchor="page60">
              <w:r>
                <w:rPr>
                  <w:rFonts w:ascii="Arial" w:cs="Arial" w:eastAsia="Arial" w:hAnsi="Arial"/>
                  <w:sz w:val="18"/>
                  <w:szCs w:val="18"/>
                  <w:b w:val="1"/>
                  <w:bCs w:val="1"/>
                  <w:color w:val="0000EE"/>
                </w:rPr>
                <w:t>ANNUAL MEETING AND VOTING INFORMATION</w:t>
              </w:r>
            </w:hyperlink>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64"/>
        </w:trPr>
        <w:tc>
          <w:tcPr>
            <w:tcW w:w="660" w:type="dxa"/>
            <w:vAlign w:val="bottom"/>
            <w:vMerge w:val="restart"/>
          </w:tcPr>
          <w:p>
            <w:pPr>
              <w:jc w:val="right"/>
              <w:ind w:right="373"/>
              <w:spacing w:after="0"/>
              <w:rPr>
                <w:sz w:val="20"/>
                <w:szCs w:val="20"/>
                <w:color w:val="auto"/>
              </w:rPr>
            </w:pPr>
            <w:r>
              <w:rPr>
                <w:rFonts w:ascii="Arial" w:cs="Arial" w:eastAsia="Arial" w:hAnsi="Arial"/>
                <w:sz w:val="18"/>
                <w:szCs w:val="18"/>
                <w:color w:val="auto"/>
                <w:w w:val="89"/>
              </w:rPr>
              <w:t>33</w:t>
            </w:r>
          </w:p>
        </w:tc>
        <w:tc>
          <w:tcPr>
            <w:tcW w:w="4980" w:type="dxa"/>
            <w:vAlign w:val="bottom"/>
            <w:gridSpan w:val="17"/>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60" w:type="dxa"/>
            <w:vAlign w:val="bottom"/>
            <w:vMerge w:val="continu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660" w:type="dxa"/>
            <w:vAlign w:val="bottom"/>
            <w:vMerge w:val="continue"/>
          </w:tcPr>
          <w:p>
            <w:pPr>
              <w:spacing w:after="0"/>
              <w:rPr>
                <w:sz w:val="11"/>
                <w:szCs w:val="11"/>
                <w:color w:val="auto"/>
              </w:rPr>
            </w:pPr>
          </w:p>
        </w:tc>
        <w:tc>
          <w:tcPr>
            <w:tcW w:w="4980" w:type="dxa"/>
            <w:vAlign w:val="bottom"/>
            <w:gridSpan w:val="17"/>
            <w:vMerge w:val="restart"/>
          </w:tcPr>
          <w:p>
            <w:pPr>
              <w:spacing w:after="0"/>
              <w:rPr>
                <w:rFonts w:ascii="Arial" w:cs="Arial" w:eastAsia="Arial" w:hAnsi="Arial"/>
                <w:sz w:val="18"/>
                <w:szCs w:val="18"/>
                <w:b w:val="1"/>
                <w:bCs w:val="1"/>
                <w:color w:val="0000EE"/>
                <w:w w:val="99"/>
              </w:rPr>
            </w:pPr>
            <w:hyperlink w:anchor="page64">
              <w:r>
                <w:rPr>
                  <w:rFonts w:ascii="Arial" w:cs="Arial" w:eastAsia="Arial" w:hAnsi="Arial"/>
                  <w:sz w:val="18"/>
                  <w:szCs w:val="18"/>
                  <w:b w:val="1"/>
                  <w:bCs w:val="1"/>
                  <w:color w:val="0000EE"/>
                  <w:w w:val="99"/>
                </w:rPr>
                <w:t>INFORMATION REGARDING THE 2017 ANNUAL MEETING</w:t>
              </w:r>
            </w:hyperlink>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4980" w:type="dxa"/>
            <w:vAlign w:val="bottom"/>
            <w:gridSpan w:val="17"/>
            <w:vMerge w:val="continue"/>
          </w:tcPr>
          <w:p>
            <w:pPr>
              <w:spacing w:after="0"/>
              <w:rPr>
                <w:sz w:val="10"/>
                <w:szCs w:val="10"/>
                <w:color w:val="auto"/>
              </w:rPr>
            </w:pP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178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b w:val="1"/>
                <w:bCs w:val="1"/>
                <w:color w:val="0000EE"/>
                <w:w w:val="97"/>
              </w:rPr>
            </w:pPr>
            <w:hyperlink w:anchor="page64">
              <w:r>
                <w:rPr>
                  <w:rFonts w:ascii="Arial" w:cs="Arial" w:eastAsia="Arial" w:hAnsi="Arial"/>
                  <w:sz w:val="18"/>
                  <w:szCs w:val="18"/>
                  <w:b w:val="1"/>
                  <w:bCs w:val="1"/>
                  <w:color w:val="0000EE"/>
                  <w:w w:val="97"/>
                </w:rPr>
                <w:t>OF SHAREHOLDERS</w:t>
              </w:r>
            </w:hyperlink>
          </w:p>
        </w:tc>
        <w:tc>
          <w:tcPr>
            <w:tcW w:w="2840" w:type="dxa"/>
            <w:vAlign w:val="bottom"/>
            <w:tcBorders>
              <w:top w:val="single" w:sz="8" w:color="0000EE"/>
            </w:tcBorders>
            <w:gridSpan w:val="12"/>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jc w:val="right"/>
              <w:spacing w:after="0" w:line="182"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50"/>
        </w:trPr>
        <w:tc>
          <w:tcPr>
            <w:tcW w:w="660" w:type="dxa"/>
            <w:vAlign w:val="bottom"/>
          </w:tcPr>
          <w:p>
            <w:pPr>
              <w:spacing w:after="0"/>
              <w:rPr>
                <w:sz w:val="21"/>
                <w:szCs w:val="21"/>
                <w:color w:val="auto"/>
              </w:rPr>
            </w:pPr>
          </w:p>
        </w:tc>
        <w:tc>
          <w:tcPr>
            <w:tcW w:w="1500" w:type="dxa"/>
            <w:vAlign w:val="bottom"/>
            <w:tcBorders>
              <w:bottom w:val="single" w:sz="8" w:color="0000EE"/>
            </w:tcBorders>
            <w:gridSpan w:val="2"/>
          </w:tcPr>
          <w:p>
            <w:pPr>
              <w:spacing w:after="0"/>
              <w:rPr>
                <w:rFonts w:ascii="Arial" w:cs="Arial" w:eastAsia="Arial" w:hAnsi="Arial"/>
                <w:sz w:val="18"/>
                <w:szCs w:val="18"/>
                <w:b w:val="1"/>
                <w:bCs w:val="1"/>
                <w:color w:val="0000EE"/>
                <w:w w:val="95"/>
              </w:rPr>
            </w:pPr>
            <w:hyperlink w:anchor="page66">
              <w:r>
                <w:rPr>
                  <w:rFonts w:ascii="Arial" w:cs="Arial" w:eastAsia="Arial" w:hAnsi="Arial"/>
                  <w:sz w:val="18"/>
                  <w:szCs w:val="18"/>
                  <w:b w:val="1"/>
                  <w:bCs w:val="1"/>
                  <w:color w:val="0000EE"/>
                  <w:w w:val="95"/>
                </w:rPr>
                <w:t>OTHER MATTERS</w:t>
              </w:r>
            </w:hyperlink>
          </w:p>
        </w:tc>
        <w:tc>
          <w:tcPr>
            <w:tcW w:w="3480" w:type="dxa"/>
            <w:vAlign w:val="bottom"/>
            <w:gridSpan w:val="15"/>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399"/>
        </w:trPr>
        <w:tc>
          <w:tcPr>
            <w:tcW w:w="660" w:type="dxa"/>
            <w:vAlign w:val="bottom"/>
          </w:tcPr>
          <w:p>
            <w:pPr>
              <w:spacing w:after="0"/>
              <w:rPr>
                <w:sz w:val="24"/>
                <w:szCs w:val="24"/>
                <w:color w:val="auto"/>
              </w:rPr>
            </w:pPr>
          </w:p>
        </w:tc>
        <w:tc>
          <w:tcPr>
            <w:tcW w:w="2860" w:type="dxa"/>
            <w:vAlign w:val="bottom"/>
            <w:tcBorders>
              <w:bottom w:val="single" w:sz="8" w:color="0000EE"/>
            </w:tcBorders>
            <w:gridSpan w:val="7"/>
          </w:tcPr>
          <w:p>
            <w:pPr>
              <w:spacing w:after="0"/>
              <w:rPr>
                <w:rFonts w:ascii="Arial" w:cs="Arial" w:eastAsia="Arial" w:hAnsi="Arial"/>
                <w:sz w:val="18"/>
                <w:szCs w:val="18"/>
                <w:b w:val="1"/>
                <w:bCs w:val="1"/>
                <w:color w:val="0000EE"/>
                <w:w w:val="96"/>
              </w:rPr>
            </w:pPr>
            <w:hyperlink w:anchor="page67">
              <w:r>
                <w:rPr>
                  <w:rFonts w:ascii="Arial" w:cs="Arial" w:eastAsia="Arial" w:hAnsi="Arial"/>
                  <w:sz w:val="18"/>
                  <w:szCs w:val="18"/>
                  <w:b w:val="1"/>
                  <w:bCs w:val="1"/>
                  <w:color w:val="0000EE"/>
                  <w:w w:val="96"/>
                </w:rPr>
                <w:t>APPENDIX A—RECONCILIATIONS</w:t>
              </w:r>
            </w:hyperlink>
          </w:p>
        </w:tc>
        <w:tc>
          <w:tcPr>
            <w:tcW w:w="2120" w:type="dxa"/>
            <w:vAlign w:val="bottom"/>
            <w:gridSpan w:val="10"/>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50"/>
        </w:trPr>
        <w:tc>
          <w:tcPr>
            <w:tcW w:w="660" w:type="dxa"/>
            <w:vAlign w:val="bottom"/>
          </w:tcPr>
          <w:p>
            <w:pPr>
              <w:spacing w:after="0"/>
              <w:rPr>
                <w:sz w:val="21"/>
                <w:szCs w:val="21"/>
                <w:color w:val="auto"/>
              </w:rPr>
            </w:pPr>
          </w:p>
        </w:tc>
        <w:tc>
          <w:tcPr>
            <w:tcW w:w="4980" w:type="dxa"/>
            <w:vAlign w:val="bottom"/>
            <w:gridSpan w:val="17"/>
          </w:tcPr>
          <w:p>
            <w:pPr>
              <w:spacing w:after="0"/>
              <w:rPr>
                <w:rFonts w:ascii="Arial" w:cs="Arial" w:eastAsia="Arial" w:hAnsi="Arial"/>
                <w:sz w:val="18"/>
                <w:szCs w:val="18"/>
                <w:b w:val="1"/>
                <w:bCs w:val="1"/>
                <w:color w:val="0000EE"/>
              </w:rPr>
            </w:pPr>
            <w:hyperlink w:anchor="page69">
              <w:r>
                <w:rPr>
                  <w:rFonts w:ascii="Arial" w:cs="Arial" w:eastAsia="Arial" w:hAnsi="Arial"/>
                  <w:sz w:val="18"/>
                  <w:szCs w:val="18"/>
                  <w:b w:val="1"/>
                  <w:bCs w:val="1"/>
                  <w:color w:val="0000EE"/>
                </w:rPr>
                <w:t>APPENDIX B—ROPER TECHNOLOGIES, INC 2016</w:t>
              </w:r>
            </w:hyperlink>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148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b w:val="1"/>
                <w:bCs w:val="1"/>
                <w:color w:val="0000EE"/>
                <w:w w:val="97"/>
              </w:rPr>
            </w:pPr>
            <w:hyperlink w:anchor="page69">
              <w:r>
                <w:rPr>
                  <w:rFonts w:ascii="Arial" w:cs="Arial" w:eastAsia="Arial" w:hAnsi="Arial"/>
                  <w:sz w:val="18"/>
                  <w:szCs w:val="18"/>
                  <w:b w:val="1"/>
                  <w:bCs w:val="1"/>
                  <w:color w:val="0000EE"/>
                  <w:w w:val="97"/>
                </w:rPr>
                <w:t>INCENTIVE PLAN</w:t>
              </w:r>
            </w:hyperlink>
          </w:p>
        </w:tc>
        <w:tc>
          <w:tcPr>
            <w:tcW w:w="2480" w:type="dxa"/>
            <w:vAlign w:val="bottom"/>
            <w:tcBorders>
              <w:top w:val="single" w:sz="8" w:color="0000EE"/>
            </w:tcBorders>
            <w:gridSpan w:val="10"/>
          </w:tcPr>
          <w:p>
            <w:pPr>
              <w:spacing w:after="0"/>
              <w:rPr>
                <w:sz w:val="15"/>
                <w:szCs w:val="15"/>
                <w:color w:val="auto"/>
              </w:rPr>
            </w:pPr>
          </w:p>
        </w:tc>
        <w:tc>
          <w:tcPr>
            <w:tcW w:w="820" w:type="dxa"/>
            <w:vAlign w:val="bottom"/>
            <w:gridSpan w:val="4"/>
          </w:tcPr>
          <w:p>
            <w:pPr>
              <w:spacing w:after="0"/>
              <w:rPr>
                <w:sz w:val="15"/>
                <w:szCs w:val="15"/>
                <w:color w:val="auto"/>
              </w:rPr>
            </w:pPr>
          </w:p>
        </w:tc>
        <w:tc>
          <w:tcPr>
            <w:tcW w:w="380" w:type="dxa"/>
            <w:vAlign w:val="bottom"/>
          </w:tcPr>
          <w:p>
            <w:pPr>
              <w:jc w:val="right"/>
              <w:spacing w:after="0" w:line="182"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bl>
    <w:p>
      <w:pPr>
        <w:sectPr>
          <w:pgSz w:w="11900" w:h="16838" w:orient="portrait"/>
          <w:cols w:equalWidth="0" w:num="2">
            <w:col w:w="4580" w:space="598"/>
            <w:col w:w="6022"/>
          </w:cols>
          <w:pgMar w:left="240" w:top="459"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spacing w:after="0"/>
        <w:rPr>
          <w:sz w:val="20"/>
          <w:szCs w:val="20"/>
          <w:color w:val="auto"/>
        </w:rPr>
      </w:pPr>
      <w:r>
        <w:rPr>
          <w:rFonts w:ascii="Arial" w:cs="Arial" w:eastAsia="Arial" w:hAnsi="Arial"/>
          <w:sz w:val="32"/>
          <w:szCs w:val="32"/>
          <w:color w:val="225CAB"/>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76465" cy="31515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6465" cy="3151505"/>
                    </a:xfrm>
                    <a:prstGeom prst="rect">
                      <a:avLst/>
                    </a:prstGeom>
                    <a:noFill/>
                  </pic:spPr>
                </pic:pic>
              </a:graphicData>
            </a:graphic>
          </wp:anchor>
        </w:drawing>
      </w:r>
    </w:p>
    <w:p>
      <w:pPr>
        <w:spacing w:after="0" w:line="327" w:lineRule="exact"/>
        <w:rPr>
          <w:sz w:val="20"/>
          <w:szCs w:val="20"/>
          <w:color w:val="auto"/>
        </w:rPr>
      </w:pPr>
    </w:p>
    <w:p>
      <w:pPr>
        <w:ind w:left="200" w:right="180"/>
        <w:spacing w:after="0" w:line="238" w:lineRule="auto"/>
        <w:rPr>
          <w:sz w:val="20"/>
          <w:szCs w:val="20"/>
          <w:color w:val="auto"/>
        </w:rPr>
      </w:pPr>
      <w:r>
        <w:rPr>
          <w:rFonts w:ascii="Arial" w:cs="Arial" w:eastAsia="Arial" w:hAnsi="Arial"/>
          <w:sz w:val="18"/>
          <w:szCs w:val="18"/>
          <w:color w:val="auto"/>
        </w:rPr>
        <w:t>This summary highlights information about Roper Technologies, Inc. (the “Company” or “we”, “us or “our”) and the upcoming 2016 Annual Meeting of Shareholders. It does not contain all of the information you should consider. We recommend reading the complete Proxy Statement and our 2015 Annual Report to Shareholders, which includes our Annual Report on Form 10-K, before voting.</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225CAB"/>
        </w:rPr>
        <w:t>2016 ANNUAL MEETING OF SHAREHOLDERS</w:t>
      </w:r>
    </w:p>
    <w:p>
      <w:pPr>
        <w:spacing w:after="0" w:line="198" w:lineRule="exact"/>
        <w:rPr>
          <w:sz w:val="20"/>
          <w:szCs w:val="20"/>
          <w:color w:val="auto"/>
        </w:rPr>
      </w:pPr>
    </w:p>
    <w:tbl>
      <w:tblPr>
        <w:tblLayout w:type="fixed"/>
        <w:tblInd w:w="200" w:type="dxa"/>
        <w:tblCellMar>
          <w:top w:w="0" w:type="dxa"/>
          <w:left w:w="0" w:type="dxa"/>
          <w:bottom w:w="0" w:type="dxa"/>
          <w:right w:w="0" w:type="dxa"/>
        </w:tblCellMar>
      </w:tblPr>
      <w:tr>
        <w:trPr>
          <w:trHeight w:val="225"/>
        </w:trPr>
        <w:tc>
          <w:tcPr>
            <w:tcW w:w="2100" w:type="dxa"/>
            <w:vAlign w:val="bottom"/>
          </w:tcPr>
          <w:p>
            <w:pPr>
              <w:spacing w:after="0"/>
              <w:rPr>
                <w:sz w:val="20"/>
                <w:szCs w:val="20"/>
                <w:color w:val="auto"/>
              </w:rPr>
            </w:pPr>
            <w:r>
              <w:rPr>
                <w:rFonts w:ascii="Arial" w:cs="Arial" w:eastAsia="Arial" w:hAnsi="Arial"/>
                <w:sz w:val="18"/>
                <w:szCs w:val="18"/>
                <w:b w:val="1"/>
                <w:bCs w:val="1"/>
                <w:color w:val="auto"/>
              </w:rPr>
              <w:t>Date and Time:</w:t>
            </w:r>
          </w:p>
        </w:tc>
        <w:tc>
          <w:tcPr>
            <w:tcW w:w="2120" w:type="dxa"/>
            <w:vAlign w:val="bottom"/>
          </w:tcPr>
          <w:p>
            <w:pPr>
              <w:ind w:left="580"/>
              <w:spacing w:after="0"/>
              <w:rPr>
                <w:sz w:val="20"/>
                <w:szCs w:val="20"/>
                <w:color w:val="auto"/>
              </w:rPr>
            </w:pPr>
            <w:r>
              <w:rPr>
                <w:rFonts w:ascii="Arial" w:cs="Arial" w:eastAsia="Arial" w:hAnsi="Arial"/>
                <w:sz w:val="18"/>
                <w:szCs w:val="18"/>
                <w:b w:val="1"/>
                <w:bCs w:val="1"/>
                <w:color w:val="auto"/>
              </w:rPr>
              <w:t>Record Date:</w:t>
            </w:r>
          </w:p>
        </w:tc>
        <w:tc>
          <w:tcPr>
            <w:tcW w:w="2840" w:type="dxa"/>
            <w:vAlign w:val="bottom"/>
          </w:tcPr>
          <w:p>
            <w:pPr>
              <w:ind w:left="320"/>
              <w:spacing w:after="0"/>
              <w:rPr>
                <w:sz w:val="20"/>
                <w:szCs w:val="20"/>
                <w:color w:val="auto"/>
              </w:rPr>
            </w:pPr>
            <w:r>
              <w:rPr>
                <w:rFonts w:ascii="Arial" w:cs="Arial" w:eastAsia="Arial" w:hAnsi="Arial"/>
                <w:sz w:val="18"/>
                <w:szCs w:val="18"/>
                <w:b w:val="1"/>
                <w:bCs w:val="1"/>
                <w:color w:val="auto"/>
              </w:rPr>
              <w:t>Place:</w:t>
            </w:r>
          </w:p>
        </w:tc>
      </w:tr>
      <w:tr>
        <w:trPr>
          <w:trHeight w:val="203"/>
        </w:trPr>
        <w:tc>
          <w:tcPr>
            <w:tcW w:w="2100" w:type="dxa"/>
            <w:vAlign w:val="bottom"/>
          </w:tcPr>
          <w:p>
            <w:pPr>
              <w:spacing w:after="0" w:line="202" w:lineRule="exact"/>
              <w:rPr>
                <w:sz w:val="20"/>
                <w:szCs w:val="20"/>
                <w:color w:val="auto"/>
              </w:rPr>
            </w:pPr>
            <w:r>
              <w:rPr>
                <w:rFonts w:ascii="Arial" w:cs="Arial" w:eastAsia="Arial" w:hAnsi="Arial"/>
                <w:sz w:val="18"/>
                <w:szCs w:val="18"/>
                <w:color w:val="auto"/>
              </w:rPr>
              <w:t>May 27, 2016</w:t>
            </w:r>
          </w:p>
        </w:tc>
        <w:tc>
          <w:tcPr>
            <w:tcW w:w="2120" w:type="dxa"/>
            <w:vAlign w:val="bottom"/>
          </w:tcPr>
          <w:p>
            <w:pPr>
              <w:ind w:left="580"/>
              <w:spacing w:after="0" w:line="202" w:lineRule="exact"/>
              <w:rPr>
                <w:sz w:val="20"/>
                <w:szCs w:val="20"/>
                <w:color w:val="auto"/>
              </w:rPr>
            </w:pPr>
            <w:r>
              <w:rPr>
                <w:rFonts w:ascii="Arial" w:cs="Arial" w:eastAsia="Arial" w:hAnsi="Arial"/>
                <w:sz w:val="18"/>
                <w:szCs w:val="18"/>
                <w:color w:val="auto"/>
              </w:rPr>
              <w:t>March 29, 2016</w:t>
            </w:r>
          </w:p>
        </w:tc>
        <w:tc>
          <w:tcPr>
            <w:tcW w:w="2840" w:type="dxa"/>
            <w:vAlign w:val="bottom"/>
          </w:tcPr>
          <w:p>
            <w:pPr>
              <w:ind w:left="320"/>
              <w:spacing w:after="0" w:line="202" w:lineRule="exact"/>
              <w:rPr>
                <w:sz w:val="20"/>
                <w:szCs w:val="20"/>
                <w:color w:val="auto"/>
              </w:rPr>
            </w:pPr>
            <w:r>
              <w:rPr>
                <w:rFonts w:ascii="Arial" w:cs="Arial" w:eastAsia="Arial" w:hAnsi="Arial"/>
                <w:sz w:val="18"/>
                <w:szCs w:val="18"/>
                <w:color w:val="auto"/>
              </w:rPr>
              <w:t>Roper Technologies, Inc.</w:t>
            </w:r>
          </w:p>
        </w:tc>
      </w:tr>
      <w:tr>
        <w:trPr>
          <w:trHeight w:val="203"/>
        </w:trPr>
        <w:tc>
          <w:tcPr>
            <w:tcW w:w="2100" w:type="dxa"/>
            <w:vAlign w:val="bottom"/>
          </w:tcPr>
          <w:p>
            <w:pPr>
              <w:spacing w:after="0" w:line="202" w:lineRule="exact"/>
              <w:rPr>
                <w:sz w:val="20"/>
                <w:szCs w:val="20"/>
                <w:color w:val="auto"/>
              </w:rPr>
            </w:pPr>
            <w:r>
              <w:rPr>
                <w:rFonts w:ascii="Arial" w:cs="Arial" w:eastAsia="Arial" w:hAnsi="Arial"/>
                <w:sz w:val="18"/>
                <w:szCs w:val="18"/>
                <w:color w:val="auto"/>
              </w:rPr>
              <w:t>9:30 a.m. local time</w:t>
            </w:r>
          </w:p>
        </w:tc>
        <w:tc>
          <w:tcPr>
            <w:tcW w:w="2120" w:type="dxa"/>
            <w:vAlign w:val="bottom"/>
          </w:tcPr>
          <w:p>
            <w:pPr>
              <w:spacing w:after="0"/>
              <w:rPr>
                <w:sz w:val="17"/>
                <w:szCs w:val="17"/>
                <w:color w:val="auto"/>
              </w:rPr>
            </w:pPr>
          </w:p>
        </w:tc>
        <w:tc>
          <w:tcPr>
            <w:tcW w:w="2840" w:type="dxa"/>
            <w:vAlign w:val="bottom"/>
          </w:tcPr>
          <w:p>
            <w:pPr>
              <w:ind w:left="320"/>
              <w:spacing w:after="0" w:line="202" w:lineRule="exact"/>
              <w:rPr>
                <w:sz w:val="20"/>
                <w:szCs w:val="20"/>
                <w:color w:val="auto"/>
              </w:rPr>
            </w:pPr>
            <w:r>
              <w:rPr>
                <w:rFonts w:ascii="Arial" w:cs="Arial" w:eastAsia="Arial" w:hAnsi="Arial"/>
                <w:sz w:val="18"/>
                <w:szCs w:val="18"/>
                <w:color w:val="auto"/>
                <w:w w:val="96"/>
              </w:rPr>
              <w:t>6901 Professional Parkway East</w:t>
            </w:r>
          </w:p>
        </w:tc>
      </w:tr>
      <w:tr>
        <w:trPr>
          <w:trHeight w:val="203"/>
        </w:trPr>
        <w:tc>
          <w:tcPr>
            <w:tcW w:w="21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840" w:type="dxa"/>
            <w:vAlign w:val="bottom"/>
          </w:tcPr>
          <w:p>
            <w:pPr>
              <w:ind w:left="320"/>
              <w:spacing w:after="0" w:line="202" w:lineRule="exact"/>
              <w:rPr>
                <w:sz w:val="20"/>
                <w:szCs w:val="20"/>
                <w:color w:val="auto"/>
              </w:rPr>
            </w:pPr>
            <w:r>
              <w:rPr>
                <w:rFonts w:ascii="Arial" w:cs="Arial" w:eastAsia="Arial" w:hAnsi="Arial"/>
                <w:sz w:val="18"/>
                <w:szCs w:val="18"/>
                <w:color w:val="auto"/>
              </w:rPr>
              <w:t>Suite 200</w:t>
            </w:r>
          </w:p>
        </w:tc>
      </w:tr>
      <w:tr>
        <w:trPr>
          <w:trHeight w:val="211"/>
        </w:trPr>
        <w:tc>
          <w:tcPr>
            <w:tcW w:w="21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840" w:type="dxa"/>
            <w:vAlign w:val="bottom"/>
          </w:tcPr>
          <w:p>
            <w:pPr>
              <w:ind w:left="320"/>
              <w:spacing w:after="0"/>
              <w:rPr>
                <w:sz w:val="20"/>
                <w:szCs w:val="20"/>
                <w:color w:val="auto"/>
              </w:rPr>
            </w:pPr>
            <w:r>
              <w:rPr>
                <w:rFonts w:ascii="Arial" w:cs="Arial" w:eastAsia="Arial" w:hAnsi="Arial"/>
                <w:sz w:val="18"/>
                <w:szCs w:val="18"/>
                <w:color w:val="auto"/>
              </w:rPr>
              <w:t>Sarasota, Florida 34240</w:t>
            </w:r>
          </w:p>
        </w:tc>
      </w:tr>
    </w:tbl>
    <w:p>
      <w:pPr>
        <w:spacing w:after="0" w:line="14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225CAB"/>
        </w:rPr>
        <w:t>VOTING MATTERS AND BOARD RECOMMENDATIONS</w:t>
      </w:r>
    </w:p>
    <w:p>
      <w:pPr>
        <w:spacing w:after="0" w:line="20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00" w:type="dxa"/>
            <w:vAlign w:val="bottom"/>
            <w:shd w:val="clear" w:color="auto" w:fill="225CAB"/>
          </w:tcPr>
          <w:p>
            <w:pPr>
              <w:spacing w:after="0"/>
              <w:rPr>
                <w:sz w:val="14"/>
                <w:szCs w:val="14"/>
                <w:color w:val="auto"/>
              </w:rPr>
            </w:pPr>
          </w:p>
        </w:tc>
        <w:tc>
          <w:tcPr>
            <w:tcW w:w="5900" w:type="dxa"/>
            <w:vAlign w:val="bottom"/>
            <w:shd w:val="clear" w:color="auto" w:fill="225CAB"/>
          </w:tcPr>
          <w:p>
            <w:pPr>
              <w:spacing w:after="0"/>
              <w:rPr>
                <w:sz w:val="14"/>
                <w:szCs w:val="14"/>
                <w:color w:val="auto"/>
              </w:rPr>
            </w:pPr>
          </w:p>
        </w:tc>
        <w:tc>
          <w:tcPr>
            <w:tcW w:w="2400" w:type="dxa"/>
            <w:vAlign w:val="bottom"/>
            <w:shd w:val="clear" w:color="auto" w:fill="225CAB"/>
          </w:tcPr>
          <w:p>
            <w:pPr>
              <w:ind w:left="1260"/>
              <w:spacing w:after="0"/>
              <w:rPr>
                <w:sz w:val="20"/>
                <w:szCs w:val="20"/>
                <w:color w:val="auto"/>
              </w:rPr>
            </w:pPr>
            <w:r>
              <w:rPr>
                <w:rFonts w:ascii="Arial" w:cs="Arial" w:eastAsia="Arial" w:hAnsi="Arial"/>
                <w:sz w:val="14"/>
                <w:szCs w:val="14"/>
                <w:color w:val="FFFFFF"/>
              </w:rPr>
              <w:t>Board</w:t>
            </w:r>
          </w:p>
        </w:tc>
        <w:tc>
          <w:tcPr>
            <w:tcW w:w="2460" w:type="dxa"/>
            <w:vAlign w:val="bottom"/>
            <w:shd w:val="clear" w:color="auto" w:fill="225CAB"/>
          </w:tcPr>
          <w:p>
            <w:pPr>
              <w:ind w:left="1260"/>
              <w:spacing w:after="0"/>
              <w:rPr>
                <w:sz w:val="20"/>
                <w:szCs w:val="20"/>
                <w:color w:val="auto"/>
              </w:rPr>
            </w:pPr>
            <w:r>
              <w:rPr>
                <w:rFonts w:ascii="Arial" w:cs="Arial" w:eastAsia="Arial" w:hAnsi="Arial"/>
                <w:sz w:val="14"/>
                <w:szCs w:val="14"/>
                <w:color w:val="FFFFFF"/>
              </w:rPr>
              <w:t>Vote</w:t>
            </w:r>
          </w:p>
        </w:tc>
        <w:tc>
          <w:tcPr>
            <w:tcW w:w="0" w:type="dxa"/>
            <w:vAlign w:val="bottom"/>
          </w:tcPr>
          <w:p>
            <w:pPr>
              <w:spacing w:after="0"/>
              <w:rPr>
                <w:sz w:val="1"/>
                <w:szCs w:val="1"/>
                <w:color w:val="auto"/>
              </w:rPr>
            </w:pPr>
          </w:p>
        </w:tc>
      </w:tr>
      <w:tr>
        <w:trPr>
          <w:trHeight w:val="163"/>
        </w:trPr>
        <w:tc>
          <w:tcPr>
            <w:tcW w:w="6200" w:type="dxa"/>
            <w:vAlign w:val="bottom"/>
            <w:gridSpan w:val="2"/>
            <w:shd w:val="clear" w:color="auto" w:fill="225CAB"/>
          </w:tcPr>
          <w:p>
            <w:pPr>
              <w:spacing w:after="0"/>
              <w:rPr>
                <w:sz w:val="20"/>
                <w:szCs w:val="20"/>
                <w:color w:val="auto"/>
              </w:rPr>
            </w:pPr>
            <w:r>
              <w:rPr>
                <w:rFonts w:ascii="Arial" w:cs="Arial" w:eastAsia="Arial" w:hAnsi="Arial"/>
                <w:sz w:val="14"/>
                <w:szCs w:val="14"/>
                <w:color w:val="FFFFFF"/>
              </w:rPr>
              <w:t>Proposals</w:t>
            </w:r>
          </w:p>
        </w:tc>
        <w:tc>
          <w:tcPr>
            <w:tcW w:w="2400" w:type="dxa"/>
            <w:vAlign w:val="bottom"/>
            <w:shd w:val="clear" w:color="auto" w:fill="225CAB"/>
          </w:tcPr>
          <w:p>
            <w:pPr>
              <w:ind w:left="920"/>
              <w:spacing w:after="0"/>
              <w:rPr>
                <w:sz w:val="20"/>
                <w:szCs w:val="20"/>
                <w:color w:val="auto"/>
              </w:rPr>
            </w:pPr>
            <w:r>
              <w:rPr>
                <w:rFonts w:ascii="Arial" w:cs="Arial" w:eastAsia="Arial" w:hAnsi="Arial"/>
                <w:sz w:val="14"/>
                <w:szCs w:val="14"/>
                <w:color w:val="FFFFFF"/>
              </w:rPr>
              <w:t>Recommendation</w:t>
            </w:r>
          </w:p>
        </w:tc>
        <w:tc>
          <w:tcPr>
            <w:tcW w:w="2460" w:type="dxa"/>
            <w:vAlign w:val="bottom"/>
            <w:shd w:val="clear" w:color="auto" w:fill="225CAB"/>
          </w:tcPr>
          <w:p>
            <w:pPr>
              <w:ind w:left="1120"/>
              <w:spacing w:after="0"/>
              <w:rPr>
                <w:sz w:val="20"/>
                <w:szCs w:val="20"/>
                <w:color w:val="auto"/>
              </w:rPr>
            </w:pPr>
            <w:r>
              <w:rPr>
                <w:rFonts w:ascii="Arial" w:cs="Arial" w:eastAsia="Arial" w:hAnsi="Arial"/>
                <w:sz w:val="14"/>
                <w:szCs w:val="14"/>
                <w:color w:val="FFFFFF"/>
              </w:rPr>
              <w:t>Required</w:t>
            </w:r>
          </w:p>
        </w:tc>
        <w:tc>
          <w:tcPr>
            <w:tcW w:w="0" w:type="dxa"/>
            <w:vAlign w:val="bottom"/>
          </w:tcPr>
          <w:p>
            <w:pPr>
              <w:spacing w:after="0"/>
              <w:rPr>
                <w:sz w:val="1"/>
                <w:szCs w:val="1"/>
                <w:color w:val="auto"/>
              </w:rPr>
            </w:pPr>
          </w:p>
        </w:tc>
      </w:tr>
      <w:tr>
        <w:trPr>
          <w:trHeight w:val="203"/>
        </w:trPr>
        <w:tc>
          <w:tcPr>
            <w:tcW w:w="6200" w:type="dxa"/>
            <w:vAlign w:val="bottom"/>
            <w:tcBorders>
              <w:bottom w:val="single" w:sz="8" w:color="225CAB"/>
            </w:tcBorders>
            <w:gridSpan w:val="2"/>
          </w:tcPr>
          <w:p>
            <w:pPr>
              <w:spacing w:after="0" w:line="202" w:lineRule="exact"/>
              <w:rPr>
                <w:sz w:val="20"/>
                <w:szCs w:val="20"/>
                <w:color w:val="auto"/>
              </w:rPr>
            </w:pPr>
            <w:r>
              <w:rPr>
                <w:rFonts w:ascii="Arial" w:cs="Arial" w:eastAsia="Arial" w:hAnsi="Arial"/>
                <w:sz w:val="18"/>
                <w:szCs w:val="18"/>
                <w:b w:val="1"/>
                <w:bCs w:val="1"/>
                <w:color w:val="auto"/>
              </w:rPr>
              <w:t xml:space="preserve">1:   </w:t>
            </w:r>
            <w:r>
              <w:rPr>
                <w:rFonts w:ascii="Arial" w:cs="Arial" w:eastAsia="Arial" w:hAnsi="Arial"/>
                <w:sz w:val="18"/>
                <w:szCs w:val="18"/>
                <w:color w:val="auto"/>
              </w:rPr>
              <w:t>Election of nine directors</w:t>
            </w:r>
          </w:p>
        </w:tc>
        <w:tc>
          <w:tcPr>
            <w:tcW w:w="2400" w:type="dxa"/>
            <w:vAlign w:val="bottom"/>
            <w:tcBorders>
              <w:bottom w:val="single" w:sz="8" w:color="225CAB"/>
            </w:tcBorders>
          </w:tcPr>
          <w:p>
            <w:pPr>
              <w:ind w:left="280"/>
              <w:spacing w:after="0" w:line="202" w:lineRule="exact"/>
              <w:rPr>
                <w:sz w:val="20"/>
                <w:szCs w:val="20"/>
                <w:color w:val="auto"/>
              </w:rPr>
            </w:pPr>
            <w:r>
              <w:rPr>
                <w:rFonts w:ascii="Arial" w:cs="Arial" w:eastAsia="Arial" w:hAnsi="Arial"/>
                <w:sz w:val="18"/>
                <w:szCs w:val="18"/>
                <w:b w:val="1"/>
                <w:bCs w:val="1"/>
                <w:color w:val="auto"/>
              </w:rPr>
              <w:t>FOR EACH NOMINEE</w:t>
            </w:r>
          </w:p>
        </w:tc>
        <w:tc>
          <w:tcPr>
            <w:tcW w:w="2460" w:type="dxa"/>
            <w:vAlign w:val="bottom"/>
            <w:tcBorders>
              <w:bottom w:val="single" w:sz="8" w:color="225CAB"/>
            </w:tcBorders>
          </w:tcPr>
          <w:p>
            <w:pPr>
              <w:ind w:left="320"/>
              <w:spacing w:after="0" w:line="202" w:lineRule="exact"/>
              <w:rPr>
                <w:sz w:val="20"/>
                <w:szCs w:val="20"/>
                <w:color w:val="auto"/>
              </w:rPr>
            </w:pPr>
            <w:r>
              <w:rPr>
                <w:rFonts w:ascii="Arial" w:cs="Arial" w:eastAsia="Arial" w:hAnsi="Arial"/>
                <w:sz w:val="18"/>
                <w:szCs w:val="18"/>
                <w:color w:val="auto"/>
              </w:rPr>
              <w:t>Majority of votes cast</w:t>
            </w:r>
          </w:p>
        </w:tc>
        <w:tc>
          <w:tcPr>
            <w:tcW w:w="0" w:type="dxa"/>
            <w:vAlign w:val="bottom"/>
          </w:tcPr>
          <w:p>
            <w:pPr>
              <w:spacing w:after="0"/>
              <w:rPr>
                <w:sz w:val="1"/>
                <w:szCs w:val="1"/>
                <w:color w:val="auto"/>
              </w:rPr>
            </w:pPr>
          </w:p>
        </w:tc>
      </w:tr>
      <w:tr>
        <w:trPr>
          <w:trHeight w:val="199"/>
        </w:trPr>
        <w:tc>
          <w:tcPr>
            <w:tcW w:w="300" w:type="dxa"/>
            <w:vAlign w:val="bottom"/>
          </w:tcPr>
          <w:p>
            <w:pPr>
              <w:spacing w:after="0" w:line="200" w:lineRule="exact"/>
              <w:rPr>
                <w:sz w:val="20"/>
                <w:szCs w:val="20"/>
                <w:color w:val="auto"/>
              </w:rPr>
            </w:pPr>
            <w:r>
              <w:rPr>
                <w:rFonts w:ascii="Arial" w:cs="Arial" w:eastAsia="Arial" w:hAnsi="Arial"/>
                <w:sz w:val="18"/>
                <w:szCs w:val="18"/>
                <w:b w:val="1"/>
                <w:bCs w:val="1"/>
                <w:color w:val="auto"/>
              </w:rPr>
              <w:t>2:</w:t>
            </w:r>
          </w:p>
        </w:tc>
        <w:tc>
          <w:tcPr>
            <w:tcW w:w="5900" w:type="dxa"/>
            <w:vAlign w:val="bottom"/>
          </w:tcPr>
          <w:p>
            <w:pPr>
              <w:ind w:left="120"/>
              <w:spacing w:after="0" w:line="200" w:lineRule="exact"/>
              <w:rPr>
                <w:sz w:val="20"/>
                <w:szCs w:val="20"/>
                <w:color w:val="auto"/>
              </w:rPr>
            </w:pPr>
            <w:r>
              <w:rPr>
                <w:rFonts w:ascii="Arial" w:cs="Arial" w:eastAsia="Arial" w:hAnsi="Arial"/>
                <w:sz w:val="18"/>
                <w:szCs w:val="18"/>
                <w:color w:val="auto"/>
              </w:rPr>
              <w:t>Advisory vote to approve the compensation paid</w:t>
            </w:r>
          </w:p>
        </w:tc>
        <w:tc>
          <w:tcPr>
            <w:tcW w:w="240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FOR</w:t>
            </w:r>
          </w:p>
        </w:tc>
        <w:tc>
          <w:tcPr>
            <w:tcW w:w="2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00" w:type="dxa"/>
            <w:vAlign w:val="bottom"/>
            <w:tcBorders>
              <w:bottom w:val="single" w:sz="8" w:color="225CAB"/>
            </w:tcBorders>
          </w:tcPr>
          <w:p>
            <w:pPr>
              <w:spacing w:after="0"/>
              <w:rPr>
                <w:sz w:val="17"/>
                <w:szCs w:val="17"/>
                <w:color w:val="auto"/>
              </w:rPr>
            </w:pPr>
          </w:p>
        </w:tc>
        <w:tc>
          <w:tcPr>
            <w:tcW w:w="5900" w:type="dxa"/>
            <w:vAlign w:val="bottom"/>
            <w:tcBorders>
              <w:bottom w:val="single" w:sz="8" w:color="225CAB"/>
            </w:tcBorders>
          </w:tcPr>
          <w:p>
            <w:pPr>
              <w:ind w:left="120"/>
              <w:spacing w:after="0" w:line="200" w:lineRule="exact"/>
              <w:rPr>
                <w:sz w:val="20"/>
                <w:szCs w:val="20"/>
                <w:color w:val="auto"/>
              </w:rPr>
            </w:pPr>
            <w:r>
              <w:rPr>
                <w:rFonts w:ascii="Arial" w:cs="Arial" w:eastAsia="Arial" w:hAnsi="Arial"/>
                <w:sz w:val="18"/>
                <w:szCs w:val="18"/>
                <w:color w:val="auto"/>
              </w:rPr>
              <w:t>to our named executive officers</w:t>
            </w:r>
          </w:p>
        </w:tc>
        <w:tc>
          <w:tcPr>
            <w:tcW w:w="2400" w:type="dxa"/>
            <w:vAlign w:val="bottom"/>
            <w:tcBorders>
              <w:bottom w:val="single" w:sz="8" w:color="225CAB"/>
            </w:tcBorders>
            <w:vMerge w:val="continue"/>
          </w:tcPr>
          <w:p>
            <w:pPr>
              <w:spacing w:after="0"/>
              <w:rPr>
                <w:sz w:val="17"/>
                <w:szCs w:val="17"/>
                <w:color w:val="auto"/>
              </w:rPr>
            </w:pPr>
          </w:p>
        </w:tc>
        <w:tc>
          <w:tcPr>
            <w:tcW w:w="2460" w:type="dxa"/>
            <w:vAlign w:val="bottom"/>
            <w:tcBorders>
              <w:bottom w:val="single" w:sz="8" w:color="225CAB"/>
            </w:tcBorders>
          </w:tcPr>
          <w:p>
            <w:pPr>
              <w:ind w:left="320"/>
              <w:spacing w:after="0" w:line="200" w:lineRule="exact"/>
              <w:rPr>
                <w:sz w:val="20"/>
                <w:szCs w:val="20"/>
                <w:color w:val="auto"/>
              </w:rPr>
            </w:pPr>
            <w:r>
              <w:rPr>
                <w:rFonts w:ascii="Arial" w:cs="Arial" w:eastAsia="Arial" w:hAnsi="Arial"/>
                <w:sz w:val="18"/>
                <w:szCs w:val="18"/>
                <w:color w:val="auto"/>
              </w:rPr>
              <w:t>Majority of votes</w:t>
            </w:r>
          </w:p>
        </w:tc>
        <w:tc>
          <w:tcPr>
            <w:tcW w:w="0" w:type="dxa"/>
            <w:vAlign w:val="bottom"/>
          </w:tcPr>
          <w:p>
            <w:pPr>
              <w:spacing w:after="0"/>
              <w:rPr>
                <w:sz w:val="1"/>
                <w:szCs w:val="1"/>
                <w:color w:val="auto"/>
              </w:rPr>
            </w:pPr>
          </w:p>
        </w:tc>
      </w:tr>
      <w:tr>
        <w:trPr>
          <w:trHeight w:val="199"/>
        </w:trPr>
        <w:tc>
          <w:tcPr>
            <w:tcW w:w="300" w:type="dxa"/>
            <w:vAlign w:val="bottom"/>
          </w:tcPr>
          <w:p>
            <w:pPr>
              <w:spacing w:after="0" w:line="200" w:lineRule="exact"/>
              <w:rPr>
                <w:sz w:val="20"/>
                <w:szCs w:val="20"/>
                <w:color w:val="auto"/>
              </w:rPr>
            </w:pPr>
            <w:r>
              <w:rPr>
                <w:rFonts w:ascii="Arial" w:cs="Arial" w:eastAsia="Arial" w:hAnsi="Arial"/>
                <w:sz w:val="18"/>
                <w:szCs w:val="18"/>
                <w:b w:val="1"/>
                <w:bCs w:val="1"/>
                <w:color w:val="auto"/>
              </w:rPr>
              <w:t>3:</w:t>
            </w:r>
          </w:p>
        </w:tc>
        <w:tc>
          <w:tcPr>
            <w:tcW w:w="5900" w:type="dxa"/>
            <w:vAlign w:val="bottom"/>
          </w:tcPr>
          <w:p>
            <w:pPr>
              <w:ind w:left="120"/>
              <w:spacing w:after="0" w:line="200" w:lineRule="exact"/>
              <w:rPr>
                <w:sz w:val="20"/>
                <w:szCs w:val="20"/>
                <w:color w:val="auto"/>
              </w:rPr>
            </w:pPr>
            <w:r>
              <w:rPr>
                <w:rFonts w:ascii="Arial" w:cs="Arial" w:eastAsia="Arial" w:hAnsi="Arial"/>
                <w:sz w:val="18"/>
                <w:szCs w:val="18"/>
                <w:color w:val="auto"/>
              </w:rPr>
              <w:t>Ratification of the appointment of PricewaterhouseCoopers LLC as our</w:t>
            </w:r>
          </w:p>
        </w:tc>
        <w:tc>
          <w:tcPr>
            <w:tcW w:w="240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FOR</w:t>
            </w:r>
          </w:p>
        </w:tc>
        <w:tc>
          <w:tcPr>
            <w:tcW w:w="2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00" w:type="dxa"/>
            <w:vAlign w:val="bottom"/>
            <w:tcBorders>
              <w:bottom w:val="single" w:sz="8" w:color="225CAB"/>
            </w:tcBorders>
          </w:tcPr>
          <w:p>
            <w:pPr>
              <w:spacing w:after="0"/>
              <w:rPr>
                <w:sz w:val="17"/>
                <w:szCs w:val="17"/>
                <w:color w:val="auto"/>
              </w:rPr>
            </w:pPr>
          </w:p>
        </w:tc>
        <w:tc>
          <w:tcPr>
            <w:tcW w:w="5900" w:type="dxa"/>
            <w:vAlign w:val="bottom"/>
            <w:tcBorders>
              <w:bottom w:val="single" w:sz="8" w:color="225CAB"/>
            </w:tcBorders>
          </w:tcPr>
          <w:p>
            <w:pPr>
              <w:ind w:left="120"/>
              <w:spacing w:after="0" w:line="200" w:lineRule="exact"/>
              <w:rPr>
                <w:sz w:val="20"/>
                <w:szCs w:val="20"/>
                <w:color w:val="auto"/>
              </w:rPr>
            </w:pPr>
            <w:r>
              <w:rPr>
                <w:rFonts w:ascii="Arial" w:cs="Arial" w:eastAsia="Arial" w:hAnsi="Arial"/>
                <w:sz w:val="18"/>
                <w:szCs w:val="18"/>
                <w:color w:val="auto"/>
              </w:rPr>
              <w:t>independent registered accounting firm</w:t>
            </w:r>
          </w:p>
        </w:tc>
        <w:tc>
          <w:tcPr>
            <w:tcW w:w="2400" w:type="dxa"/>
            <w:vAlign w:val="bottom"/>
            <w:tcBorders>
              <w:bottom w:val="single" w:sz="8" w:color="225CAB"/>
            </w:tcBorders>
            <w:vMerge w:val="continue"/>
          </w:tcPr>
          <w:p>
            <w:pPr>
              <w:spacing w:after="0"/>
              <w:rPr>
                <w:sz w:val="17"/>
                <w:szCs w:val="17"/>
                <w:color w:val="auto"/>
              </w:rPr>
            </w:pPr>
          </w:p>
        </w:tc>
        <w:tc>
          <w:tcPr>
            <w:tcW w:w="2460" w:type="dxa"/>
            <w:vAlign w:val="bottom"/>
            <w:tcBorders>
              <w:bottom w:val="single" w:sz="8" w:color="225CAB"/>
            </w:tcBorders>
          </w:tcPr>
          <w:p>
            <w:pPr>
              <w:ind w:left="320"/>
              <w:spacing w:after="0" w:line="200" w:lineRule="exact"/>
              <w:rPr>
                <w:sz w:val="20"/>
                <w:szCs w:val="20"/>
                <w:color w:val="auto"/>
              </w:rPr>
            </w:pPr>
            <w:r>
              <w:rPr>
                <w:rFonts w:ascii="Arial" w:cs="Arial" w:eastAsia="Arial" w:hAnsi="Arial"/>
                <w:sz w:val="18"/>
                <w:szCs w:val="18"/>
                <w:color w:val="auto"/>
              </w:rPr>
              <w:t>Majority of votes</w:t>
            </w:r>
          </w:p>
        </w:tc>
        <w:tc>
          <w:tcPr>
            <w:tcW w:w="0" w:type="dxa"/>
            <w:vAlign w:val="bottom"/>
          </w:tcPr>
          <w:p>
            <w:pPr>
              <w:spacing w:after="0"/>
              <w:rPr>
                <w:sz w:val="1"/>
                <w:szCs w:val="1"/>
                <w:color w:val="auto"/>
              </w:rPr>
            </w:pPr>
          </w:p>
        </w:tc>
      </w:tr>
      <w:tr>
        <w:trPr>
          <w:trHeight w:val="196"/>
        </w:trPr>
        <w:tc>
          <w:tcPr>
            <w:tcW w:w="6200" w:type="dxa"/>
            <w:vAlign w:val="bottom"/>
            <w:tcBorders>
              <w:bottom w:val="single" w:sz="8" w:color="225CAB"/>
            </w:tcBorders>
            <w:gridSpan w:val="2"/>
          </w:tcPr>
          <w:p>
            <w:pPr>
              <w:spacing w:after="0" w:line="196" w:lineRule="exact"/>
              <w:rPr>
                <w:sz w:val="20"/>
                <w:szCs w:val="20"/>
                <w:color w:val="auto"/>
              </w:rPr>
            </w:pPr>
            <w:r>
              <w:rPr>
                <w:rFonts w:ascii="Arial" w:cs="Arial" w:eastAsia="Arial" w:hAnsi="Arial"/>
                <w:sz w:val="18"/>
                <w:szCs w:val="18"/>
                <w:b w:val="1"/>
                <w:bCs w:val="1"/>
                <w:color w:val="auto"/>
              </w:rPr>
              <w:t xml:space="preserve">4:   </w:t>
            </w:r>
            <w:r>
              <w:rPr>
                <w:rFonts w:ascii="Arial" w:cs="Arial" w:eastAsia="Arial" w:hAnsi="Arial"/>
                <w:sz w:val="18"/>
                <w:szCs w:val="18"/>
                <w:color w:val="auto"/>
              </w:rPr>
              <w:t>Approval of the Roper Technologies, Inc. 2016 Incentive Plan</w:t>
            </w:r>
          </w:p>
        </w:tc>
        <w:tc>
          <w:tcPr>
            <w:tcW w:w="2400" w:type="dxa"/>
            <w:vAlign w:val="bottom"/>
            <w:tcBorders>
              <w:bottom w:val="single" w:sz="8" w:color="225CAB"/>
            </w:tcBorders>
          </w:tcPr>
          <w:p>
            <w:pPr>
              <w:ind w:left="280"/>
              <w:spacing w:after="0" w:line="196" w:lineRule="exact"/>
              <w:rPr>
                <w:sz w:val="20"/>
                <w:szCs w:val="20"/>
                <w:color w:val="auto"/>
              </w:rPr>
            </w:pPr>
            <w:r>
              <w:rPr>
                <w:rFonts w:ascii="Arial" w:cs="Arial" w:eastAsia="Arial" w:hAnsi="Arial"/>
                <w:sz w:val="18"/>
                <w:szCs w:val="18"/>
                <w:b w:val="1"/>
                <w:bCs w:val="1"/>
                <w:color w:val="auto"/>
              </w:rPr>
              <w:t>FOR</w:t>
            </w:r>
          </w:p>
        </w:tc>
        <w:tc>
          <w:tcPr>
            <w:tcW w:w="2460" w:type="dxa"/>
            <w:vAlign w:val="bottom"/>
            <w:tcBorders>
              <w:bottom w:val="single" w:sz="8" w:color="225CAB"/>
            </w:tcBorders>
          </w:tcPr>
          <w:p>
            <w:pPr>
              <w:ind w:left="320"/>
              <w:spacing w:after="0" w:line="196" w:lineRule="exact"/>
              <w:rPr>
                <w:sz w:val="20"/>
                <w:szCs w:val="20"/>
                <w:color w:val="auto"/>
              </w:rPr>
            </w:pPr>
            <w:r>
              <w:rPr>
                <w:rFonts w:ascii="Arial" w:cs="Arial" w:eastAsia="Arial" w:hAnsi="Arial"/>
                <w:sz w:val="18"/>
                <w:szCs w:val="18"/>
                <w:color w:val="auto"/>
              </w:rPr>
              <w:t>Majority of votes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7020" w:type="dxa"/>
        <w:tblCellMar>
          <w:top w:w="0" w:type="dxa"/>
          <w:left w:w="0" w:type="dxa"/>
          <w:bottom w:w="0" w:type="dxa"/>
          <w:right w:w="0" w:type="dxa"/>
        </w:tblCellMar>
      </w:tblPr>
      <w:tr>
        <w:trPr>
          <w:trHeight w:val="309"/>
        </w:trPr>
        <w:tc>
          <w:tcPr>
            <w:tcW w:w="4100" w:type="dxa"/>
            <w:vAlign w:val="bottom"/>
            <w:tcBorders>
              <w:right w:val="single" w:sz="8" w:color="225CAB"/>
            </w:tcBorders>
          </w:tcPr>
          <w:p>
            <w:pPr>
              <w:spacing w:after="0"/>
              <w:rPr>
                <w:sz w:val="20"/>
                <w:szCs w:val="20"/>
                <w:color w:val="auto"/>
              </w:rPr>
            </w:pPr>
            <w:r>
              <w:rPr>
                <w:rFonts w:ascii="Arial" w:cs="Arial" w:eastAsia="Arial" w:hAnsi="Arial"/>
                <w:sz w:val="18"/>
                <w:szCs w:val="18"/>
                <w:b w:val="1"/>
                <w:bCs w:val="1"/>
                <w:color w:val="225CAB"/>
                <w:w w:val="99"/>
              </w:rPr>
              <w:t>Roper Technologies, Inc. 2016 Proxy Statement</w:t>
            </w:r>
          </w:p>
        </w:tc>
        <w:tc>
          <w:tcPr>
            <w:tcW w:w="300" w:type="dxa"/>
            <w:vAlign w:val="bottom"/>
          </w:tcPr>
          <w:p>
            <w:pPr>
              <w:ind w:left="260"/>
              <w:spacing w:after="0"/>
              <w:rPr>
                <w:sz w:val="20"/>
                <w:szCs w:val="20"/>
                <w:color w:val="auto"/>
              </w:rPr>
            </w:pPr>
            <w:r>
              <w:rPr>
                <w:rFonts w:ascii="Arial" w:cs="Arial" w:eastAsia="Arial" w:hAnsi="Arial"/>
                <w:sz w:val="10"/>
                <w:szCs w:val="10"/>
                <w:b w:val="1"/>
                <w:bCs w:val="1"/>
                <w:color w:val="225CAB"/>
                <w:w w:val="70"/>
              </w:rPr>
              <w:t>i</w:t>
            </w:r>
          </w:p>
        </w:tc>
      </w:tr>
      <w:tr>
        <w:trPr>
          <w:trHeight w:val="83"/>
        </w:trPr>
        <w:tc>
          <w:tcPr>
            <w:tcW w:w="4100" w:type="dxa"/>
            <w:vAlign w:val="bottom"/>
            <w:tcBorders>
              <w:right w:val="single" w:sz="8" w:color="225CAB"/>
            </w:tcBorders>
          </w:tcPr>
          <w:p>
            <w:pPr>
              <w:spacing w:after="0"/>
              <w:rPr>
                <w:sz w:val="7"/>
                <w:szCs w:val="7"/>
                <w:color w:val="auto"/>
              </w:rPr>
            </w:pPr>
          </w:p>
        </w:tc>
        <w:tc>
          <w:tcPr>
            <w:tcW w:w="30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-213995</wp:posOffset>
            </wp:positionV>
            <wp:extent cx="420370" cy="2057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225CAB"/>
        </w:rPr>
        <w:t>PROXY STATEMENT SUMMARY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7276465" cy="4343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6465" cy="4343400"/>
                    </a:xfrm>
                    <a:prstGeom prst="rect">
                      <a:avLst/>
                    </a:prstGeom>
                    <a:noFill/>
                  </pic:spPr>
                </pic:pic>
              </a:graphicData>
            </a:graphic>
          </wp:anchor>
        </w:drawing>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225CAB"/>
        </w:rPr>
        <w:t>2016 DIRECTOR NOMINEES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Shareholders are electing all nine directors who will serve for a one-year term expiring at the Annual Meeting in 2017.</w:t>
      </w:r>
    </w:p>
    <w:p>
      <w:pPr>
        <w:spacing w:after="0" w:line="182"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300" w:type="dxa"/>
            <w:vAlign w:val="bottom"/>
            <w:shd w:val="clear" w:color="auto" w:fill="225CAB"/>
          </w:tcPr>
          <w:p>
            <w:pPr>
              <w:spacing w:after="0"/>
              <w:rPr>
                <w:sz w:val="14"/>
                <w:szCs w:val="14"/>
                <w:color w:val="auto"/>
              </w:rPr>
            </w:pPr>
          </w:p>
        </w:tc>
        <w:tc>
          <w:tcPr>
            <w:tcW w:w="3500" w:type="dxa"/>
            <w:vAlign w:val="bottom"/>
            <w:shd w:val="clear" w:color="auto" w:fill="225CAB"/>
          </w:tcPr>
          <w:p>
            <w:pPr>
              <w:spacing w:after="0"/>
              <w:rPr>
                <w:sz w:val="14"/>
                <w:szCs w:val="14"/>
                <w:color w:val="auto"/>
              </w:rPr>
            </w:pPr>
          </w:p>
        </w:tc>
        <w:tc>
          <w:tcPr>
            <w:tcW w:w="680" w:type="dxa"/>
            <w:vAlign w:val="bottom"/>
            <w:shd w:val="clear" w:color="auto" w:fill="225CAB"/>
          </w:tcPr>
          <w:p>
            <w:pPr>
              <w:spacing w:after="0"/>
              <w:rPr>
                <w:sz w:val="14"/>
                <w:szCs w:val="14"/>
                <w:color w:val="auto"/>
              </w:rPr>
            </w:pPr>
          </w:p>
        </w:tc>
        <w:tc>
          <w:tcPr>
            <w:tcW w:w="980" w:type="dxa"/>
            <w:vAlign w:val="bottom"/>
            <w:shd w:val="clear" w:color="auto" w:fill="225CAB"/>
          </w:tcPr>
          <w:p>
            <w:pPr>
              <w:spacing w:after="0"/>
              <w:rPr>
                <w:sz w:val="14"/>
                <w:szCs w:val="14"/>
                <w:color w:val="auto"/>
              </w:rPr>
            </w:pPr>
          </w:p>
        </w:tc>
        <w:tc>
          <w:tcPr>
            <w:tcW w:w="2820" w:type="dxa"/>
            <w:vAlign w:val="bottom"/>
            <w:gridSpan w:val="2"/>
            <w:shd w:val="clear" w:color="auto" w:fill="225CAB"/>
          </w:tcPr>
          <w:p>
            <w:pPr>
              <w:ind w:left="1480"/>
              <w:spacing w:after="0"/>
              <w:rPr>
                <w:sz w:val="20"/>
                <w:szCs w:val="20"/>
                <w:color w:val="auto"/>
              </w:rPr>
            </w:pPr>
            <w:r>
              <w:rPr>
                <w:rFonts w:ascii="Arial" w:cs="Arial" w:eastAsia="Arial" w:hAnsi="Arial"/>
                <w:sz w:val="14"/>
                <w:szCs w:val="14"/>
                <w:color w:val="FFFFFF"/>
              </w:rPr>
              <w:t>Committees</w:t>
            </w:r>
          </w:p>
        </w:tc>
        <w:tc>
          <w:tcPr>
            <w:tcW w:w="780" w:type="dxa"/>
            <w:vAlign w:val="bottom"/>
            <w:shd w:val="clear" w:color="auto" w:fill="225CAB"/>
          </w:tcPr>
          <w:p>
            <w:pPr>
              <w:spacing w:after="0"/>
              <w:rPr>
                <w:sz w:val="14"/>
                <w:szCs w:val="14"/>
                <w:color w:val="auto"/>
              </w:rPr>
            </w:pPr>
          </w:p>
        </w:tc>
      </w:tr>
      <w:tr>
        <w:trPr>
          <w:trHeight w:val="149"/>
        </w:trPr>
        <w:tc>
          <w:tcPr>
            <w:tcW w:w="2300" w:type="dxa"/>
            <w:vAlign w:val="bottom"/>
            <w:shd w:val="clear" w:color="auto" w:fill="225CAB"/>
          </w:tcPr>
          <w:p>
            <w:pPr>
              <w:spacing w:after="0"/>
              <w:rPr>
                <w:sz w:val="12"/>
                <w:szCs w:val="12"/>
                <w:color w:val="auto"/>
              </w:rPr>
            </w:pPr>
          </w:p>
        </w:tc>
        <w:tc>
          <w:tcPr>
            <w:tcW w:w="3500" w:type="dxa"/>
            <w:vAlign w:val="bottom"/>
            <w:shd w:val="clear" w:color="auto" w:fill="225CAB"/>
          </w:tcPr>
          <w:p>
            <w:pPr>
              <w:spacing w:after="0"/>
              <w:rPr>
                <w:sz w:val="12"/>
                <w:szCs w:val="12"/>
                <w:color w:val="auto"/>
              </w:rPr>
            </w:pPr>
          </w:p>
        </w:tc>
        <w:tc>
          <w:tcPr>
            <w:tcW w:w="680" w:type="dxa"/>
            <w:vAlign w:val="bottom"/>
            <w:shd w:val="clear" w:color="auto" w:fill="225CAB"/>
          </w:tcPr>
          <w:p>
            <w:pPr>
              <w:spacing w:after="0"/>
              <w:rPr>
                <w:sz w:val="12"/>
                <w:szCs w:val="12"/>
                <w:color w:val="auto"/>
              </w:rPr>
            </w:pPr>
          </w:p>
        </w:tc>
        <w:tc>
          <w:tcPr>
            <w:tcW w:w="980" w:type="dxa"/>
            <w:vAlign w:val="bottom"/>
            <w:shd w:val="clear" w:color="auto" w:fill="225CAB"/>
          </w:tcPr>
          <w:p>
            <w:pPr>
              <w:spacing w:after="0"/>
              <w:rPr>
                <w:sz w:val="12"/>
                <w:szCs w:val="12"/>
                <w:color w:val="auto"/>
              </w:rPr>
            </w:pPr>
          </w:p>
        </w:tc>
        <w:tc>
          <w:tcPr>
            <w:tcW w:w="1800" w:type="dxa"/>
            <w:vAlign w:val="bottom"/>
            <w:shd w:val="clear" w:color="auto" w:fill="225CAB"/>
          </w:tcPr>
          <w:p>
            <w:pPr>
              <w:spacing w:after="0"/>
              <w:rPr>
                <w:sz w:val="12"/>
                <w:szCs w:val="12"/>
                <w:color w:val="auto"/>
              </w:rPr>
            </w:pPr>
          </w:p>
        </w:tc>
        <w:tc>
          <w:tcPr>
            <w:tcW w:w="102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color w:val="FFFFFF"/>
                <w:w w:val="95"/>
              </w:rPr>
              <w:t>Nominating</w:t>
            </w:r>
          </w:p>
        </w:tc>
        <w:tc>
          <w:tcPr>
            <w:tcW w:w="780" w:type="dxa"/>
            <w:vAlign w:val="bottom"/>
            <w:shd w:val="clear" w:color="auto" w:fill="225CAB"/>
          </w:tcPr>
          <w:p>
            <w:pPr>
              <w:spacing w:after="0"/>
              <w:rPr>
                <w:sz w:val="12"/>
                <w:szCs w:val="12"/>
                <w:color w:val="auto"/>
              </w:rPr>
            </w:pPr>
          </w:p>
        </w:tc>
      </w:tr>
      <w:tr>
        <w:trPr>
          <w:trHeight w:val="149"/>
        </w:trPr>
        <w:tc>
          <w:tcPr>
            <w:tcW w:w="2300" w:type="dxa"/>
            <w:vAlign w:val="bottom"/>
            <w:shd w:val="clear" w:color="auto" w:fill="225CAB"/>
          </w:tcPr>
          <w:p>
            <w:pPr>
              <w:spacing w:after="0"/>
              <w:rPr>
                <w:sz w:val="12"/>
                <w:szCs w:val="12"/>
                <w:color w:val="auto"/>
              </w:rPr>
            </w:pPr>
          </w:p>
        </w:tc>
        <w:tc>
          <w:tcPr>
            <w:tcW w:w="3500" w:type="dxa"/>
            <w:vAlign w:val="bottom"/>
            <w:shd w:val="clear" w:color="auto" w:fill="225CAB"/>
          </w:tcPr>
          <w:p>
            <w:pPr>
              <w:spacing w:after="0"/>
              <w:rPr>
                <w:sz w:val="12"/>
                <w:szCs w:val="12"/>
                <w:color w:val="auto"/>
              </w:rPr>
            </w:pPr>
          </w:p>
        </w:tc>
        <w:tc>
          <w:tcPr>
            <w:tcW w:w="68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color w:val="FFFFFF"/>
                <w:w w:val="97"/>
              </w:rPr>
              <w:t>Director</w:t>
            </w:r>
          </w:p>
        </w:tc>
        <w:tc>
          <w:tcPr>
            <w:tcW w:w="980" w:type="dxa"/>
            <w:vAlign w:val="bottom"/>
            <w:shd w:val="clear" w:color="auto" w:fill="225CAB"/>
          </w:tcPr>
          <w:p>
            <w:pPr>
              <w:spacing w:after="0"/>
              <w:rPr>
                <w:sz w:val="12"/>
                <w:szCs w:val="12"/>
                <w:color w:val="auto"/>
              </w:rPr>
            </w:pPr>
          </w:p>
        </w:tc>
        <w:tc>
          <w:tcPr>
            <w:tcW w:w="1800" w:type="dxa"/>
            <w:vAlign w:val="bottom"/>
            <w:shd w:val="clear" w:color="auto" w:fill="225CAB"/>
          </w:tcPr>
          <w:p>
            <w:pPr>
              <w:spacing w:after="0"/>
              <w:rPr>
                <w:sz w:val="12"/>
                <w:szCs w:val="12"/>
                <w:color w:val="auto"/>
              </w:rPr>
            </w:pPr>
          </w:p>
        </w:tc>
        <w:tc>
          <w:tcPr>
            <w:tcW w:w="102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color w:val="FFFFFF"/>
                <w:w w:val="94"/>
              </w:rPr>
              <w:t>and</w:t>
            </w:r>
          </w:p>
        </w:tc>
        <w:tc>
          <w:tcPr>
            <w:tcW w:w="780" w:type="dxa"/>
            <w:vAlign w:val="bottom"/>
            <w:shd w:val="clear" w:color="auto" w:fill="225CAB"/>
          </w:tcPr>
          <w:p>
            <w:pPr>
              <w:spacing w:after="0"/>
              <w:rPr>
                <w:sz w:val="12"/>
                <w:szCs w:val="12"/>
                <w:color w:val="auto"/>
              </w:rPr>
            </w:pPr>
          </w:p>
        </w:tc>
      </w:tr>
      <w:tr>
        <w:trPr>
          <w:trHeight w:val="149"/>
        </w:trPr>
        <w:tc>
          <w:tcPr>
            <w:tcW w:w="2300" w:type="dxa"/>
            <w:vAlign w:val="bottom"/>
            <w:shd w:val="clear" w:color="auto" w:fill="225CAB"/>
          </w:tcPr>
          <w:p>
            <w:pPr>
              <w:spacing w:after="0" w:line="149" w:lineRule="exact"/>
              <w:rPr>
                <w:sz w:val="20"/>
                <w:szCs w:val="20"/>
                <w:color w:val="auto"/>
              </w:rPr>
            </w:pPr>
            <w:r>
              <w:rPr>
                <w:rFonts w:ascii="Arial" w:cs="Arial" w:eastAsia="Arial" w:hAnsi="Arial"/>
                <w:sz w:val="14"/>
                <w:szCs w:val="14"/>
                <w:color w:val="FFFFFF"/>
              </w:rPr>
              <w:t>Name</w:t>
            </w:r>
          </w:p>
        </w:tc>
        <w:tc>
          <w:tcPr>
            <w:tcW w:w="3500" w:type="dxa"/>
            <w:vAlign w:val="bottom"/>
            <w:shd w:val="clear" w:color="auto" w:fill="225CAB"/>
          </w:tcPr>
          <w:p>
            <w:pPr>
              <w:ind w:left="1540"/>
              <w:spacing w:after="0" w:line="149" w:lineRule="exact"/>
              <w:rPr>
                <w:sz w:val="20"/>
                <w:szCs w:val="20"/>
                <w:color w:val="auto"/>
              </w:rPr>
            </w:pPr>
            <w:r>
              <w:rPr>
                <w:rFonts w:ascii="Arial" w:cs="Arial" w:eastAsia="Arial" w:hAnsi="Arial"/>
                <w:sz w:val="14"/>
                <w:szCs w:val="14"/>
                <w:color w:val="FFFFFF"/>
              </w:rPr>
              <w:t>Position</w:t>
            </w:r>
          </w:p>
        </w:tc>
        <w:tc>
          <w:tcPr>
            <w:tcW w:w="68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color w:val="FFFFFF"/>
                <w:w w:val="96"/>
              </w:rPr>
              <w:t>Since</w:t>
            </w:r>
          </w:p>
        </w:tc>
        <w:tc>
          <w:tcPr>
            <w:tcW w:w="98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color w:val="FFFFFF"/>
                <w:w w:val="97"/>
              </w:rPr>
              <w:t>Independent</w:t>
            </w:r>
          </w:p>
        </w:tc>
        <w:tc>
          <w:tcPr>
            <w:tcW w:w="1800" w:type="dxa"/>
            <w:vAlign w:val="bottom"/>
            <w:shd w:val="clear" w:color="auto" w:fill="225CAB"/>
          </w:tcPr>
          <w:p>
            <w:pPr>
              <w:ind w:left="180"/>
              <w:spacing w:after="0" w:line="149" w:lineRule="exact"/>
              <w:rPr>
                <w:sz w:val="20"/>
                <w:szCs w:val="20"/>
                <w:color w:val="auto"/>
              </w:rPr>
            </w:pPr>
            <w:r>
              <w:rPr>
                <w:rFonts w:ascii="Arial" w:cs="Arial" w:eastAsia="Arial" w:hAnsi="Arial"/>
                <w:sz w:val="14"/>
                <w:szCs w:val="14"/>
                <w:color w:val="FFFFFF"/>
                <w:w w:val="97"/>
              </w:rPr>
              <w:t>AuditCompensation</w:t>
            </w:r>
          </w:p>
        </w:tc>
        <w:tc>
          <w:tcPr>
            <w:tcW w:w="102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color w:val="FFFFFF"/>
                <w:w w:val="96"/>
              </w:rPr>
              <w:t>Governance</w:t>
            </w:r>
          </w:p>
        </w:tc>
        <w:tc>
          <w:tcPr>
            <w:tcW w:w="78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color w:val="FFFFFF"/>
                <w:w w:val="98"/>
              </w:rPr>
              <w:t>Executive</w:t>
            </w:r>
          </w:p>
        </w:tc>
      </w:tr>
      <w:tr>
        <w:trPr>
          <w:trHeight w:val="203"/>
        </w:trPr>
        <w:tc>
          <w:tcPr>
            <w:tcW w:w="2300" w:type="dxa"/>
            <w:vAlign w:val="bottom"/>
            <w:tcBorders>
              <w:bottom w:val="single" w:sz="8" w:color="225CAB"/>
            </w:tcBorders>
          </w:tcPr>
          <w:p>
            <w:pPr>
              <w:spacing w:after="0" w:line="202" w:lineRule="exact"/>
              <w:rPr>
                <w:sz w:val="20"/>
                <w:szCs w:val="20"/>
                <w:color w:val="auto"/>
              </w:rPr>
            </w:pPr>
            <w:r>
              <w:rPr>
                <w:rFonts w:ascii="Arial" w:cs="Arial" w:eastAsia="Arial" w:hAnsi="Arial"/>
                <w:sz w:val="18"/>
                <w:szCs w:val="18"/>
                <w:color w:val="225CAB"/>
              </w:rPr>
              <w:t>Amy Woods Brinkley</w:t>
            </w:r>
          </w:p>
        </w:tc>
        <w:tc>
          <w:tcPr>
            <w:tcW w:w="3500" w:type="dxa"/>
            <w:vAlign w:val="bottom"/>
            <w:tcBorders>
              <w:bottom w:val="single" w:sz="8" w:color="225CAB"/>
            </w:tcBorders>
          </w:tcPr>
          <w:p>
            <w:pPr>
              <w:ind w:left="120"/>
              <w:spacing w:after="0" w:line="202" w:lineRule="exact"/>
              <w:rPr>
                <w:sz w:val="20"/>
                <w:szCs w:val="20"/>
                <w:color w:val="auto"/>
              </w:rPr>
            </w:pPr>
            <w:r>
              <w:rPr>
                <w:rFonts w:ascii="Arial" w:cs="Arial" w:eastAsia="Arial" w:hAnsi="Arial"/>
                <w:sz w:val="18"/>
                <w:szCs w:val="18"/>
                <w:color w:val="auto"/>
              </w:rPr>
              <w:t>Founder, AWB Consulting, LLC</w:t>
            </w:r>
          </w:p>
        </w:tc>
        <w:tc>
          <w:tcPr>
            <w:tcW w:w="680" w:type="dxa"/>
            <w:vAlign w:val="bottom"/>
            <w:tcBorders>
              <w:bottom w:val="single" w:sz="8" w:color="225CAB"/>
            </w:tcBorders>
          </w:tcPr>
          <w:p>
            <w:pPr>
              <w:jc w:val="center"/>
              <w:spacing w:after="0" w:line="202" w:lineRule="exact"/>
              <w:rPr>
                <w:sz w:val="20"/>
                <w:szCs w:val="20"/>
                <w:color w:val="auto"/>
              </w:rPr>
            </w:pPr>
            <w:r>
              <w:rPr>
                <w:rFonts w:ascii="Arial" w:cs="Arial" w:eastAsia="Arial" w:hAnsi="Arial"/>
                <w:sz w:val="18"/>
                <w:szCs w:val="18"/>
                <w:color w:val="auto"/>
                <w:w w:val="94"/>
              </w:rPr>
              <w:t>2015</w:t>
            </w:r>
          </w:p>
        </w:tc>
        <w:tc>
          <w:tcPr>
            <w:tcW w:w="980" w:type="dxa"/>
            <w:vAlign w:val="bottom"/>
            <w:tcBorders>
              <w:bottom w:val="single" w:sz="8" w:color="225CAB"/>
            </w:tcBorders>
          </w:tcPr>
          <w:p>
            <w:pPr>
              <w:jc w:val="center"/>
              <w:spacing w:after="0" w:line="202" w:lineRule="exact"/>
              <w:rPr>
                <w:sz w:val="20"/>
                <w:szCs w:val="20"/>
                <w:color w:val="auto"/>
              </w:rPr>
            </w:pPr>
            <w:r>
              <w:rPr>
                <w:rFonts w:ascii="Arial" w:cs="Arial" w:eastAsia="Arial" w:hAnsi="Arial"/>
                <w:sz w:val="18"/>
                <w:szCs w:val="18"/>
                <w:color w:val="auto"/>
                <w:w w:val="99"/>
              </w:rPr>
              <w:t>X</w:t>
            </w:r>
          </w:p>
        </w:tc>
        <w:tc>
          <w:tcPr>
            <w:tcW w:w="1800" w:type="dxa"/>
            <w:vAlign w:val="bottom"/>
            <w:tcBorders>
              <w:bottom w:val="single" w:sz="8" w:color="225CAB"/>
            </w:tcBorders>
          </w:tcPr>
          <w:p>
            <w:pPr>
              <w:jc w:val="center"/>
              <w:ind w:right="1046"/>
              <w:spacing w:after="0" w:line="202" w:lineRule="exact"/>
              <w:rPr>
                <w:sz w:val="20"/>
                <w:szCs w:val="20"/>
                <w:color w:val="auto"/>
              </w:rPr>
            </w:pPr>
            <w:r>
              <w:rPr>
                <w:rFonts w:ascii="Arial" w:cs="Arial" w:eastAsia="Arial" w:hAnsi="Arial"/>
                <w:sz w:val="18"/>
                <w:szCs w:val="18"/>
                <w:color w:val="auto"/>
                <w:w w:val="99"/>
              </w:rPr>
              <w:t>X</w:t>
            </w:r>
          </w:p>
        </w:tc>
        <w:tc>
          <w:tcPr>
            <w:tcW w:w="1020" w:type="dxa"/>
            <w:vAlign w:val="bottom"/>
            <w:tcBorders>
              <w:bottom w:val="single" w:sz="8" w:color="225CAB"/>
            </w:tcBorders>
          </w:tcPr>
          <w:p>
            <w:pPr>
              <w:spacing w:after="0"/>
              <w:rPr>
                <w:sz w:val="17"/>
                <w:szCs w:val="17"/>
                <w:color w:val="auto"/>
              </w:rPr>
            </w:pPr>
          </w:p>
        </w:tc>
        <w:tc>
          <w:tcPr>
            <w:tcW w:w="780" w:type="dxa"/>
            <w:vAlign w:val="bottom"/>
            <w:tcBorders>
              <w:bottom w:val="single" w:sz="8" w:color="225CAB"/>
            </w:tcBorders>
          </w:tcPr>
          <w:p>
            <w:pPr>
              <w:spacing w:after="0"/>
              <w:rPr>
                <w:sz w:val="17"/>
                <w:szCs w:val="17"/>
                <w:color w:val="auto"/>
              </w:rPr>
            </w:pPr>
          </w:p>
        </w:tc>
      </w:tr>
      <w:tr>
        <w:trPr>
          <w:trHeight w:val="196"/>
        </w:trPr>
        <w:tc>
          <w:tcPr>
            <w:tcW w:w="2300" w:type="dxa"/>
            <w:vAlign w:val="bottom"/>
            <w:tcBorders>
              <w:bottom w:val="single" w:sz="8" w:color="225CAB"/>
            </w:tcBorders>
          </w:tcPr>
          <w:p>
            <w:pPr>
              <w:spacing w:after="0" w:line="196" w:lineRule="exact"/>
              <w:rPr>
                <w:sz w:val="20"/>
                <w:szCs w:val="20"/>
                <w:color w:val="auto"/>
              </w:rPr>
            </w:pPr>
            <w:r>
              <w:rPr>
                <w:rFonts w:ascii="Arial" w:cs="Arial" w:eastAsia="Arial" w:hAnsi="Arial"/>
                <w:sz w:val="18"/>
                <w:szCs w:val="18"/>
                <w:color w:val="225CAB"/>
              </w:rPr>
              <w:t>John F. Fort III</w:t>
            </w:r>
          </w:p>
        </w:tc>
        <w:tc>
          <w:tcPr>
            <w:tcW w:w="3500" w:type="dxa"/>
            <w:vAlign w:val="bottom"/>
            <w:tcBorders>
              <w:bottom w:val="single" w:sz="8" w:color="225CAB"/>
            </w:tcBorders>
          </w:tcPr>
          <w:p>
            <w:pPr>
              <w:ind w:left="120"/>
              <w:spacing w:after="0" w:line="196" w:lineRule="exact"/>
              <w:rPr>
                <w:sz w:val="20"/>
                <w:szCs w:val="20"/>
                <w:color w:val="auto"/>
              </w:rPr>
            </w:pPr>
            <w:r>
              <w:rPr>
                <w:rFonts w:ascii="Arial" w:cs="Arial" w:eastAsia="Arial" w:hAnsi="Arial"/>
                <w:sz w:val="18"/>
                <w:szCs w:val="18"/>
                <w:color w:val="auto"/>
              </w:rPr>
              <w:t>Former CEO of Tyco International Ltd.</w:t>
            </w:r>
          </w:p>
        </w:tc>
        <w:tc>
          <w:tcPr>
            <w:tcW w:w="680" w:type="dxa"/>
            <w:vAlign w:val="bottom"/>
            <w:tcBorders>
              <w:bottom w:val="single" w:sz="8" w:color="225CAB"/>
            </w:tcBorders>
          </w:tcPr>
          <w:p>
            <w:pPr>
              <w:jc w:val="center"/>
              <w:spacing w:after="0" w:line="196" w:lineRule="exact"/>
              <w:rPr>
                <w:sz w:val="20"/>
                <w:szCs w:val="20"/>
                <w:color w:val="auto"/>
              </w:rPr>
            </w:pPr>
            <w:r>
              <w:rPr>
                <w:rFonts w:ascii="Arial" w:cs="Arial" w:eastAsia="Arial" w:hAnsi="Arial"/>
                <w:sz w:val="18"/>
                <w:szCs w:val="18"/>
                <w:color w:val="auto"/>
                <w:w w:val="94"/>
              </w:rPr>
              <w:t>1995</w:t>
            </w:r>
          </w:p>
        </w:tc>
        <w:tc>
          <w:tcPr>
            <w:tcW w:w="980" w:type="dxa"/>
            <w:vAlign w:val="bottom"/>
            <w:tcBorders>
              <w:bottom w:val="single" w:sz="8" w:color="225CAB"/>
            </w:tcBorders>
          </w:tcPr>
          <w:p>
            <w:pPr>
              <w:jc w:val="center"/>
              <w:spacing w:after="0" w:line="196" w:lineRule="exact"/>
              <w:rPr>
                <w:sz w:val="20"/>
                <w:szCs w:val="20"/>
                <w:color w:val="auto"/>
              </w:rPr>
            </w:pPr>
            <w:r>
              <w:rPr>
                <w:rFonts w:ascii="Arial" w:cs="Arial" w:eastAsia="Arial" w:hAnsi="Arial"/>
                <w:sz w:val="18"/>
                <w:szCs w:val="18"/>
                <w:color w:val="auto"/>
                <w:w w:val="99"/>
              </w:rPr>
              <w:t>X</w:t>
            </w:r>
          </w:p>
        </w:tc>
        <w:tc>
          <w:tcPr>
            <w:tcW w:w="1800" w:type="dxa"/>
            <w:vAlign w:val="bottom"/>
            <w:tcBorders>
              <w:bottom w:val="single" w:sz="8" w:color="225CAB"/>
            </w:tcBorders>
          </w:tcPr>
          <w:p>
            <w:pPr>
              <w:jc w:val="center"/>
              <w:ind w:right="1046"/>
              <w:spacing w:after="0" w:line="196" w:lineRule="exact"/>
              <w:rPr>
                <w:sz w:val="20"/>
                <w:szCs w:val="20"/>
                <w:color w:val="auto"/>
              </w:rPr>
            </w:pPr>
            <w:r>
              <w:rPr>
                <w:rFonts w:ascii="Arial" w:cs="Arial" w:eastAsia="Arial" w:hAnsi="Arial"/>
                <w:sz w:val="18"/>
                <w:szCs w:val="18"/>
                <w:color w:val="auto"/>
                <w:w w:val="99"/>
              </w:rPr>
              <w:t>X</w:t>
            </w:r>
          </w:p>
        </w:tc>
        <w:tc>
          <w:tcPr>
            <w:tcW w:w="1020" w:type="dxa"/>
            <w:vAlign w:val="bottom"/>
            <w:tcBorders>
              <w:bottom w:val="single" w:sz="8" w:color="225CAB"/>
            </w:tcBorders>
          </w:tcPr>
          <w:p>
            <w:pPr>
              <w:jc w:val="center"/>
              <w:spacing w:after="0" w:line="196" w:lineRule="exact"/>
              <w:rPr>
                <w:sz w:val="20"/>
                <w:szCs w:val="20"/>
                <w:color w:val="auto"/>
              </w:rPr>
            </w:pPr>
            <w:r>
              <w:rPr>
                <w:rFonts w:ascii="Arial" w:cs="Arial" w:eastAsia="Arial" w:hAnsi="Arial"/>
                <w:sz w:val="18"/>
                <w:szCs w:val="18"/>
                <w:color w:val="auto"/>
                <w:w w:val="99"/>
              </w:rPr>
              <w:t>X</w:t>
            </w:r>
          </w:p>
        </w:tc>
        <w:tc>
          <w:tcPr>
            <w:tcW w:w="780" w:type="dxa"/>
            <w:vAlign w:val="bottom"/>
            <w:tcBorders>
              <w:bottom w:val="single" w:sz="8" w:color="225CAB"/>
            </w:tcBorders>
          </w:tcPr>
          <w:p>
            <w:pPr>
              <w:spacing w:after="0"/>
              <w:rPr>
                <w:sz w:val="17"/>
                <w:szCs w:val="17"/>
                <w:color w:val="auto"/>
              </w:rPr>
            </w:pPr>
          </w:p>
        </w:tc>
      </w:tr>
      <w:tr>
        <w:trPr>
          <w:trHeight w:val="196"/>
        </w:trPr>
        <w:tc>
          <w:tcPr>
            <w:tcW w:w="2300" w:type="dxa"/>
            <w:vAlign w:val="bottom"/>
            <w:tcBorders>
              <w:bottom w:val="single" w:sz="8" w:color="225CAB"/>
            </w:tcBorders>
          </w:tcPr>
          <w:p>
            <w:pPr>
              <w:spacing w:after="0" w:line="196" w:lineRule="exact"/>
              <w:rPr>
                <w:sz w:val="20"/>
                <w:szCs w:val="20"/>
                <w:color w:val="auto"/>
              </w:rPr>
            </w:pPr>
            <w:r>
              <w:rPr>
                <w:rFonts w:ascii="Arial" w:cs="Arial" w:eastAsia="Arial" w:hAnsi="Arial"/>
                <w:sz w:val="18"/>
                <w:szCs w:val="18"/>
                <w:color w:val="225CAB"/>
              </w:rPr>
              <w:t>Brian D. Jellison</w:t>
            </w:r>
          </w:p>
        </w:tc>
        <w:tc>
          <w:tcPr>
            <w:tcW w:w="3500" w:type="dxa"/>
            <w:vAlign w:val="bottom"/>
            <w:tcBorders>
              <w:bottom w:val="single" w:sz="8" w:color="225CAB"/>
            </w:tcBorders>
          </w:tcPr>
          <w:p>
            <w:pPr>
              <w:ind w:left="120"/>
              <w:spacing w:after="0" w:line="196" w:lineRule="exact"/>
              <w:rPr>
                <w:sz w:val="20"/>
                <w:szCs w:val="20"/>
                <w:color w:val="auto"/>
              </w:rPr>
            </w:pPr>
            <w:r>
              <w:rPr>
                <w:rFonts w:ascii="Arial" w:cs="Arial" w:eastAsia="Arial" w:hAnsi="Arial"/>
                <w:sz w:val="18"/>
                <w:szCs w:val="18"/>
                <w:color w:val="auto"/>
              </w:rPr>
              <w:t>President and CEO of our Company</w:t>
            </w:r>
          </w:p>
        </w:tc>
        <w:tc>
          <w:tcPr>
            <w:tcW w:w="680" w:type="dxa"/>
            <w:vAlign w:val="bottom"/>
            <w:tcBorders>
              <w:bottom w:val="single" w:sz="8" w:color="225CAB"/>
            </w:tcBorders>
          </w:tcPr>
          <w:p>
            <w:pPr>
              <w:jc w:val="center"/>
              <w:spacing w:after="0" w:line="196" w:lineRule="exact"/>
              <w:rPr>
                <w:sz w:val="20"/>
                <w:szCs w:val="20"/>
                <w:color w:val="auto"/>
              </w:rPr>
            </w:pPr>
            <w:r>
              <w:rPr>
                <w:rFonts w:ascii="Arial" w:cs="Arial" w:eastAsia="Arial" w:hAnsi="Arial"/>
                <w:sz w:val="18"/>
                <w:szCs w:val="18"/>
                <w:color w:val="auto"/>
                <w:w w:val="94"/>
              </w:rPr>
              <w:t>2001</w:t>
            </w:r>
          </w:p>
        </w:tc>
        <w:tc>
          <w:tcPr>
            <w:tcW w:w="980" w:type="dxa"/>
            <w:vAlign w:val="bottom"/>
            <w:tcBorders>
              <w:bottom w:val="single" w:sz="8" w:color="225CAB"/>
            </w:tcBorders>
          </w:tcPr>
          <w:p>
            <w:pPr>
              <w:spacing w:after="0"/>
              <w:rPr>
                <w:sz w:val="17"/>
                <w:szCs w:val="17"/>
                <w:color w:val="auto"/>
              </w:rPr>
            </w:pPr>
          </w:p>
        </w:tc>
        <w:tc>
          <w:tcPr>
            <w:tcW w:w="1800" w:type="dxa"/>
            <w:vAlign w:val="bottom"/>
            <w:tcBorders>
              <w:bottom w:val="single" w:sz="8" w:color="225CAB"/>
            </w:tcBorders>
          </w:tcPr>
          <w:p>
            <w:pPr>
              <w:spacing w:after="0"/>
              <w:rPr>
                <w:sz w:val="17"/>
                <w:szCs w:val="17"/>
                <w:color w:val="auto"/>
              </w:rPr>
            </w:pPr>
          </w:p>
        </w:tc>
        <w:tc>
          <w:tcPr>
            <w:tcW w:w="1020" w:type="dxa"/>
            <w:vAlign w:val="bottom"/>
            <w:tcBorders>
              <w:bottom w:val="single" w:sz="8" w:color="225CAB"/>
            </w:tcBorders>
          </w:tcPr>
          <w:p>
            <w:pPr>
              <w:spacing w:after="0"/>
              <w:rPr>
                <w:sz w:val="17"/>
                <w:szCs w:val="17"/>
                <w:color w:val="auto"/>
              </w:rPr>
            </w:pPr>
          </w:p>
        </w:tc>
        <w:tc>
          <w:tcPr>
            <w:tcW w:w="780" w:type="dxa"/>
            <w:vAlign w:val="bottom"/>
            <w:tcBorders>
              <w:bottom w:val="single" w:sz="8" w:color="225CAB"/>
            </w:tcBorders>
          </w:tcPr>
          <w:p>
            <w:pPr>
              <w:jc w:val="center"/>
              <w:spacing w:after="0" w:line="196" w:lineRule="exact"/>
              <w:rPr>
                <w:sz w:val="20"/>
                <w:szCs w:val="20"/>
                <w:color w:val="auto"/>
              </w:rPr>
            </w:pPr>
            <w:r>
              <w:rPr>
                <w:rFonts w:ascii="Arial" w:cs="Arial" w:eastAsia="Arial" w:hAnsi="Arial"/>
                <w:sz w:val="18"/>
                <w:szCs w:val="18"/>
                <w:color w:val="auto"/>
                <w:w w:val="97"/>
              </w:rPr>
              <w:t>Chair</w:t>
            </w:r>
          </w:p>
        </w:tc>
      </w:tr>
      <w:tr>
        <w:trPr>
          <w:trHeight w:val="199"/>
        </w:trPr>
        <w:tc>
          <w:tcPr>
            <w:tcW w:w="2300" w:type="dxa"/>
            <w:vAlign w:val="bottom"/>
          </w:tcPr>
          <w:p>
            <w:pPr>
              <w:spacing w:after="0" w:line="200" w:lineRule="exact"/>
              <w:rPr>
                <w:sz w:val="20"/>
                <w:szCs w:val="20"/>
                <w:color w:val="auto"/>
              </w:rPr>
            </w:pPr>
            <w:r>
              <w:rPr>
                <w:rFonts w:ascii="Arial" w:cs="Arial" w:eastAsia="Arial" w:hAnsi="Arial"/>
                <w:sz w:val="18"/>
                <w:szCs w:val="18"/>
                <w:color w:val="225CAB"/>
              </w:rPr>
              <w:t>Robert D. Johnson</w:t>
            </w:r>
          </w:p>
        </w:tc>
        <w:tc>
          <w:tcPr>
            <w:tcW w:w="3500" w:type="dxa"/>
            <w:vAlign w:val="bottom"/>
          </w:tcPr>
          <w:p>
            <w:pPr>
              <w:ind w:left="120"/>
              <w:spacing w:after="0" w:line="200" w:lineRule="exact"/>
              <w:rPr>
                <w:sz w:val="20"/>
                <w:szCs w:val="20"/>
                <w:color w:val="auto"/>
              </w:rPr>
            </w:pPr>
            <w:r>
              <w:rPr>
                <w:rFonts w:ascii="Arial" w:cs="Arial" w:eastAsia="Arial" w:hAnsi="Arial"/>
                <w:sz w:val="18"/>
                <w:szCs w:val="18"/>
                <w:color w:val="auto"/>
                <w:w w:val="99"/>
              </w:rPr>
              <w:t>Former CEO, Dubai Aerospace Enterprise</w:t>
            </w:r>
          </w:p>
        </w:tc>
        <w:tc>
          <w:tcPr>
            <w:tcW w:w="680" w:type="dxa"/>
            <w:vAlign w:val="bottom"/>
          </w:tcPr>
          <w:p>
            <w:pPr>
              <w:jc w:val="center"/>
              <w:spacing w:after="0" w:line="200" w:lineRule="exact"/>
              <w:rPr>
                <w:sz w:val="20"/>
                <w:szCs w:val="20"/>
                <w:color w:val="auto"/>
              </w:rPr>
            </w:pPr>
            <w:r>
              <w:rPr>
                <w:rFonts w:ascii="Arial" w:cs="Arial" w:eastAsia="Arial" w:hAnsi="Arial"/>
                <w:sz w:val="18"/>
                <w:szCs w:val="18"/>
                <w:color w:val="auto"/>
                <w:w w:val="94"/>
              </w:rPr>
              <w:t>2005</w:t>
            </w:r>
          </w:p>
        </w:tc>
        <w:tc>
          <w:tcPr>
            <w:tcW w:w="980" w:type="dxa"/>
            <w:vAlign w:val="bottom"/>
          </w:tcPr>
          <w:p>
            <w:pPr>
              <w:jc w:val="center"/>
              <w:spacing w:after="0" w:line="200" w:lineRule="exact"/>
              <w:rPr>
                <w:sz w:val="20"/>
                <w:szCs w:val="20"/>
                <w:color w:val="auto"/>
              </w:rPr>
            </w:pPr>
            <w:r>
              <w:rPr>
                <w:rFonts w:ascii="Arial" w:cs="Arial" w:eastAsia="Arial" w:hAnsi="Arial"/>
                <w:sz w:val="18"/>
                <w:szCs w:val="18"/>
                <w:color w:val="auto"/>
                <w:w w:val="99"/>
              </w:rPr>
              <w:t>X</w:t>
            </w:r>
          </w:p>
        </w:tc>
        <w:tc>
          <w:tcPr>
            <w:tcW w:w="1800" w:type="dxa"/>
            <w:vAlign w:val="bottom"/>
          </w:tcPr>
          <w:p>
            <w:pPr>
              <w:jc w:val="center"/>
              <w:ind w:left="566"/>
              <w:spacing w:after="0" w:line="200" w:lineRule="exact"/>
              <w:rPr>
                <w:sz w:val="20"/>
                <w:szCs w:val="20"/>
                <w:color w:val="auto"/>
              </w:rPr>
            </w:pPr>
            <w:r>
              <w:rPr>
                <w:rFonts w:ascii="Arial" w:cs="Arial" w:eastAsia="Arial" w:hAnsi="Arial"/>
                <w:sz w:val="18"/>
                <w:szCs w:val="18"/>
                <w:color w:val="auto"/>
                <w:w w:val="99"/>
              </w:rPr>
              <w:t>X</w:t>
            </w:r>
          </w:p>
        </w:tc>
        <w:tc>
          <w:tcPr>
            <w:tcW w:w="10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99"/>
        </w:trPr>
        <w:tc>
          <w:tcPr>
            <w:tcW w:w="2300" w:type="dxa"/>
            <w:vAlign w:val="bottom"/>
            <w:tcBorders>
              <w:bottom w:val="single" w:sz="8" w:color="225CAB"/>
            </w:tcBorders>
          </w:tcPr>
          <w:p>
            <w:pPr>
              <w:spacing w:after="0"/>
              <w:rPr>
                <w:sz w:val="17"/>
                <w:szCs w:val="17"/>
                <w:color w:val="auto"/>
              </w:rPr>
            </w:pPr>
          </w:p>
        </w:tc>
        <w:tc>
          <w:tcPr>
            <w:tcW w:w="3500" w:type="dxa"/>
            <w:vAlign w:val="bottom"/>
            <w:tcBorders>
              <w:bottom w:val="single" w:sz="8" w:color="225CAB"/>
            </w:tcBorders>
          </w:tcPr>
          <w:p>
            <w:pPr>
              <w:ind w:left="120"/>
              <w:spacing w:after="0" w:line="200" w:lineRule="exact"/>
              <w:rPr>
                <w:sz w:val="20"/>
                <w:szCs w:val="20"/>
                <w:color w:val="auto"/>
              </w:rPr>
            </w:pPr>
            <w:r>
              <w:rPr>
                <w:rFonts w:ascii="Arial" w:cs="Arial" w:eastAsia="Arial" w:hAnsi="Arial"/>
                <w:sz w:val="18"/>
                <w:szCs w:val="18"/>
                <w:color w:val="auto"/>
              </w:rPr>
              <w:t>Ltd.</w:t>
            </w:r>
          </w:p>
        </w:tc>
        <w:tc>
          <w:tcPr>
            <w:tcW w:w="680" w:type="dxa"/>
            <w:vAlign w:val="bottom"/>
            <w:tcBorders>
              <w:bottom w:val="single" w:sz="8" w:color="225CAB"/>
            </w:tcBorders>
          </w:tcPr>
          <w:p>
            <w:pPr>
              <w:spacing w:after="0"/>
              <w:rPr>
                <w:sz w:val="17"/>
                <w:szCs w:val="17"/>
                <w:color w:val="auto"/>
              </w:rPr>
            </w:pPr>
          </w:p>
        </w:tc>
        <w:tc>
          <w:tcPr>
            <w:tcW w:w="980" w:type="dxa"/>
            <w:vAlign w:val="bottom"/>
            <w:tcBorders>
              <w:bottom w:val="single" w:sz="8" w:color="225CAB"/>
            </w:tcBorders>
          </w:tcPr>
          <w:p>
            <w:pPr>
              <w:spacing w:after="0"/>
              <w:rPr>
                <w:sz w:val="17"/>
                <w:szCs w:val="17"/>
                <w:color w:val="auto"/>
              </w:rPr>
            </w:pPr>
          </w:p>
        </w:tc>
        <w:tc>
          <w:tcPr>
            <w:tcW w:w="1800" w:type="dxa"/>
            <w:vAlign w:val="bottom"/>
            <w:tcBorders>
              <w:bottom w:val="single" w:sz="8" w:color="225CAB"/>
            </w:tcBorders>
          </w:tcPr>
          <w:p>
            <w:pPr>
              <w:spacing w:after="0"/>
              <w:rPr>
                <w:sz w:val="17"/>
                <w:szCs w:val="17"/>
                <w:color w:val="auto"/>
              </w:rPr>
            </w:pPr>
          </w:p>
        </w:tc>
        <w:tc>
          <w:tcPr>
            <w:tcW w:w="1020" w:type="dxa"/>
            <w:vAlign w:val="bottom"/>
            <w:tcBorders>
              <w:bottom w:val="single" w:sz="8" w:color="225CAB"/>
            </w:tcBorders>
          </w:tcPr>
          <w:p>
            <w:pPr>
              <w:spacing w:after="0"/>
              <w:rPr>
                <w:sz w:val="17"/>
                <w:szCs w:val="17"/>
                <w:color w:val="auto"/>
              </w:rPr>
            </w:pPr>
          </w:p>
        </w:tc>
        <w:tc>
          <w:tcPr>
            <w:tcW w:w="780" w:type="dxa"/>
            <w:vAlign w:val="bottom"/>
            <w:tcBorders>
              <w:bottom w:val="single" w:sz="8" w:color="225CAB"/>
            </w:tcBorders>
          </w:tcPr>
          <w:p>
            <w:pPr>
              <w:spacing w:after="0"/>
              <w:rPr>
                <w:sz w:val="17"/>
                <w:szCs w:val="17"/>
                <w:color w:val="auto"/>
              </w:rPr>
            </w:pPr>
          </w:p>
        </w:tc>
      </w:tr>
      <w:tr>
        <w:trPr>
          <w:trHeight w:val="196"/>
        </w:trPr>
        <w:tc>
          <w:tcPr>
            <w:tcW w:w="2300" w:type="dxa"/>
            <w:vAlign w:val="bottom"/>
            <w:tcBorders>
              <w:bottom w:val="single" w:sz="8" w:color="225CAB"/>
            </w:tcBorders>
          </w:tcPr>
          <w:p>
            <w:pPr>
              <w:spacing w:after="0" w:line="196" w:lineRule="exact"/>
              <w:rPr>
                <w:sz w:val="20"/>
                <w:szCs w:val="20"/>
                <w:color w:val="auto"/>
              </w:rPr>
            </w:pPr>
            <w:r>
              <w:rPr>
                <w:rFonts w:ascii="Arial" w:cs="Arial" w:eastAsia="Arial" w:hAnsi="Arial"/>
                <w:sz w:val="18"/>
                <w:szCs w:val="18"/>
                <w:color w:val="225CAB"/>
              </w:rPr>
              <w:t>Robert E. Knowling, Jr.</w:t>
            </w:r>
          </w:p>
        </w:tc>
        <w:tc>
          <w:tcPr>
            <w:tcW w:w="3500" w:type="dxa"/>
            <w:vAlign w:val="bottom"/>
            <w:tcBorders>
              <w:bottom w:val="single" w:sz="8" w:color="225CAB"/>
            </w:tcBorders>
          </w:tcPr>
          <w:p>
            <w:pPr>
              <w:ind w:left="120"/>
              <w:spacing w:after="0" w:line="196" w:lineRule="exact"/>
              <w:rPr>
                <w:sz w:val="20"/>
                <w:szCs w:val="20"/>
                <w:color w:val="auto"/>
              </w:rPr>
            </w:pPr>
            <w:r>
              <w:rPr>
                <w:rFonts w:ascii="Arial" w:cs="Arial" w:eastAsia="Arial" w:hAnsi="Arial"/>
                <w:sz w:val="18"/>
                <w:szCs w:val="18"/>
                <w:color w:val="auto"/>
              </w:rPr>
              <w:t>Chairman, Eagles Landing Partners</w:t>
            </w:r>
          </w:p>
        </w:tc>
        <w:tc>
          <w:tcPr>
            <w:tcW w:w="680" w:type="dxa"/>
            <w:vAlign w:val="bottom"/>
            <w:tcBorders>
              <w:bottom w:val="single" w:sz="8" w:color="225CAB"/>
            </w:tcBorders>
          </w:tcPr>
          <w:p>
            <w:pPr>
              <w:jc w:val="center"/>
              <w:spacing w:after="0" w:line="196" w:lineRule="exact"/>
              <w:rPr>
                <w:sz w:val="20"/>
                <w:szCs w:val="20"/>
                <w:color w:val="auto"/>
              </w:rPr>
            </w:pPr>
            <w:r>
              <w:rPr>
                <w:rFonts w:ascii="Arial" w:cs="Arial" w:eastAsia="Arial" w:hAnsi="Arial"/>
                <w:sz w:val="18"/>
                <w:szCs w:val="18"/>
                <w:color w:val="auto"/>
                <w:w w:val="94"/>
              </w:rPr>
              <w:t>2008</w:t>
            </w:r>
          </w:p>
        </w:tc>
        <w:tc>
          <w:tcPr>
            <w:tcW w:w="980" w:type="dxa"/>
            <w:vAlign w:val="bottom"/>
            <w:tcBorders>
              <w:bottom w:val="single" w:sz="8" w:color="225CAB"/>
            </w:tcBorders>
          </w:tcPr>
          <w:p>
            <w:pPr>
              <w:jc w:val="center"/>
              <w:spacing w:after="0" w:line="196" w:lineRule="exact"/>
              <w:rPr>
                <w:sz w:val="20"/>
                <w:szCs w:val="20"/>
                <w:color w:val="auto"/>
              </w:rPr>
            </w:pPr>
            <w:r>
              <w:rPr>
                <w:rFonts w:ascii="Arial" w:cs="Arial" w:eastAsia="Arial" w:hAnsi="Arial"/>
                <w:sz w:val="18"/>
                <w:szCs w:val="18"/>
                <w:color w:val="auto"/>
                <w:w w:val="99"/>
              </w:rPr>
              <w:t>X</w:t>
            </w:r>
          </w:p>
        </w:tc>
        <w:tc>
          <w:tcPr>
            <w:tcW w:w="1800" w:type="dxa"/>
            <w:vAlign w:val="bottom"/>
            <w:tcBorders>
              <w:bottom w:val="single" w:sz="8" w:color="225CAB"/>
            </w:tcBorders>
          </w:tcPr>
          <w:p>
            <w:pPr>
              <w:jc w:val="center"/>
              <w:ind w:left="586"/>
              <w:spacing w:after="0" w:line="196" w:lineRule="exact"/>
              <w:rPr>
                <w:sz w:val="20"/>
                <w:szCs w:val="20"/>
                <w:color w:val="auto"/>
              </w:rPr>
            </w:pPr>
            <w:r>
              <w:rPr>
                <w:rFonts w:ascii="Arial" w:cs="Arial" w:eastAsia="Arial" w:hAnsi="Arial"/>
                <w:sz w:val="18"/>
                <w:szCs w:val="18"/>
                <w:color w:val="auto"/>
                <w:w w:val="97"/>
              </w:rPr>
              <w:t>Chair</w:t>
            </w:r>
          </w:p>
        </w:tc>
        <w:tc>
          <w:tcPr>
            <w:tcW w:w="1020" w:type="dxa"/>
            <w:vAlign w:val="bottom"/>
            <w:tcBorders>
              <w:bottom w:val="single" w:sz="8" w:color="225CAB"/>
            </w:tcBorders>
          </w:tcPr>
          <w:p>
            <w:pPr>
              <w:spacing w:after="0"/>
              <w:rPr>
                <w:sz w:val="17"/>
                <w:szCs w:val="17"/>
                <w:color w:val="auto"/>
              </w:rPr>
            </w:pPr>
          </w:p>
        </w:tc>
        <w:tc>
          <w:tcPr>
            <w:tcW w:w="780" w:type="dxa"/>
            <w:vAlign w:val="bottom"/>
            <w:tcBorders>
              <w:bottom w:val="single" w:sz="8" w:color="225CAB"/>
            </w:tcBorders>
          </w:tcPr>
          <w:p>
            <w:pPr>
              <w:jc w:val="center"/>
              <w:spacing w:after="0" w:line="196" w:lineRule="exact"/>
              <w:rPr>
                <w:sz w:val="20"/>
                <w:szCs w:val="20"/>
                <w:color w:val="auto"/>
              </w:rPr>
            </w:pPr>
            <w:r>
              <w:rPr>
                <w:rFonts w:ascii="Arial" w:cs="Arial" w:eastAsia="Arial" w:hAnsi="Arial"/>
                <w:sz w:val="18"/>
                <w:szCs w:val="18"/>
                <w:color w:val="auto"/>
                <w:w w:val="99"/>
              </w:rPr>
              <w:t>X</w:t>
            </w:r>
          </w:p>
        </w:tc>
      </w:tr>
      <w:tr>
        <w:trPr>
          <w:trHeight w:val="199"/>
        </w:trPr>
        <w:tc>
          <w:tcPr>
            <w:tcW w:w="2300" w:type="dxa"/>
            <w:vAlign w:val="bottom"/>
          </w:tcPr>
          <w:p>
            <w:pPr>
              <w:spacing w:after="0" w:line="200" w:lineRule="exact"/>
              <w:rPr>
                <w:sz w:val="20"/>
                <w:szCs w:val="20"/>
                <w:color w:val="auto"/>
              </w:rPr>
            </w:pPr>
            <w:r>
              <w:rPr>
                <w:rFonts w:ascii="Arial" w:cs="Arial" w:eastAsia="Arial" w:hAnsi="Arial"/>
                <w:sz w:val="18"/>
                <w:szCs w:val="18"/>
                <w:color w:val="225CAB"/>
              </w:rPr>
              <w:t>Wilbur J. Prezzano</w:t>
            </w:r>
          </w:p>
        </w:tc>
        <w:tc>
          <w:tcPr>
            <w:tcW w:w="3500" w:type="dxa"/>
            <w:vAlign w:val="bottom"/>
          </w:tcPr>
          <w:p>
            <w:pPr>
              <w:ind w:left="120"/>
              <w:spacing w:after="0" w:line="200" w:lineRule="exact"/>
              <w:rPr>
                <w:sz w:val="20"/>
                <w:szCs w:val="20"/>
                <w:color w:val="auto"/>
              </w:rPr>
            </w:pPr>
            <w:r>
              <w:rPr>
                <w:rFonts w:ascii="Arial" w:cs="Arial" w:eastAsia="Arial" w:hAnsi="Arial"/>
                <w:sz w:val="18"/>
                <w:szCs w:val="18"/>
                <w:color w:val="auto"/>
              </w:rPr>
              <w:t>Former Vice-Chairman, Eastman Kodak</w:t>
            </w:r>
          </w:p>
        </w:tc>
        <w:tc>
          <w:tcPr>
            <w:tcW w:w="680" w:type="dxa"/>
            <w:vAlign w:val="bottom"/>
          </w:tcPr>
          <w:p>
            <w:pPr>
              <w:jc w:val="center"/>
              <w:spacing w:after="0" w:line="200" w:lineRule="exact"/>
              <w:rPr>
                <w:sz w:val="20"/>
                <w:szCs w:val="20"/>
                <w:color w:val="auto"/>
              </w:rPr>
            </w:pPr>
            <w:r>
              <w:rPr>
                <w:rFonts w:ascii="Arial" w:cs="Arial" w:eastAsia="Arial" w:hAnsi="Arial"/>
                <w:sz w:val="18"/>
                <w:szCs w:val="18"/>
                <w:color w:val="auto"/>
                <w:w w:val="94"/>
              </w:rPr>
              <w:t>1997</w:t>
            </w:r>
          </w:p>
        </w:tc>
        <w:tc>
          <w:tcPr>
            <w:tcW w:w="980" w:type="dxa"/>
            <w:vAlign w:val="bottom"/>
          </w:tcPr>
          <w:p>
            <w:pPr>
              <w:jc w:val="center"/>
              <w:spacing w:after="0" w:line="200" w:lineRule="exact"/>
              <w:rPr>
                <w:sz w:val="20"/>
                <w:szCs w:val="20"/>
                <w:color w:val="auto"/>
              </w:rPr>
            </w:pPr>
            <w:r>
              <w:rPr>
                <w:rFonts w:ascii="Arial" w:cs="Arial" w:eastAsia="Arial" w:hAnsi="Arial"/>
                <w:sz w:val="18"/>
                <w:szCs w:val="18"/>
                <w:color w:val="auto"/>
                <w:w w:val="99"/>
              </w:rPr>
              <w:t>X</w:t>
            </w:r>
          </w:p>
        </w:tc>
        <w:tc>
          <w:tcPr>
            <w:tcW w:w="1800" w:type="dxa"/>
            <w:vAlign w:val="bottom"/>
          </w:tcPr>
          <w:p>
            <w:pPr>
              <w:jc w:val="center"/>
              <w:ind w:left="566"/>
              <w:spacing w:after="0" w:line="200" w:lineRule="exact"/>
              <w:rPr>
                <w:sz w:val="20"/>
                <w:szCs w:val="20"/>
                <w:color w:val="auto"/>
              </w:rPr>
            </w:pPr>
            <w:r>
              <w:rPr>
                <w:rFonts w:ascii="Arial" w:cs="Arial" w:eastAsia="Arial" w:hAnsi="Arial"/>
                <w:sz w:val="18"/>
                <w:szCs w:val="18"/>
                <w:color w:val="auto"/>
                <w:w w:val="99"/>
              </w:rPr>
              <w:t>X</w:t>
            </w:r>
          </w:p>
        </w:tc>
        <w:tc>
          <w:tcPr>
            <w:tcW w:w="1020" w:type="dxa"/>
            <w:vAlign w:val="bottom"/>
          </w:tcPr>
          <w:p>
            <w:pPr>
              <w:jc w:val="center"/>
              <w:spacing w:after="0" w:line="200" w:lineRule="exact"/>
              <w:rPr>
                <w:sz w:val="20"/>
                <w:szCs w:val="20"/>
                <w:color w:val="auto"/>
              </w:rPr>
            </w:pPr>
            <w:r>
              <w:rPr>
                <w:rFonts w:ascii="Arial" w:cs="Arial" w:eastAsia="Arial" w:hAnsi="Arial"/>
                <w:sz w:val="18"/>
                <w:szCs w:val="18"/>
                <w:color w:val="auto"/>
                <w:w w:val="99"/>
              </w:rPr>
              <w:t>X</w:t>
            </w:r>
          </w:p>
        </w:tc>
        <w:tc>
          <w:tcPr>
            <w:tcW w:w="780" w:type="dxa"/>
            <w:vAlign w:val="bottom"/>
          </w:tcPr>
          <w:p>
            <w:pPr>
              <w:spacing w:after="0"/>
              <w:rPr>
                <w:sz w:val="17"/>
                <w:szCs w:val="17"/>
                <w:color w:val="auto"/>
              </w:rPr>
            </w:pPr>
          </w:p>
        </w:tc>
      </w:tr>
      <w:tr>
        <w:trPr>
          <w:trHeight w:val="199"/>
        </w:trPr>
        <w:tc>
          <w:tcPr>
            <w:tcW w:w="2300" w:type="dxa"/>
            <w:vAlign w:val="bottom"/>
            <w:tcBorders>
              <w:bottom w:val="single" w:sz="8" w:color="225CAB"/>
            </w:tcBorders>
          </w:tcPr>
          <w:p>
            <w:pPr>
              <w:spacing w:after="0"/>
              <w:rPr>
                <w:sz w:val="17"/>
                <w:szCs w:val="17"/>
                <w:color w:val="auto"/>
              </w:rPr>
            </w:pPr>
          </w:p>
        </w:tc>
        <w:tc>
          <w:tcPr>
            <w:tcW w:w="3500" w:type="dxa"/>
            <w:vAlign w:val="bottom"/>
            <w:tcBorders>
              <w:bottom w:val="single" w:sz="8" w:color="225CAB"/>
            </w:tcBorders>
          </w:tcPr>
          <w:p>
            <w:pPr>
              <w:ind w:left="120"/>
              <w:spacing w:after="0" w:line="200" w:lineRule="exact"/>
              <w:rPr>
                <w:sz w:val="20"/>
                <w:szCs w:val="20"/>
                <w:color w:val="auto"/>
              </w:rPr>
            </w:pPr>
            <w:r>
              <w:rPr>
                <w:rFonts w:ascii="Arial" w:cs="Arial" w:eastAsia="Arial" w:hAnsi="Arial"/>
                <w:sz w:val="18"/>
                <w:szCs w:val="18"/>
                <w:color w:val="auto"/>
              </w:rPr>
              <w:t>Company</w:t>
            </w:r>
          </w:p>
        </w:tc>
        <w:tc>
          <w:tcPr>
            <w:tcW w:w="680" w:type="dxa"/>
            <w:vAlign w:val="bottom"/>
            <w:tcBorders>
              <w:bottom w:val="single" w:sz="8" w:color="225CAB"/>
            </w:tcBorders>
          </w:tcPr>
          <w:p>
            <w:pPr>
              <w:spacing w:after="0"/>
              <w:rPr>
                <w:sz w:val="17"/>
                <w:szCs w:val="17"/>
                <w:color w:val="auto"/>
              </w:rPr>
            </w:pPr>
          </w:p>
        </w:tc>
        <w:tc>
          <w:tcPr>
            <w:tcW w:w="980" w:type="dxa"/>
            <w:vAlign w:val="bottom"/>
            <w:tcBorders>
              <w:bottom w:val="single" w:sz="8" w:color="225CAB"/>
            </w:tcBorders>
          </w:tcPr>
          <w:p>
            <w:pPr>
              <w:spacing w:after="0"/>
              <w:rPr>
                <w:sz w:val="17"/>
                <w:szCs w:val="17"/>
                <w:color w:val="auto"/>
              </w:rPr>
            </w:pPr>
          </w:p>
        </w:tc>
        <w:tc>
          <w:tcPr>
            <w:tcW w:w="1800" w:type="dxa"/>
            <w:vAlign w:val="bottom"/>
            <w:tcBorders>
              <w:bottom w:val="single" w:sz="8" w:color="225CAB"/>
            </w:tcBorders>
          </w:tcPr>
          <w:p>
            <w:pPr>
              <w:spacing w:after="0"/>
              <w:rPr>
                <w:sz w:val="17"/>
                <w:szCs w:val="17"/>
                <w:color w:val="auto"/>
              </w:rPr>
            </w:pPr>
          </w:p>
        </w:tc>
        <w:tc>
          <w:tcPr>
            <w:tcW w:w="1020" w:type="dxa"/>
            <w:vAlign w:val="bottom"/>
            <w:tcBorders>
              <w:bottom w:val="single" w:sz="8" w:color="225CAB"/>
            </w:tcBorders>
          </w:tcPr>
          <w:p>
            <w:pPr>
              <w:spacing w:after="0"/>
              <w:rPr>
                <w:sz w:val="17"/>
                <w:szCs w:val="17"/>
                <w:color w:val="auto"/>
              </w:rPr>
            </w:pPr>
          </w:p>
        </w:tc>
        <w:tc>
          <w:tcPr>
            <w:tcW w:w="780" w:type="dxa"/>
            <w:vAlign w:val="bottom"/>
            <w:tcBorders>
              <w:bottom w:val="single" w:sz="8" w:color="225CAB"/>
            </w:tcBorders>
          </w:tcPr>
          <w:p>
            <w:pPr>
              <w:spacing w:after="0"/>
              <w:rPr>
                <w:sz w:val="17"/>
                <w:szCs w:val="17"/>
                <w:color w:val="auto"/>
              </w:rPr>
            </w:pPr>
          </w:p>
        </w:tc>
      </w:tr>
      <w:tr>
        <w:trPr>
          <w:trHeight w:val="199"/>
        </w:trPr>
        <w:tc>
          <w:tcPr>
            <w:tcW w:w="2300" w:type="dxa"/>
            <w:vAlign w:val="bottom"/>
          </w:tcPr>
          <w:p>
            <w:pPr>
              <w:spacing w:after="0" w:line="200" w:lineRule="exact"/>
              <w:rPr>
                <w:sz w:val="20"/>
                <w:szCs w:val="20"/>
                <w:color w:val="auto"/>
              </w:rPr>
            </w:pPr>
            <w:r>
              <w:rPr>
                <w:rFonts w:ascii="Arial" w:cs="Arial" w:eastAsia="Arial" w:hAnsi="Arial"/>
                <w:sz w:val="18"/>
                <w:szCs w:val="18"/>
                <w:color w:val="225CAB"/>
              </w:rPr>
              <w:t>Laura G. Thatcher</w:t>
            </w:r>
          </w:p>
        </w:tc>
        <w:tc>
          <w:tcPr>
            <w:tcW w:w="3500" w:type="dxa"/>
            <w:vAlign w:val="bottom"/>
          </w:tcPr>
          <w:p>
            <w:pPr>
              <w:ind w:left="120"/>
              <w:spacing w:after="0" w:line="200" w:lineRule="exact"/>
              <w:rPr>
                <w:sz w:val="20"/>
                <w:szCs w:val="20"/>
                <w:color w:val="auto"/>
              </w:rPr>
            </w:pPr>
            <w:r>
              <w:rPr>
                <w:rFonts w:ascii="Arial" w:cs="Arial" w:eastAsia="Arial" w:hAnsi="Arial"/>
                <w:sz w:val="18"/>
                <w:szCs w:val="18"/>
                <w:color w:val="auto"/>
              </w:rPr>
              <w:t>Former Head of Executive Compensation</w:t>
            </w:r>
          </w:p>
        </w:tc>
        <w:tc>
          <w:tcPr>
            <w:tcW w:w="680" w:type="dxa"/>
            <w:vAlign w:val="bottom"/>
          </w:tcPr>
          <w:p>
            <w:pPr>
              <w:jc w:val="center"/>
              <w:spacing w:after="0" w:line="200" w:lineRule="exact"/>
              <w:rPr>
                <w:sz w:val="20"/>
                <w:szCs w:val="20"/>
                <w:color w:val="auto"/>
              </w:rPr>
            </w:pPr>
            <w:r>
              <w:rPr>
                <w:rFonts w:ascii="Arial" w:cs="Arial" w:eastAsia="Arial" w:hAnsi="Arial"/>
                <w:sz w:val="18"/>
                <w:szCs w:val="18"/>
                <w:color w:val="auto"/>
                <w:w w:val="94"/>
              </w:rPr>
              <w:t>2015</w:t>
            </w:r>
          </w:p>
        </w:tc>
        <w:tc>
          <w:tcPr>
            <w:tcW w:w="980" w:type="dxa"/>
            <w:vAlign w:val="bottom"/>
          </w:tcPr>
          <w:p>
            <w:pPr>
              <w:jc w:val="center"/>
              <w:spacing w:after="0" w:line="200" w:lineRule="exact"/>
              <w:rPr>
                <w:sz w:val="20"/>
                <w:szCs w:val="20"/>
                <w:color w:val="auto"/>
              </w:rPr>
            </w:pPr>
            <w:r>
              <w:rPr>
                <w:rFonts w:ascii="Arial" w:cs="Arial" w:eastAsia="Arial" w:hAnsi="Arial"/>
                <w:sz w:val="18"/>
                <w:szCs w:val="18"/>
                <w:color w:val="auto"/>
                <w:w w:val="99"/>
              </w:rPr>
              <w:t>X</w:t>
            </w:r>
          </w:p>
        </w:tc>
        <w:tc>
          <w:tcPr>
            <w:tcW w:w="1800" w:type="dxa"/>
            <w:vAlign w:val="bottom"/>
          </w:tcPr>
          <w:p>
            <w:pPr>
              <w:jc w:val="center"/>
              <w:ind w:right="1046"/>
              <w:spacing w:after="0" w:line="200" w:lineRule="exact"/>
              <w:rPr>
                <w:sz w:val="20"/>
                <w:szCs w:val="20"/>
                <w:color w:val="auto"/>
              </w:rPr>
            </w:pPr>
            <w:r>
              <w:rPr>
                <w:rFonts w:ascii="Arial" w:cs="Arial" w:eastAsia="Arial" w:hAnsi="Arial"/>
                <w:sz w:val="18"/>
                <w:szCs w:val="18"/>
                <w:color w:val="auto"/>
                <w:w w:val="99"/>
              </w:rPr>
              <w:t>X</w:t>
            </w:r>
          </w:p>
        </w:tc>
        <w:tc>
          <w:tcPr>
            <w:tcW w:w="1020" w:type="dxa"/>
            <w:vAlign w:val="bottom"/>
          </w:tcPr>
          <w:p>
            <w:pPr>
              <w:jc w:val="center"/>
              <w:spacing w:after="0" w:line="200" w:lineRule="exact"/>
              <w:rPr>
                <w:sz w:val="20"/>
                <w:szCs w:val="20"/>
                <w:color w:val="auto"/>
              </w:rPr>
            </w:pPr>
            <w:r>
              <w:rPr>
                <w:rFonts w:ascii="Arial" w:cs="Arial" w:eastAsia="Arial" w:hAnsi="Arial"/>
                <w:sz w:val="18"/>
                <w:szCs w:val="18"/>
                <w:color w:val="auto"/>
                <w:w w:val="99"/>
              </w:rPr>
              <w:t>X</w:t>
            </w:r>
          </w:p>
        </w:tc>
        <w:tc>
          <w:tcPr>
            <w:tcW w:w="780" w:type="dxa"/>
            <w:vAlign w:val="bottom"/>
          </w:tcPr>
          <w:p>
            <w:pPr>
              <w:spacing w:after="0"/>
              <w:rPr>
                <w:sz w:val="17"/>
                <w:szCs w:val="17"/>
                <w:color w:val="auto"/>
              </w:rPr>
            </w:pPr>
          </w:p>
        </w:tc>
      </w:tr>
      <w:tr>
        <w:trPr>
          <w:trHeight w:val="199"/>
        </w:trPr>
        <w:tc>
          <w:tcPr>
            <w:tcW w:w="2300" w:type="dxa"/>
            <w:vAlign w:val="bottom"/>
            <w:tcBorders>
              <w:bottom w:val="single" w:sz="8" w:color="225CAB"/>
            </w:tcBorders>
          </w:tcPr>
          <w:p>
            <w:pPr>
              <w:spacing w:after="0"/>
              <w:rPr>
                <w:sz w:val="17"/>
                <w:szCs w:val="17"/>
                <w:color w:val="auto"/>
              </w:rPr>
            </w:pPr>
          </w:p>
        </w:tc>
        <w:tc>
          <w:tcPr>
            <w:tcW w:w="3500" w:type="dxa"/>
            <w:vAlign w:val="bottom"/>
            <w:tcBorders>
              <w:bottom w:val="single" w:sz="8" w:color="225CAB"/>
            </w:tcBorders>
          </w:tcPr>
          <w:p>
            <w:pPr>
              <w:ind w:left="120"/>
              <w:spacing w:after="0" w:line="200" w:lineRule="exact"/>
              <w:rPr>
                <w:sz w:val="20"/>
                <w:szCs w:val="20"/>
                <w:color w:val="auto"/>
              </w:rPr>
            </w:pPr>
            <w:r>
              <w:rPr>
                <w:rFonts w:ascii="Arial" w:cs="Arial" w:eastAsia="Arial" w:hAnsi="Arial"/>
                <w:sz w:val="18"/>
                <w:szCs w:val="18"/>
                <w:color w:val="auto"/>
              </w:rPr>
              <w:t>Practice, Alston &amp; Bird LLP</w:t>
            </w:r>
          </w:p>
        </w:tc>
        <w:tc>
          <w:tcPr>
            <w:tcW w:w="680" w:type="dxa"/>
            <w:vAlign w:val="bottom"/>
            <w:tcBorders>
              <w:bottom w:val="single" w:sz="8" w:color="225CAB"/>
            </w:tcBorders>
          </w:tcPr>
          <w:p>
            <w:pPr>
              <w:spacing w:after="0"/>
              <w:rPr>
                <w:sz w:val="17"/>
                <w:szCs w:val="17"/>
                <w:color w:val="auto"/>
              </w:rPr>
            </w:pPr>
          </w:p>
        </w:tc>
        <w:tc>
          <w:tcPr>
            <w:tcW w:w="980" w:type="dxa"/>
            <w:vAlign w:val="bottom"/>
            <w:tcBorders>
              <w:bottom w:val="single" w:sz="8" w:color="225CAB"/>
            </w:tcBorders>
          </w:tcPr>
          <w:p>
            <w:pPr>
              <w:spacing w:after="0"/>
              <w:rPr>
                <w:sz w:val="17"/>
                <w:szCs w:val="17"/>
                <w:color w:val="auto"/>
              </w:rPr>
            </w:pPr>
          </w:p>
        </w:tc>
        <w:tc>
          <w:tcPr>
            <w:tcW w:w="1800" w:type="dxa"/>
            <w:vAlign w:val="bottom"/>
            <w:tcBorders>
              <w:bottom w:val="single" w:sz="8" w:color="225CAB"/>
            </w:tcBorders>
          </w:tcPr>
          <w:p>
            <w:pPr>
              <w:spacing w:after="0"/>
              <w:rPr>
                <w:sz w:val="17"/>
                <w:szCs w:val="17"/>
                <w:color w:val="auto"/>
              </w:rPr>
            </w:pPr>
          </w:p>
        </w:tc>
        <w:tc>
          <w:tcPr>
            <w:tcW w:w="1020" w:type="dxa"/>
            <w:vAlign w:val="bottom"/>
            <w:tcBorders>
              <w:bottom w:val="single" w:sz="8" w:color="225CAB"/>
            </w:tcBorders>
          </w:tcPr>
          <w:p>
            <w:pPr>
              <w:spacing w:after="0"/>
              <w:rPr>
                <w:sz w:val="17"/>
                <w:szCs w:val="17"/>
                <w:color w:val="auto"/>
              </w:rPr>
            </w:pPr>
          </w:p>
        </w:tc>
        <w:tc>
          <w:tcPr>
            <w:tcW w:w="780" w:type="dxa"/>
            <w:vAlign w:val="bottom"/>
            <w:tcBorders>
              <w:bottom w:val="single" w:sz="8" w:color="225CAB"/>
            </w:tcBorders>
          </w:tcPr>
          <w:p>
            <w:pPr>
              <w:spacing w:after="0"/>
              <w:rPr>
                <w:sz w:val="17"/>
                <w:szCs w:val="17"/>
                <w:color w:val="auto"/>
              </w:rPr>
            </w:pPr>
          </w:p>
        </w:tc>
      </w:tr>
      <w:tr>
        <w:trPr>
          <w:trHeight w:val="199"/>
        </w:trPr>
        <w:tc>
          <w:tcPr>
            <w:tcW w:w="2300" w:type="dxa"/>
            <w:vAlign w:val="bottom"/>
          </w:tcPr>
          <w:p>
            <w:pPr>
              <w:spacing w:after="0" w:line="200" w:lineRule="exact"/>
              <w:rPr>
                <w:sz w:val="20"/>
                <w:szCs w:val="20"/>
                <w:color w:val="auto"/>
              </w:rPr>
            </w:pPr>
            <w:r>
              <w:rPr>
                <w:rFonts w:ascii="Arial" w:cs="Arial" w:eastAsia="Arial" w:hAnsi="Arial"/>
                <w:sz w:val="18"/>
                <w:szCs w:val="18"/>
                <w:color w:val="225CAB"/>
              </w:rPr>
              <w:t>Richard F. Wallman</w:t>
            </w:r>
          </w:p>
        </w:tc>
        <w:tc>
          <w:tcPr>
            <w:tcW w:w="3500" w:type="dxa"/>
            <w:vAlign w:val="bottom"/>
          </w:tcPr>
          <w:p>
            <w:pPr>
              <w:ind w:left="120"/>
              <w:spacing w:after="0" w:line="200" w:lineRule="exact"/>
              <w:rPr>
                <w:sz w:val="20"/>
                <w:szCs w:val="20"/>
                <w:color w:val="auto"/>
              </w:rPr>
            </w:pPr>
            <w:r>
              <w:rPr>
                <w:rFonts w:ascii="Arial" w:cs="Arial" w:eastAsia="Arial" w:hAnsi="Arial"/>
                <w:sz w:val="18"/>
                <w:szCs w:val="18"/>
                <w:color w:val="auto"/>
              </w:rPr>
              <w:t>Former CFO and SVP,</w:t>
            </w:r>
          </w:p>
        </w:tc>
        <w:tc>
          <w:tcPr>
            <w:tcW w:w="680" w:type="dxa"/>
            <w:vAlign w:val="bottom"/>
          </w:tcPr>
          <w:p>
            <w:pPr>
              <w:jc w:val="center"/>
              <w:spacing w:after="0" w:line="200" w:lineRule="exact"/>
              <w:rPr>
                <w:sz w:val="20"/>
                <w:szCs w:val="20"/>
                <w:color w:val="auto"/>
              </w:rPr>
            </w:pPr>
            <w:r>
              <w:rPr>
                <w:rFonts w:ascii="Arial" w:cs="Arial" w:eastAsia="Arial" w:hAnsi="Arial"/>
                <w:sz w:val="18"/>
                <w:szCs w:val="18"/>
                <w:color w:val="auto"/>
                <w:w w:val="94"/>
              </w:rPr>
              <w:t>2007</w:t>
            </w:r>
          </w:p>
        </w:tc>
        <w:tc>
          <w:tcPr>
            <w:tcW w:w="980" w:type="dxa"/>
            <w:vAlign w:val="bottom"/>
          </w:tcPr>
          <w:p>
            <w:pPr>
              <w:jc w:val="center"/>
              <w:spacing w:after="0" w:line="200" w:lineRule="exact"/>
              <w:rPr>
                <w:sz w:val="20"/>
                <w:szCs w:val="20"/>
                <w:color w:val="auto"/>
              </w:rPr>
            </w:pPr>
            <w:r>
              <w:rPr>
                <w:rFonts w:ascii="Arial" w:cs="Arial" w:eastAsia="Arial" w:hAnsi="Arial"/>
                <w:sz w:val="18"/>
                <w:szCs w:val="18"/>
                <w:color w:val="auto"/>
                <w:w w:val="99"/>
              </w:rPr>
              <w:t>X</w:t>
            </w:r>
          </w:p>
        </w:tc>
        <w:tc>
          <w:tcPr>
            <w:tcW w:w="1800" w:type="dxa"/>
            <w:vAlign w:val="bottom"/>
          </w:tcPr>
          <w:p>
            <w:pPr>
              <w:spacing w:after="0"/>
              <w:rPr>
                <w:sz w:val="17"/>
                <w:szCs w:val="17"/>
                <w:color w:val="auto"/>
              </w:rPr>
            </w:pPr>
          </w:p>
        </w:tc>
        <w:tc>
          <w:tcPr>
            <w:tcW w:w="1020" w:type="dxa"/>
            <w:vAlign w:val="bottom"/>
          </w:tcPr>
          <w:p>
            <w:pPr>
              <w:jc w:val="center"/>
              <w:spacing w:after="0" w:line="200" w:lineRule="exact"/>
              <w:rPr>
                <w:sz w:val="20"/>
                <w:szCs w:val="20"/>
                <w:color w:val="auto"/>
              </w:rPr>
            </w:pPr>
            <w:r>
              <w:rPr>
                <w:rFonts w:ascii="Arial" w:cs="Arial" w:eastAsia="Arial" w:hAnsi="Arial"/>
                <w:sz w:val="18"/>
                <w:szCs w:val="18"/>
                <w:color w:val="auto"/>
                <w:w w:val="97"/>
              </w:rPr>
              <w:t>Chair</w:t>
            </w:r>
          </w:p>
        </w:tc>
        <w:tc>
          <w:tcPr>
            <w:tcW w:w="780" w:type="dxa"/>
            <w:vAlign w:val="bottom"/>
          </w:tcPr>
          <w:p>
            <w:pPr>
              <w:jc w:val="center"/>
              <w:spacing w:after="0" w:line="200" w:lineRule="exact"/>
              <w:rPr>
                <w:sz w:val="20"/>
                <w:szCs w:val="20"/>
                <w:color w:val="auto"/>
              </w:rPr>
            </w:pPr>
            <w:r>
              <w:rPr>
                <w:rFonts w:ascii="Arial" w:cs="Arial" w:eastAsia="Arial" w:hAnsi="Arial"/>
                <w:sz w:val="18"/>
                <w:szCs w:val="18"/>
                <w:color w:val="auto"/>
                <w:w w:val="99"/>
              </w:rPr>
              <w:t>X</w:t>
            </w:r>
          </w:p>
        </w:tc>
      </w:tr>
      <w:tr>
        <w:trPr>
          <w:trHeight w:val="199"/>
        </w:trPr>
        <w:tc>
          <w:tcPr>
            <w:tcW w:w="2300" w:type="dxa"/>
            <w:vAlign w:val="bottom"/>
            <w:tcBorders>
              <w:bottom w:val="single" w:sz="8" w:color="225CAB"/>
            </w:tcBorders>
          </w:tcPr>
          <w:p>
            <w:pPr>
              <w:spacing w:after="0"/>
              <w:rPr>
                <w:sz w:val="17"/>
                <w:szCs w:val="17"/>
                <w:color w:val="auto"/>
              </w:rPr>
            </w:pPr>
          </w:p>
        </w:tc>
        <w:tc>
          <w:tcPr>
            <w:tcW w:w="3500" w:type="dxa"/>
            <w:vAlign w:val="bottom"/>
            <w:tcBorders>
              <w:bottom w:val="single" w:sz="8" w:color="225CAB"/>
            </w:tcBorders>
          </w:tcPr>
          <w:p>
            <w:pPr>
              <w:ind w:left="120"/>
              <w:spacing w:after="0" w:line="200" w:lineRule="exact"/>
              <w:rPr>
                <w:sz w:val="20"/>
                <w:szCs w:val="20"/>
                <w:color w:val="auto"/>
              </w:rPr>
            </w:pPr>
            <w:r>
              <w:rPr>
                <w:rFonts w:ascii="Arial" w:cs="Arial" w:eastAsia="Arial" w:hAnsi="Arial"/>
                <w:sz w:val="18"/>
                <w:szCs w:val="18"/>
                <w:color w:val="auto"/>
              </w:rPr>
              <w:t>Honeywell International Inc.</w:t>
            </w:r>
          </w:p>
        </w:tc>
        <w:tc>
          <w:tcPr>
            <w:tcW w:w="680" w:type="dxa"/>
            <w:vAlign w:val="bottom"/>
            <w:tcBorders>
              <w:bottom w:val="single" w:sz="8" w:color="225CAB"/>
            </w:tcBorders>
          </w:tcPr>
          <w:p>
            <w:pPr>
              <w:spacing w:after="0"/>
              <w:rPr>
                <w:sz w:val="17"/>
                <w:szCs w:val="17"/>
                <w:color w:val="auto"/>
              </w:rPr>
            </w:pPr>
          </w:p>
        </w:tc>
        <w:tc>
          <w:tcPr>
            <w:tcW w:w="980" w:type="dxa"/>
            <w:vAlign w:val="bottom"/>
            <w:tcBorders>
              <w:bottom w:val="single" w:sz="8" w:color="225CAB"/>
            </w:tcBorders>
          </w:tcPr>
          <w:p>
            <w:pPr>
              <w:spacing w:after="0"/>
              <w:rPr>
                <w:sz w:val="17"/>
                <w:szCs w:val="17"/>
                <w:color w:val="auto"/>
              </w:rPr>
            </w:pPr>
          </w:p>
        </w:tc>
        <w:tc>
          <w:tcPr>
            <w:tcW w:w="1800" w:type="dxa"/>
            <w:vAlign w:val="bottom"/>
            <w:tcBorders>
              <w:bottom w:val="single" w:sz="8" w:color="225CAB"/>
            </w:tcBorders>
          </w:tcPr>
          <w:p>
            <w:pPr>
              <w:spacing w:after="0"/>
              <w:rPr>
                <w:sz w:val="17"/>
                <w:szCs w:val="17"/>
                <w:color w:val="auto"/>
              </w:rPr>
            </w:pPr>
          </w:p>
        </w:tc>
        <w:tc>
          <w:tcPr>
            <w:tcW w:w="1020" w:type="dxa"/>
            <w:vAlign w:val="bottom"/>
            <w:tcBorders>
              <w:bottom w:val="single" w:sz="8" w:color="225CAB"/>
            </w:tcBorders>
          </w:tcPr>
          <w:p>
            <w:pPr>
              <w:spacing w:after="0"/>
              <w:rPr>
                <w:sz w:val="17"/>
                <w:szCs w:val="17"/>
                <w:color w:val="auto"/>
              </w:rPr>
            </w:pPr>
          </w:p>
        </w:tc>
        <w:tc>
          <w:tcPr>
            <w:tcW w:w="780" w:type="dxa"/>
            <w:vAlign w:val="bottom"/>
            <w:tcBorders>
              <w:bottom w:val="single" w:sz="8" w:color="225CAB"/>
            </w:tcBorders>
          </w:tcPr>
          <w:p>
            <w:pPr>
              <w:spacing w:after="0"/>
              <w:rPr>
                <w:sz w:val="17"/>
                <w:szCs w:val="17"/>
                <w:color w:val="auto"/>
              </w:rPr>
            </w:pPr>
          </w:p>
        </w:tc>
      </w:tr>
      <w:tr>
        <w:trPr>
          <w:trHeight w:val="196"/>
        </w:trPr>
        <w:tc>
          <w:tcPr>
            <w:tcW w:w="2300" w:type="dxa"/>
            <w:vAlign w:val="bottom"/>
            <w:tcBorders>
              <w:bottom w:val="single" w:sz="8" w:color="225CAB"/>
            </w:tcBorders>
          </w:tcPr>
          <w:p>
            <w:pPr>
              <w:spacing w:after="0" w:line="196" w:lineRule="exact"/>
              <w:rPr>
                <w:sz w:val="20"/>
                <w:szCs w:val="20"/>
                <w:color w:val="auto"/>
              </w:rPr>
            </w:pPr>
            <w:r>
              <w:rPr>
                <w:rFonts w:ascii="Arial" w:cs="Arial" w:eastAsia="Arial" w:hAnsi="Arial"/>
                <w:sz w:val="18"/>
                <w:szCs w:val="18"/>
                <w:color w:val="225CAB"/>
              </w:rPr>
              <w:t>Christopher Wright</w:t>
            </w:r>
          </w:p>
        </w:tc>
        <w:tc>
          <w:tcPr>
            <w:tcW w:w="3500" w:type="dxa"/>
            <w:vAlign w:val="bottom"/>
            <w:tcBorders>
              <w:bottom w:val="single" w:sz="8" w:color="225CAB"/>
            </w:tcBorders>
          </w:tcPr>
          <w:p>
            <w:pPr>
              <w:ind w:left="120"/>
              <w:spacing w:after="0" w:line="196" w:lineRule="exact"/>
              <w:rPr>
                <w:sz w:val="20"/>
                <w:szCs w:val="20"/>
                <w:color w:val="auto"/>
              </w:rPr>
            </w:pPr>
            <w:r>
              <w:rPr>
                <w:rFonts w:ascii="Arial" w:cs="Arial" w:eastAsia="Arial" w:hAnsi="Arial"/>
                <w:sz w:val="18"/>
                <w:szCs w:val="18"/>
                <w:color w:val="auto"/>
              </w:rPr>
              <w:t>Chairman, EMAlternatives LLC</w:t>
            </w:r>
          </w:p>
        </w:tc>
        <w:tc>
          <w:tcPr>
            <w:tcW w:w="680" w:type="dxa"/>
            <w:vAlign w:val="bottom"/>
            <w:tcBorders>
              <w:bottom w:val="single" w:sz="8" w:color="225CAB"/>
            </w:tcBorders>
          </w:tcPr>
          <w:p>
            <w:pPr>
              <w:jc w:val="center"/>
              <w:spacing w:after="0" w:line="196" w:lineRule="exact"/>
              <w:rPr>
                <w:sz w:val="20"/>
                <w:szCs w:val="20"/>
                <w:color w:val="auto"/>
              </w:rPr>
            </w:pPr>
            <w:r>
              <w:rPr>
                <w:rFonts w:ascii="Arial" w:cs="Arial" w:eastAsia="Arial" w:hAnsi="Arial"/>
                <w:sz w:val="18"/>
                <w:szCs w:val="18"/>
                <w:color w:val="auto"/>
                <w:w w:val="94"/>
              </w:rPr>
              <w:t>1991</w:t>
            </w:r>
          </w:p>
        </w:tc>
        <w:tc>
          <w:tcPr>
            <w:tcW w:w="980" w:type="dxa"/>
            <w:vAlign w:val="bottom"/>
            <w:tcBorders>
              <w:bottom w:val="single" w:sz="8" w:color="225CAB"/>
            </w:tcBorders>
          </w:tcPr>
          <w:p>
            <w:pPr>
              <w:jc w:val="center"/>
              <w:spacing w:after="0" w:line="196" w:lineRule="exact"/>
              <w:rPr>
                <w:sz w:val="20"/>
                <w:szCs w:val="20"/>
                <w:color w:val="auto"/>
              </w:rPr>
            </w:pPr>
            <w:r>
              <w:rPr>
                <w:rFonts w:ascii="Arial" w:cs="Arial" w:eastAsia="Arial" w:hAnsi="Arial"/>
                <w:sz w:val="18"/>
                <w:szCs w:val="18"/>
                <w:color w:val="auto"/>
                <w:w w:val="99"/>
              </w:rPr>
              <w:t>X</w:t>
            </w:r>
          </w:p>
        </w:tc>
        <w:tc>
          <w:tcPr>
            <w:tcW w:w="1800" w:type="dxa"/>
            <w:vAlign w:val="bottom"/>
            <w:tcBorders>
              <w:bottom w:val="single" w:sz="8" w:color="225CAB"/>
            </w:tcBorders>
          </w:tcPr>
          <w:p>
            <w:pPr>
              <w:jc w:val="center"/>
              <w:ind w:right="1066"/>
              <w:spacing w:after="0" w:line="196" w:lineRule="exact"/>
              <w:rPr>
                <w:sz w:val="20"/>
                <w:szCs w:val="20"/>
                <w:color w:val="auto"/>
              </w:rPr>
            </w:pPr>
            <w:r>
              <w:rPr>
                <w:rFonts w:ascii="Arial" w:cs="Arial" w:eastAsia="Arial" w:hAnsi="Arial"/>
                <w:sz w:val="18"/>
                <w:szCs w:val="18"/>
                <w:color w:val="auto"/>
                <w:w w:val="97"/>
              </w:rPr>
              <w:t>Chair</w:t>
            </w:r>
          </w:p>
        </w:tc>
        <w:tc>
          <w:tcPr>
            <w:tcW w:w="1020" w:type="dxa"/>
            <w:vAlign w:val="bottom"/>
            <w:tcBorders>
              <w:bottom w:val="single" w:sz="8" w:color="225CAB"/>
            </w:tcBorders>
          </w:tcPr>
          <w:p>
            <w:pPr>
              <w:spacing w:after="0"/>
              <w:rPr>
                <w:sz w:val="17"/>
                <w:szCs w:val="17"/>
                <w:color w:val="auto"/>
              </w:rPr>
            </w:pPr>
          </w:p>
        </w:tc>
        <w:tc>
          <w:tcPr>
            <w:tcW w:w="780" w:type="dxa"/>
            <w:vAlign w:val="bottom"/>
            <w:tcBorders>
              <w:bottom w:val="single" w:sz="8" w:color="225CAB"/>
            </w:tcBorders>
          </w:tcPr>
          <w:p>
            <w:pPr>
              <w:jc w:val="center"/>
              <w:spacing w:after="0" w:line="196" w:lineRule="exact"/>
              <w:rPr>
                <w:sz w:val="20"/>
                <w:szCs w:val="20"/>
                <w:color w:val="auto"/>
              </w:rPr>
            </w:pPr>
            <w:r>
              <w:rPr>
                <w:rFonts w:ascii="Arial" w:cs="Arial" w:eastAsia="Arial" w:hAnsi="Arial"/>
                <w:sz w:val="18"/>
                <w:szCs w:val="18"/>
                <w:color w:val="auto"/>
                <w:w w:val="99"/>
              </w:rPr>
              <w:t>X</w:t>
            </w:r>
          </w:p>
        </w:tc>
      </w:tr>
    </w:tbl>
    <w:p>
      <w:pPr>
        <w:spacing w:after="0" w:line="14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225CAB"/>
        </w:rPr>
        <w:t>CORPORATE GOVERNANCE</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strive to maintain effective corporate governance practices and policies. Our practices and policies include the following.</w:t>
      </w:r>
    </w:p>
    <w:p>
      <w:pPr>
        <w:spacing w:after="0" w:line="55" w:lineRule="exact"/>
        <w:rPr>
          <w:sz w:val="20"/>
          <w:szCs w:val="20"/>
          <w:color w:val="auto"/>
        </w:rPr>
      </w:pPr>
    </w:p>
    <w:p>
      <w:pPr>
        <w:ind w:left="200" w:right="60"/>
        <w:spacing w:after="0" w:line="244" w:lineRule="auto"/>
        <w:rPr>
          <w:sz w:val="20"/>
          <w:szCs w:val="20"/>
          <w:color w:val="auto"/>
        </w:rPr>
      </w:pPr>
      <w:r>
        <w:rPr>
          <w:rFonts w:ascii="Arial" w:cs="Arial" w:eastAsia="Arial" w:hAnsi="Arial"/>
          <w:sz w:val="18"/>
          <w:szCs w:val="18"/>
          <w:b w:val="1"/>
          <w:bCs w:val="1"/>
          <w:color w:val="auto"/>
        </w:rPr>
        <w:t xml:space="preserve">Proxy Access: </w:t>
      </w:r>
      <w:r>
        <w:rPr>
          <w:rFonts w:ascii="Arial" w:cs="Arial" w:eastAsia="Arial" w:hAnsi="Arial"/>
          <w:sz w:val="18"/>
          <w:szCs w:val="18"/>
          <w:color w:val="auto"/>
        </w:rPr>
        <w:t>In March 2016, we amended our By-laws to implement proxy access for eligible stockholders. Our proxy access provision</w:t>
      </w:r>
      <w:r>
        <w:rPr>
          <w:rFonts w:ascii="Arial" w:cs="Arial" w:eastAsia="Arial" w:hAnsi="Arial"/>
          <w:sz w:val="18"/>
          <w:szCs w:val="18"/>
          <w:b w:val="1"/>
          <w:bCs w:val="1"/>
          <w:color w:val="auto"/>
        </w:rPr>
        <w:t xml:space="preserve"> </w:t>
      </w:r>
      <w:r>
        <w:rPr>
          <w:rFonts w:ascii="Arial" w:cs="Arial" w:eastAsia="Arial" w:hAnsi="Arial"/>
          <w:sz w:val="18"/>
          <w:szCs w:val="18"/>
          <w:color w:val="auto"/>
        </w:rPr>
        <w:t>permits a shareholder, or a group of up to 20 shareholders, that has owned at least 3% of our outstanding common stock continuously for at least three years to nominate and include in our proxy materials up to the greater of two directors and 20% of the number of our directors then in office, provided that the stockholders and the nominees satisfy the requirements specified in the By-laws.</w:t>
      </w:r>
    </w:p>
    <w:p>
      <w:pPr>
        <w:spacing w:after="0" w:line="50"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b w:val="1"/>
          <w:bCs w:val="1"/>
          <w:color w:val="auto"/>
        </w:rPr>
        <w:t xml:space="preserve">Shareholder Outreach: </w:t>
      </w:r>
      <w:r>
        <w:rPr>
          <w:rFonts w:ascii="Arial" w:cs="Arial" w:eastAsia="Arial" w:hAnsi="Arial"/>
          <w:sz w:val="18"/>
          <w:szCs w:val="18"/>
          <w:color w:val="auto"/>
        </w:rPr>
        <w:t>We regularly engage our shareholders for feedback. In connection with our adoption of proxy access, we reached out</w:t>
      </w:r>
      <w:r>
        <w:rPr>
          <w:rFonts w:ascii="Arial" w:cs="Arial" w:eastAsia="Arial" w:hAnsi="Arial"/>
          <w:sz w:val="18"/>
          <w:szCs w:val="18"/>
          <w:b w:val="1"/>
          <w:bCs w:val="1"/>
          <w:color w:val="auto"/>
        </w:rPr>
        <w:t xml:space="preserve"> </w:t>
      </w:r>
      <w:r>
        <w:rPr>
          <w:rFonts w:ascii="Arial" w:cs="Arial" w:eastAsia="Arial" w:hAnsi="Arial"/>
          <w:sz w:val="18"/>
          <w:szCs w:val="18"/>
          <w:color w:val="auto"/>
        </w:rPr>
        <w:t>to shareholders representing over 50% of our outstanding common stock to understand their views.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336"/>
        </w:trPr>
        <w:tc>
          <w:tcPr>
            <w:tcW w:w="240" w:type="dxa"/>
            <w:vAlign w:val="bottom"/>
            <w:tcBorders>
              <w:right w:val="single" w:sz="8" w:color="225CAB"/>
            </w:tcBorders>
          </w:tcPr>
          <w:p>
            <w:pPr>
              <w:spacing w:after="0"/>
              <w:rPr>
                <w:sz w:val="20"/>
                <w:szCs w:val="20"/>
                <w:color w:val="auto"/>
              </w:rPr>
            </w:pPr>
            <w:r>
              <w:rPr>
                <w:rFonts w:ascii="Arial" w:cs="Arial" w:eastAsia="Arial" w:hAnsi="Arial"/>
                <w:sz w:val="18"/>
                <w:szCs w:val="18"/>
                <w:b w:val="1"/>
                <w:bCs w:val="1"/>
                <w:color w:val="225CAB"/>
              </w:rPr>
              <w:t>ii</w:t>
            </w:r>
          </w:p>
        </w:tc>
        <w:tc>
          <w:tcPr>
            <w:tcW w:w="5200" w:type="dxa"/>
            <w:vAlign w:val="bottom"/>
          </w:tcPr>
          <w:p>
            <w:pPr>
              <w:ind w:left="1240"/>
              <w:spacing w:after="0"/>
              <w:rPr>
                <w:sz w:val="20"/>
                <w:szCs w:val="20"/>
                <w:color w:val="auto"/>
              </w:rPr>
            </w:pPr>
            <w:r>
              <w:rPr>
                <w:rFonts w:ascii="Arial" w:cs="Arial" w:eastAsia="Arial" w:hAnsi="Arial"/>
                <w:sz w:val="18"/>
                <w:szCs w:val="18"/>
                <w:b w:val="1"/>
                <w:bCs w:val="1"/>
                <w:color w:val="225CAB"/>
                <w:w w:val="97"/>
              </w:rPr>
              <w:t>Roper Technologies, Inc. 2016 Proxy Statement</w:t>
            </w:r>
          </w:p>
        </w:tc>
      </w:tr>
      <w:tr>
        <w:trPr>
          <w:trHeight w:val="110"/>
        </w:trPr>
        <w:tc>
          <w:tcPr>
            <w:tcW w:w="240" w:type="dxa"/>
            <w:vAlign w:val="bottom"/>
            <w:tcBorders>
              <w:right w:val="single" w:sz="8" w:color="225CAB"/>
            </w:tcBorders>
          </w:tcPr>
          <w:p>
            <w:pPr>
              <w:spacing w:after="0"/>
              <w:rPr>
                <w:sz w:val="9"/>
                <w:szCs w:val="9"/>
                <w:color w:val="auto"/>
              </w:rPr>
            </w:pPr>
          </w:p>
        </w:tc>
        <w:tc>
          <w:tcPr>
            <w:tcW w:w="52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-248285</wp:posOffset>
            </wp:positionV>
            <wp:extent cx="420370" cy="2057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ectPr>
          <w:pgSz w:w="11900" w:h="16838" w:orient="portrait"/>
          <w:cols w:equalWidth="0" w:num="1">
            <w:col w:w="11260"/>
          </w:cols>
          <w:pgMar w:left="240" w:top="459" w:right="3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225CAB"/>
        </w:rPr>
        <w:t>PROXY STATEMENT SUMMARY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7276465" cy="5878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6465" cy="5878830"/>
                    </a:xfrm>
                    <a:prstGeom prst="rect">
                      <a:avLst/>
                    </a:prstGeom>
                    <a:noFill/>
                  </pic:spPr>
                </pic:pic>
              </a:graphicData>
            </a:graphic>
          </wp:anchor>
        </w:drawing>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Declassified Board: </w:t>
      </w:r>
      <w:r>
        <w:rPr>
          <w:rFonts w:ascii="Arial" w:cs="Arial" w:eastAsia="Arial" w:hAnsi="Arial"/>
          <w:sz w:val="18"/>
          <w:szCs w:val="18"/>
          <w:color w:val="auto"/>
        </w:rPr>
        <w:t>Our declassified Board phase-in will be completed at this 2016 Annual Meeting.</w:t>
      </w:r>
    </w:p>
    <w:p>
      <w:pPr>
        <w:spacing w:after="0" w:line="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One-Year Terms for Directors: </w:t>
      </w:r>
      <w:r>
        <w:rPr>
          <w:rFonts w:ascii="Arial" w:cs="Arial" w:eastAsia="Arial" w:hAnsi="Arial"/>
          <w:sz w:val="18"/>
          <w:szCs w:val="18"/>
          <w:color w:val="auto"/>
        </w:rPr>
        <w:t>All of our directors are serving one-year terms.</w:t>
      </w:r>
    </w:p>
    <w:p>
      <w:pPr>
        <w:spacing w:after="0" w:line="77" w:lineRule="exact"/>
        <w:rPr>
          <w:sz w:val="20"/>
          <w:szCs w:val="20"/>
          <w:color w:val="auto"/>
        </w:rPr>
      </w:pPr>
    </w:p>
    <w:p>
      <w:pPr>
        <w:ind w:left="200" w:right="960"/>
        <w:spacing w:after="0" w:line="264" w:lineRule="auto"/>
        <w:rPr>
          <w:sz w:val="20"/>
          <w:szCs w:val="20"/>
          <w:color w:val="auto"/>
        </w:rPr>
      </w:pPr>
      <w:r>
        <w:rPr>
          <w:rFonts w:ascii="Arial" w:cs="Arial" w:eastAsia="Arial" w:hAnsi="Arial"/>
          <w:sz w:val="18"/>
          <w:szCs w:val="18"/>
          <w:b w:val="1"/>
          <w:bCs w:val="1"/>
          <w:color w:val="auto"/>
        </w:rPr>
        <w:t xml:space="preserve">Independent Directors: </w:t>
      </w:r>
      <w:r>
        <w:rPr>
          <w:rFonts w:ascii="Arial" w:cs="Arial" w:eastAsia="Arial" w:hAnsi="Arial"/>
          <w:sz w:val="18"/>
          <w:szCs w:val="18"/>
          <w:color w:val="auto"/>
        </w:rPr>
        <w:t>Eight of our nine current directors are independent as well as all members of the Audit, Compensation,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Nominating and Governance Committees.</w:t>
      </w:r>
    </w:p>
    <w:p>
      <w:pPr>
        <w:spacing w:after="0" w:line="3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Lead Independent Director: </w:t>
      </w:r>
      <w:r>
        <w:rPr>
          <w:rFonts w:ascii="Arial" w:cs="Arial" w:eastAsia="Arial" w:hAnsi="Arial"/>
          <w:sz w:val="18"/>
          <w:szCs w:val="18"/>
          <w:color w:val="auto"/>
        </w:rPr>
        <w:t>We have a Lead Independent Director.</w:t>
      </w:r>
    </w:p>
    <w:p>
      <w:pPr>
        <w:spacing w:after="0" w:line="77" w:lineRule="exact"/>
        <w:rPr>
          <w:sz w:val="20"/>
          <w:szCs w:val="20"/>
          <w:color w:val="auto"/>
        </w:rPr>
      </w:pPr>
    </w:p>
    <w:p>
      <w:pPr>
        <w:ind w:left="200" w:right="420"/>
        <w:spacing w:after="0" w:line="264" w:lineRule="auto"/>
        <w:rPr>
          <w:sz w:val="20"/>
          <w:szCs w:val="20"/>
          <w:color w:val="auto"/>
        </w:rPr>
      </w:pPr>
      <w:r>
        <w:rPr>
          <w:rFonts w:ascii="Arial" w:cs="Arial" w:eastAsia="Arial" w:hAnsi="Arial"/>
          <w:sz w:val="18"/>
          <w:szCs w:val="18"/>
          <w:b w:val="1"/>
          <w:bCs w:val="1"/>
          <w:color w:val="auto"/>
        </w:rPr>
        <w:t xml:space="preserve">Majority Voting Standards for Uncontested Director Elections: </w:t>
      </w:r>
      <w:r>
        <w:rPr>
          <w:rFonts w:ascii="Arial" w:cs="Arial" w:eastAsia="Arial" w:hAnsi="Arial"/>
          <w:sz w:val="18"/>
          <w:szCs w:val="18"/>
          <w:color w:val="auto"/>
        </w:rPr>
        <w:t>We require the resignation of an incumbent director who fails to obtain a</w:t>
      </w:r>
      <w:r>
        <w:rPr>
          <w:rFonts w:ascii="Arial" w:cs="Arial" w:eastAsia="Arial" w:hAnsi="Arial"/>
          <w:sz w:val="18"/>
          <w:szCs w:val="18"/>
          <w:b w:val="1"/>
          <w:bCs w:val="1"/>
          <w:color w:val="auto"/>
        </w:rPr>
        <w:t xml:space="preserve"> </w:t>
      </w:r>
      <w:r>
        <w:rPr>
          <w:rFonts w:ascii="Arial" w:cs="Arial" w:eastAsia="Arial" w:hAnsi="Arial"/>
          <w:sz w:val="18"/>
          <w:szCs w:val="18"/>
          <w:color w:val="auto"/>
        </w:rPr>
        <w:t>majority of votes cast in an uncontested election.</w:t>
      </w:r>
    </w:p>
    <w:p>
      <w:pPr>
        <w:spacing w:after="0" w:line="3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Anti-Hedging and Anti-Pledging Policy: </w:t>
      </w:r>
      <w:r>
        <w:rPr>
          <w:rFonts w:ascii="Arial" w:cs="Arial" w:eastAsia="Arial" w:hAnsi="Arial"/>
          <w:sz w:val="18"/>
          <w:szCs w:val="18"/>
          <w:color w:val="auto"/>
        </w:rPr>
        <w:t>We have both anti-hedging and anti-pledging policies.</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225CAB"/>
        </w:rPr>
        <w:t>BUSINESS HIGHLIGHTS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achieved another year of record revenue, income and cash flow in 2015.</w:t>
      </w:r>
    </w:p>
    <w:p>
      <w:pPr>
        <w:spacing w:after="0" w:line="77" w:lineRule="exact"/>
        <w:rPr>
          <w:sz w:val="20"/>
          <w:szCs w:val="20"/>
          <w:color w:val="auto"/>
        </w:rPr>
      </w:pPr>
    </w:p>
    <w:p>
      <w:pPr>
        <w:ind w:left="520" w:hanging="215"/>
        <w:spacing w:after="0"/>
        <w:tabs>
          <w:tab w:leader="none" w:pos="520" w:val="left"/>
        </w:tabs>
        <w:numPr>
          <w:ilvl w:val="1"/>
          <w:numId w:val="7"/>
        </w:numPr>
        <w:rPr>
          <w:rFonts w:ascii="Arial" w:cs="Arial" w:eastAsia="Arial" w:hAnsi="Arial"/>
          <w:sz w:val="18"/>
          <w:szCs w:val="18"/>
          <w:color w:val="auto"/>
        </w:rPr>
      </w:pPr>
      <w:r>
        <w:rPr>
          <w:rFonts w:ascii="Arial" w:cs="Arial" w:eastAsia="Arial" w:hAnsi="Arial"/>
          <w:sz w:val="18"/>
          <w:szCs w:val="18"/>
          <w:color w:val="auto"/>
        </w:rPr>
        <w:t>Our compound annual shareholder return over the past decade has been 17.7% and, over the last five years, 20.6%;</w:t>
      </w:r>
    </w:p>
    <w:p>
      <w:pPr>
        <w:spacing w:after="0" w:line="76" w:lineRule="exact"/>
        <w:rPr>
          <w:rFonts w:ascii="Arial" w:cs="Arial" w:eastAsia="Arial" w:hAnsi="Arial"/>
          <w:sz w:val="18"/>
          <w:szCs w:val="18"/>
          <w:color w:val="auto"/>
        </w:rPr>
      </w:pPr>
    </w:p>
    <w:p>
      <w:pPr>
        <w:ind w:left="520" w:hanging="215"/>
        <w:spacing w:after="0"/>
        <w:tabs>
          <w:tab w:leader="none" w:pos="520" w:val="left"/>
        </w:tabs>
        <w:numPr>
          <w:ilvl w:val="1"/>
          <w:numId w:val="7"/>
        </w:numPr>
        <w:rPr>
          <w:rFonts w:ascii="Arial" w:cs="Arial" w:eastAsia="Arial" w:hAnsi="Arial"/>
          <w:sz w:val="18"/>
          <w:szCs w:val="18"/>
          <w:color w:val="auto"/>
        </w:rPr>
      </w:pPr>
      <w:r>
        <w:rPr>
          <w:rFonts w:ascii="Arial" w:cs="Arial" w:eastAsia="Arial" w:hAnsi="Arial"/>
          <w:sz w:val="18"/>
          <w:szCs w:val="18"/>
          <w:color w:val="auto"/>
        </w:rPr>
        <w:t>Net revenue was $3.59 billion;</w:t>
      </w:r>
      <w:r>
        <w:rPr>
          <w:rFonts w:ascii="Arial" w:cs="Arial" w:eastAsia="Arial" w:hAnsi="Arial"/>
          <w:sz w:val="11"/>
          <w:szCs w:val="11"/>
          <w:color w:val="auto"/>
        </w:rPr>
        <w:t>(1)</w:t>
      </w:r>
    </w:p>
    <w:p>
      <w:pPr>
        <w:spacing w:after="0" w:line="76" w:lineRule="exact"/>
        <w:rPr>
          <w:rFonts w:ascii="Arial" w:cs="Arial" w:eastAsia="Arial" w:hAnsi="Arial"/>
          <w:sz w:val="18"/>
          <w:szCs w:val="18"/>
          <w:color w:val="auto"/>
        </w:rPr>
      </w:pPr>
    </w:p>
    <w:p>
      <w:pPr>
        <w:ind w:left="520" w:hanging="215"/>
        <w:spacing w:after="0"/>
        <w:tabs>
          <w:tab w:leader="none" w:pos="520" w:val="left"/>
        </w:tabs>
        <w:numPr>
          <w:ilvl w:val="1"/>
          <w:numId w:val="7"/>
        </w:numPr>
        <w:rPr>
          <w:rFonts w:ascii="Arial" w:cs="Arial" w:eastAsia="Arial" w:hAnsi="Arial"/>
          <w:sz w:val="18"/>
          <w:szCs w:val="18"/>
          <w:color w:val="auto"/>
        </w:rPr>
      </w:pPr>
      <w:r>
        <w:rPr>
          <w:rFonts w:ascii="Arial" w:cs="Arial" w:eastAsia="Arial" w:hAnsi="Arial"/>
          <w:sz w:val="18"/>
          <w:szCs w:val="18"/>
          <w:color w:val="auto"/>
        </w:rPr>
        <w:t>Net income was $679 million, a 5% increase over 2014;</w:t>
      </w:r>
      <w:r>
        <w:rPr>
          <w:rFonts w:ascii="Arial" w:cs="Arial" w:eastAsia="Arial" w:hAnsi="Arial"/>
          <w:sz w:val="11"/>
          <w:szCs w:val="11"/>
          <w:color w:val="auto"/>
        </w:rPr>
        <w:t>(1)</w:t>
      </w:r>
    </w:p>
    <w:p>
      <w:pPr>
        <w:spacing w:after="0" w:line="76" w:lineRule="exact"/>
        <w:rPr>
          <w:rFonts w:ascii="Arial" w:cs="Arial" w:eastAsia="Arial" w:hAnsi="Arial"/>
          <w:sz w:val="18"/>
          <w:szCs w:val="18"/>
          <w:color w:val="auto"/>
        </w:rPr>
      </w:pPr>
    </w:p>
    <w:p>
      <w:pPr>
        <w:ind w:left="520" w:hanging="215"/>
        <w:spacing w:after="0"/>
        <w:tabs>
          <w:tab w:leader="none" w:pos="520" w:val="left"/>
        </w:tabs>
        <w:numPr>
          <w:ilvl w:val="1"/>
          <w:numId w:val="7"/>
        </w:numPr>
        <w:rPr>
          <w:rFonts w:ascii="Arial" w:cs="Arial" w:eastAsia="Arial" w:hAnsi="Arial"/>
          <w:sz w:val="18"/>
          <w:szCs w:val="18"/>
          <w:color w:val="auto"/>
        </w:rPr>
      </w:pPr>
      <w:r>
        <w:rPr>
          <w:rFonts w:ascii="Arial" w:cs="Arial" w:eastAsia="Arial" w:hAnsi="Arial"/>
          <w:sz w:val="18"/>
          <w:szCs w:val="18"/>
          <w:color w:val="auto"/>
        </w:rPr>
        <w:t>Gross margin rose to 60.7% and our EBITDA margin expanded to 34.6%;</w:t>
      </w:r>
      <w:r>
        <w:rPr>
          <w:rFonts w:ascii="Arial" w:cs="Arial" w:eastAsia="Arial" w:hAnsi="Arial"/>
          <w:sz w:val="11"/>
          <w:szCs w:val="11"/>
          <w:color w:val="auto"/>
        </w:rPr>
        <w:t>(1)</w:t>
      </w:r>
    </w:p>
    <w:p>
      <w:pPr>
        <w:spacing w:after="0" w:line="76" w:lineRule="exact"/>
        <w:rPr>
          <w:rFonts w:ascii="Arial" w:cs="Arial" w:eastAsia="Arial" w:hAnsi="Arial"/>
          <w:sz w:val="18"/>
          <w:szCs w:val="18"/>
          <w:color w:val="auto"/>
        </w:rPr>
      </w:pPr>
    </w:p>
    <w:p>
      <w:pPr>
        <w:ind w:left="520" w:hanging="215"/>
        <w:spacing w:after="0"/>
        <w:tabs>
          <w:tab w:leader="none" w:pos="520" w:val="left"/>
        </w:tabs>
        <w:numPr>
          <w:ilvl w:val="1"/>
          <w:numId w:val="7"/>
        </w:numPr>
        <w:rPr>
          <w:rFonts w:ascii="Arial" w:cs="Arial" w:eastAsia="Arial" w:hAnsi="Arial"/>
          <w:sz w:val="18"/>
          <w:szCs w:val="18"/>
          <w:color w:val="auto"/>
        </w:rPr>
      </w:pPr>
      <w:r>
        <w:rPr>
          <w:rFonts w:ascii="Arial" w:cs="Arial" w:eastAsia="Arial" w:hAnsi="Arial"/>
          <w:sz w:val="18"/>
          <w:szCs w:val="18"/>
          <w:color w:val="auto"/>
        </w:rPr>
        <w:t>Our free cash flow was $893 million in 2015, representing 25% of sales;</w:t>
      </w:r>
    </w:p>
    <w:p>
      <w:pPr>
        <w:spacing w:after="0" w:line="76" w:lineRule="exact"/>
        <w:rPr>
          <w:rFonts w:ascii="Arial" w:cs="Arial" w:eastAsia="Arial" w:hAnsi="Arial"/>
          <w:sz w:val="18"/>
          <w:szCs w:val="18"/>
          <w:color w:val="auto"/>
        </w:rPr>
      </w:pPr>
    </w:p>
    <w:p>
      <w:pPr>
        <w:ind w:left="520" w:hanging="215"/>
        <w:spacing w:after="0"/>
        <w:tabs>
          <w:tab w:leader="none" w:pos="520" w:val="left"/>
        </w:tabs>
        <w:numPr>
          <w:ilvl w:val="1"/>
          <w:numId w:val="7"/>
        </w:numPr>
        <w:rPr>
          <w:rFonts w:ascii="Arial" w:cs="Arial" w:eastAsia="Arial" w:hAnsi="Arial"/>
          <w:sz w:val="18"/>
          <w:szCs w:val="18"/>
          <w:color w:val="auto"/>
        </w:rPr>
      </w:pPr>
      <w:r>
        <w:rPr>
          <w:rFonts w:ascii="Arial" w:cs="Arial" w:eastAsia="Arial" w:hAnsi="Arial"/>
          <w:sz w:val="18"/>
          <w:szCs w:val="18"/>
          <w:color w:val="auto"/>
        </w:rPr>
        <w:t>We deployed over $1.8 billion in acquisitions during 2015;</w:t>
      </w:r>
    </w:p>
    <w:p>
      <w:pPr>
        <w:spacing w:after="0" w:line="76" w:lineRule="exact"/>
        <w:rPr>
          <w:rFonts w:ascii="Arial" w:cs="Arial" w:eastAsia="Arial" w:hAnsi="Arial"/>
          <w:sz w:val="18"/>
          <w:szCs w:val="18"/>
          <w:color w:val="auto"/>
        </w:rPr>
      </w:pPr>
    </w:p>
    <w:p>
      <w:pPr>
        <w:ind w:left="520" w:hanging="215"/>
        <w:spacing w:after="0"/>
        <w:tabs>
          <w:tab w:leader="none" w:pos="520" w:val="left"/>
        </w:tabs>
        <w:numPr>
          <w:ilvl w:val="1"/>
          <w:numId w:val="7"/>
        </w:numPr>
        <w:rPr>
          <w:rFonts w:ascii="Arial" w:cs="Arial" w:eastAsia="Arial" w:hAnsi="Arial"/>
          <w:sz w:val="18"/>
          <w:szCs w:val="18"/>
          <w:color w:val="auto"/>
        </w:rPr>
      </w:pPr>
      <w:r>
        <w:rPr>
          <w:rFonts w:ascii="Arial" w:cs="Arial" w:eastAsia="Arial" w:hAnsi="Arial"/>
          <w:sz w:val="18"/>
          <w:szCs w:val="18"/>
          <w:color w:val="auto"/>
        </w:rPr>
        <w:t>Our annual dividend increased by 20%, increasing for the 23</w:t>
      </w:r>
      <w:r>
        <w:rPr>
          <w:rFonts w:ascii="Arial" w:cs="Arial" w:eastAsia="Arial" w:hAnsi="Arial"/>
          <w:sz w:val="11"/>
          <w:szCs w:val="11"/>
          <w:color w:val="auto"/>
        </w:rPr>
        <w:t>rd</w:t>
      </w:r>
      <w:r>
        <w:rPr>
          <w:rFonts w:ascii="Arial" w:cs="Arial" w:eastAsia="Arial" w:hAnsi="Arial"/>
          <w:sz w:val="18"/>
          <w:szCs w:val="18"/>
          <w:color w:val="auto"/>
        </w:rPr>
        <w:t xml:space="preserve"> consecutive year.</w:t>
      </w:r>
    </w:p>
    <w:p>
      <w:pPr>
        <w:spacing w:after="0" w:line="58" w:lineRule="exact"/>
        <w:rPr>
          <w:rFonts w:ascii="Arial" w:cs="Arial" w:eastAsia="Arial" w:hAnsi="Arial"/>
          <w:sz w:val="18"/>
          <w:szCs w:val="18"/>
          <w:color w:val="auto"/>
        </w:rPr>
      </w:pPr>
    </w:p>
    <w:p>
      <w:pPr>
        <w:ind w:left="520" w:right="440" w:hanging="323"/>
        <w:spacing w:after="0" w:line="188" w:lineRule="auto"/>
        <w:tabs>
          <w:tab w:leader="none" w:pos="520" w:val="left"/>
        </w:tabs>
        <w:numPr>
          <w:ilvl w:val="0"/>
          <w:numId w:val="7"/>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The financial information is presented on an adjusted (non-GAAP) basis. A reconciliation of GAAP to non-GAAP financial measures and other related information is available in “Appendix A—Reconciliations.”</w:t>
      </w:r>
    </w:p>
    <w:p>
      <w:pPr>
        <w:spacing w:after="0" w:line="13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225CAB"/>
        </w:rPr>
        <w:t>COMPENSATION HIGHLIGHTS</w:t>
      </w:r>
    </w:p>
    <w:p>
      <w:pPr>
        <w:spacing w:after="0" w:line="180" w:lineRule="exact"/>
        <w:rPr>
          <w:sz w:val="20"/>
          <w:szCs w:val="20"/>
          <w:color w:val="auto"/>
        </w:rPr>
      </w:pPr>
    </w:p>
    <w:p>
      <w:pPr>
        <w:ind w:left="200" w:right="460"/>
        <w:spacing w:after="0" w:line="239" w:lineRule="auto"/>
        <w:rPr>
          <w:sz w:val="20"/>
          <w:szCs w:val="20"/>
          <w:color w:val="auto"/>
        </w:rPr>
      </w:pPr>
      <w:r>
        <w:rPr>
          <w:rFonts w:ascii="Arial" w:cs="Arial" w:eastAsia="Arial" w:hAnsi="Arial"/>
          <w:sz w:val="18"/>
          <w:szCs w:val="18"/>
          <w:color w:val="auto"/>
        </w:rPr>
        <w:t>The creation of shareholder value is the foundation and driver of our executive compensation program. Aspects of our program that closely align the compensation of our executive officers with the long-term interests of our investors include the following:</w:t>
      </w:r>
    </w:p>
    <w:p>
      <w:pPr>
        <w:spacing w:after="0" w:line="52" w:lineRule="exact"/>
        <w:rPr>
          <w:sz w:val="20"/>
          <w:szCs w:val="20"/>
          <w:color w:val="auto"/>
        </w:rPr>
      </w:pPr>
    </w:p>
    <w:p>
      <w:pPr>
        <w:jc w:val="both"/>
        <w:ind w:left="200" w:right="480"/>
        <w:spacing w:after="0" w:line="249" w:lineRule="auto"/>
        <w:rPr>
          <w:sz w:val="20"/>
          <w:szCs w:val="20"/>
          <w:color w:val="auto"/>
        </w:rPr>
      </w:pPr>
      <w:r>
        <w:rPr>
          <w:rFonts w:ascii="Arial" w:cs="Arial" w:eastAsia="Arial" w:hAnsi="Arial"/>
          <w:sz w:val="18"/>
          <w:szCs w:val="18"/>
          <w:b w:val="1"/>
          <w:bCs w:val="1"/>
          <w:color w:val="auto"/>
        </w:rPr>
        <w:t xml:space="preserve">Pay for Performance: </w:t>
      </w:r>
      <w:r>
        <w:rPr>
          <w:rFonts w:ascii="Arial" w:cs="Arial" w:eastAsia="Arial" w:hAnsi="Arial"/>
          <w:sz w:val="18"/>
          <w:szCs w:val="18"/>
          <w:color w:val="auto"/>
        </w:rPr>
        <w:t>Compensation is almost completely tied to pre-set, objective performance criteria and long-term shareholder value</w:t>
      </w:r>
      <w:r>
        <w:rPr>
          <w:rFonts w:ascii="Arial" w:cs="Arial" w:eastAsia="Arial" w:hAnsi="Arial"/>
          <w:sz w:val="18"/>
          <w:szCs w:val="18"/>
          <w:b w:val="1"/>
          <w:bCs w:val="1"/>
          <w:color w:val="auto"/>
        </w:rPr>
        <w:t xml:space="preserve"> </w:t>
      </w:r>
      <w:r>
        <w:rPr>
          <w:rFonts w:ascii="Arial" w:cs="Arial" w:eastAsia="Arial" w:hAnsi="Arial"/>
          <w:sz w:val="18"/>
          <w:szCs w:val="18"/>
          <w:color w:val="auto"/>
        </w:rPr>
        <w:t>creation; in 2015, 95% of our Chief Executive Officer’s compensation was subject to performance risk and tied to our long-term results and stock prices.</w:t>
      </w:r>
    </w:p>
    <w:p>
      <w:pPr>
        <w:spacing w:after="0" w:line="45" w:lineRule="exact"/>
        <w:rPr>
          <w:sz w:val="20"/>
          <w:szCs w:val="20"/>
          <w:color w:val="auto"/>
        </w:rPr>
      </w:pPr>
    </w:p>
    <w:p>
      <w:pPr>
        <w:ind w:left="200" w:right="220"/>
        <w:spacing w:after="0" w:line="264" w:lineRule="auto"/>
        <w:rPr>
          <w:sz w:val="20"/>
          <w:szCs w:val="20"/>
          <w:color w:val="auto"/>
        </w:rPr>
      </w:pPr>
      <w:r>
        <w:rPr>
          <w:rFonts w:ascii="Arial" w:cs="Arial" w:eastAsia="Arial" w:hAnsi="Arial"/>
          <w:sz w:val="18"/>
          <w:szCs w:val="18"/>
          <w:b w:val="1"/>
          <w:bCs w:val="1"/>
          <w:color w:val="auto"/>
        </w:rPr>
        <w:t xml:space="preserve">Double Trigger Vesting: </w:t>
      </w:r>
      <w:r>
        <w:rPr>
          <w:rFonts w:ascii="Arial" w:cs="Arial" w:eastAsia="Arial" w:hAnsi="Arial"/>
          <w:sz w:val="18"/>
          <w:szCs w:val="18"/>
          <w:color w:val="auto"/>
        </w:rPr>
        <w:t>“Double trigger” vesting of equity awards if a change in control occurs; no excise tax gross-ups for change-in-control</w:t>
      </w:r>
      <w:r>
        <w:rPr>
          <w:rFonts w:ascii="Arial" w:cs="Arial" w:eastAsia="Arial" w:hAnsi="Arial"/>
          <w:sz w:val="18"/>
          <w:szCs w:val="18"/>
          <w:b w:val="1"/>
          <w:bCs w:val="1"/>
          <w:color w:val="auto"/>
        </w:rPr>
        <w:t xml:space="preserve"> </w:t>
      </w:r>
      <w:r>
        <w:rPr>
          <w:rFonts w:ascii="Arial" w:cs="Arial" w:eastAsia="Arial" w:hAnsi="Arial"/>
          <w:sz w:val="18"/>
          <w:szCs w:val="18"/>
          <w:color w:val="auto"/>
        </w:rPr>
        <w:t>payments.</w:t>
      </w:r>
    </w:p>
    <w:p>
      <w:pPr>
        <w:spacing w:after="0" w:line="3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Stock Ownership Guidelines: </w:t>
      </w:r>
      <w:r>
        <w:rPr>
          <w:rFonts w:ascii="Arial" w:cs="Arial" w:eastAsia="Arial" w:hAnsi="Arial"/>
          <w:sz w:val="18"/>
          <w:szCs w:val="18"/>
          <w:color w:val="auto"/>
        </w:rPr>
        <w:t>Substantial share ownership and retention guidelines for our executive officers and non-employee directors.</w:t>
      </w:r>
    </w:p>
    <w:p>
      <w:pPr>
        <w:spacing w:after="0" w:line="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Low Overhang and Dilution: </w:t>
      </w:r>
      <w:r>
        <w:rPr>
          <w:rFonts w:ascii="Arial" w:cs="Arial" w:eastAsia="Arial" w:hAnsi="Arial"/>
          <w:sz w:val="18"/>
          <w:szCs w:val="18"/>
          <w:color w:val="auto"/>
        </w:rPr>
        <w:t>Overhang and dilution from equity incentives at Roper are very low relative to our peers.</w:t>
      </w:r>
    </w:p>
    <w:p>
      <w:pPr>
        <w:spacing w:after="0" w:line="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Clawback Policy: </w:t>
      </w:r>
      <w:r>
        <w:rPr>
          <w:rFonts w:ascii="Arial" w:cs="Arial" w:eastAsia="Arial" w:hAnsi="Arial"/>
          <w:sz w:val="18"/>
          <w:szCs w:val="18"/>
          <w:color w:val="auto"/>
        </w:rPr>
        <w:t>We have a clawback policy to recoup erroneously paid compensation.</w:t>
      </w:r>
    </w:p>
    <w:p>
      <w:pPr>
        <w:spacing w:after="0" w:line="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Dividends Only on Shares Earned: </w:t>
      </w:r>
      <w:r>
        <w:rPr>
          <w:rFonts w:ascii="Arial" w:cs="Arial" w:eastAsia="Arial" w:hAnsi="Arial"/>
          <w:sz w:val="18"/>
          <w:szCs w:val="18"/>
          <w:color w:val="auto"/>
        </w:rPr>
        <w:t>Dividends on restricted shares awarded after 2014 will be paid only if the shares are earned.</w:t>
      </w:r>
    </w:p>
    <w:p>
      <w:pPr>
        <w:spacing w:after="0" w:line="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Annual Bonus Caps: </w:t>
      </w:r>
      <w:r>
        <w:rPr>
          <w:rFonts w:ascii="Arial" w:cs="Arial" w:eastAsia="Arial" w:hAnsi="Arial"/>
          <w:sz w:val="18"/>
          <w:szCs w:val="18"/>
          <w:color w:val="auto"/>
        </w:rPr>
        <w:t>We have caps on annual bonuses to avoid encouraging a short-term focus.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6940" w:type="dxa"/>
        <w:tblCellMar>
          <w:top w:w="0" w:type="dxa"/>
          <w:left w:w="0" w:type="dxa"/>
          <w:bottom w:w="0" w:type="dxa"/>
          <w:right w:w="0" w:type="dxa"/>
        </w:tblCellMar>
      </w:tblPr>
      <w:tr>
        <w:trPr>
          <w:trHeight w:val="309"/>
        </w:trPr>
        <w:tc>
          <w:tcPr>
            <w:tcW w:w="4080" w:type="dxa"/>
            <w:vAlign w:val="bottom"/>
            <w:tcBorders>
              <w:right w:val="single" w:sz="8" w:color="225CAB"/>
            </w:tcBorders>
          </w:tcPr>
          <w:p>
            <w:pPr>
              <w:spacing w:after="0"/>
              <w:rPr>
                <w:sz w:val="20"/>
                <w:szCs w:val="20"/>
                <w:color w:val="auto"/>
              </w:rPr>
            </w:pPr>
            <w:r>
              <w:rPr>
                <w:rFonts w:ascii="Arial" w:cs="Arial" w:eastAsia="Arial" w:hAnsi="Arial"/>
                <w:sz w:val="18"/>
                <w:szCs w:val="18"/>
                <w:b w:val="1"/>
                <w:bCs w:val="1"/>
                <w:color w:val="225CAB"/>
                <w:w w:val="99"/>
              </w:rPr>
              <w:t>Roper Technologies, Inc. 2016 Proxy Statement</w:t>
            </w:r>
          </w:p>
        </w:tc>
        <w:tc>
          <w:tcPr>
            <w:tcW w:w="400" w:type="dxa"/>
            <w:vAlign w:val="bottom"/>
          </w:tcPr>
          <w:p>
            <w:pPr>
              <w:ind w:left="260"/>
              <w:spacing w:after="0"/>
              <w:rPr>
                <w:sz w:val="20"/>
                <w:szCs w:val="20"/>
                <w:color w:val="auto"/>
              </w:rPr>
            </w:pPr>
            <w:r>
              <w:rPr>
                <w:rFonts w:ascii="Arial" w:cs="Arial" w:eastAsia="Arial" w:hAnsi="Arial"/>
                <w:sz w:val="18"/>
                <w:szCs w:val="18"/>
                <w:b w:val="1"/>
                <w:bCs w:val="1"/>
                <w:color w:val="225CAB"/>
                <w:w w:val="79"/>
              </w:rPr>
              <w:t>iii</w:t>
            </w:r>
          </w:p>
        </w:tc>
      </w:tr>
      <w:tr>
        <w:trPr>
          <w:trHeight w:val="83"/>
        </w:trPr>
        <w:tc>
          <w:tcPr>
            <w:tcW w:w="4080" w:type="dxa"/>
            <w:vAlign w:val="bottom"/>
            <w:tcBorders>
              <w:right w:val="single" w:sz="8" w:color="225CAB"/>
            </w:tcBorders>
          </w:tcPr>
          <w:p>
            <w:pPr>
              <w:spacing w:after="0"/>
              <w:rPr>
                <w:sz w:val="7"/>
                <w:szCs w:val="7"/>
                <w:color w:val="auto"/>
              </w:rPr>
            </w:pPr>
          </w:p>
        </w:tc>
        <w:tc>
          <w:tcPr>
            <w:tcW w:w="40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-213995</wp:posOffset>
            </wp:positionV>
            <wp:extent cx="420370" cy="2057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225CAB"/>
        </w:rPr>
        <w:t>PROXY STATEMENT SUMMARY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7276465" cy="47891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6465" cy="4789170"/>
                    </a:xfrm>
                    <a:prstGeom prst="rect">
                      <a:avLst/>
                    </a:prstGeom>
                    <a:noFill/>
                  </pic:spPr>
                </pic:pic>
              </a:graphicData>
            </a:graphic>
          </wp:anchor>
        </w:drawing>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No Repricing: </w:t>
      </w:r>
      <w:r>
        <w:rPr>
          <w:rFonts w:ascii="Arial" w:cs="Arial" w:eastAsia="Arial" w:hAnsi="Arial"/>
          <w:sz w:val="18"/>
          <w:szCs w:val="18"/>
          <w:color w:val="auto"/>
        </w:rPr>
        <w:t>Repricing of stock options is prohibited.</w:t>
      </w:r>
    </w:p>
    <w:p>
      <w:pPr>
        <w:spacing w:after="0" w:line="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Limited Benefits: </w:t>
      </w:r>
      <w:r>
        <w:rPr>
          <w:rFonts w:ascii="Arial" w:cs="Arial" w:eastAsia="Arial" w:hAnsi="Arial"/>
          <w:sz w:val="18"/>
          <w:szCs w:val="18"/>
          <w:color w:val="auto"/>
        </w:rPr>
        <w:t>No defined pension benefit plan, few perquisites, and limited severance agreements.</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225CAB"/>
        </w:rPr>
        <w:t>APPROVAL OF THE ROPER TECHNOLOGIES, INC 2016 INCENTIVE PLAN</w:t>
      </w:r>
    </w:p>
    <w:p>
      <w:pPr>
        <w:spacing w:after="0" w:line="180"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Equity compensation is an important element of our overall compensation program because it achieves many of our compensation objectives by linking pay with our performance and aligning executives’ interest with those of our shareholders. We are asking for shareholder approval of the 2016 Incentive Plan (the “2016 Plan”), which will replace our 2006 Incentive Plan (the “2006 Plan”) that expires in June 2016. The 2016 Plan authorizes us to grant equity awards for 7,924,932 million shares, plus up to 2,075,068 shares remaining available under the 2006 Plan. In addition, shares subject to awards under the 2006 Plan existing as of the effective date of the 2016 Plan that terminate or expire unexercised, or are cancelled, forfeited or lapse for any reason will be available under the 2016 Plan.</w:t>
      </w:r>
    </w:p>
    <w:p>
      <w:pPr>
        <w:spacing w:after="0" w:line="156" w:lineRule="exact"/>
        <w:rPr>
          <w:sz w:val="20"/>
          <w:szCs w:val="20"/>
          <w:color w:val="auto"/>
        </w:rPr>
      </w:pPr>
    </w:p>
    <w:p>
      <w:pPr>
        <w:ind w:left="200" w:right="100"/>
        <w:spacing w:after="0" w:line="237" w:lineRule="auto"/>
        <w:rPr>
          <w:sz w:val="20"/>
          <w:szCs w:val="20"/>
          <w:color w:val="auto"/>
        </w:rPr>
      </w:pPr>
      <w:r>
        <w:rPr>
          <w:rFonts w:ascii="Arial" w:cs="Arial" w:eastAsia="Arial" w:hAnsi="Arial"/>
          <w:sz w:val="18"/>
          <w:szCs w:val="18"/>
          <w:color w:val="auto"/>
        </w:rPr>
        <w:t>The 2016 Plan provides for the award of stock options, stock appreciation rights, restricted stock, restricted or deferred stock units, performance awards of cash or stock, dividend equivalents and other stock-based awards granted by the Compensation Committee to our employees, officers, directors and consultants for the purpose of attracting, motivating, retaining and rewarding them. The 2016 Plan includes the following features to protect our stockholders’ interests and help ensure effective corporate governance:</w:t>
      </w:r>
    </w:p>
    <w:p>
      <w:pPr>
        <w:spacing w:after="0" w:line="74" w:lineRule="exact"/>
        <w:rPr>
          <w:sz w:val="20"/>
          <w:szCs w:val="20"/>
          <w:color w:val="auto"/>
        </w:rPr>
      </w:pPr>
    </w:p>
    <w:p>
      <w:pPr>
        <w:ind w:left="520" w:hanging="215"/>
        <w:spacing w:after="0"/>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Conservative share counting;</w:t>
      </w:r>
    </w:p>
    <w:p>
      <w:pPr>
        <w:spacing w:after="0" w:line="76" w:lineRule="exact"/>
        <w:rPr>
          <w:rFonts w:ascii="Arial" w:cs="Arial" w:eastAsia="Arial" w:hAnsi="Arial"/>
          <w:sz w:val="18"/>
          <w:szCs w:val="18"/>
          <w:color w:val="auto"/>
        </w:rPr>
      </w:pPr>
    </w:p>
    <w:p>
      <w:pPr>
        <w:ind w:left="520" w:hanging="215"/>
        <w:spacing w:after="0"/>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 repricing of stock options;</w:t>
      </w:r>
    </w:p>
    <w:p>
      <w:pPr>
        <w:spacing w:after="0" w:line="76" w:lineRule="exact"/>
        <w:rPr>
          <w:rFonts w:ascii="Arial" w:cs="Arial" w:eastAsia="Arial" w:hAnsi="Arial"/>
          <w:sz w:val="18"/>
          <w:szCs w:val="18"/>
          <w:color w:val="auto"/>
        </w:rPr>
      </w:pPr>
    </w:p>
    <w:p>
      <w:pPr>
        <w:ind w:left="520" w:hanging="215"/>
        <w:spacing w:after="0"/>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 discounted stock options;</w:t>
      </w:r>
    </w:p>
    <w:p>
      <w:pPr>
        <w:spacing w:after="0" w:line="76" w:lineRule="exact"/>
        <w:rPr>
          <w:rFonts w:ascii="Arial" w:cs="Arial" w:eastAsia="Arial" w:hAnsi="Arial"/>
          <w:sz w:val="18"/>
          <w:szCs w:val="18"/>
          <w:color w:val="auto"/>
        </w:rPr>
      </w:pPr>
    </w:p>
    <w:p>
      <w:pPr>
        <w:ind w:left="520" w:hanging="215"/>
        <w:spacing w:after="0"/>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Double trigger required for vesting in case of change in control; and</w:t>
      </w:r>
    </w:p>
    <w:p>
      <w:pPr>
        <w:spacing w:after="0" w:line="76" w:lineRule="exact"/>
        <w:rPr>
          <w:rFonts w:ascii="Arial" w:cs="Arial" w:eastAsia="Arial" w:hAnsi="Arial"/>
          <w:sz w:val="18"/>
          <w:szCs w:val="18"/>
          <w:color w:val="auto"/>
        </w:rPr>
      </w:pPr>
    </w:p>
    <w:p>
      <w:pPr>
        <w:ind w:left="520" w:hanging="215"/>
        <w:spacing w:after="0"/>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Independent committee administration.</w:t>
      </w:r>
    </w:p>
    <w:p>
      <w:pPr>
        <w:spacing w:after="0" w:line="158" w:lineRule="exact"/>
        <w:rPr>
          <w:sz w:val="20"/>
          <w:szCs w:val="20"/>
          <w:color w:val="auto"/>
        </w:rPr>
      </w:pPr>
    </w:p>
    <w:p>
      <w:pPr>
        <w:ind w:left="200" w:right="100"/>
        <w:spacing w:after="0" w:line="238" w:lineRule="auto"/>
        <w:rPr>
          <w:sz w:val="20"/>
          <w:szCs w:val="20"/>
          <w:color w:val="auto"/>
        </w:rPr>
      </w:pPr>
      <w:r>
        <w:rPr>
          <w:rFonts w:ascii="Arial" w:cs="Arial" w:eastAsia="Arial" w:hAnsi="Arial"/>
          <w:sz w:val="18"/>
          <w:szCs w:val="18"/>
          <w:color w:val="auto"/>
        </w:rPr>
        <w:t>Over the past three years (2015, 2014 and 2013), our annual burn rates have been 1.45%, 1.36%, and 1.37%, respectively. These burn rates were calculated by the number of stock options and full-value awards granted during the applicable year (using a 1.9 multiplier for full-value awards) as a percentage of weighted average shares outstanding.</w:t>
      </w:r>
    </w:p>
    <w:p>
      <w:pPr>
        <w:spacing w:after="0" w:line="154" w:lineRule="exact"/>
        <w:rPr>
          <w:sz w:val="20"/>
          <w:szCs w:val="20"/>
          <w:color w:val="auto"/>
        </w:rPr>
      </w:pPr>
    </w:p>
    <w:p>
      <w:pPr>
        <w:ind w:left="200" w:right="80"/>
        <w:spacing w:after="0" w:line="275" w:lineRule="auto"/>
        <w:rPr>
          <w:sz w:val="20"/>
          <w:szCs w:val="20"/>
          <w:color w:val="auto"/>
        </w:rPr>
      </w:pPr>
      <w:r>
        <w:rPr>
          <w:rFonts w:ascii="Arial" w:cs="Arial" w:eastAsia="Arial" w:hAnsi="Arial"/>
          <w:sz w:val="16"/>
          <w:szCs w:val="16"/>
          <w:color w:val="auto"/>
        </w:rPr>
        <w:t>The 2016 Plan also contains performance criteria that we may use for performance-based compensation paid or granted under the 2016 Plan and that is intended to qualify under Internal Revenue Code (“IRC”) Section 162(m). Stockholder approval of the 2016 Plan will also be considered as stockholder approval of the performance criteria, which would help preserve our ability to deduct for income tax purposes compensation associated with future performance-based awards made to certain executives in accordance with IRC Section 162(m).</w:t>
      </w:r>
    </w:p>
    <w:p>
      <w:pPr>
        <w:spacing w:after="0" w:line="129" w:lineRule="exact"/>
        <w:rPr>
          <w:sz w:val="20"/>
          <w:szCs w:val="20"/>
          <w:color w:val="auto"/>
        </w:rPr>
      </w:pPr>
    </w:p>
    <w:p>
      <w:pPr>
        <w:ind w:left="200" w:right="580"/>
        <w:spacing w:after="0" w:line="239" w:lineRule="auto"/>
        <w:rPr>
          <w:sz w:val="20"/>
          <w:szCs w:val="20"/>
          <w:color w:val="auto"/>
        </w:rPr>
      </w:pPr>
      <w:r>
        <w:rPr>
          <w:rFonts w:ascii="Arial" w:cs="Arial" w:eastAsia="Arial" w:hAnsi="Arial"/>
          <w:sz w:val="18"/>
          <w:szCs w:val="18"/>
          <w:color w:val="auto"/>
        </w:rPr>
        <w:t>The 2016 Plan, including the performance metrics, is described more fully in Proposal 4, Approval of the Roper Technologies, Inc. 2016 Incentive Plan. The 2016 Plan is attached to this Proxy Statement as Appendix B.</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336"/>
        </w:trPr>
        <w:tc>
          <w:tcPr>
            <w:tcW w:w="280" w:type="dxa"/>
            <w:vAlign w:val="bottom"/>
            <w:tcBorders>
              <w:right w:val="single" w:sz="8" w:color="225CAB"/>
            </w:tcBorders>
          </w:tcPr>
          <w:p>
            <w:pPr>
              <w:spacing w:after="0"/>
              <w:rPr>
                <w:sz w:val="20"/>
                <w:szCs w:val="20"/>
                <w:color w:val="auto"/>
              </w:rPr>
            </w:pPr>
            <w:r>
              <w:rPr>
                <w:rFonts w:ascii="Arial" w:cs="Arial" w:eastAsia="Arial" w:hAnsi="Arial"/>
                <w:sz w:val="18"/>
                <w:szCs w:val="18"/>
                <w:b w:val="1"/>
                <w:bCs w:val="1"/>
                <w:color w:val="225CAB"/>
              </w:rPr>
              <w:t>iv</w:t>
            </w:r>
          </w:p>
        </w:tc>
        <w:tc>
          <w:tcPr>
            <w:tcW w:w="5200" w:type="dxa"/>
            <w:vAlign w:val="bottom"/>
          </w:tcPr>
          <w:p>
            <w:pPr>
              <w:ind w:left="1240"/>
              <w:spacing w:after="0"/>
              <w:rPr>
                <w:sz w:val="20"/>
                <w:szCs w:val="20"/>
                <w:color w:val="auto"/>
              </w:rPr>
            </w:pPr>
            <w:r>
              <w:rPr>
                <w:rFonts w:ascii="Arial" w:cs="Arial" w:eastAsia="Arial" w:hAnsi="Arial"/>
                <w:sz w:val="18"/>
                <w:szCs w:val="18"/>
                <w:b w:val="1"/>
                <w:bCs w:val="1"/>
                <w:color w:val="225CAB"/>
                <w:w w:val="97"/>
              </w:rPr>
              <w:t>Roper Technologies, Inc. 2016 Proxy Statement</w:t>
            </w:r>
          </w:p>
        </w:tc>
      </w:tr>
      <w:tr>
        <w:trPr>
          <w:trHeight w:val="110"/>
        </w:trPr>
        <w:tc>
          <w:tcPr>
            <w:tcW w:w="280" w:type="dxa"/>
            <w:vAlign w:val="bottom"/>
            <w:tcBorders>
              <w:right w:val="single" w:sz="8" w:color="225CAB"/>
            </w:tcBorders>
          </w:tcPr>
          <w:p>
            <w:pPr>
              <w:spacing w:after="0"/>
              <w:rPr>
                <w:sz w:val="9"/>
                <w:szCs w:val="9"/>
                <w:color w:val="auto"/>
              </w:rPr>
            </w:pPr>
          </w:p>
        </w:tc>
        <w:tc>
          <w:tcPr>
            <w:tcW w:w="52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-248285</wp:posOffset>
            </wp:positionV>
            <wp:extent cx="420370" cy="2057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ectPr>
          <w:pgSz w:w="11900" w:h="16838" w:orient="portrait"/>
          <w:cols w:equalWidth="0" w:num="1">
            <w:col w:w="11260"/>
          </w:cols>
          <w:pgMar w:left="240" w:top="459" w:right="3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spacing w:after="0"/>
        <w:rPr>
          <w:sz w:val="20"/>
          <w:szCs w:val="20"/>
          <w:color w:val="auto"/>
        </w:rPr>
      </w:pPr>
      <w:r>
        <w:rPr>
          <w:rFonts w:ascii="Arial" w:cs="Arial" w:eastAsia="Arial" w:hAnsi="Arial"/>
          <w:sz w:val="32"/>
          <w:szCs w:val="32"/>
          <w:color w:val="225CAB"/>
        </w:rPr>
        <w:t>PROPOSAL 1: ELECTION OF DIRECTORS</w:t>
      </w:r>
    </w:p>
    <w:p>
      <w:pPr>
        <w:spacing w:after="0" w:line="253"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Our Certificate of Incorporation provides that the Board of Directors shall consist of such number of members as may be fixed, from time to time, by the Board of Directors, but not less than the minimum number required under Delaware law. As a result of the passing of David Devonshire in June 2015, our Board of Directors decreased the number of directors from ten to nine. As of this Annual Meeting, the declassification of our Board is completed, and the terms of all nine incumbent directors will expire. Shareholders are electing nine directors who will serve for a one-year term.</w:t>
      </w:r>
    </w:p>
    <w:p>
      <w:pPr>
        <w:spacing w:after="0" w:line="129"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color w:val="auto"/>
        </w:rPr>
        <w:t>Our Board unanimously recommended each incumbent director for election at this Annual Meeting. Certain information about our director nominees is set forth under “Board of Directors.” This information includes the business experience, qualifications, attributes and skills that each individual brings to our Board.</w:t>
      </w:r>
    </w:p>
    <w:p>
      <w:pPr>
        <w:spacing w:after="0" w:line="154" w:lineRule="exact"/>
        <w:rPr>
          <w:sz w:val="20"/>
          <w:szCs w:val="20"/>
          <w:color w:val="auto"/>
        </w:rPr>
      </w:pPr>
    </w:p>
    <w:p>
      <w:pPr>
        <w:ind w:right="760"/>
        <w:spacing w:after="0" w:line="239" w:lineRule="auto"/>
        <w:rPr>
          <w:sz w:val="20"/>
          <w:szCs w:val="20"/>
          <w:color w:val="auto"/>
        </w:rPr>
      </w:pPr>
      <w:r>
        <w:rPr>
          <w:rFonts w:ascii="Arial" w:cs="Arial" w:eastAsia="Arial" w:hAnsi="Arial"/>
          <w:sz w:val="18"/>
          <w:szCs w:val="18"/>
          <w:color w:val="auto"/>
        </w:rPr>
        <w:t>If prior to the meeting a director nominee is unable to serve, which the Board of Directors does not anticipate, the proxy will be voted for a substitute nominee selected by the Board of Directors, or the Board may choose to reduce its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3003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300355"/>
                    </a:xfrm>
                    <a:prstGeom prst="rect">
                      <a:avLst/>
                    </a:prstGeom>
                    <a:noFill/>
                  </pic:spPr>
                </pic:pic>
              </a:graphicData>
            </a:graphic>
          </wp:anchor>
        </w:drawing>
      </w:r>
    </w:p>
    <w:p>
      <w:pPr>
        <w:spacing w:after="0" w:line="181" w:lineRule="exact"/>
        <w:rPr>
          <w:sz w:val="20"/>
          <w:szCs w:val="20"/>
          <w:color w:val="auto"/>
        </w:rPr>
      </w:pPr>
    </w:p>
    <w:p>
      <w:pPr>
        <w:ind w:left="460" w:right="900"/>
        <w:spacing w:after="0" w:line="264" w:lineRule="auto"/>
        <w:rPr>
          <w:sz w:val="20"/>
          <w:szCs w:val="20"/>
          <w:color w:val="auto"/>
        </w:rPr>
      </w:pPr>
      <w:r>
        <w:rPr>
          <w:rFonts w:ascii="Arial" w:cs="Arial" w:eastAsia="Arial" w:hAnsi="Arial"/>
          <w:sz w:val="18"/>
          <w:szCs w:val="18"/>
          <w:b w:val="1"/>
          <w:bCs w:val="1"/>
          <w:color w:val="auto"/>
        </w:rPr>
        <w:t>The Board of Directors recommends a vote “FOR” the election to the Board of Directors of each of the following director nominees: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40" w:type="dxa"/>
            <w:vAlign w:val="bottom"/>
            <w:shd w:val="clear" w:color="auto" w:fill="225CAB"/>
          </w:tcPr>
          <w:p>
            <w:pPr>
              <w:spacing w:after="0"/>
              <w:rPr>
                <w:sz w:val="17"/>
                <w:szCs w:val="17"/>
                <w:color w:val="auto"/>
              </w:rPr>
            </w:pPr>
          </w:p>
        </w:tc>
        <w:tc>
          <w:tcPr>
            <w:tcW w:w="900" w:type="dxa"/>
            <w:vAlign w:val="bottom"/>
            <w:shd w:val="clear" w:color="auto" w:fill="225CAB"/>
          </w:tcPr>
          <w:p>
            <w:pPr>
              <w:spacing w:after="0"/>
              <w:rPr>
                <w:sz w:val="17"/>
                <w:szCs w:val="17"/>
                <w:color w:val="auto"/>
              </w:rPr>
            </w:pPr>
          </w:p>
        </w:tc>
        <w:tc>
          <w:tcPr>
            <w:tcW w:w="1000" w:type="dxa"/>
            <w:vAlign w:val="bottom"/>
            <w:shd w:val="clear" w:color="auto" w:fill="225CAB"/>
          </w:tcPr>
          <w:p>
            <w:pPr>
              <w:jc w:val="center"/>
              <w:spacing w:after="0"/>
              <w:rPr>
                <w:sz w:val="20"/>
                <w:szCs w:val="20"/>
                <w:color w:val="auto"/>
              </w:rPr>
            </w:pPr>
            <w:r>
              <w:rPr>
                <w:rFonts w:ascii="Arial" w:cs="Arial" w:eastAsia="Arial" w:hAnsi="Arial"/>
                <w:sz w:val="18"/>
                <w:szCs w:val="18"/>
                <w:color w:val="FFFFFF"/>
                <w:w w:val="95"/>
              </w:rPr>
              <w:t>Director</w:t>
            </w:r>
          </w:p>
        </w:tc>
        <w:tc>
          <w:tcPr>
            <w:tcW w:w="1400" w:type="dxa"/>
            <w:vAlign w:val="bottom"/>
            <w:shd w:val="clear" w:color="auto" w:fill="225CAB"/>
          </w:tcPr>
          <w:p>
            <w:pPr>
              <w:spacing w:after="0"/>
              <w:rPr>
                <w:sz w:val="17"/>
                <w:szCs w:val="17"/>
                <w:color w:val="auto"/>
              </w:rPr>
            </w:pPr>
          </w:p>
        </w:tc>
        <w:tc>
          <w:tcPr>
            <w:tcW w:w="5540" w:type="dxa"/>
            <w:vAlign w:val="bottom"/>
            <w:tcBorders>
              <w:right w:val="single" w:sz="8" w:color="225CAB"/>
            </w:tcBorders>
            <w:shd w:val="clear" w:color="auto" w:fill="225CAB"/>
          </w:tcPr>
          <w:p>
            <w:pPr>
              <w:spacing w:after="0"/>
              <w:rPr>
                <w:sz w:val="17"/>
                <w:szCs w:val="17"/>
                <w:color w:val="auto"/>
              </w:rPr>
            </w:pPr>
          </w:p>
        </w:tc>
        <w:tc>
          <w:tcPr>
            <w:tcW w:w="160" w:type="dxa"/>
            <w:vAlign w:val="bottom"/>
            <w:shd w:val="clear" w:color="auto" w:fill="225CAB"/>
          </w:tcPr>
          <w:p>
            <w:pPr>
              <w:spacing w:after="0"/>
              <w:rPr>
                <w:sz w:val="17"/>
                <w:szCs w:val="17"/>
                <w:color w:val="auto"/>
              </w:rPr>
            </w:pPr>
          </w:p>
        </w:tc>
        <w:tc>
          <w:tcPr>
            <w:tcW w:w="180" w:type="dxa"/>
            <w:vAlign w:val="bottom"/>
            <w:shd w:val="clear" w:color="auto" w:fill="225CAB"/>
          </w:tcPr>
          <w:p>
            <w:pPr>
              <w:spacing w:after="0"/>
              <w:rPr>
                <w:sz w:val="17"/>
                <w:szCs w:val="17"/>
                <w:color w:val="auto"/>
              </w:rPr>
            </w:pPr>
          </w:p>
        </w:tc>
      </w:tr>
      <w:tr>
        <w:trPr>
          <w:trHeight w:val="199"/>
        </w:trPr>
        <w:tc>
          <w:tcPr>
            <w:tcW w:w="2240" w:type="dxa"/>
            <w:vAlign w:val="bottom"/>
            <w:shd w:val="clear" w:color="auto" w:fill="225CAB"/>
          </w:tcPr>
          <w:p>
            <w:pPr>
              <w:ind w:left="900"/>
              <w:spacing w:after="0" w:line="200" w:lineRule="exact"/>
              <w:rPr>
                <w:sz w:val="20"/>
                <w:szCs w:val="20"/>
                <w:color w:val="auto"/>
              </w:rPr>
            </w:pPr>
            <w:r>
              <w:rPr>
                <w:rFonts w:ascii="Arial" w:cs="Arial" w:eastAsia="Arial" w:hAnsi="Arial"/>
                <w:sz w:val="18"/>
                <w:szCs w:val="18"/>
                <w:color w:val="FFFFFF"/>
              </w:rPr>
              <w:t>Name</w:t>
            </w:r>
          </w:p>
        </w:tc>
        <w:tc>
          <w:tcPr>
            <w:tcW w:w="900" w:type="dxa"/>
            <w:vAlign w:val="bottom"/>
            <w:shd w:val="clear" w:color="auto" w:fill="225CAB"/>
          </w:tcPr>
          <w:p>
            <w:pPr>
              <w:jc w:val="center"/>
              <w:ind w:left="132"/>
              <w:spacing w:after="0" w:line="200" w:lineRule="exact"/>
              <w:rPr>
                <w:sz w:val="20"/>
                <w:szCs w:val="20"/>
                <w:color w:val="auto"/>
              </w:rPr>
            </w:pPr>
            <w:r>
              <w:rPr>
                <w:rFonts w:ascii="Arial" w:cs="Arial" w:eastAsia="Arial" w:hAnsi="Arial"/>
                <w:sz w:val="18"/>
                <w:szCs w:val="18"/>
                <w:color w:val="FFFFFF"/>
                <w:w w:val="99"/>
              </w:rPr>
              <w:t>Age</w:t>
            </w:r>
          </w:p>
        </w:tc>
        <w:tc>
          <w:tcPr>
            <w:tcW w:w="1000" w:type="dxa"/>
            <w:vAlign w:val="bottom"/>
            <w:shd w:val="clear" w:color="auto" w:fill="225CAB"/>
          </w:tcPr>
          <w:p>
            <w:pPr>
              <w:jc w:val="center"/>
              <w:spacing w:after="0" w:line="200" w:lineRule="exact"/>
              <w:rPr>
                <w:sz w:val="20"/>
                <w:szCs w:val="20"/>
                <w:color w:val="auto"/>
              </w:rPr>
            </w:pPr>
            <w:r>
              <w:rPr>
                <w:rFonts w:ascii="Arial" w:cs="Arial" w:eastAsia="Arial" w:hAnsi="Arial"/>
                <w:sz w:val="18"/>
                <w:szCs w:val="18"/>
                <w:color w:val="FFFFFF"/>
                <w:w w:val="97"/>
              </w:rPr>
              <w:t>Since</w:t>
            </w:r>
          </w:p>
        </w:tc>
        <w:tc>
          <w:tcPr>
            <w:tcW w:w="1400" w:type="dxa"/>
            <w:vAlign w:val="bottom"/>
            <w:shd w:val="clear" w:color="auto" w:fill="225CAB"/>
          </w:tcPr>
          <w:p>
            <w:pPr>
              <w:jc w:val="center"/>
              <w:spacing w:after="0" w:line="200" w:lineRule="exact"/>
              <w:rPr>
                <w:sz w:val="20"/>
                <w:szCs w:val="20"/>
                <w:color w:val="auto"/>
              </w:rPr>
            </w:pPr>
            <w:r>
              <w:rPr>
                <w:rFonts w:ascii="Arial" w:cs="Arial" w:eastAsia="Arial" w:hAnsi="Arial"/>
                <w:sz w:val="18"/>
                <w:szCs w:val="18"/>
                <w:color w:val="FFFFFF"/>
                <w:w w:val="97"/>
              </w:rPr>
              <w:t>Independent</w:t>
            </w:r>
          </w:p>
        </w:tc>
        <w:tc>
          <w:tcPr>
            <w:tcW w:w="5700" w:type="dxa"/>
            <w:vAlign w:val="bottom"/>
            <w:gridSpan w:val="2"/>
            <w:shd w:val="clear" w:color="auto" w:fill="225CAB"/>
          </w:tcPr>
          <w:p>
            <w:pPr>
              <w:ind w:left="2620"/>
              <w:spacing w:after="0" w:line="200" w:lineRule="exact"/>
              <w:rPr>
                <w:sz w:val="20"/>
                <w:szCs w:val="20"/>
                <w:color w:val="auto"/>
              </w:rPr>
            </w:pPr>
            <w:r>
              <w:rPr>
                <w:rFonts w:ascii="Arial" w:cs="Arial" w:eastAsia="Arial" w:hAnsi="Arial"/>
                <w:sz w:val="18"/>
                <w:szCs w:val="18"/>
                <w:color w:val="FFFFFF"/>
              </w:rPr>
              <w:t>Occupation</w:t>
            </w:r>
          </w:p>
        </w:tc>
        <w:tc>
          <w:tcPr>
            <w:tcW w:w="180" w:type="dxa"/>
            <w:vAlign w:val="bottom"/>
            <w:shd w:val="clear" w:color="auto" w:fill="225CAB"/>
          </w:tcPr>
          <w:p>
            <w:pPr>
              <w:spacing w:after="0"/>
              <w:rPr>
                <w:sz w:val="17"/>
                <w:szCs w:val="17"/>
                <w:color w:val="auto"/>
              </w:rPr>
            </w:pPr>
          </w:p>
        </w:tc>
      </w:tr>
      <w:tr>
        <w:trPr>
          <w:trHeight w:val="203"/>
        </w:trPr>
        <w:tc>
          <w:tcPr>
            <w:tcW w:w="2240" w:type="dxa"/>
            <w:vAlign w:val="bottom"/>
            <w:tcBorders>
              <w:bottom w:val="single" w:sz="8" w:color="225CAB"/>
            </w:tcBorders>
          </w:tcPr>
          <w:p>
            <w:pPr>
              <w:spacing w:after="0" w:line="202" w:lineRule="exact"/>
              <w:rPr>
                <w:sz w:val="20"/>
                <w:szCs w:val="20"/>
                <w:color w:val="auto"/>
              </w:rPr>
            </w:pPr>
            <w:r>
              <w:rPr>
                <w:rFonts w:ascii="Arial" w:cs="Arial" w:eastAsia="Arial" w:hAnsi="Arial"/>
                <w:sz w:val="18"/>
                <w:szCs w:val="18"/>
                <w:color w:val="225CAB"/>
              </w:rPr>
              <w:t>Amy Woods Brinkley</w:t>
            </w:r>
          </w:p>
        </w:tc>
        <w:tc>
          <w:tcPr>
            <w:tcW w:w="900" w:type="dxa"/>
            <w:vAlign w:val="bottom"/>
            <w:tcBorders>
              <w:bottom w:val="single" w:sz="8" w:color="225CAB"/>
            </w:tcBorders>
          </w:tcPr>
          <w:p>
            <w:pPr>
              <w:jc w:val="center"/>
              <w:ind w:left="132"/>
              <w:spacing w:after="0" w:line="202" w:lineRule="exact"/>
              <w:rPr>
                <w:sz w:val="20"/>
                <w:szCs w:val="20"/>
                <w:color w:val="auto"/>
              </w:rPr>
            </w:pPr>
            <w:r>
              <w:rPr>
                <w:rFonts w:ascii="Arial" w:cs="Arial" w:eastAsia="Arial" w:hAnsi="Arial"/>
                <w:sz w:val="18"/>
                <w:szCs w:val="18"/>
                <w:color w:val="auto"/>
                <w:w w:val="99"/>
              </w:rPr>
              <w:t>60</w:t>
            </w:r>
          </w:p>
        </w:tc>
        <w:tc>
          <w:tcPr>
            <w:tcW w:w="1000" w:type="dxa"/>
            <w:vAlign w:val="bottom"/>
            <w:tcBorders>
              <w:bottom w:val="single" w:sz="8" w:color="225CAB"/>
            </w:tcBorders>
          </w:tcPr>
          <w:p>
            <w:pPr>
              <w:jc w:val="center"/>
              <w:spacing w:after="0" w:line="202" w:lineRule="exact"/>
              <w:rPr>
                <w:sz w:val="20"/>
                <w:szCs w:val="20"/>
                <w:color w:val="auto"/>
              </w:rPr>
            </w:pPr>
            <w:r>
              <w:rPr>
                <w:rFonts w:ascii="Arial" w:cs="Arial" w:eastAsia="Arial" w:hAnsi="Arial"/>
                <w:sz w:val="18"/>
                <w:szCs w:val="18"/>
                <w:color w:val="auto"/>
                <w:w w:val="99"/>
              </w:rPr>
              <w:t>2015</w:t>
            </w:r>
          </w:p>
        </w:tc>
        <w:tc>
          <w:tcPr>
            <w:tcW w:w="1400" w:type="dxa"/>
            <w:vAlign w:val="bottom"/>
            <w:tcBorders>
              <w:bottom w:val="single" w:sz="8" w:color="225CAB"/>
            </w:tcBorders>
          </w:tcPr>
          <w:p>
            <w:pPr>
              <w:jc w:val="center"/>
              <w:spacing w:after="0" w:line="202" w:lineRule="exact"/>
              <w:rPr>
                <w:sz w:val="20"/>
                <w:szCs w:val="20"/>
                <w:color w:val="auto"/>
              </w:rPr>
            </w:pPr>
            <w:r>
              <w:rPr>
                <w:rFonts w:ascii="Arial" w:cs="Arial" w:eastAsia="Arial" w:hAnsi="Arial"/>
                <w:sz w:val="18"/>
                <w:szCs w:val="18"/>
                <w:color w:val="auto"/>
                <w:w w:val="90"/>
              </w:rPr>
              <w:t>Yes</w:t>
            </w:r>
          </w:p>
        </w:tc>
        <w:tc>
          <w:tcPr>
            <w:tcW w:w="5700" w:type="dxa"/>
            <w:vAlign w:val="bottom"/>
            <w:tcBorders>
              <w:bottom w:val="single" w:sz="8" w:color="225CAB"/>
            </w:tcBorders>
            <w:gridSpan w:val="2"/>
          </w:tcPr>
          <w:p>
            <w:pPr>
              <w:ind w:left="240"/>
              <w:spacing w:after="0" w:line="202" w:lineRule="exact"/>
              <w:rPr>
                <w:sz w:val="20"/>
                <w:szCs w:val="20"/>
                <w:color w:val="auto"/>
              </w:rPr>
            </w:pPr>
            <w:r>
              <w:rPr>
                <w:rFonts w:ascii="Arial" w:cs="Arial" w:eastAsia="Arial" w:hAnsi="Arial"/>
                <w:sz w:val="18"/>
                <w:szCs w:val="18"/>
                <w:color w:val="auto"/>
              </w:rPr>
              <w:t>Founder, AWB Consulting, LLC</w:t>
            </w:r>
          </w:p>
        </w:tc>
        <w:tc>
          <w:tcPr>
            <w:tcW w:w="180" w:type="dxa"/>
            <w:vAlign w:val="bottom"/>
            <w:tcBorders>
              <w:bottom w:val="single" w:sz="8" w:color="225CAB"/>
            </w:tcBorders>
          </w:tcPr>
          <w:p>
            <w:pPr>
              <w:spacing w:after="0"/>
              <w:rPr>
                <w:sz w:val="17"/>
                <w:szCs w:val="17"/>
                <w:color w:val="auto"/>
              </w:rPr>
            </w:pPr>
          </w:p>
        </w:tc>
      </w:tr>
      <w:tr>
        <w:trPr>
          <w:trHeight w:val="196"/>
        </w:trPr>
        <w:tc>
          <w:tcPr>
            <w:tcW w:w="2240" w:type="dxa"/>
            <w:vAlign w:val="bottom"/>
            <w:tcBorders>
              <w:bottom w:val="single" w:sz="8" w:color="225CAB"/>
            </w:tcBorders>
          </w:tcPr>
          <w:p>
            <w:pPr>
              <w:spacing w:after="0" w:line="196" w:lineRule="exact"/>
              <w:rPr>
                <w:sz w:val="20"/>
                <w:szCs w:val="20"/>
                <w:color w:val="auto"/>
              </w:rPr>
            </w:pPr>
            <w:r>
              <w:rPr>
                <w:rFonts w:ascii="Arial" w:cs="Arial" w:eastAsia="Arial" w:hAnsi="Arial"/>
                <w:sz w:val="18"/>
                <w:szCs w:val="18"/>
                <w:color w:val="225CAB"/>
              </w:rPr>
              <w:t>John F. Fort III</w:t>
            </w:r>
          </w:p>
        </w:tc>
        <w:tc>
          <w:tcPr>
            <w:tcW w:w="900" w:type="dxa"/>
            <w:vAlign w:val="bottom"/>
            <w:tcBorders>
              <w:bottom w:val="single" w:sz="8" w:color="225CAB"/>
            </w:tcBorders>
          </w:tcPr>
          <w:p>
            <w:pPr>
              <w:jc w:val="center"/>
              <w:ind w:left="132"/>
              <w:spacing w:after="0" w:line="196" w:lineRule="exact"/>
              <w:rPr>
                <w:sz w:val="20"/>
                <w:szCs w:val="20"/>
                <w:color w:val="auto"/>
              </w:rPr>
            </w:pPr>
            <w:r>
              <w:rPr>
                <w:rFonts w:ascii="Arial" w:cs="Arial" w:eastAsia="Arial" w:hAnsi="Arial"/>
                <w:sz w:val="18"/>
                <w:szCs w:val="18"/>
                <w:color w:val="auto"/>
                <w:w w:val="99"/>
              </w:rPr>
              <w:t>74</w:t>
            </w:r>
          </w:p>
        </w:tc>
        <w:tc>
          <w:tcPr>
            <w:tcW w:w="1000" w:type="dxa"/>
            <w:vAlign w:val="bottom"/>
            <w:tcBorders>
              <w:bottom w:val="single" w:sz="8" w:color="225CAB"/>
            </w:tcBorders>
          </w:tcPr>
          <w:p>
            <w:pPr>
              <w:jc w:val="center"/>
              <w:spacing w:after="0" w:line="196" w:lineRule="exact"/>
              <w:rPr>
                <w:sz w:val="20"/>
                <w:szCs w:val="20"/>
                <w:color w:val="auto"/>
              </w:rPr>
            </w:pPr>
            <w:r>
              <w:rPr>
                <w:rFonts w:ascii="Arial" w:cs="Arial" w:eastAsia="Arial" w:hAnsi="Arial"/>
                <w:sz w:val="18"/>
                <w:szCs w:val="18"/>
                <w:color w:val="auto"/>
                <w:w w:val="99"/>
              </w:rPr>
              <w:t>1995</w:t>
            </w:r>
          </w:p>
        </w:tc>
        <w:tc>
          <w:tcPr>
            <w:tcW w:w="1400" w:type="dxa"/>
            <w:vAlign w:val="bottom"/>
            <w:tcBorders>
              <w:bottom w:val="single" w:sz="8" w:color="225CAB"/>
            </w:tcBorders>
          </w:tcPr>
          <w:p>
            <w:pPr>
              <w:jc w:val="center"/>
              <w:spacing w:after="0" w:line="196" w:lineRule="exact"/>
              <w:rPr>
                <w:sz w:val="20"/>
                <w:szCs w:val="20"/>
                <w:color w:val="auto"/>
              </w:rPr>
            </w:pPr>
            <w:r>
              <w:rPr>
                <w:rFonts w:ascii="Arial" w:cs="Arial" w:eastAsia="Arial" w:hAnsi="Arial"/>
                <w:sz w:val="18"/>
                <w:szCs w:val="18"/>
                <w:color w:val="auto"/>
                <w:w w:val="90"/>
              </w:rPr>
              <w:t>Yes</w:t>
            </w:r>
          </w:p>
        </w:tc>
        <w:tc>
          <w:tcPr>
            <w:tcW w:w="5700" w:type="dxa"/>
            <w:vAlign w:val="bottom"/>
            <w:tcBorders>
              <w:bottom w:val="single" w:sz="8" w:color="225CAB"/>
            </w:tcBorders>
            <w:gridSpan w:val="2"/>
          </w:tcPr>
          <w:p>
            <w:pPr>
              <w:ind w:left="240"/>
              <w:spacing w:after="0" w:line="196" w:lineRule="exact"/>
              <w:rPr>
                <w:sz w:val="20"/>
                <w:szCs w:val="20"/>
                <w:color w:val="auto"/>
              </w:rPr>
            </w:pPr>
            <w:r>
              <w:rPr>
                <w:rFonts w:ascii="Arial" w:cs="Arial" w:eastAsia="Arial" w:hAnsi="Arial"/>
                <w:sz w:val="18"/>
                <w:szCs w:val="18"/>
                <w:color w:val="auto"/>
              </w:rPr>
              <w:t>Former CEO of Tyco International Ltd.</w:t>
            </w:r>
          </w:p>
        </w:tc>
        <w:tc>
          <w:tcPr>
            <w:tcW w:w="180" w:type="dxa"/>
            <w:vAlign w:val="bottom"/>
            <w:tcBorders>
              <w:bottom w:val="single" w:sz="8" w:color="225CAB"/>
            </w:tcBorders>
          </w:tcPr>
          <w:p>
            <w:pPr>
              <w:spacing w:after="0"/>
              <w:rPr>
                <w:sz w:val="17"/>
                <w:szCs w:val="17"/>
                <w:color w:val="auto"/>
              </w:rPr>
            </w:pPr>
          </w:p>
        </w:tc>
      </w:tr>
      <w:tr>
        <w:trPr>
          <w:trHeight w:val="196"/>
        </w:trPr>
        <w:tc>
          <w:tcPr>
            <w:tcW w:w="2240" w:type="dxa"/>
            <w:vAlign w:val="bottom"/>
            <w:tcBorders>
              <w:bottom w:val="single" w:sz="8" w:color="225CAB"/>
            </w:tcBorders>
          </w:tcPr>
          <w:p>
            <w:pPr>
              <w:spacing w:after="0" w:line="196" w:lineRule="exact"/>
              <w:rPr>
                <w:sz w:val="20"/>
                <w:szCs w:val="20"/>
                <w:color w:val="auto"/>
              </w:rPr>
            </w:pPr>
            <w:r>
              <w:rPr>
                <w:rFonts w:ascii="Arial" w:cs="Arial" w:eastAsia="Arial" w:hAnsi="Arial"/>
                <w:sz w:val="18"/>
                <w:szCs w:val="18"/>
                <w:color w:val="225CAB"/>
              </w:rPr>
              <w:t>Brian D. Jellison</w:t>
            </w:r>
          </w:p>
        </w:tc>
        <w:tc>
          <w:tcPr>
            <w:tcW w:w="900" w:type="dxa"/>
            <w:vAlign w:val="bottom"/>
            <w:tcBorders>
              <w:bottom w:val="single" w:sz="8" w:color="225CAB"/>
            </w:tcBorders>
          </w:tcPr>
          <w:p>
            <w:pPr>
              <w:jc w:val="center"/>
              <w:ind w:left="132"/>
              <w:spacing w:after="0" w:line="196" w:lineRule="exact"/>
              <w:rPr>
                <w:sz w:val="20"/>
                <w:szCs w:val="20"/>
                <w:color w:val="auto"/>
              </w:rPr>
            </w:pPr>
            <w:r>
              <w:rPr>
                <w:rFonts w:ascii="Arial" w:cs="Arial" w:eastAsia="Arial" w:hAnsi="Arial"/>
                <w:sz w:val="18"/>
                <w:szCs w:val="18"/>
                <w:color w:val="auto"/>
                <w:w w:val="99"/>
              </w:rPr>
              <w:t>70</w:t>
            </w:r>
          </w:p>
        </w:tc>
        <w:tc>
          <w:tcPr>
            <w:tcW w:w="1000" w:type="dxa"/>
            <w:vAlign w:val="bottom"/>
            <w:tcBorders>
              <w:bottom w:val="single" w:sz="8" w:color="225CAB"/>
            </w:tcBorders>
          </w:tcPr>
          <w:p>
            <w:pPr>
              <w:jc w:val="center"/>
              <w:spacing w:after="0" w:line="196" w:lineRule="exact"/>
              <w:rPr>
                <w:sz w:val="20"/>
                <w:szCs w:val="20"/>
                <w:color w:val="auto"/>
              </w:rPr>
            </w:pPr>
            <w:r>
              <w:rPr>
                <w:rFonts w:ascii="Arial" w:cs="Arial" w:eastAsia="Arial" w:hAnsi="Arial"/>
                <w:sz w:val="18"/>
                <w:szCs w:val="18"/>
                <w:color w:val="auto"/>
                <w:w w:val="99"/>
              </w:rPr>
              <w:t>2001</w:t>
            </w:r>
          </w:p>
        </w:tc>
        <w:tc>
          <w:tcPr>
            <w:tcW w:w="1400" w:type="dxa"/>
            <w:vAlign w:val="bottom"/>
            <w:tcBorders>
              <w:bottom w:val="single" w:sz="8" w:color="225CAB"/>
            </w:tcBorders>
          </w:tcPr>
          <w:p>
            <w:pPr>
              <w:jc w:val="center"/>
              <w:spacing w:after="0" w:line="196" w:lineRule="exact"/>
              <w:rPr>
                <w:sz w:val="20"/>
                <w:szCs w:val="20"/>
                <w:color w:val="auto"/>
              </w:rPr>
            </w:pPr>
            <w:r>
              <w:rPr>
                <w:rFonts w:ascii="Arial" w:cs="Arial" w:eastAsia="Arial" w:hAnsi="Arial"/>
                <w:sz w:val="18"/>
                <w:szCs w:val="18"/>
                <w:color w:val="auto"/>
                <w:w w:val="95"/>
              </w:rPr>
              <w:t>No</w:t>
            </w:r>
          </w:p>
        </w:tc>
        <w:tc>
          <w:tcPr>
            <w:tcW w:w="5700" w:type="dxa"/>
            <w:vAlign w:val="bottom"/>
            <w:tcBorders>
              <w:bottom w:val="single" w:sz="8" w:color="225CAB"/>
            </w:tcBorders>
            <w:gridSpan w:val="2"/>
          </w:tcPr>
          <w:p>
            <w:pPr>
              <w:ind w:left="240"/>
              <w:spacing w:after="0" w:line="196" w:lineRule="exact"/>
              <w:rPr>
                <w:sz w:val="20"/>
                <w:szCs w:val="20"/>
                <w:color w:val="auto"/>
              </w:rPr>
            </w:pPr>
            <w:r>
              <w:rPr>
                <w:rFonts w:ascii="Arial" w:cs="Arial" w:eastAsia="Arial" w:hAnsi="Arial"/>
                <w:sz w:val="18"/>
                <w:szCs w:val="18"/>
                <w:color w:val="auto"/>
              </w:rPr>
              <w:t>President and CEO, Roper Technologies, Inc.</w:t>
            </w:r>
          </w:p>
        </w:tc>
        <w:tc>
          <w:tcPr>
            <w:tcW w:w="180" w:type="dxa"/>
            <w:vAlign w:val="bottom"/>
            <w:tcBorders>
              <w:bottom w:val="single" w:sz="8" w:color="225CAB"/>
            </w:tcBorders>
          </w:tcPr>
          <w:p>
            <w:pPr>
              <w:spacing w:after="0"/>
              <w:rPr>
                <w:sz w:val="17"/>
                <w:szCs w:val="17"/>
                <w:color w:val="auto"/>
              </w:rPr>
            </w:pPr>
          </w:p>
        </w:tc>
      </w:tr>
      <w:tr>
        <w:trPr>
          <w:trHeight w:val="196"/>
        </w:trPr>
        <w:tc>
          <w:tcPr>
            <w:tcW w:w="2240" w:type="dxa"/>
            <w:vAlign w:val="bottom"/>
            <w:tcBorders>
              <w:bottom w:val="single" w:sz="8" w:color="225CAB"/>
            </w:tcBorders>
          </w:tcPr>
          <w:p>
            <w:pPr>
              <w:spacing w:after="0" w:line="196" w:lineRule="exact"/>
              <w:rPr>
                <w:sz w:val="20"/>
                <w:szCs w:val="20"/>
                <w:color w:val="auto"/>
              </w:rPr>
            </w:pPr>
            <w:r>
              <w:rPr>
                <w:rFonts w:ascii="Arial" w:cs="Arial" w:eastAsia="Arial" w:hAnsi="Arial"/>
                <w:sz w:val="18"/>
                <w:szCs w:val="18"/>
                <w:color w:val="225CAB"/>
              </w:rPr>
              <w:t>Robert D. Johnson</w:t>
            </w:r>
          </w:p>
        </w:tc>
        <w:tc>
          <w:tcPr>
            <w:tcW w:w="900" w:type="dxa"/>
            <w:vAlign w:val="bottom"/>
            <w:tcBorders>
              <w:bottom w:val="single" w:sz="8" w:color="225CAB"/>
            </w:tcBorders>
          </w:tcPr>
          <w:p>
            <w:pPr>
              <w:jc w:val="center"/>
              <w:ind w:left="132"/>
              <w:spacing w:after="0" w:line="196" w:lineRule="exact"/>
              <w:rPr>
                <w:sz w:val="20"/>
                <w:szCs w:val="20"/>
                <w:color w:val="auto"/>
              </w:rPr>
            </w:pPr>
            <w:r>
              <w:rPr>
                <w:rFonts w:ascii="Arial" w:cs="Arial" w:eastAsia="Arial" w:hAnsi="Arial"/>
                <w:sz w:val="18"/>
                <w:szCs w:val="18"/>
                <w:color w:val="auto"/>
                <w:w w:val="99"/>
              </w:rPr>
              <w:t>68</w:t>
            </w:r>
          </w:p>
        </w:tc>
        <w:tc>
          <w:tcPr>
            <w:tcW w:w="1000" w:type="dxa"/>
            <w:vAlign w:val="bottom"/>
            <w:tcBorders>
              <w:bottom w:val="single" w:sz="8" w:color="225CAB"/>
            </w:tcBorders>
          </w:tcPr>
          <w:p>
            <w:pPr>
              <w:jc w:val="center"/>
              <w:spacing w:after="0" w:line="196" w:lineRule="exact"/>
              <w:rPr>
                <w:sz w:val="20"/>
                <w:szCs w:val="20"/>
                <w:color w:val="auto"/>
              </w:rPr>
            </w:pPr>
            <w:r>
              <w:rPr>
                <w:rFonts w:ascii="Arial" w:cs="Arial" w:eastAsia="Arial" w:hAnsi="Arial"/>
                <w:sz w:val="18"/>
                <w:szCs w:val="18"/>
                <w:color w:val="auto"/>
                <w:w w:val="99"/>
              </w:rPr>
              <w:t>2005</w:t>
            </w:r>
          </w:p>
        </w:tc>
        <w:tc>
          <w:tcPr>
            <w:tcW w:w="1400" w:type="dxa"/>
            <w:vAlign w:val="bottom"/>
            <w:tcBorders>
              <w:bottom w:val="single" w:sz="8" w:color="225CAB"/>
            </w:tcBorders>
          </w:tcPr>
          <w:p>
            <w:pPr>
              <w:jc w:val="center"/>
              <w:spacing w:after="0" w:line="196" w:lineRule="exact"/>
              <w:rPr>
                <w:sz w:val="20"/>
                <w:szCs w:val="20"/>
                <w:color w:val="auto"/>
              </w:rPr>
            </w:pPr>
            <w:r>
              <w:rPr>
                <w:rFonts w:ascii="Arial" w:cs="Arial" w:eastAsia="Arial" w:hAnsi="Arial"/>
                <w:sz w:val="18"/>
                <w:szCs w:val="18"/>
                <w:color w:val="auto"/>
                <w:w w:val="90"/>
              </w:rPr>
              <w:t>Yes</w:t>
            </w:r>
          </w:p>
        </w:tc>
        <w:tc>
          <w:tcPr>
            <w:tcW w:w="5700" w:type="dxa"/>
            <w:vAlign w:val="bottom"/>
            <w:tcBorders>
              <w:bottom w:val="single" w:sz="8" w:color="225CAB"/>
            </w:tcBorders>
            <w:gridSpan w:val="2"/>
          </w:tcPr>
          <w:p>
            <w:pPr>
              <w:ind w:left="240"/>
              <w:spacing w:after="0" w:line="196" w:lineRule="exact"/>
              <w:rPr>
                <w:sz w:val="20"/>
                <w:szCs w:val="20"/>
                <w:color w:val="auto"/>
              </w:rPr>
            </w:pPr>
            <w:r>
              <w:rPr>
                <w:rFonts w:ascii="Arial" w:cs="Arial" w:eastAsia="Arial" w:hAnsi="Arial"/>
                <w:sz w:val="18"/>
                <w:szCs w:val="18"/>
                <w:color w:val="auto"/>
              </w:rPr>
              <w:t>Former CEO, Dubai Aerospace Enterprise Ltd.</w:t>
            </w:r>
          </w:p>
        </w:tc>
        <w:tc>
          <w:tcPr>
            <w:tcW w:w="180" w:type="dxa"/>
            <w:vAlign w:val="bottom"/>
            <w:tcBorders>
              <w:bottom w:val="single" w:sz="8" w:color="225CAB"/>
            </w:tcBorders>
          </w:tcPr>
          <w:p>
            <w:pPr>
              <w:spacing w:after="0"/>
              <w:rPr>
                <w:sz w:val="17"/>
                <w:szCs w:val="17"/>
                <w:color w:val="auto"/>
              </w:rPr>
            </w:pPr>
          </w:p>
        </w:tc>
      </w:tr>
      <w:tr>
        <w:trPr>
          <w:trHeight w:val="196"/>
        </w:trPr>
        <w:tc>
          <w:tcPr>
            <w:tcW w:w="2240" w:type="dxa"/>
            <w:vAlign w:val="bottom"/>
            <w:tcBorders>
              <w:bottom w:val="single" w:sz="8" w:color="225CAB"/>
            </w:tcBorders>
          </w:tcPr>
          <w:p>
            <w:pPr>
              <w:spacing w:after="0" w:line="196" w:lineRule="exact"/>
              <w:rPr>
                <w:sz w:val="20"/>
                <w:szCs w:val="20"/>
                <w:color w:val="auto"/>
              </w:rPr>
            </w:pPr>
            <w:r>
              <w:rPr>
                <w:rFonts w:ascii="Arial" w:cs="Arial" w:eastAsia="Arial" w:hAnsi="Arial"/>
                <w:sz w:val="18"/>
                <w:szCs w:val="18"/>
                <w:color w:val="225CAB"/>
              </w:rPr>
              <w:t>Robert E. Knowling, Jr.</w:t>
            </w:r>
          </w:p>
        </w:tc>
        <w:tc>
          <w:tcPr>
            <w:tcW w:w="900" w:type="dxa"/>
            <w:vAlign w:val="bottom"/>
            <w:tcBorders>
              <w:bottom w:val="single" w:sz="8" w:color="225CAB"/>
            </w:tcBorders>
          </w:tcPr>
          <w:p>
            <w:pPr>
              <w:jc w:val="center"/>
              <w:ind w:left="132"/>
              <w:spacing w:after="0" w:line="196" w:lineRule="exact"/>
              <w:rPr>
                <w:sz w:val="20"/>
                <w:szCs w:val="20"/>
                <w:color w:val="auto"/>
              </w:rPr>
            </w:pPr>
            <w:r>
              <w:rPr>
                <w:rFonts w:ascii="Arial" w:cs="Arial" w:eastAsia="Arial" w:hAnsi="Arial"/>
                <w:sz w:val="18"/>
                <w:szCs w:val="18"/>
                <w:color w:val="auto"/>
                <w:w w:val="99"/>
              </w:rPr>
              <w:t>60</w:t>
            </w:r>
          </w:p>
        </w:tc>
        <w:tc>
          <w:tcPr>
            <w:tcW w:w="1000" w:type="dxa"/>
            <w:vAlign w:val="bottom"/>
            <w:tcBorders>
              <w:bottom w:val="single" w:sz="8" w:color="225CAB"/>
            </w:tcBorders>
          </w:tcPr>
          <w:p>
            <w:pPr>
              <w:jc w:val="center"/>
              <w:spacing w:after="0" w:line="196" w:lineRule="exact"/>
              <w:rPr>
                <w:sz w:val="20"/>
                <w:szCs w:val="20"/>
                <w:color w:val="auto"/>
              </w:rPr>
            </w:pPr>
            <w:r>
              <w:rPr>
                <w:rFonts w:ascii="Arial" w:cs="Arial" w:eastAsia="Arial" w:hAnsi="Arial"/>
                <w:sz w:val="18"/>
                <w:szCs w:val="18"/>
                <w:color w:val="auto"/>
                <w:w w:val="99"/>
              </w:rPr>
              <w:t>2008</w:t>
            </w:r>
          </w:p>
        </w:tc>
        <w:tc>
          <w:tcPr>
            <w:tcW w:w="1400" w:type="dxa"/>
            <w:vAlign w:val="bottom"/>
            <w:tcBorders>
              <w:bottom w:val="single" w:sz="8" w:color="225CAB"/>
            </w:tcBorders>
          </w:tcPr>
          <w:p>
            <w:pPr>
              <w:jc w:val="center"/>
              <w:spacing w:after="0" w:line="196" w:lineRule="exact"/>
              <w:rPr>
                <w:sz w:val="20"/>
                <w:szCs w:val="20"/>
                <w:color w:val="auto"/>
              </w:rPr>
            </w:pPr>
            <w:r>
              <w:rPr>
                <w:rFonts w:ascii="Arial" w:cs="Arial" w:eastAsia="Arial" w:hAnsi="Arial"/>
                <w:sz w:val="18"/>
                <w:szCs w:val="18"/>
                <w:color w:val="auto"/>
                <w:w w:val="90"/>
              </w:rPr>
              <w:t>Yes</w:t>
            </w:r>
          </w:p>
        </w:tc>
        <w:tc>
          <w:tcPr>
            <w:tcW w:w="5700" w:type="dxa"/>
            <w:vAlign w:val="bottom"/>
            <w:tcBorders>
              <w:bottom w:val="single" w:sz="8" w:color="225CAB"/>
            </w:tcBorders>
            <w:gridSpan w:val="2"/>
          </w:tcPr>
          <w:p>
            <w:pPr>
              <w:ind w:left="240"/>
              <w:spacing w:after="0" w:line="196" w:lineRule="exact"/>
              <w:rPr>
                <w:sz w:val="20"/>
                <w:szCs w:val="20"/>
                <w:color w:val="auto"/>
              </w:rPr>
            </w:pPr>
            <w:r>
              <w:rPr>
                <w:rFonts w:ascii="Arial" w:cs="Arial" w:eastAsia="Arial" w:hAnsi="Arial"/>
                <w:sz w:val="18"/>
                <w:szCs w:val="18"/>
                <w:color w:val="auto"/>
              </w:rPr>
              <w:t>Chairman, Eagles Landing Partners</w:t>
            </w:r>
          </w:p>
        </w:tc>
        <w:tc>
          <w:tcPr>
            <w:tcW w:w="180" w:type="dxa"/>
            <w:vAlign w:val="bottom"/>
            <w:tcBorders>
              <w:bottom w:val="single" w:sz="8" w:color="225CAB"/>
            </w:tcBorders>
          </w:tcPr>
          <w:p>
            <w:pPr>
              <w:spacing w:after="0"/>
              <w:rPr>
                <w:sz w:val="17"/>
                <w:szCs w:val="17"/>
                <w:color w:val="auto"/>
              </w:rPr>
            </w:pPr>
          </w:p>
        </w:tc>
      </w:tr>
      <w:tr>
        <w:trPr>
          <w:trHeight w:val="196"/>
        </w:trPr>
        <w:tc>
          <w:tcPr>
            <w:tcW w:w="2240" w:type="dxa"/>
            <w:vAlign w:val="bottom"/>
            <w:tcBorders>
              <w:bottom w:val="single" w:sz="8" w:color="225CAB"/>
            </w:tcBorders>
          </w:tcPr>
          <w:p>
            <w:pPr>
              <w:spacing w:after="0" w:line="196" w:lineRule="exact"/>
              <w:rPr>
                <w:sz w:val="20"/>
                <w:szCs w:val="20"/>
                <w:color w:val="auto"/>
              </w:rPr>
            </w:pPr>
            <w:r>
              <w:rPr>
                <w:rFonts w:ascii="Arial" w:cs="Arial" w:eastAsia="Arial" w:hAnsi="Arial"/>
                <w:sz w:val="18"/>
                <w:szCs w:val="18"/>
                <w:color w:val="225CAB"/>
              </w:rPr>
              <w:t>Wilbur J. Prezzano</w:t>
            </w:r>
          </w:p>
        </w:tc>
        <w:tc>
          <w:tcPr>
            <w:tcW w:w="900" w:type="dxa"/>
            <w:vAlign w:val="bottom"/>
            <w:tcBorders>
              <w:bottom w:val="single" w:sz="8" w:color="225CAB"/>
            </w:tcBorders>
          </w:tcPr>
          <w:p>
            <w:pPr>
              <w:jc w:val="center"/>
              <w:ind w:left="132"/>
              <w:spacing w:after="0" w:line="196" w:lineRule="exact"/>
              <w:rPr>
                <w:sz w:val="20"/>
                <w:szCs w:val="20"/>
                <w:color w:val="auto"/>
              </w:rPr>
            </w:pPr>
            <w:r>
              <w:rPr>
                <w:rFonts w:ascii="Arial" w:cs="Arial" w:eastAsia="Arial" w:hAnsi="Arial"/>
                <w:sz w:val="18"/>
                <w:szCs w:val="18"/>
                <w:color w:val="auto"/>
                <w:w w:val="99"/>
              </w:rPr>
              <w:t>75</w:t>
            </w:r>
          </w:p>
        </w:tc>
        <w:tc>
          <w:tcPr>
            <w:tcW w:w="1000" w:type="dxa"/>
            <w:vAlign w:val="bottom"/>
            <w:tcBorders>
              <w:bottom w:val="single" w:sz="8" w:color="225CAB"/>
            </w:tcBorders>
          </w:tcPr>
          <w:p>
            <w:pPr>
              <w:jc w:val="center"/>
              <w:spacing w:after="0" w:line="196" w:lineRule="exact"/>
              <w:rPr>
                <w:sz w:val="20"/>
                <w:szCs w:val="20"/>
                <w:color w:val="auto"/>
              </w:rPr>
            </w:pPr>
            <w:r>
              <w:rPr>
                <w:rFonts w:ascii="Arial" w:cs="Arial" w:eastAsia="Arial" w:hAnsi="Arial"/>
                <w:sz w:val="18"/>
                <w:szCs w:val="18"/>
                <w:color w:val="auto"/>
                <w:w w:val="99"/>
              </w:rPr>
              <w:t>1997</w:t>
            </w:r>
          </w:p>
        </w:tc>
        <w:tc>
          <w:tcPr>
            <w:tcW w:w="1400" w:type="dxa"/>
            <w:vAlign w:val="bottom"/>
            <w:tcBorders>
              <w:bottom w:val="single" w:sz="8" w:color="225CAB"/>
            </w:tcBorders>
          </w:tcPr>
          <w:p>
            <w:pPr>
              <w:jc w:val="center"/>
              <w:spacing w:after="0" w:line="196" w:lineRule="exact"/>
              <w:rPr>
                <w:sz w:val="20"/>
                <w:szCs w:val="20"/>
                <w:color w:val="auto"/>
              </w:rPr>
            </w:pPr>
            <w:r>
              <w:rPr>
                <w:rFonts w:ascii="Arial" w:cs="Arial" w:eastAsia="Arial" w:hAnsi="Arial"/>
                <w:sz w:val="18"/>
                <w:szCs w:val="18"/>
                <w:color w:val="auto"/>
                <w:w w:val="90"/>
              </w:rPr>
              <w:t>Yes</w:t>
            </w:r>
          </w:p>
        </w:tc>
        <w:tc>
          <w:tcPr>
            <w:tcW w:w="5700" w:type="dxa"/>
            <w:vAlign w:val="bottom"/>
            <w:tcBorders>
              <w:bottom w:val="single" w:sz="8" w:color="225CAB"/>
            </w:tcBorders>
            <w:gridSpan w:val="2"/>
          </w:tcPr>
          <w:p>
            <w:pPr>
              <w:ind w:left="240"/>
              <w:spacing w:after="0" w:line="196" w:lineRule="exact"/>
              <w:rPr>
                <w:sz w:val="20"/>
                <w:szCs w:val="20"/>
                <w:color w:val="auto"/>
              </w:rPr>
            </w:pPr>
            <w:r>
              <w:rPr>
                <w:rFonts w:ascii="Arial" w:cs="Arial" w:eastAsia="Arial" w:hAnsi="Arial"/>
                <w:sz w:val="18"/>
                <w:szCs w:val="18"/>
                <w:color w:val="auto"/>
              </w:rPr>
              <w:t>Former Vice-Chairman, Eastman Kodak Company</w:t>
            </w:r>
          </w:p>
        </w:tc>
        <w:tc>
          <w:tcPr>
            <w:tcW w:w="180" w:type="dxa"/>
            <w:vAlign w:val="bottom"/>
            <w:tcBorders>
              <w:bottom w:val="single" w:sz="8" w:color="225CAB"/>
            </w:tcBorders>
          </w:tcPr>
          <w:p>
            <w:pPr>
              <w:spacing w:after="0"/>
              <w:rPr>
                <w:sz w:val="17"/>
                <w:szCs w:val="17"/>
                <w:color w:val="auto"/>
              </w:rPr>
            </w:pPr>
          </w:p>
        </w:tc>
      </w:tr>
      <w:tr>
        <w:trPr>
          <w:trHeight w:val="196"/>
        </w:trPr>
        <w:tc>
          <w:tcPr>
            <w:tcW w:w="2240" w:type="dxa"/>
            <w:vAlign w:val="bottom"/>
            <w:tcBorders>
              <w:bottom w:val="single" w:sz="8" w:color="225CAB"/>
            </w:tcBorders>
          </w:tcPr>
          <w:p>
            <w:pPr>
              <w:spacing w:after="0" w:line="196" w:lineRule="exact"/>
              <w:rPr>
                <w:sz w:val="20"/>
                <w:szCs w:val="20"/>
                <w:color w:val="auto"/>
              </w:rPr>
            </w:pPr>
            <w:r>
              <w:rPr>
                <w:rFonts w:ascii="Arial" w:cs="Arial" w:eastAsia="Arial" w:hAnsi="Arial"/>
                <w:sz w:val="18"/>
                <w:szCs w:val="18"/>
                <w:color w:val="225CAB"/>
              </w:rPr>
              <w:t>Laura G. Thatcher</w:t>
            </w:r>
          </w:p>
        </w:tc>
        <w:tc>
          <w:tcPr>
            <w:tcW w:w="900" w:type="dxa"/>
            <w:vAlign w:val="bottom"/>
            <w:tcBorders>
              <w:bottom w:val="single" w:sz="8" w:color="225CAB"/>
            </w:tcBorders>
          </w:tcPr>
          <w:p>
            <w:pPr>
              <w:jc w:val="center"/>
              <w:ind w:left="132"/>
              <w:spacing w:after="0" w:line="196" w:lineRule="exact"/>
              <w:rPr>
                <w:sz w:val="20"/>
                <w:szCs w:val="20"/>
                <w:color w:val="auto"/>
              </w:rPr>
            </w:pPr>
            <w:r>
              <w:rPr>
                <w:rFonts w:ascii="Arial" w:cs="Arial" w:eastAsia="Arial" w:hAnsi="Arial"/>
                <w:sz w:val="18"/>
                <w:szCs w:val="18"/>
                <w:color w:val="auto"/>
                <w:w w:val="99"/>
              </w:rPr>
              <w:t>60</w:t>
            </w:r>
          </w:p>
        </w:tc>
        <w:tc>
          <w:tcPr>
            <w:tcW w:w="1000" w:type="dxa"/>
            <w:vAlign w:val="bottom"/>
            <w:tcBorders>
              <w:bottom w:val="single" w:sz="8" w:color="225CAB"/>
            </w:tcBorders>
          </w:tcPr>
          <w:p>
            <w:pPr>
              <w:jc w:val="center"/>
              <w:spacing w:after="0" w:line="196" w:lineRule="exact"/>
              <w:rPr>
                <w:sz w:val="20"/>
                <w:szCs w:val="20"/>
                <w:color w:val="auto"/>
              </w:rPr>
            </w:pPr>
            <w:r>
              <w:rPr>
                <w:rFonts w:ascii="Arial" w:cs="Arial" w:eastAsia="Arial" w:hAnsi="Arial"/>
                <w:sz w:val="18"/>
                <w:szCs w:val="18"/>
                <w:color w:val="auto"/>
                <w:w w:val="99"/>
              </w:rPr>
              <w:t>2015</w:t>
            </w:r>
          </w:p>
        </w:tc>
        <w:tc>
          <w:tcPr>
            <w:tcW w:w="1400" w:type="dxa"/>
            <w:vAlign w:val="bottom"/>
            <w:tcBorders>
              <w:bottom w:val="single" w:sz="8" w:color="225CAB"/>
            </w:tcBorders>
          </w:tcPr>
          <w:p>
            <w:pPr>
              <w:jc w:val="center"/>
              <w:spacing w:after="0" w:line="196" w:lineRule="exact"/>
              <w:rPr>
                <w:sz w:val="20"/>
                <w:szCs w:val="20"/>
                <w:color w:val="auto"/>
              </w:rPr>
            </w:pPr>
            <w:r>
              <w:rPr>
                <w:rFonts w:ascii="Arial" w:cs="Arial" w:eastAsia="Arial" w:hAnsi="Arial"/>
                <w:sz w:val="18"/>
                <w:szCs w:val="18"/>
                <w:color w:val="auto"/>
                <w:w w:val="90"/>
              </w:rPr>
              <w:t>Yes</w:t>
            </w:r>
          </w:p>
        </w:tc>
        <w:tc>
          <w:tcPr>
            <w:tcW w:w="5700" w:type="dxa"/>
            <w:vAlign w:val="bottom"/>
            <w:tcBorders>
              <w:bottom w:val="single" w:sz="8" w:color="225CAB"/>
            </w:tcBorders>
            <w:gridSpan w:val="2"/>
          </w:tcPr>
          <w:p>
            <w:pPr>
              <w:ind w:left="240"/>
              <w:spacing w:after="0" w:line="196" w:lineRule="exact"/>
              <w:rPr>
                <w:sz w:val="20"/>
                <w:szCs w:val="20"/>
                <w:color w:val="auto"/>
              </w:rPr>
            </w:pPr>
            <w:r>
              <w:rPr>
                <w:rFonts w:ascii="Arial" w:cs="Arial" w:eastAsia="Arial" w:hAnsi="Arial"/>
                <w:sz w:val="18"/>
                <w:szCs w:val="18"/>
                <w:color w:val="auto"/>
                <w:w w:val="98"/>
              </w:rPr>
              <w:t>Former Head of Executive Compensation Practice, Alston &amp; Bird LLP</w:t>
            </w:r>
          </w:p>
        </w:tc>
        <w:tc>
          <w:tcPr>
            <w:tcW w:w="180" w:type="dxa"/>
            <w:vAlign w:val="bottom"/>
            <w:tcBorders>
              <w:bottom w:val="single" w:sz="8" w:color="225CAB"/>
            </w:tcBorders>
          </w:tcPr>
          <w:p>
            <w:pPr>
              <w:spacing w:after="0"/>
              <w:rPr>
                <w:sz w:val="17"/>
                <w:szCs w:val="17"/>
                <w:color w:val="auto"/>
              </w:rPr>
            </w:pPr>
          </w:p>
        </w:tc>
      </w:tr>
      <w:tr>
        <w:trPr>
          <w:trHeight w:val="196"/>
        </w:trPr>
        <w:tc>
          <w:tcPr>
            <w:tcW w:w="2240" w:type="dxa"/>
            <w:vAlign w:val="bottom"/>
            <w:tcBorders>
              <w:bottom w:val="single" w:sz="8" w:color="225CAB"/>
            </w:tcBorders>
          </w:tcPr>
          <w:p>
            <w:pPr>
              <w:spacing w:after="0" w:line="196" w:lineRule="exact"/>
              <w:rPr>
                <w:sz w:val="20"/>
                <w:szCs w:val="20"/>
                <w:color w:val="auto"/>
              </w:rPr>
            </w:pPr>
            <w:r>
              <w:rPr>
                <w:rFonts w:ascii="Arial" w:cs="Arial" w:eastAsia="Arial" w:hAnsi="Arial"/>
                <w:sz w:val="18"/>
                <w:szCs w:val="18"/>
                <w:color w:val="225CAB"/>
              </w:rPr>
              <w:t>Richard F. Wallman</w:t>
            </w:r>
          </w:p>
        </w:tc>
        <w:tc>
          <w:tcPr>
            <w:tcW w:w="900" w:type="dxa"/>
            <w:vAlign w:val="bottom"/>
            <w:tcBorders>
              <w:bottom w:val="single" w:sz="8" w:color="225CAB"/>
            </w:tcBorders>
          </w:tcPr>
          <w:p>
            <w:pPr>
              <w:jc w:val="center"/>
              <w:ind w:left="132"/>
              <w:spacing w:after="0" w:line="196" w:lineRule="exact"/>
              <w:rPr>
                <w:sz w:val="20"/>
                <w:szCs w:val="20"/>
                <w:color w:val="auto"/>
              </w:rPr>
            </w:pPr>
            <w:r>
              <w:rPr>
                <w:rFonts w:ascii="Arial" w:cs="Arial" w:eastAsia="Arial" w:hAnsi="Arial"/>
                <w:sz w:val="18"/>
                <w:szCs w:val="18"/>
                <w:color w:val="auto"/>
                <w:w w:val="99"/>
              </w:rPr>
              <w:t>65</w:t>
            </w:r>
          </w:p>
        </w:tc>
        <w:tc>
          <w:tcPr>
            <w:tcW w:w="1000" w:type="dxa"/>
            <w:vAlign w:val="bottom"/>
            <w:tcBorders>
              <w:bottom w:val="single" w:sz="8" w:color="225CAB"/>
            </w:tcBorders>
          </w:tcPr>
          <w:p>
            <w:pPr>
              <w:jc w:val="center"/>
              <w:spacing w:after="0" w:line="196" w:lineRule="exact"/>
              <w:rPr>
                <w:sz w:val="20"/>
                <w:szCs w:val="20"/>
                <w:color w:val="auto"/>
              </w:rPr>
            </w:pPr>
            <w:r>
              <w:rPr>
                <w:rFonts w:ascii="Arial" w:cs="Arial" w:eastAsia="Arial" w:hAnsi="Arial"/>
                <w:sz w:val="18"/>
                <w:szCs w:val="18"/>
                <w:color w:val="auto"/>
                <w:w w:val="99"/>
              </w:rPr>
              <w:t>2007</w:t>
            </w:r>
          </w:p>
        </w:tc>
        <w:tc>
          <w:tcPr>
            <w:tcW w:w="1400" w:type="dxa"/>
            <w:vAlign w:val="bottom"/>
            <w:tcBorders>
              <w:bottom w:val="single" w:sz="8" w:color="225CAB"/>
            </w:tcBorders>
          </w:tcPr>
          <w:p>
            <w:pPr>
              <w:jc w:val="center"/>
              <w:spacing w:after="0" w:line="196" w:lineRule="exact"/>
              <w:rPr>
                <w:sz w:val="20"/>
                <w:szCs w:val="20"/>
                <w:color w:val="auto"/>
              </w:rPr>
            </w:pPr>
            <w:r>
              <w:rPr>
                <w:rFonts w:ascii="Arial" w:cs="Arial" w:eastAsia="Arial" w:hAnsi="Arial"/>
                <w:sz w:val="18"/>
                <w:szCs w:val="18"/>
                <w:color w:val="auto"/>
                <w:w w:val="90"/>
              </w:rPr>
              <w:t>Yes</w:t>
            </w:r>
          </w:p>
        </w:tc>
        <w:tc>
          <w:tcPr>
            <w:tcW w:w="5700" w:type="dxa"/>
            <w:vAlign w:val="bottom"/>
            <w:tcBorders>
              <w:bottom w:val="single" w:sz="8" w:color="225CAB"/>
            </w:tcBorders>
            <w:gridSpan w:val="2"/>
          </w:tcPr>
          <w:p>
            <w:pPr>
              <w:ind w:left="240"/>
              <w:spacing w:after="0" w:line="196" w:lineRule="exact"/>
              <w:rPr>
                <w:sz w:val="20"/>
                <w:szCs w:val="20"/>
                <w:color w:val="auto"/>
              </w:rPr>
            </w:pPr>
            <w:r>
              <w:rPr>
                <w:rFonts w:ascii="Arial" w:cs="Arial" w:eastAsia="Arial" w:hAnsi="Arial"/>
                <w:sz w:val="18"/>
                <w:szCs w:val="18"/>
                <w:color w:val="auto"/>
              </w:rPr>
              <w:t>Former CFO and SVP, Honeywell International Inc.</w:t>
            </w:r>
          </w:p>
        </w:tc>
        <w:tc>
          <w:tcPr>
            <w:tcW w:w="180" w:type="dxa"/>
            <w:vAlign w:val="bottom"/>
            <w:tcBorders>
              <w:bottom w:val="single" w:sz="8" w:color="225CAB"/>
            </w:tcBorders>
          </w:tcPr>
          <w:p>
            <w:pPr>
              <w:spacing w:after="0"/>
              <w:rPr>
                <w:sz w:val="17"/>
                <w:szCs w:val="17"/>
                <w:color w:val="auto"/>
              </w:rPr>
            </w:pPr>
          </w:p>
        </w:tc>
      </w:tr>
      <w:tr>
        <w:trPr>
          <w:trHeight w:val="196"/>
        </w:trPr>
        <w:tc>
          <w:tcPr>
            <w:tcW w:w="2240" w:type="dxa"/>
            <w:vAlign w:val="bottom"/>
            <w:tcBorders>
              <w:bottom w:val="single" w:sz="8" w:color="225CAB"/>
            </w:tcBorders>
          </w:tcPr>
          <w:p>
            <w:pPr>
              <w:spacing w:after="0" w:line="196" w:lineRule="exact"/>
              <w:rPr>
                <w:sz w:val="20"/>
                <w:szCs w:val="20"/>
                <w:color w:val="auto"/>
              </w:rPr>
            </w:pPr>
            <w:r>
              <w:rPr>
                <w:rFonts w:ascii="Arial" w:cs="Arial" w:eastAsia="Arial" w:hAnsi="Arial"/>
                <w:sz w:val="18"/>
                <w:szCs w:val="18"/>
                <w:color w:val="225CAB"/>
              </w:rPr>
              <w:t>Christopher Wright</w:t>
            </w:r>
          </w:p>
        </w:tc>
        <w:tc>
          <w:tcPr>
            <w:tcW w:w="900" w:type="dxa"/>
            <w:vAlign w:val="bottom"/>
            <w:tcBorders>
              <w:bottom w:val="single" w:sz="8" w:color="225CAB"/>
            </w:tcBorders>
          </w:tcPr>
          <w:p>
            <w:pPr>
              <w:jc w:val="center"/>
              <w:ind w:left="132"/>
              <w:spacing w:after="0" w:line="196" w:lineRule="exact"/>
              <w:rPr>
                <w:sz w:val="20"/>
                <w:szCs w:val="20"/>
                <w:color w:val="auto"/>
              </w:rPr>
            </w:pPr>
            <w:r>
              <w:rPr>
                <w:rFonts w:ascii="Arial" w:cs="Arial" w:eastAsia="Arial" w:hAnsi="Arial"/>
                <w:sz w:val="18"/>
                <w:szCs w:val="18"/>
                <w:color w:val="auto"/>
                <w:w w:val="99"/>
              </w:rPr>
              <w:t>58</w:t>
            </w:r>
          </w:p>
        </w:tc>
        <w:tc>
          <w:tcPr>
            <w:tcW w:w="1000" w:type="dxa"/>
            <w:vAlign w:val="bottom"/>
            <w:tcBorders>
              <w:bottom w:val="single" w:sz="8" w:color="225CAB"/>
            </w:tcBorders>
          </w:tcPr>
          <w:p>
            <w:pPr>
              <w:jc w:val="center"/>
              <w:spacing w:after="0" w:line="196" w:lineRule="exact"/>
              <w:rPr>
                <w:sz w:val="20"/>
                <w:szCs w:val="20"/>
                <w:color w:val="auto"/>
              </w:rPr>
            </w:pPr>
            <w:r>
              <w:rPr>
                <w:rFonts w:ascii="Arial" w:cs="Arial" w:eastAsia="Arial" w:hAnsi="Arial"/>
                <w:sz w:val="18"/>
                <w:szCs w:val="18"/>
                <w:color w:val="auto"/>
                <w:w w:val="99"/>
              </w:rPr>
              <w:t>1991</w:t>
            </w:r>
          </w:p>
        </w:tc>
        <w:tc>
          <w:tcPr>
            <w:tcW w:w="1400" w:type="dxa"/>
            <w:vAlign w:val="bottom"/>
            <w:tcBorders>
              <w:bottom w:val="single" w:sz="8" w:color="225CAB"/>
            </w:tcBorders>
          </w:tcPr>
          <w:p>
            <w:pPr>
              <w:jc w:val="center"/>
              <w:spacing w:after="0" w:line="196" w:lineRule="exact"/>
              <w:rPr>
                <w:sz w:val="20"/>
                <w:szCs w:val="20"/>
                <w:color w:val="auto"/>
              </w:rPr>
            </w:pPr>
            <w:r>
              <w:rPr>
                <w:rFonts w:ascii="Arial" w:cs="Arial" w:eastAsia="Arial" w:hAnsi="Arial"/>
                <w:sz w:val="18"/>
                <w:szCs w:val="18"/>
                <w:color w:val="auto"/>
                <w:w w:val="90"/>
              </w:rPr>
              <w:t>Yes</w:t>
            </w:r>
          </w:p>
        </w:tc>
        <w:tc>
          <w:tcPr>
            <w:tcW w:w="5700" w:type="dxa"/>
            <w:vAlign w:val="bottom"/>
            <w:tcBorders>
              <w:bottom w:val="single" w:sz="8" w:color="225CAB"/>
            </w:tcBorders>
            <w:gridSpan w:val="2"/>
          </w:tcPr>
          <w:p>
            <w:pPr>
              <w:ind w:left="240"/>
              <w:spacing w:after="0" w:line="196" w:lineRule="exact"/>
              <w:rPr>
                <w:sz w:val="20"/>
                <w:szCs w:val="20"/>
                <w:color w:val="auto"/>
              </w:rPr>
            </w:pPr>
            <w:r>
              <w:rPr>
                <w:rFonts w:ascii="Arial" w:cs="Arial" w:eastAsia="Arial" w:hAnsi="Arial"/>
                <w:sz w:val="18"/>
                <w:szCs w:val="18"/>
                <w:color w:val="auto"/>
              </w:rPr>
              <w:t>Chairman, EMAlternatives LLC</w:t>
            </w:r>
          </w:p>
        </w:tc>
        <w:tc>
          <w:tcPr>
            <w:tcW w:w="180" w:type="dxa"/>
            <w:vAlign w:val="bottom"/>
            <w:tcBorders>
              <w:bottom w:val="single" w:sz="8" w:color="225CAB"/>
            </w:tcBorders>
          </w:tcPr>
          <w:p>
            <w:pPr>
              <w:spacing w:after="0"/>
              <w:rPr>
                <w:sz w:val="17"/>
                <w:szCs w:val="17"/>
                <w:color w:val="auto"/>
              </w:rPr>
            </w:pPr>
          </w:p>
        </w:tc>
      </w:tr>
      <w:tr>
        <w:trPr>
          <w:trHeight w:val="142"/>
        </w:trPr>
        <w:tc>
          <w:tcPr>
            <w:tcW w:w="2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570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r>
      <w:tr>
        <w:trPr>
          <w:trHeight w:val="309"/>
        </w:trPr>
        <w:tc>
          <w:tcPr>
            <w:tcW w:w="2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540" w:type="dxa"/>
            <w:vAlign w:val="bottom"/>
            <w:tcBorders>
              <w:right w:val="single" w:sz="8" w:color="225CAB"/>
            </w:tcBorders>
          </w:tcPr>
          <w:p>
            <w:pPr>
              <w:ind w:left="1440"/>
              <w:spacing w:after="0"/>
              <w:rPr>
                <w:sz w:val="20"/>
                <w:szCs w:val="20"/>
                <w:color w:val="auto"/>
              </w:rPr>
            </w:pPr>
            <w:r>
              <w:rPr>
                <w:rFonts w:ascii="Arial" w:cs="Arial" w:eastAsia="Arial" w:hAnsi="Arial"/>
                <w:sz w:val="18"/>
                <w:szCs w:val="18"/>
                <w:b w:val="1"/>
                <w:bCs w:val="1"/>
                <w:color w:val="225CAB"/>
                <w:w w:val="99"/>
              </w:rPr>
              <w:t>Roper Technologies, Inc. 2016 Proxy Statement</w:t>
            </w:r>
          </w:p>
        </w:tc>
        <w:tc>
          <w:tcPr>
            <w:tcW w:w="16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225CAB"/>
              </w:rPr>
              <w:t>1</w:t>
            </w:r>
          </w:p>
        </w:tc>
      </w:tr>
      <w:tr>
        <w:trPr>
          <w:trHeight w:val="83"/>
        </w:trPr>
        <w:tc>
          <w:tcPr>
            <w:tcW w:w="22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5540" w:type="dxa"/>
            <w:vAlign w:val="bottom"/>
            <w:tcBorders>
              <w:right w:val="single" w:sz="8" w:color="225CAB"/>
            </w:tcBorders>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-213995</wp:posOffset>
            </wp:positionV>
            <wp:extent cx="420370" cy="2057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spacing w:after="0"/>
        <w:rPr>
          <w:sz w:val="20"/>
          <w:szCs w:val="20"/>
          <w:color w:val="auto"/>
        </w:rPr>
      </w:pPr>
      <w:r>
        <w:rPr>
          <w:rFonts w:ascii="Arial" w:cs="Arial" w:eastAsia="Arial" w:hAnsi="Arial"/>
          <w:sz w:val="32"/>
          <w:szCs w:val="32"/>
          <w:color w:val="225CAB"/>
        </w:rPr>
        <w:t>BOARD OF DIRECTORS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225CAB"/>
        </w:rPr>
        <w:t>Nominee Information</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i w:val="1"/>
          <w:iCs w:val="1"/>
          <w:color w:val="225CAB"/>
        </w:rPr>
        <w:t>for terms expiring at the 2017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2907030" cy="11918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907030" cy="1191895"/>
                    </a:xfrm>
                    <a:prstGeom prst="rect">
                      <a:avLst/>
                    </a:prstGeom>
                    <a:noFill/>
                  </pic:spPr>
                </pic:pic>
              </a:graphicData>
            </a:graphic>
          </wp:anchor>
        </w:drawing>
      </w:r>
    </w:p>
    <w:p>
      <w:pPr>
        <w:spacing w:after="0" w:line="237"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auto"/>
        </w:rPr>
        <w:t>Amy Woods Brinkley</w:t>
      </w:r>
    </w:p>
    <w:p>
      <w:pPr>
        <w:spacing w:after="0" w:line="27"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Director since 2015</w:t>
      </w:r>
    </w:p>
    <w:p>
      <w:pPr>
        <w:ind w:left="1360"/>
        <w:spacing w:after="0" w:line="234" w:lineRule="auto"/>
        <w:rPr>
          <w:sz w:val="20"/>
          <w:szCs w:val="20"/>
          <w:color w:val="auto"/>
        </w:rPr>
      </w:pPr>
      <w:r>
        <w:rPr>
          <w:rFonts w:ascii="Arial" w:cs="Arial" w:eastAsia="Arial" w:hAnsi="Arial"/>
          <w:sz w:val="18"/>
          <w:szCs w:val="18"/>
          <w:color w:val="auto"/>
        </w:rPr>
        <w:t>Independent</w:t>
      </w:r>
    </w:p>
    <w:p>
      <w:pPr>
        <w:spacing w:after="0" w:line="1"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Age: 60</w:t>
      </w:r>
    </w:p>
    <w:p>
      <w:pPr>
        <w:spacing w:after="0" w:line="194"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Committees:</w:t>
      </w:r>
    </w:p>
    <w:p>
      <w:pPr>
        <w:ind w:left="1360"/>
        <w:spacing w:after="0"/>
        <w:rPr>
          <w:sz w:val="20"/>
          <w:szCs w:val="20"/>
          <w:color w:val="auto"/>
        </w:rPr>
      </w:pPr>
      <w:r>
        <w:rPr>
          <w:rFonts w:ascii="Arial" w:cs="Arial" w:eastAsia="Arial" w:hAnsi="Arial"/>
          <w:sz w:val="18"/>
          <w:szCs w:val="18"/>
          <w:color w:val="auto"/>
        </w:rPr>
        <w:t>Audit</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 Experience</w:t>
      </w:r>
    </w:p>
    <w:p>
      <w:pPr>
        <w:spacing w:after="0" w:line="9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Ms. Brinkley is the founder, owner and manager of AWB Consulting, LLC, which provides executive advising and risk management consulting services. Ms. Brinkley retired from Bank of America Corporation in 2009 after more than 30 years with the company. Ms. Brinkley served as its Chief Risk Officer from 2002 to 2009. Prior to 2002, she served as President of the company’s Consumer Products division and was responsible for the credit card, mortgage, consumer finance, telephone, and eCommerce businesses. During her employment at Bank of America Corporation, Ms. Brinkley also held the positions of Executive Vice President and Chief Marketing Officer overseeing the company’s Olympic sponsorship and its national rebranding and name change.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Boards and Appointments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Ms. Brinkley is currently a director of TD Bank Group, Carter’s, Inc., TD Group US Holdings, LLC. and the Bank of America Charitable Foundation.</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She also serves as a trustee for the Princeton Theological Seminary and on the board of commissioners for the Carolinas Healthcare System.</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Qualifications</w:t>
      </w:r>
    </w:p>
    <w:p>
      <w:pPr>
        <w:spacing w:after="0" w:line="99"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Ms. Brinkley’s background offers the Board vast experience in risk management and a broad-based knowledge of banking, financial services, and brand 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2907030" cy="12007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907030" cy="1200785"/>
                    </a:xfrm>
                    <a:prstGeom prst="rect">
                      <a:avLst/>
                    </a:prstGeom>
                    <a:noFill/>
                  </pic:spPr>
                </pic:pic>
              </a:graphicData>
            </a:graphic>
          </wp:anchor>
        </w:drawing>
      </w:r>
    </w:p>
    <w:p>
      <w:pPr>
        <w:spacing w:after="0" w:line="235"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auto"/>
        </w:rPr>
        <w:t>John F. Fort III</w:t>
      </w:r>
    </w:p>
    <w:p>
      <w:pPr>
        <w:spacing w:after="0" w:line="27"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Director since 1995</w:t>
      </w:r>
    </w:p>
    <w:p>
      <w:pPr>
        <w:ind w:left="1360"/>
        <w:spacing w:after="0" w:line="234" w:lineRule="auto"/>
        <w:rPr>
          <w:sz w:val="20"/>
          <w:szCs w:val="20"/>
          <w:color w:val="auto"/>
        </w:rPr>
      </w:pPr>
      <w:r>
        <w:rPr>
          <w:rFonts w:ascii="Arial" w:cs="Arial" w:eastAsia="Arial" w:hAnsi="Arial"/>
          <w:sz w:val="18"/>
          <w:szCs w:val="18"/>
          <w:color w:val="auto"/>
        </w:rPr>
        <w:t>Independent</w:t>
      </w:r>
    </w:p>
    <w:p>
      <w:pPr>
        <w:spacing w:after="0" w:line="1"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Age: 74</w:t>
      </w:r>
    </w:p>
    <w:p>
      <w:pPr>
        <w:spacing w:after="0" w:line="194"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Committees:</w:t>
      </w:r>
    </w:p>
    <w:p>
      <w:pPr>
        <w:ind w:left="1360"/>
        <w:spacing w:after="0" w:line="234" w:lineRule="auto"/>
        <w:rPr>
          <w:sz w:val="20"/>
          <w:szCs w:val="20"/>
          <w:color w:val="auto"/>
        </w:rPr>
      </w:pPr>
      <w:r>
        <w:rPr>
          <w:rFonts w:ascii="Arial" w:cs="Arial" w:eastAsia="Arial" w:hAnsi="Arial"/>
          <w:sz w:val="18"/>
          <w:szCs w:val="18"/>
          <w:color w:val="auto"/>
        </w:rPr>
        <w:t>Audit</w:t>
      </w:r>
    </w:p>
    <w:p>
      <w:pPr>
        <w:spacing w:after="0" w:line="1"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Nominating and Governance</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 Experience</w:t>
      </w:r>
    </w:p>
    <w:p>
      <w:pPr>
        <w:spacing w:after="0" w:line="99"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Mr. Fort has been self-employed since 1993. Mr. Fort served as Chairman and Chief Executive Officer of Tyco International Ltd., a provider of diversified industrial products and services, from 1982 until his retirement from the company in January 1993, and served as Interim CEO of Tyco from June to September 2002 and as an advisor to Tyco’s Board of Directors from March 2003 to March 2004.</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Qualifications</w:t>
      </w:r>
    </w:p>
    <w:p>
      <w:pPr>
        <w:spacing w:after="0" w:line="99" w:lineRule="exact"/>
        <w:rPr>
          <w:sz w:val="20"/>
          <w:szCs w:val="20"/>
          <w:color w:val="auto"/>
        </w:rPr>
      </w:pPr>
    </w:p>
    <w:p>
      <w:pPr>
        <w:ind w:right="720"/>
        <w:spacing w:after="0" w:line="239" w:lineRule="auto"/>
        <w:rPr>
          <w:sz w:val="20"/>
          <w:szCs w:val="20"/>
          <w:color w:val="auto"/>
        </w:rPr>
      </w:pPr>
      <w:r>
        <w:rPr>
          <w:rFonts w:ascii="Arial" w:cs="Arial" w:eastAsia="Arial" w:hAnsi="Arial"/>
          <w:sz w:val="18"/>
          <w:szCs w:val="18"/>
          <w:color w:val="auto"/>
        </w:rPr>
        <w:t>Mr. Fort’s leadership experience as the CEO of a diversified industrial company and in-depth knowledge of our Company gives our Board perspective on important issues, including business strategy and acquisitions.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336"/>
        </w:trPr>
        <w:tc>
          <w:tcPr>
            <w:tcW w:w="240" w:type="dxa"/>
            <w:vAlign w:val="bottom"/>
            <w:tcBorders>
              <w:right w:val="single" w:sz="8" w:color="225CAB"/>
            </w:tcBorders>
          </w:tcPr>
          <w:p>
            <w:pPr>
              <w:jc w:val="right"/>
              <w:ind w:right="52"/>
              <w:spacing w:after="0"/>
              <w:rPr>
                <w:sz w:val="20"/>
                <w:szCs w:val="20"/>
                <w:color w:val="auto"/>
              </w:rPr>
            </w:pPr>
            <w:r>
              <w:rPr>
                <w:rFonts w:ascii="Arial" w:cs="Arial" w:eastAsia="Arial" w:hAnsi="Arial"/>
                <w:sz w:val="18"/>
                <w:szCs w:val="18"/>
                <w:b w:val="1"/>
                <w:bCs w:val="1"/>
                <w:color w:val="225CAB"/>
                <w:w w:val="79"/>
              </w:rPr>
              <w:t>2</w:t>
            </w:r>
          </w:p>
        </w:tc>
        <w:tc>
          <w:tcPr>
            <w:tcW w:w="5200" w:type="dxa"/>
            <w:vAlign w:val="bottom"/>
          </w:tcPr>
          <w:p>
            <w:pPr>
              <w:ind w:left="1240"/>
              <w:spacing w:after="0"/>
              <w:rPr>
                <w:sz w:val="20"/>
                <w:szCs w:val="20"/>
                <w:color w:val="auto"/>
              </w:rPr>
            </w:pPr>
            <w:r>
              <w:rPr>
                <w:rFonts w:ascii="Arial" w:cs="Arial" w:eastAsia="Arial" w:hAnsi="Arial"/>
                <w:sz w:val="18"/>
                <w:szCs w:val="18"/>
                <w:b w:val="1"/>
                <w:bCs w:val="1"/>
                <w:color w:val="225CAB"/>
                <w:w w:val="97"/>
              </w:rPr>
              <w:t>Roper Technologies, Inc. 2016 Proxy Statement</w:t>
            </w:r>
          </w:p>
        </w:tc>
      </w:tr>
      <w:tr>
        <w:trPr>
          <w:trHeight w:val="110"/>
        </w:trPr>
        <w:tc>
          <w:tcPr>
            <w:tcW w:w="240" w:type="dxa"/>
            <w:vAlign w:val="bottom"/>
            <w:tcBorders>
              <w:right w:val="single" w:sz="8" w:color="225CAB"/>
            </w:tcBorders>
          </w:tcPr>
          <w:p>
            <w:pPr>
              <w:spacing w:after="0"/>
              <w:rPr>
                <w:sz w:val="9"/>
                <w:szCs w:val="9"/>
                <w:color w:val="auto"/>
              </w:rPr>
            </w:pPr>
          </w:p>
        </w:tc>
        <w:tc>
          <w:tcPr>
            <w:tcW w:w="52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-248285</wp:posOffset>
            </wp:positionV>
            <wp:extent cx="420370" cy="2057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ectPr>
          <w:pgSz w:w="11900" w:h="16838" w:orient="portrait"/>
          <w:cols w:equalWidth="0" w:num="1">
            <w:col w:w="11360"/>
          </w:cols>
          <w:pgMar w:left="240" w:top="459" w:right="2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225CAB"/>
        </w:rPr>
        <w:t xml:space="preserve">BOARD OF DIRECTORS </w:t>
      </w:r>
      <w:r>
        <w:rPr>
          <w:rFonts w:ascii="Arial" w:cs="Arial" w:eastAsia="Arial" w:hAnsi="Arial"/>
          <w:sz w:val="18"/>
          <w:szCs w:val="18"/>
          <w:i w:val="1"/>
          <w:iCs w:val="1"/>
          <w:color w:val="225CA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2907030" cy="12007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907030" cy="120078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auto"/>
        </w:rPr>
        <w:t>Brian D. Jellison</w:t>
      </w:r>
    </w:p>
    <w:p>
      <w:pPr>
        <w:spacing w:after="0" w:line="27"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Chairman since 2003</w:t>
      </w:r>
    </w:p>
    <w:p>
      <w:pPr>
        <w:ind w:left="1360"/>
        <w:spacing w:after="0" w:line="234" w:lineRule="auto"/>
        <w:rPr>
          <w:sz w:val="20"/>
          <w:szCs w:val="20"/>
          <w:color w:val="auto"/>
        </w:rPr>
      </w:pPr>
      <w:r>
        <w:rPr>
          <w:rFonts w:ascii="Arial" w:cs="Arial" w:eastAsia="Arial" w:hAnsi="Arial"/>
          <w:sz w:val="18"/>
          <w:szCs w:val="18"/>
          <w:color w:val="auto"/>
        </w:rPr>
        <w:t>Director, President and Chief</w:t>
      </w:r>
    </w:p>
    <w:p>
      <w:pPr>
        <w:ind w:left="1360"/>
        <w:spacing w:after="0" w:line="235" w:lineRule="auto"/>
        <w:rPr>
          <w:sz w:val="20"/>
          <w:szCs w:val="20"/>
          <w:color w:val="auto"/>
        </w:rPr>
      </w:pPr>
      <w:r>
        <w:rPr>
          <w:rFonts w:ascii="Arial" w:cs="Arial" w:eastAsia="Arial" w:hAnsi="Arial"/>
          <w:sz w:val="18"/>
          <w:szCs w:val="18"/>
          <w:color w:val="auto"/>
        </w:rPr>
        <w:t>Executive Officer since 2001</w:t>
      </w:r>
    </w:p>
    <w:p>
      <w:pPr>
        <w:spacing w:after="0" w:line="1"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Age: 70</w:t>
      </w:r>
    </w:p>
    <w:p>
      <w:pPr>
        <w:spacing w:after="0" w:line="194"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Committees:</w:t>
      </w:r>
    </w:p>
    <w:p>
      <w:pPr>
        <w:ind w:left="1360"/>
        <w:spacing w:after="0"/>
        <w:rPr>
          <w:sz w:val="20"/>
          <w:szCs w:val="20"/>
          <w:color w:val="auto"/>
        </w:rPr>
      </w:pPr>
      <w:r>
        <w:rPr>
          <w:rFonts w:ascii="Arial" w:cs="Arial" w:eastAsia="Arial" w:hAnsi="Arial"/>
          <w:sz w:val="18"/>
          <w:szCs w:val="18"/>
          <w:color w:val="auto"/>
        </w:rPr>
        <w:t>Executive (Chair)</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 Experience</w:t>
      </w:r>
    </w:p>
    <w:p>
      <w:pPr>
        <w:spacing w:after="0" w:line="99"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Mr. Jellison is our President and CEO. He previously served as Corporate Executive Vice President of Ingersoll-Rand, a global diversified industrial company from January 1998 to July 2001. During his 26-year career with Ingersoll-Rand, Mr. Jellison served in a variety of senior level positions and assumed the principal responsibility for completing and integrating a variety of public and private new business acquisitions.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Qualifications</w:t>
      </w:r>
    </w:p>
    <w:p>
      <w:pPr>
        <w:spacing w:after="0" w:line="99" w:lineRule="exact"/>
        <w:rPr>
          <w:sz w:val="20"/>
          <w:szCs w:val="20"/>
          <w:color w:val="auto"/>
        </w:rPr>
      </w:pPr>
    </w:p>
    <w:p>
      <w:pPr>
        <w:ind w:right="520"/>
        <w:spacing w:after="0" w:line="238" w:lineRule="auto"/>
        <w:rPr>
          <w:sz w:val="20"/>
          <w:szCs w:val="20"/>
          <w:color w:val="auto"/>
        </w:rPr>
      </w:pPr>
      <w:r>
        <w:rPr>
          <w:rFonts w:ascii="Arial" w:cs="Arial" w:eastAsia="Arial" w:hAnsi="Arial"/>
          <w:sz w:val="18"/>
          <w:szCs w:val="18"/>
          <w:color w:val="auto"/>
        </w:rPr>
        <w:t>Mr. Jellison’s active involvement in Roper’s operations provides our Board with specific knowledge of the business and its challenges and prospects. As the Chairman of the Board, his deep understanding of the organization and its strategic focus has provided key leadership and guidance for our Company’s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2907030" cy="11918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907030" cy="1191895"/>
                    </a:xfrm>
                    <a:prstGeom prst="rect">
                      <a:avLst/>
                    </a:prstGeom>
                    <a:noFill/>
                  </pic:spPr>
                </pic:pic>
              </a:graphicData>
            </a:graphic>
          </wp:anchor>
        </w:drawing>
      </w:r>
    </w:p>
    <w:p>
      <w:pPr>
        <w:spacing w:after="0" w:line="234"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auto"/>
        </w:rPr>
        <w:t>Robert D. Johnson</w:t>
      </w:r>
    </w:p>
    <w:p>
      <w:pPr>
        <w:spacing w:after="0" w:line="27"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Director since 2005</w:t>
      </w:r>
    </w:p>
    <w:p>
      <w:pPr>
        <w:ind w:left="1360"/>
        <w:spacing w:after="0" w:line="234" w:lineRule="auto"/>
        <w:rPr>
          <w:sz w:val="20"/>
          <w:szCs w:val="20"/>
          <w:color w:val="auto"/>
        </w:rPr>
      </w:pPr>
      <w:r>
        <w:rPr>
          <w:rFonts w:ascii="Arial" w:cs="Arial" w:eastAsia="Arial" w:hAnsi="Arial"/>
          <w:sz w:val="18"/>
          <w:szCs w:val="18"/>
          <w:color w:val="auto"/>
        </w:rPr>
        <w:t>Independent</w:t>
      </w:r>
    </w:p>
    <w:p>
      <w:pPr>
        <w:spacing w:after="0" w:line="1"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Age: 68</w:t>
      </w:r>
    </w:p>
    <w:p>
      <w:pPr>
        <w:spacing w:after="0" w:line="194"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Committees:</w:t>
      </w:r>
    </w:p>
    <w:p>
      <w:pPr>
        <w:ind w:left="1360"/>
        <w:spacing w:after="0"/>
        <w:rPr>
          <w:sz w:val="20"/>
          <w:szCs w:val="20"/>
          <w:color w:val="auto"/>
        </w:rPr>
      </w:pPr>
      <w:r>
        <w:rPr>
          <w:rFonts w:ascii="Arial" w:cs="Arial" w:eastAsia="Arial" w:hAnsi="Arial"/>
          <w:sz w:val="18"/>
          <w:szCs w:val="18"/>
          <w:color w:val="auto"/>
        </w:rPr>
        <w:t>Compensation</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 Experience</w:t>
      </w:r>
    </w:p>
    <w:p>
      <w:pPr>
        <w:spacing w:after="0" w:line="99"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Mr. Johnson was Chief Executive Officer of Dubai Aerospace Enterprise Ltd., a global aviation corporation, from August 2006 to December 2008. Mr. Johnson served as Chairman of Honeywell Aerospace, the aviation segment of Honeywell International Inc., from January 2005 to January 2006, and as its President and Chief Executive Officer from 1999 to 2005. Mr. Johnson worked at Honeywell’s predecessor, AlliedSignal, rising to the position of President and Chief Executive Officer of AlliedSignal Aerospace. Mr. Johnson has held management positions with AAR Corporation and GE Aircraft Engines.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Boards and Appointments</w:t>
      </w:r>
    </w:p>
    <w:p>
      <w:pPr>
        <w:spacing w:after="0" w:line="99" w:lineRule="exact"/>
        <w:rPr>
          <w:sz w:val="20"/>
          <w:szCs w:val="20"/>
          <w:color w:val="auto"/>
        </w:rPr>
      </w:pPr>
    </w:p>
    <w:p>
      <w:pPr>
        <w:ind w:right="640"/>
        <w:spacing w:after="0" w:line="239" w:lineRule="auto"/>
        <w:rPr>
          <w:sz w:val="20"/>
          <w:szCs w:val="20"/>
          <w:color w:val="auto"/>
        </w:rPr>
      </w:pPr>
      <w:r>
        <w:rPr>
          <w:rFonts w:ascii="Arial" w:cs="Arial" w:eastAsia="Arial" w:hAnsi="Arial"/>
          <w:sz w:val="18"/>
          <w:szCs w:val="18"/>
          <w:color w:val="auto"/>
        </w:rPr>
        <w:t>Mr. Johnson currently serves as the Chairman of the Board of Spirit AeroSystems, Inc., and as a director of Spirit Airlines, Inc. Mr. Johnson previously served as a director of Ariba, Inc. from 2005 to 2012 and Beechcraft Corp during 2013.</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Qualifications</w:t>
      </w:r>
    </w:p>
    <w:p>
      <w:pPr>
        <w:spacing w:after="0" w:line="99"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Mr. Johnson brings valuable knowledge in marketing, sales and production from his diverse career experiences. His management leadership skills and his general business knowledge provide our Board with guidance in compensation and management issues.</w:t>
      </w:r>
    </w:p>
    <w:p>
      <w:pPr>
        <w:spacing w:after="0" w:line="138" w:lineRule="exact"/>
        <w:rPr>
          <w:sz w:val="20"/>
          <w:szCs w:val="20"/>
          <w:color w:val="auto"/>
        </w:rPr>
      </w:pPr>
    </w:p>
    <w:tbl>
      <w:tblPr>
        <w:tblLayout w:type="fixed"/>
        <w:tblInd w:w="6980" w:type="dxa"/>
        <w:tblCellMar>
          <w:top w:w="0" w:type="dxa"/>
          <w:left w:w="0" w:type="dxa"/>
          <w:bottom w:w="0" w:type="dxa"/>
          <w:right w:w="0" w:type="dxa"/>
        </w:tblCellMar>
      </w:tblPr>
      <w:tr>
        <w:trPr>
          <w:trHeight w:val="309"/>
        </w:trPr>
        <w:tc>
          <w:tcPr>
            <w:tcW w:w="4100" w:type="dxa"/>
            <w:vAlign w:val="bottom"/>
            <w:tcBorders>
              <w:right w:val="single" w:sz="8" w:color="225CAB"/>
            </w:tcBorders>
          </w:tcPr>
          <w:p>
            <w:pPr>
              <w:spacing w:after="0"/>
              <w:rPr>
                <w:sz w:val="20"/>
                <w:szCs w:val="20"/>
                <w:color w:val="auto"/>
              </w:rPr>
            </w:pPr>
            <w:r>
              <w:rPr>
                <w:rFonts w:ascii="Arial" w:cs="Arial" w:eastAsia="Arial" w:hAnsi="Arial"/>
                <w:sz w:val="18"/>
                <w:szCs w:val="18"/>
                <w:b w:val="1"/>
                <w:bCs w:val="1"/>
                <w:color w:val="225CAB"/>
                <w:w w:val="99"/>
              </w:rPr>
              <w:t>Roper Technologies, Inc. 2016 Proxy Statement</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225CAB"/>
              </w:rPr>
              <w:t>3</w:t>
            </w:r>
          </w:p>
        </w:tc>
      </w:tr>
      <w:tr>
        <w:trPr>
          <w:trHeight w:val="83"/>
        </w:trPr>
        <w:tc>
          <w:tcPr>
            <w:tcW w:w="4100" w:type="dxa"/>
            <w:vAlign w:val="bottom"/>
            <w:tcBorders>
              <w:right w:val="single" w:sz="8" w:color="225CAB"/>
            </w:tcBorders>
          </w:tcPr>
          <w:p>
            <w:pPr>
              <w:spacing w:after="0"/>
              <w:rPr>
                <w:sz w:val="7"/>
                <w:szCs w:val="7"/>
                <w:color w:val="auto"/>
              </w:rPr>
            </w:pPr>
          </w:p>
        </w:tc>
        <w:tc>
          <w:tcPr>
            <w:tcW w:w="34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-213995</wp:posOffset>
            </wp:positionV>
            <wp:extent cx="420370" cy="2057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225CAB"/>
        </w:rPr>
        <w:t xml:space="preserve">BOARD OF DIRECTORS </w:t>
      </w:r>
      <w:r>
        <w:rPr>
          <w:rFonts w:ascii="Arial" w:cs="Arial" w:eastAsia="Arial" w:hAnsi="Arial"/>
          <w:sz w:val="18"/>
          <w:szCs w:val="18"/>
          <w:i w:val="1"/>
          <w:iCs w:val="1"/>
          <w:color w:val="225CA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2898775" cy="11836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898775" cy="1183640"/>
                    </a:xfrm>
                    <a:prstGeom prst="rect">
                      <a:avLst/>
                    </a:prstGeom>
                    <a:noFill/>
                  </pic:spPr>
                </pic:pic>
              </a:graphicData>
            </a:graphic>
          </wp:anchor>
        </w:drawing>
      </w:r>
    </w:p>
    <w:p>
      <w:pPr>
        <w:spacing w:after="0" w:line="269"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Robert E. Knowling, Jr.</w:t>
      </w:r>
    </w:p>
    <w:p>
      <w:pPr>
        <w:spacing w:after="0" w:line="2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Director since 2008</w:t>
      </w:r>
    </w:p>
    <w:p>
      <w:pPr>
        <w:ind w:left="1340"/>
        <w:spacing w:after="0" w:line="234" w:lineRule="auto"/>
        <w:rPr>
          <w:sz w:val="20"/>
          <w:szCs w:val="20"/>
          <w:color w:val="auto"/>
        </w:rPr>
      </w:pPr>
      <w:r>
        <w:rPr>
          <w:rFonts w:ascii="Arial" w:cs="Arial" w:eastAsia="Arial" w:hAnsi="Arial"/>
          <w:sz w:val="18"/>
          <w:szCs w:val="18"/>
          <w:color w:val="auto"/>
        </w:rPr>
        <w:t>Independent</w:t>
      </w:r>
    </w:p>
    <w:p>
      <w:pPr>
        <w:spacing w:after="0" w:line="1"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Age: 60</w:t>
      </w:r>
    </w:p>
    <w:p>
      <w:pPr>
        <w:spacing w:after="0" w:line="194"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Committees:</w:t>
      </w:r>
    </w:p>
    <w:p>
      <w:pPr>
        <w:ind w:left="1340"/>
        <w:spacing w:after="0" w:line="234" w:lineRule="auto"/>
        <w:rPr>
          <w:sz w:val="20"/>
          <w:szCs w:val="20"/>
          <w:color w:val="auto"/>
        </w:rPr>
      </w:pPr>
      <w:r>
        <w:rPr>
          <w:rFonts w:ascii="Arial" w:cs="Arial" w:eastAsia="Arial" w:hAnsi="Arial"/>
          <w:sz w:val="18"/>
          <w:szCs w:val="18"/>
          <w:color w:val="auto"/>
        </w:rPr>
        <w:t>Compensation (Chair)</w:t>
      </w:r>
    </w:p>
    <w:p>
      <w:pPr>
        <w:spacing w:after="0" w:line="1"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Executive</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 Experience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Mr. Knowling is the Chairman of Eagles Landing Partners, a strategic management consulting company. From June 2005 to May 2009,</w:t>
      </w:r>
    </w:p>
    <w:p>
      <w:pPr>
        <w:jc w:val="both"/>
        <w:ind w:right="180"/>
        <w:spacing w:after="0" w:line="238" w:lineRule="auto"/>
        <w:rPr>
          <w:sz w:val="20"/>
          <w:szCs w:val="20"/>
          <w:color w:val="auto"/>
        </w:rPr>
      </w:pPr>
      <w:r>
        <w:rPr>
          <w:rFonts w:ascii="Arial" w:cs="Arial" w:eastAsia="Arial" w:hAnsi="Arial"/>
          <w:sz w:val="18"/>
          <w:szCs w:val="18"/>
          <w:color w:val="auto"/>
        </w:rPr>
        <w:t>Mr. Knowling served as Chief Executive Officer and director of Telwares, a leading provider of telecommunication spend management solutions. Mr. Knowling has served as the CEO of the NYC Leadership Academy, and in various executive capacities with SimDesk Technologies, Inc. and Covad Communications Company.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Boards and Appointments</w:t>
      </w:r>
    </w:p>
    <w:p>
      <w:pPr>
        <w:spacing w:after="0" w:line="99" w:lineRule="exact"/>
        <w:rPr>
          <w:sz w:val="20"/>
          <w:szCs w:val="20"/>
          <w:color w:val="auto"/>
        </w:rPr>
      </w:pPr>
    </w:p>
    <w:p>
      <w:pPr>
        <w:ind w:right="480"/>
        <w:spacing w:after="0" w:line="239" w:lineRule="auto"/>
        <w:rPr>
          <w:sz w:val="20"/>
          <w:szCs w:val="20"/>
          <w:color w:val="auto"/>
        </w:rPr>
      </w:pPr>
      <w:r>
        <w:rPr>
          <w:rFonts w:ascii="Arial" w:cs="Arial" w:eastAsia="Arial" w:hAnsi="Arial"/>
          <w:sz w:val="18"/>
          <w:szCs w:val="18"/>
          <w:color w:val="auto"/>
        </w:rPr>
        <w:t>Mr. Knowling previously served as a director of Heidrick &amp; Struggles International from 2000 to 2015, The Bartech Group from 2006 to 2015, Aprimo, Inc. from 2008 to 2011, and as Lead Director of Ariba, Inc. from 2000 to 2012.</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Qualifications</w:t>
      </w:r>
    </w:p>
    <w:p>
      <w:pPr>
        <w:spacing w:after="0" w:line="99" w:lineRule="exact"/>
        <w:rPr>
          <w:sz w:val="20"/>
          <w:szCs w:val="20"/>
          <w:color w:val="auto"/>
        </w:rPr>
      </w:pPr>
    </w:p>
    <w:p>
      <w:pPr>
        <w:jc w:val="both"/>
        <w:ind w:right="100"/>
        <w:spacing w:after="0" w:line="238" w:lineRule="auto"/>
        <w:rPr>
          <w:sz w:val="20"/>
          <w:szCs w:val="20"/>
          <w:color w:val="auto"/>
        </w:rPr>
      </w:pPr>
      <w:r>
        <w:rPr>
          <w:rFonts w:ascii="Arial" w:cs="Arial" w:eastAsia="Arial" w:hAnsi="Arial"/>
          <w:sz w:val="18"/>
          <w:szCs w:val="18"/>
          <w:color w:val="auto"/>
        </w:rPr>
        <w:t>Mr. Knowling brings a unique perspective to our Board based on his involvement in telecommunications and high-growth technology companies. He also has significant operational and management skills, and insight with respect to technology matters. His experience as a director of several other public companies enables him to provide guidance on corporate governance and executive compensation 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2898775" cy="11836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98775" cy="1183640"/>
                    </a:xfrm>
                    <a:prstGeom prst="rect">
                      <a:avLst/>
                    </a:prstGeom>
                    <a:noFill/>
                  </pic:spPr>
                </pic:pic>
              </a:graphicData>
            </a:graphic>
          </wp:anchor>
        </w:drawing>
      </w:r>
    </w:p>
    <w:p>
      <w:pPr>
        <w:spacing w:after="0" w:line="301"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Wilbur J. Prezzano</w:t>
      </w:r>
    </w:p>
    <w:p>
      <w:pPr>
        <w:spacing w:after="0" w:line="2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Director since 1997</w:t>
      </w:r>
    </w:p>
    <w:p>
      <w:pPr>
        <w:ind w:left="1340"/>
        <w:spacing w:after="0" w:line="234" w:lineRule="auto"/>
        <w:rPr>
          <w:sz w:val="20"/>
          <w:szCs w:val="20"/>
          <w:color w:val="auto"/>
        </w:rPr>
      </w:pPr>
      <w:r>
        <w:rPr>
          <w:rFonts w:ascii="Arial" w:cs="Arial" w:eastAsia="Arial" w:hAnsi="Arial"/>
          <w:sz w:val="18"/>
          <w:szCs w:val="18"/>
          <w:color w:val="auto"/>
        </w:rPr>
        <w:t>Lead Independent Director</w:t>
      </w:r>
    </w:p>
    <w:p>
      <w:pPr>
        <w:spacing w:after="0" w:line="1"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Age: 75</w:t>
      </w:r>
    </w:p>
    <w:p>
      <w:pPr>
        <w:spacing w:after="0" w:line="194"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Committees:</w:t>
      </w:r>
    </w:p>
    <w:p>
      <w:pPr>
        <w:ind w:left="1340"/>
        <w:spacing w:after="0" w:line="234" w:lineRule="auto"/>
        <w:rPr>
          <w:sz w:val="20"/>
          <w:szCs w:val="20"/>
          <w:color w:val="auto"/>
        </w:rPr>
      </w:pPr>
      <w:r>
        <w:rPr>
          <w:rFonts w:ascii="Arial" w:cs="Arial" w:eastAsia="Arial" w:hAnsi="Arial"/>
          <w:sz w:val="18"/>
          <w:szCs w:val="18"/>
          <w:color w:val="auto"/>
        </w:rPr>
        <w:t>Compensation</w:t>
      </w:r>
    </w:p>
    <w:p>
      <w:pPr>
        <w:spacing w:after="0" w:line="1"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Nominating and Governance</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 Experience</w:t>
      </w:r>
    </w:p>
    <w:p>
      <w:pPr>
        <w:spacing w:after="0" w:line="9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Mr. Prezzano retired in January 1997 from Eastman Kodak Company, a supplier of imaging material and services, as its board Vice-Chairman and as Chairman and President of its greater China region businesses. During his 32-year career with Eastman Kodak Company, Mr. Prezzano served in various executive capacities and also served as a director from 1992 to 1997.</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Boards and Appointments</w:t>
      </w:r>
    </w:p>
    <w:p>
      <w:pPr>
        <w:spacing w:after="0" w:line="99"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Mr. Prezzano currently serves as the Board Chair of Snyder’s-Lance, Inc. and as a director of TD Ameritrade Holding Corporation. Mr. Prezzano formerly served as a director of TD Bank Financial Group from 2003 to 2016 and EnPro Industries, Inc. from 2006 to 2014.</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336"/>
        </w:trPr>
        <w:tc>
          <w:tcPr>
            <w:tcW w:w="240" w:type="dxa"/>
            <w:vAlign w:val="bottom"/>
            <w:tcBorders>
              <w:right w:val="single" w:sz="8" w:color="225CAB"/>
            </w:tcBorders>
          </w:tcPr>
          <w:p>
            <w:pPr>
              <w:jc w:val="right"/>
              <w:ind w:right="52"/>
              <w:spacing w:after="0"/>
              <w:rPr>
                <w:sz w:val="20"/>
                <w:szCs w:val="20"/>
                <w:color w:val="auto"/>
              </w:rPr>
            </w:pPr>
            <w:r>
              <w:rPr>
                <w:rFonts w:ascii="Arial" w:cs="Arial" w:eastAsia="Arial" w:hAnsi="Arial"/>
                <w:sz w:val="18"/>
                <w:szCs w:val="18"/>
                <w:b w:val="1"/>
                <w:bCs w:val="1"/>
                <w:color w:val="225CAB"/>
                <w:w w:val="79"/>
              </w:rPr>
              <w:t>4</w:t>
            </w:r>
          </w:p>
        </w:tc>
        <w:tc>
          <w:tcPr>
            <w:tcW w:w="5200" w:type="dxa"/>
            <w:vAlign w:val="bottom"/>
          </w:tcPr>
          <w:p>
            <w:pPr>
              <w:ind w:left="1240"/>
              <w:spacing w:after="0"/>
              <w:rPr>
                <w:sz w:val="20"/>
                <w:szCs w:val="20"/>
                <w:color w:val="auto"/>
              </w:rPr>
            </w:pPr>
            <w:r>
              <w:rPr>
                <w:rFonts w:ascii="Arial" w:cs="Arial" w:eastAsia="Arial" w:hAnsi="Arial"/>
                <w:sz w:val="18"/>
                <w:szCs w:val="18"/>
                <w:b w:val="1"/>
                <w:bCs w:val="1"/>
                <w:color w:val="225CAB"/>
                <w:w w:val="97"/>
              </w:rPr>
              <w:t>Roper Technologies, Inc. 2016 Proxy Statement</w:t>
            </w:r>
          </w:p>
        </w:tc>
      </w:tr>
      <w:tr>
        <w:trPr>
          <w:trHeight w:val="110"/>
        </w:trPr>
        <w:tc>
          <w:tcPr>
            <w:tcW w:w="240" w:type="dxa"/>
            <w:vAlign w:val="bottom"/>
            <w:tcBorders>
              <w:right w:val="single" w:sz="8" w:color="225CAB"/>
            </w:tcBorders>
          </w:tcPr>
          <w:p>
            <w:pPr>
              <w:spacing w:after="0"/>
              <w:rPr>
                <w:sz w:val="9"/>
                <w:szCs w:val="9"/>
                <w:color w:val="auto"/>
              </w:rPr>
            </w:pPr>
          </w:p>
        </w:tc>
        <w:tc>
          <w:tcPr>
            <w:tcW w:w="52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-248285</wp:posOffset>
            </wp:positionV>
            <wp:extent cx="420370" cy="2057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ectPr>
          <w:pgSz w:w="11900" w:h="16838" w:orient="portrait"/>
          <w:cols w:equalWidth="0" w:num="1">
            <w:col w:w="11360"/>
          </w:cols>
          <w:pgMar w:left="240" w:top="459" w:right="2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225CAB"/>
        </w:rPr>
        <w:t xml:space="preserve">BOARD OF DIRECTORS </w:t>
      </w:r>
      <w:r>
        <w:rPr>
          <w:rFonts w:ascii="Arial" w:cs="Arial" w:eastAsia="Arial" w:hAnsi="Arial"/>
          <w:sz w:val="18"/>
          <w:szCs w:val="18"/>
          <w:i w:val="1"/>
          <w:iCs w:val="1"/>
          <w:color w:val="225CAB"/>
        </w:rPr>
        <w:t>(CONTINUED)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Qualifications</w:t>
      </w:r>
    </w:p>
    <w:p>
      <w:pPr>
        <w:spacing w:after="0" w:line="72" w:lineRule="exact"/>
        <w:rPr>
          <w:sz w:val="20"/>
          <w:szCs w:val="20"/>
          <w:color w:val="auto"/>
        </w:rPr>
      </w:pPr>
    </w:p>
    <w:p>
      <w:pPr>
        <w:ind w:right="340"/>
        <w:spacing w:after="0" w:line="238" w:lineRule="auto"/>
        <w:rPr>
          <w:sz w:val="20"/>
          <w:szCs w:val="20"/>
          <w:color w:val="auto"/>
        </w:rPr>
      </w:pPr>
      <w:r>
        <w:rPr>
          <w:rFonts w:ascii="Arial" w:cs="Arial" w:eastAsia="Arial" w:hAnsi="Arial"/>
          <w:sz w:val="18"/>
          <w:szCs w:val="18"/>
          <w:color w:val="auto"/>
        </w:rPr>
        <w:t>Mr. Prezzano has a strong background in management and experience in other international operations. Through his service on the boards of directors of several other companies in diverse industries, Mr. Prezzano provides our Board with a broad-based understanding important to our Company’s growth and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430530</wp:posOffset>
            </wp:positionV>
            <wp:extent cx="2898775" cy="11836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98775" cy="1183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Laura G. Thatcher</w:t>
      </w:r>
    </w:p>
    <w:p>
      <w:pPr>
        <w:spacing w:after="0" w:line="2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Director since 2015</w:t>
      </w:r>
    </w:p>
    <w:p>
      <w:pPr>
        <w:ind w:left="1340"/>
        <w:spacing w:after="0" w:line="234" w:lineRule="auto"/>
        <w:rPr>
          <w:sz w:val="20"/>
          <w:szCs w:val="20"/>
          <w:color w:val="auto"/>
        </w:rPr>
      </w:pPr>
      <w:r>
        <w:rPr>
          <w:rFonts w:ascii="Arial" w:cs="Arial" w:eastAsia="Arial" w:hAnsi="Arial"/>
          <w:sz w:val="18"/>
          <w:szCs w:val="18"/>
          <w:color w:val="auto"/>
        </w:rPr>
        <w:t>Independent</w:t>
      </w:r>
    </w:p>
    <w:p>
      <w:pPr>
        <w:spacing w:after="0" w:line="1"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Age: 60</w:t>
      </w:r>
    </w:p>
    <w:p>
      <w:pPr>
        <w:spacing w:after="0" w:line="194"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Committees:</w:t>
      </w:r>
    </w:p>
    <w:p>
      <w:pPr>
        <w:ind w:left="1340"/>
        <w:spacing w:after="0" w:line="234" w:lineRule="auto"/>
        <w:rPr>
          <w:sz w:val="20"/>
          <w:szCs w:val="20"/>
          <w:color w:val="auto"/>
        </w:rPr>
      </w:pPr>
      <w:r>
        <w:rPr>
          <w:rFonts w:ascii="Arial" w:cs="Arial" w:eastAsia="Arial" w:hAnsi="Arial"/>
          <w:sz w:val="18"/>
          <w:szCs w:val="18"/>
          <w:color w:val="auto"/>
        </w:rPr>
        <w:t>Audit</w:t>
      </w:r>
    </w:p>
    <w:p>
      <w:pPr>
        <w:spacing w:after="0" w:line="1"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Nominating and Governance</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 Experience</w:t>
      </w:r>
    </w:p>
    <w:p>
      <w:pPr>
        <w:spacing w:after="0" w:line="99"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Ms. Thatcher retired in December 2013 from 33 years of legal practice at Alston &amp; Bird LLP, where she developed and headed the firm’s executive compensation practice for 18 years.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Boards and Appointments</w:t>
      </w:r>
    </w:p>
    <w:p>
      <w:pPr>
        <w:spacing w:after="0" w:line="99"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Ms. Thatcher served on the Board of Directors of The Atlanta Legal Aid Society, Inc., a non-profit organization addressing the civil legal needs of Atlanta’s lower income, elderly and disabled residents from 2008 to 2014, and was a Past Chair of the Advisory Board of the Certified Equity Professional Institute (CEPI) of Santa Clara University.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Qualifications</w:t>
      </w:r>
    </w:p>
    <w:p>
      <w:pPr>
        <w:spacing w:after="0" w:line="99"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Ms. Thatcher’s strong legal background in corporate, securities, compensation, mergers and acquisitions, and tax law, and her experience in advising a diverse array of public companies in these areas, offer the Board a broad-based as well as technical perspective in matters of corporate governance, executive compensation, and business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2898775" cy="131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898775" cy="1311910"/>
                    </a:xfrm>
                    <a:prstGeom prst="rect">
                      <a:avLst/>
                    </a:prstGeom>
                    <a:noFill/>
                  </pic:spPr>
                </pic:pic>
              </a:graphicData>
            </a:graphic>
          </wp:anchor>
        </w:drawing>
      </w:r>
    </w:p>
    <w:p>
      <w:pPr>
        <w:spacing w:after="0" w:line="301"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Richard F. Wallman</w:t>
      </w:r>
    </w:p>
    <w:p>
      <w:pPr>
        <w:spacing w:after="0" w:line="2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Director since 2007</w:t>
      </w:r>
    </w:p>
    <w:p>
      <w:pPr>
        <w:ind w:left="1340"/>
        <w:spacing w:after="0" w:line="234" w:lineRule="auto"/>
        <w:rPr>
          <w:sz w:val="20"/>
          <w:szCs w:val="20"/>
          <w:color w:val="auto"/>
        </w:rPr>
      </w:pPr>
      <w:r>
        <w:rPr>
          <w:rFonts w:ascii="Arial" w:cs="Arial" w:eastAsia="Arial" w:hAnsi="Arial"/>
          <w:sz w:val="18"/>
          <w:szCs w:val="18"/>
          <w:color w:val="auto"/>
        </w:rPr>
        <w:t>Independent</w:t>
      </w:r>
    </w:p>
    <w:p>
      <w:pPr>
        <w:spacing w:after="0" w:line="1"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Age: 65</w:t>
      </w:r>
    </w:p>
    <w:p>
      <w:pPr>
        <w:spacing w:after="0" w:line="194"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Committees:</w:t>
      </w:r>
    </w:p>
    <w:p>
      <w:pPr>
        <w:ind w:left="1340"/>
        <w:spacing w:after="0" w:line="234" w:lineRule="auto"/>
        <w:rPr>
          <w:sz w:val="20"/>
          <w:szCs w:val="20"/>
          <w:color w:val="auto"/>
        </w:rPr>
      </w:pPr>
      <w:r>
        <w:rPr>
          <w:rFonts w:ascii="Arial" w:cs="Arial" w:eastAsia="Arial" w:hAnsi="Arial"/>
          <w:sz w:val="18"/>
          <w:szCs w:val="18"/>
          <w:color w:val="auto"/>
        </w:rPr>
        <w:t>Nominating and Governance</w:t>
      </w:r>
    </w:p>
    <w:p>
      <w:pPr>
        <w:ind w:left="1340"/>
        <w:spacing w:after="0" w:line="235" w:lineRule="auto"/>
        <w:rPr>
          <w:sz w:val="20"/>
          <w:szCs w:val="20"/>
          <w:color w:val="auto"/>
        </w:rPr>
      </w:pPr>
      <w:r>
        <w:rPr>
          <w:rFonts w:ascii="Arial" w:cs="Arial" w:eastAsia="Arial" w:hAnsi="Arial"/>
          <w:sz w:val="18"/>
          <w:szCs w:val="18"/>
          <w:color w:val="auto"/>
        </w:rPr>
        <w:t>(Chair)</w:t>
      </w:r>
    </w:p>
    <w:p>
      <w:pPr>
        <w:spacing w:after="0" w:line="1"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Executive</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 Experience</w:t>
      </w:r>
    </w:p>
    <w:p>
      <w:pPr>
        <w:spacing w:after="0" w:line="99" w:lineRule="exact"/>
        <w:rPr>
          <w:sz w:val="20"/>
          <w:szCs w:val="20"/>
          <w:color w:val="auto"/>
        </w:rPr>
      </w:pPr>
    </w:p>
    <w:p>
      <w:pPr>
        <w:jc w:val="both"/>
        <w:ind w:right="40"/>
        <w:spacing w:after="0" w:line="238" w:lineRule="auto"/>
        <w:rPr>
          <w:sz w:val="20"/>
          <w:szCs w:val="20"/>
          <w:color w:val="auto"/>
        </w:rPr>
      </w:pPr>
      <w:r>
        <w:rPr>
          <w:rFonts w:ascii="Arial" w:cs="Arial" w:eastAsia="Arial" w:hAnsi="Arial"/>
          <w:sz w:val="18"/>
          <w:szCs w:val="18"/>
          <w:color w:val="auto"/>
        </w:rPr>
        <w:t>Mr. Wallman served as the Chief Financial Officer and Senior Vice President of Honeywell International Inc., a diversified industrial technology and manufacturing company, and its predecessor AlliedSignal, from March 1995 to July 2003. Mr. Wallman has also served in senior financial positions with IBM and Chrysler Corporation.</w:t>
      </w:r>
    </w:p>
    <w:p>
      <w:pPr>
        <w:spacing w:after="0" w:line="137" w:lineRule="exact"/>
        <w:rPr>
          <w:sz w:val="20"/>
          <w:szCs w:val="20"/>
          <w:color w:val="auto"/>
        </w:rPr>
      </w:pPr>
    </w:p>
    <w:tbl>
      <w:tblPr>
        <w:tblLayout w:type="fixed"/>
        <w:tblInd w:w="6980" w:type="dxa"/>
        <w:tblCellMar>
          <w:top w:w="0" w:type="dxa"/>
          <w:left w:w="0" w:type="dxa"/>
          <w:bottom w:w="0" w:type="dxa"/>
          <w:right w:w="0" w:type="dxa"/>
        </w:tblCellMar>
      </w:tblPr>
      <w:tr>
        <w:trPr>
          <w:trHeight w:val="309"/>
        </w:trPr>
        <w:tc>
          <w:tcPr>
            <w:tcW w:w="4100" w:type="dxa"/>
            <w:vAlign w:val="bottom"/>
            <w:tcBorders>
              <w:right w:val="single" w:sz="8" w:color="225CAB"/>
            </w:tcBorders>
          </w:tcPr>
          <w:p>
            <w:pPr>
              <w:spacing w:after="0"/>
              <w:rPr>
                <w:sz w:val="20"/>
                <w:szCs w:val="20"/>
                <w:color w:val="auto"/>
              </w:rPr>
            </w:pPr>
            <w:r>
              <w:rPr>
                <w:rFonts w:ascii="Arial" w:cs="Arial" w:eastAsia="Arial" w:hAnsi="Arial"/>
                <w:sz w:val="18"/>
                <w:szCs w:val="18"/>
                <w:b w:val="1"/>
                <w:bCs w:val="1"/>
                <w:color w:val="225CAB"/>
                <w:w w:val="99"/>
              </w:rPr>
              <w:t>Roper Technologies, Inc. 2016 Proxy Statement</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225CAB"/>
              </w:rPr>
              <w:t>5</w:t>
            </w:r>
          </w:p>
        </w:tc>
      </w:tr>
      <w:tr>
        <w:trPr>
          <w:trHeight w:val="83"/>
        </w:trPr>
        <w:tc>
          <w:tcPr>
            <w:tcW w:w="4100" w:type="dxa"/>
            <w:vAlign w:val="bottom"/>
            <w:tcBorders>
              <w:right w:val="single" w:sz="8" w:color="225CAB"/>
            </w:tcBorders>
          </w:tcPr>
          <w:p>
            <w:pPr>
              <w:spacing w:after="0"/>
              <w:rPr>
                <w:sz w:val="7"/>
                <w:szCs w:val="7"/>
                <w:color w:val="auto"/>
              </w:rPr>
            </w:pPr>
          </w:p>
        </w:tc>
        <w:tc>
          <w:tcPr>
            <w:tcW w:w="34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-213995</wp:posOffset>
            </wp:positionV>
            <wp:extent cx="420370" cy="2057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225CAB"/>
        </w:rPr>
        <w:t xml:space="preserve">BOARD OF DIRECTORS </w:t>
      </w:r>
      <w:r>
        <w:rPr>
          <w:rFonts w:ascii="Arial" w:cs="Arial" w:eastAsia="Arial" w:hAnsi="Arial"/>
          <w:sz w:val="18"/>
          <w:szCs w:val="18"/>
          <w:i w:val="1"/>
          <w:iCs w:val="1"/>
          <w:color w:val="225CAB"/>
        </w:rPr>
        <w:t>(CONTINUED)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Boards and Appointments</w:t>
      </w:r>
    </w:p>
    <w:p>
      <w:pPr>
        <w:spacing w:after="0" w:line="99"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Mr. Wallman currently serves as a director of Convergys Corporation, Extended Stay America, Inc., Wright Medical Group (formerly Tornier N.V.), and Charles River Laboratories International, Inc. Mr. Wallman formerly served as a director of Ariba, Inc., from 2002 to 2012 and Dana Holding Corp. from 2010 to 2013.</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Qualifications</w:t>
      </w:r>
    </w:p>
    <w:p>
      <w:pPr>
        <w:spacing w:after="0" w:line="99"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Mr. Wallman’s extensive leadership and financial background brings to our Board a significant understanding of the financial issues and risks that affect our Company. Mr. Wallman also serves on the boards of other diverse publicly held companies, which gives him a multi-industry perspective and exposure to developments and issues that impact the management and operations of a global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2898775" cy="11836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898775" cy="1183640"/>
                    </a:xfrm>
                    <a:prstGeom prst="rect">
                      <a:avLst/>
                    </a:prstGeom>
                    <a:noFill/>
                  </pic:spPr>
                </pic:pic>
              </a:graphicData>
            </a:graphic>
          </wp:anchor>
        </w:drawing>
      </w:r>
    </w:p>
    <w:p>
      <w:pPr>
        <w:spacing w:after="0" w:line="301"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Christopher Wright</w:t>
      </w:r>
    </w:p>
    <w:p>
      <w:pPr>
        <w:spacing w:after="0" w:line="2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Director since 1991</w:t>
      </w:r>
    </w:p>
    <w:p>
      <w:pPr>
        <w:ind w:left="1340"/>
        <w:spacing w:after="0" w:line="234" w:lineRule="auto"/>
        <w:rPr>
          <w:sz w:val="20"/>
          <w:szCs w:val="20"/>
          <w:color w:val="auto"/>
        </w:rPr>
      </w:pPr>
      <w:r>
        <w:rPr>
          <w:rFonts w:ascii="Arial" w:cs="Arial" w:eastAsia="Arial" w:hAnsi="Arial"/>
          <w:sz w:val="18"/>
          <w:szCs w:val="18"/>
          <w:color w:val="auto"/>
        </w:rPr>
        <w:t>Independent</w:t>
      </w:r>
    </w:p>
    <w:p>
      <w:pPr>
        <w:spacing w:after="0" w:line="1"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Age: 58</w:t>
      </w:r>
    </w:p>
    <w:p>
      <w:pPr>
        <w:spacing w:after="0" w:line="194"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Committees:</w:t>
      </w:r>
    </w:p>
    <w:p>
      <w:pPr>
        <w:ind w:left="1340"/>
        <w:spacing w:after="0" w:line="234" w:lineRule="auto"/>
        <w:rPr>
          <w:sz w:val="20"/>
          <w:szCs w:val="20"/>
          <w:color w:val="auto"/>
        </w:rPr>
      </w:pPr>
      <w:r>
        <w:rPr>
          <w:rFonts w:ascii="Arial" w:cs="Arial" w:eastAsia="Arial" w:hAnsi="Arial"/>
          <w:sz w:val="18"/>
          <w:szCs w:val="18"/>
          <w:color w:val="auto"/>
        </w:rPr>
        <w:t>Audit (Chair)</w:t>
      </w:r>
    </w:p>
    <w:p>
      <w:pPr>
        <w:spacing w:after="0" w:line="1"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Executive</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 Experience</w:t>
      </w:r>
    </w:p>
    <w:p>
      <w:pPr>
        <w:spacing w:after="0" w:line="9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Mr. Wright is the Chairman of EMAlternatives LLC, a Washington, DC based private equity asset management firm focused on emerging markets, and a director of Merifin Capital Group, a private European investment firm. Until mid-2003 he served as Head of Global Private Equity for Dresdner Kleinwort Capital and was a Group Board Member of Dresdner Kleinwort Benson overseeing alternative assets in developed and emerging markets. He acted as Chairman of various investment funds prior to and following the latter’s integration with Allianz A.G., and as Global Head of Private Equity at Standard Bank Group from 2006 to 2007.</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Boards and Appointments</w:t>
      </w:r>
    </w:p>
    <w:p>
      <w:pPr>
        <w:spacing w:after="0" w:line="99"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Mr. Wright currently serves as a director of Yatra Capital Ltd (EuroNext), and sits on the advisory boards of various investment funds. Mr. Wright is a Foundation Fellow of Corpus Christi College, Oxford.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Qualifications</w:t>
      </w:r>
    </w:p>
    <w:p>
      <w:pPr>
        <w:spacing w:after="0" w:line="99" w:lineRule="exact"/>
        <w:rPr>
          <w:sz w:val="20"/>
          <w:szCs w:val="20"/>
          <w:color w:val="auto"/>
        </w:rPr>
      </w:pPr>
    </w:p>
    <w:p>
      <w:pPr>
        <w:ind w:right="280"/>
        <w:spacing w:after="0" w:line="281" w:lineRule="auto"/>
        <w:rPr>
          <w:sz w:val="20"/>
          <w:szCs w:val="20"/>
          <w:color w:val="auto"/>
        </w:rPr>
      </w:pPr>
      <w:r>
        <w:rPr>
          <w:rFonts w:ascii="Arial" w:cs="Arial" w:eastAsia="Arial" w:hAnsi="Arial"/>
          <w:sz w:val="16"/>
          <w:szCs w:val="16"/>
          <w:color w:val="auto"/>
        </w:rPr>
        <w:t>Mr. Wright offers a global perspective to our Board gained from his extensive international, private equity and banking experience. He is able to provide a valuable historical perspective on the development of our Company. He also provides our Board with knowledge of current financial issues and risks affecting international business operations and has experience with investing in the software and healthcare sectors.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336"/>
        </w:trPr>
        <w:tc>
          <w:tcPr>
            <w:tcW w:w="240" w:type="dxa"/>
            <w:vAlign w:val="bottom"/>
            <w:tcBorders>
              <w:right w:val="single" w:sz="8" w:color="225CAB"/>
            </w:tcBorders>
          </w:tcPr>
          <w:p>
            <w:pPr>
              <w:jc w:val="right"/>
              <w:ind w:right="52"/>
              <w:spacing w:after="0"/>
              <w:rPr>
                <w:sz w:val="20"/>
                <w:szCs w:val="20"/>
                <w:color w:val="auto"/>
              </w:rPr>
            </w:pPr>
            <w:r>
              <w:rPr>
                <w:rFonts w:ascii="Arial" w:cs="Arial" w:eastAsia="Arial" w:hAnsi="Arial"/>
                <w:sz w:val="18"/>
                <w:szCs w:val="18"/>
                <w:b w:val="1"/>
                <w:bCs w:val="1"/>
                <w:color w:val="225CAB"/>
                <w:w w:val="79"/>
              </w:rPr>
              <w:t>6</w:t>
            </w:r>
          </w:p>
        </w:tc>
        <w:tc>
          <w:tcPr>
            <w:tcW w:w="5200" w:type="dxa"/>
            <w:vAlign w:val="bottom"/>
          </w:tcPr>
          <w:p>
            <w:pPr>
              <w:ind w:left="1240"/>
              <w:spacing w:after="0"/>
              <w:rPr>
                <w:sz w:val="20"/>
                <w:szCs w:val="20"/>
                <w:color w:val="auto"/>
              </w:rPr>
            </w:pPr>
            <w:r>
              <w:rPr>
                <w:rFonts w:ascii="Arial" w:cs="Arial" w:eastAsia="Arial" w:hAnsi="Arial"/>
                <w:sz w:val="18"/>
                <w:szCs w:val="18"/>
                <w:b w:val="1"/>
                <w:bCs w:val="1"/>
                <w:color w:val="225CAB"/>
                <w:w w:val="97"/>
              </w:rPr>
              <w:t>Roper Technologies, Inc. 2016 Proxy Statement</w:t>
            </w:r>
          </w:p>
        </w:tc>
      </w:tr>
      <w:tr>
        <w:trPr>
          <w:trHeight w:val="110"/>
        </w:trPr>
        <w:tc>
          <w:tcPr>
            <w:tcW w:w="240" w:type="dxa"/>
            <w:vAlign w:val="bottom"/>
            <w:tcBorders>
              <w:right w:val="single" w:sz="8" w:color="225CAB"/>
            </w:tcBorders>
          </w:tcPr>
          <w:p>
            <w:pPr>
              <w:spacing w:after="0"/>
              <w:rPr>
                <w:sz w:val="9"/>
                <w:szCs w:val="9"/>
                <w:color w:val="auto"/>
              </w:rPr>
            </w:pPr>
          </w:p>
        </w:tc>
        <w:tc>
          <w:tcPr>
            <w:tcW w:w="52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-248285</wp:posOffset>
            </wp:positionV>
            <wp:extent cx="420370" cy="2057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ectPr>
          <w:pgSz w:w="11900" w:h="16838" w:orient="portrait"/>
          <w:cols w:equalWidth="0" w:num="1">
            <w:col w:w="11360"/>
          </w:cols>
          <w:pgMar w:left="240" w:top="459" w:right="2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spacing w:after="0"/>
        <w:rPr>
          <w:sz w:val="20"/>
          <w:szCs w:val="20"/>
          <w:color w:val="auto"/>
        </w:rPr>
      </w:pPr>
      <w:r>
        <w:rPr>
          <w:rFonts w:ascii="Arial" w:cs="Arial" w:eastAsia="Arial" w:hAnsi="Arial"/>
          <w:sz w:val="32"/>
          <w:szCs w:val="32"/>
          <w:color w:val="225CAB"/>
        </w:rPr>
        <w:t>CORPORATE GOVERNANCE</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225CAB"/>
        </w:rPr>
        <w:t>Corporate Governance Guidelines</w:t>
      </w:r>
    </w:p>
    <w:p>
      <w:pPr>
        <w:spacing w:after="0" w:line="99"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Our Board is committed to maintaining high standards of ethical business conduct and sound corporate governance principles and practices. Our Corporate Governance Guidelines reflect our Board of Directors’ commitment to monitoring the effectiveness of the Board and its Committees in exercising their responsibilities.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225CAB"/>
        </w:rPr>
        <w:t>Business Code of Ethics and Standard of Conduct</w:t>
      </w:r>
    </w:p>
    <w:p>
      <w:pPr>
        <w:spacing w:after="0" w:line="99"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Our Business Code of Ethics and Standards of Conduct (the “Code of Ethics”) addresses the professional, honest and candid conduct of each director, officer and employee; conflicts of interest, disclosure process, compliance with laws, rules and regulations (including insider trading laws); and corporate opportunities, confidentiality, fair dealing, protection and proper use of Company assets, and our Code of Ethics also encourages the reporting of any illegal or unethical behavior. Any amendments to, or waivers of, the Code of Ethics will be disclosed on our website promptly following the date of such amendment or waiver as required by law.</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225CAB"/>
        </w:rPr>
        <w:t>Director Independence</w:t>
      </w:r>
    </w:p>
    <w:p>
      <w:pPr>
        <w:spacing w:after="0" w:line="99"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Our Corporate Governance Guidelines require that a majority of our directors qualify as “independent,” as defined by the listing standards of the NYSE. As required by the director independence standards, our Board reviewed and analyzed the independence of each director in March 2016 to determine whether any particular relationship or transaction involving any director, or any of that director’s affiliates or immediate family members, was inconsistent with a determination that the director is independent for purposes of serving on our Board of Directors and its committees. During this review, our Board examined transactions and relationships between directors or their affiliates and family members and Roper or Roper’s management. As a result of this review, on March 9, 2016, our Board affirmatively determined that all directors are independent, except for Mr. Jellison, and that each member of the Audit, Compensation, and Nominating and Governance Committees is independent for purposes of serving on such committees.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225CAB"/>
        </w:rPr>
        <w:t>Nominating Process</w:t>
      </w:r>
    </w:p>
    <w:p>
      <w:pPr>
        <w:spacing w:after="0" w:line="9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Nominating and Governance Committee, acting under its charter, determines the desired skills, ability, judgment, diversity (including gender and ethnicity as well as background and experience) and other criteria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20"/>
        <w:spacing w:after="0" w:line="281" w:lineRule="auto"/>
        <w:rPr>
          <w:sz w:val="20"/>
          <w:szCs w:val="20"/>
          <w:color w:val="auto"/>
        </w:rPr>
      </w:pPr>
      <w:r>
        <w:rPr>
          <w:rFonts w:ascii="Arial" w:cs="Arial" w:eastAsia="Arial" w:hAnsi="Arial"/>
          <w:sz w:val="16"/>
          <w:szCs w:val="16"/>
          <w:color w:val="auto"/>
        </w:rPr>
        <w:t>deemed appropriate for service as a director and is responsible for recommending new director candidates and re-nomination of existing directors based on those criteria, which includes, but is not limited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-1406525</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3" w:lineRule="exact"/>
        <w:rPr>
          <w:sz w:val="20"/>
          <w:szCs w:val="20"/>
          <w:color w:val="auto"/>
        </w:rPr>
      </w:pPr>
    </w:p>
    <w:p>
      <w:pPr>
        <w:ind w:left="200" w:hanging="192"/>
        <w:spacing w:after="0"/>
        <w:tabs>
          <w:tab w:leader="none" w:pos="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high personal and professional ethics;</w:t>
      </w:r>
    </w:p>
    <w:p>
      <w:pPr>
        <w:spacing w:after="0" w:line="76" w:lineRule="exact"/>
        <w:rPr>
          <w:rFonts w:ascii="Arial" w:cs="Arial" w:eastAsia="Arial" w:hAnsi="Arial"/>
          <w:sz w:val="18"/>
          <w:szCs w:val="18"/>
          <w:color w:val="auto"/>
        </w:rPr>
      </w:pPr>
    </w:p>
    <w:p>
      <w:pPr>
        <w:ind w:left="200" w:hanging="192"/>
        <w:spacing w:after="0"/>
        <w:tabs>
          <w:tab w:leader="none" w:pos="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integrity and values;</w:t>
      </w:r>
    </w:p>
    <w:p>
      <w:pPr>
        <w:spacing w:after="0" w:line="76" w:lineRule="exact"/>
        <w:rPr>
          <w:rFonts w:ascii="Arial" w:cs="Arial" w:eastAsia="Arial" w:hAnsi="Arial"/>
          <w:sz w:val="18"/>
          <w:szCs w:val="18"/>
          <w:color w:val="auto"/>
        </w:rPr>
      </w:pPr>
    </w:p>
    <w:p>
      <w:pPr>
        <w:ind w:left="200" w:hanging="192"/>
        <w:spacing w:after="0"/>
        <w:tabs>
          <w:tab w:leader="none" w:pos="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knowledge of our business environment;</w:t>
      </w:r>
    </w:p>
    <w:p>
      <w:pPr>
        <w:spacing w:after="0" w:line="76" w:lineRule="exact"/>
        <w:rPr>
          <w:rFonts w:ascii="Arial" w:cs="Arial" w:eastAsia="Arial" w:hAnsi="Arial"/>
          <w:sz w:val="18"/>
          <w:szCs w:val="18"/>
          <w:color w:val="auto"/>
        </w:rPr>
      </w:pPr>
    </w:p>
    <w:p>
      <w:pPr>
        <w:ind w:left="200" w:hanging="192"/>
        <w:spacing w:after="0"/>
        <w:tabs>
          <w:tab w:leader="none" w:pos="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sound judgment and analytical ability;</w:t>
      </w:r>
    </w:p>
    <w:p>
      <w:pPr>
        <w:spacing w:after="0" w:line="76" w:lineRule="exact"/>
        <w:rPr>
          <w:rFonts w:ascii="Arial" w:cs="Arial" w:eastAsia="Arial" w:hAnsi="Arial"/>
          <w:sz w:val="18"/>
          <w:szCs w:val="18"/>
          <w:color w:val="auto"/>
        </w:rPr>
      </w:pPr>
    </w:p>
    <w:p>
      <w:pPr>
        <w:ind w:left="200" w:hanging="192"/>
        <w:spacing w:after="0"/>
        <w:tabs>
          <w:tab w:leader="none" w:pos="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skills and experience in the context of the needs of our Board;</w:t>
      </w:r>
    </w:p>
    <w:p>
      <w:pPr>
        <w:spacing w:after="0" w:line="76" w:lineRule="exact"/>
        <w:rPr>
          <w:rFonts w:ascii="Arial" w:cs="Arial" w:eastAsia="Arial" w:hAnsi="Arial"/>
          <w:sz w:val="18"/>
          <w:szCs w:val="18"/>
          <w:color w:val="auto"/>
        </w:rPr>
      </w:pPr>
    </w:p>
    <w:p>
      <w:pPr>
        <w:ind w:left="200" w:hanging="192"/>
        <w:spacing w:after="0"/>
        <w:tabs>
          <w:tab w:leader="none" w:pos="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breadth of business experience; and</w:t>
      </w:r>
    </w:p>
    <w:p>
      <w:pPr>
        <w:spacing w:after="0" w:line="76" w:lineRule="exact"/>
        <w:rPr>
          <w:rFonts w:ascii="Arial" w:cs="Arial" w:eastAsia="Arial" w:hAnsi="Arial"/>
          <w:sz w:val="18"/>
          <w:szCs w:val="18"/>
          <w:color w:val="auto"/>
        </w:rPr>
      </w:pPr>
    </w:p>
    <w:p>
      <w:pPr>
        <w:ind w:left="200" w:right="140" w:hanging="192"/>
        <w:spacing w:after="0" w:line="239" w:lineRule="auto"/>
        <w:tabs>
          <w:tab w:leader="none" w:pos="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the candidate meets the independence requirements of the NYSE.</w:t>
      </w:r>
    </w:p>
    <w:p>
      <w:pPr>
        <w:spacing w:after="0" w:line="74"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Our Board’s process for identifying and evaluating potential nominees includes soliciting recommendations from our directors and engaging a third party to assist in identifying potential nominees when a Board position becomes available. Our Board has no formal policy with respect to diversity, but considers racial and gender diversity when creating the pool of candidates from which it considers possible new board candidates.</w:t>
      </w:r>
    </w:p>
    <w:p>
      <w:pPr>
        <w:spacing w:after="0" w:line="74"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Neither the Board of Directors nor the Nominating and Governance Committee has a specific policy regarding consideration of shareholder director nominees. Shareholder nominees submitted pursuant to the procedures set forth in the By-laws will be considered under the same criteria that are applied to other candidates. A shareholder of record who nominates a director candidate must provide a notice along with the additional information and materials required by our By-laws. See “Information Regarding the 2017 Annual Meeting of Shareholders” for additional information regarding nominating director candidates.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225CAB"/>
        </w:rPr>
        <w:t>Proxy Access</w:t>
      </w:r>
    </w:p>
    <w:p>
      <w:pPr>
        <w:spacing w:after="0" w:line="99"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In March 2016, our Board adopted “proxy access” amendments to our By-laws, enabling a shareholder, or a group of up to 20 shareholders, owning 3% or more of the Company’s outstanding common stock continuously for at least three years to nominate and include in our proxy materials director nominees constituting up to two nominees or 20% of our Board, whichever is greater, provided that the shareholder(s) and nominee(s) satisfy the requirements set forth in our By-laws.</w:t>
      </w:r>
    </w:p>
    <w:p>
      <w:pPr>
        <w:spacing w:after="0" w:line="73"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Our Board adopted these amendments following discussions with our shareholders in the second half of</w:t>
      </w:r>
    </w:p>
    <w:p>
      <w:pPr>
        <w:spacing w:after="0" w:line="287" w:lineRule="exact"/>
        <w:rPr>
          <w:sz w:val="20"/>
          <w:szCs w:val="20"/>
          <w:color w:val="auto"/>
        </w:rPr>
      </w:pPr>
    </w:p>
    <w:tbl>
      <w:tblPr>
        <w:tblLayout w:type="fixed"/>
        <w:tblInd w:w="1160" w:type="dxa"/>
        <w:tblCellMar>
          <w:top w:w="0" w:type="dxa"/>
          <w:left w:w="0" w:type="dxa"/>
          <w:bottom w:w="0" w:type="dxa"/>
          <w:right w:w="0" w:type="dxa"/>
        </w:tblCellMar>
      </w:tblPr>
      <w:tr>
        <w:trPr>
          <w:trHeight w:val="309"/>
        </w:trPr>
        <w:tc>
          <w:tcPr>
            <w:tcW w:w="4100" w:type="dxa"/>
            <w:vAlign w:val="bottom"/>
            <w:tcBorders>
              <w:right w:val="single" w:sz="8" w:color="225CAB"/>
            </w:tcBorders>
          </w:tcPr>
          <w:p>
            <w:pPr>
              <w:spacing w:after="0"/>
              <w:rPr>
                <w:sz w:val="20"/>
                <w:szCs w:val="20"/>
                <w:color w:val="auto"/>
              </w:rPr>
            </w:pPr>
            <w:r>
              <w:rPr>
                <w:rFonts w:ascii="Arial" w:cs="Arial" w:eastAsia="Arial" w:hAnsi="Arial"/>
                <w:sz w:val="18"/>
                <w:szCs w:val="18"/>
                <w:b w:val="1"/>
                <w:bCs w:val="1"/>
                <w:color w:val="225CAB"/>
                <w:w w:val="99"/>
              </w:rPr>
              <w:t>Roper Technologies, Inc. 2016 Proxy Statement</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225CAB"/>
              </w:rPr>
              <w:t>7</w:t>
            </w:r>
          </w:p>
        </w:tc>
      </w:tr>
      <w:tr>
        <w:trPr>
          <w:trHeight w:val="83"/>
        </w:trPr>
        <w:tc>
          <w:tcPr>
            <w:tcW w:w="4100" w:type="dxa"/>
            <w:vAlign w:val="bottom"/>
            <w:tcBorders>
              <w:right w:val="single" w:sz="8" w:color="225CAB"/>
            </w:tcBorders>
          </w:tcPr>
          <w:p>
            <w:pPr>
              <w:spacing w:after="0"/>
              <w:rPr>
                <w:sz w:val="7"/>
                <w:szCs w:val="7"/>
                <w:color w:val="auto"/>
              </w:rPr>
            </w:pPr>
          </w:p>
        </w:tc>
        <w:tc>
          <w:tcPr>
            <w:tcW w:w="34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-213995</wp:posOffset>
            </wp:positionV>
            <wp:extent cx="420370" cy="2057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ectPr>
          <w:pgSz w:w="11900" w:h="16838" w:orient="portrait"/>
          <w:cols w:equalWidth="0" w:num="2">
            <w:col w:w="5480" w:space="340"/>
            <w:col w:w="560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225CAB"/>
        </w:rPr>
        <w:t xml:space="preserve">CORPORATE GOVERNANCE </w:t>
      </w:r>
      <w:r>
        <w:rPr>
          <w:rFonts w:ascii="Arial" w:cs="Arial" w:eastAsia="Arial" w:hAnsi="Arial"/>
          <w:sz w:val="18"/>
          <w:szCs w:val="18"/>
          <w:i w:val="1"/>
          <w:iCs w:val="1"/>
          <w:color w:val="225CAB"/>
        </w:rPr>
        <w:t>(CONTINUED)</w:t>
      </w:r>
    </w:p>
    <w:p>
      <w:pPr>
        <w:spacing w:after="0" w:line="216"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2015 and early 2016. These discussions covered the evolving role of proxy access and the specific requirements of our By-laws, including (among others) our “3/3/20/20 or 2” framework, as well as those relating to the resubmission of nominees in subsequent years, which nominees will count toward the maximum number of proxy access nominees, and the impact of a proxy contest on the use of proxy access.</w:t>
      </w:r>
    </w:p>
    <w:p>
      <w:pPr>
        <w:spacing w:after="0" w:line="74"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Our Board reached out to shareholders representing over 50% of our outstanding common stock for these discussions, to understand their views. During this outreach, our shareholders (including the proponents of the 2015 shareholder proxy access proposal) expressed support and general flexibility for the proxy access provisions that our Board ultimately adopted.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225CAB"/>
        </w:rPr>
        <w:t>Review and Approval of Related Person Transactions</w:t>
      </w:r>
    </w:p>
    <w:p>
      <w:pPr>
        <w:spacing w:after="0" w:line="99"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The Audit Committee is responsible for reviewing and approving, as appropriate, all transactions with related persons. Although we have not adopted written procedures for reviewing related person transactions, we will review any relationship or transaction in which the Company and our directors, executive officers or their immediate family members are participants to determine whether such persons have a direct or indirect material interest. There were no related person transactions during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336"/>
        </w:trPr>
        <w:tc>
          <w:tcPr>
            <w:tcW w:w="240" w:type="dxa"/>
            <w:vAlign w:val="bottom"/>
            <w:tcBorders>
              <w:right w:val="single" w:sz="8" w:color="225CAB"/>
            </w:tcBorders>
          </w:tcPr>
          <w:p>
            <w:pPr>
              <w:jc w:val="right"/>
              <w:ind w:right="52"/>
              <w:spacing w:after="0"/>
              <w:rPr>
                <w:sz w:val="20"/>
                <w:szCs w:val="20"/>
                <w:color w:val="auto"/>
              </w:rPr>
            </w:pPr>
            <w:r>
              <w:rPr>
                <w:rFonts w:ascii="Arial" w:cs="Arial" w:eastAsia="Arial" w:hAnsi="Arial"/>
                <w:sz w:val="18"/>
                <w:szCs w:val="18"/>
                <w:b w:val="1"/>
                <w:bCs w:val="1"/>
                <w:color w:val="225CAB"/>
                <w:w w:val="79"/>
              </w:rPr>
              <w:t>8</w:t>
            </w:r>
          </w:p>
        </w:tc>
        <w:tc>
          <w:tcPr>
            <w:tcW w:w="5200" w:type="dxa"/>
            <w:vAlign w:val="bottom"/>
          </w:tcPr>
          <w:p>
            <w:pPr>
              <w:ind w:left="1240"/>
              <w:spacing w:after="0"/>
              <w:rPr>
                <w:sz w:val="20"/>
                <w:szCs w:val="20"/>
                <w:color w:val="auto"/>
              </w:rPr>
            </w:pPr>
            <w:r>
              <w:rPr>
                <w:rFonts w:ascii="Arial" w:cs="Arial" w:eastAsia="Arial" w:hAnsi="Arial"/>
                <w:sz w:val="18"/>
                <w:szCs w:val="18"/>
                <w:b w:val="1"/>
                <w:bCs w:val="1"/>
                <w:color w:val="225CAB"/>
                <w:w w:val="97"/>
              </w:rPr>
              <w:t>Roper Technologies, Inc. 2016 Proxy Statement</w:t>
            </w:r>
          </w:p>
        </w:tc>
      </w:tr>
      <w:tr>
        <w:trPr>
          <w:trHeight w:val="110"/>
        </w:trPr>
        <w:tc>
          <w:tcPr>
            <w:tcW w:w="240" w:type="dxa"/>
            <w:vAlign w:val="bottom"/>
            <w:tcBorders>
              <w:right w:val="single" w:sz="8" w:color="225CAB"/>
            </w:tcBorders>
          </w:tcPr>
          <w:p>
            <w:pPr>
              <w:spacing w:after="0"/>
              <w:rPr>
                <w:sz w:val="9"/>
                <w:szCs w:val="9"/>
                <w:color w:val="auto"/>
              </w:rPr>
            </w:pPr>
          </w:p>
        </w:tc>
        <w:tc>
          <w:tcPr>
            <w:tcW w:w="52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-248285</wp:posOffset>
            </wp:positionV>
            <wp:extent cx="420370" cy="2057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225CAB"/>
        </w:rPr>
        <w:t>Shareholder 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-916305</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79"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Shareholders or other interested parties may send written communications to our Board of Directors or the non-management members of our Board in care of the Company to the address set forth below. This process is also set forth on our website at www.ropertech.com. All communications will be kept confidential and promptly forwarded to the appropriate director. Items unrelated to a director’s duties and responsibilities as a Board member may be excluded by the Secretary, including, without limitation, solicitations and advertisements; junk mail; product-related communications; job referral materials such as resumes; surveys; and material that is determined to be illegal or otherwise inappropriate. The director to whom such information is addressed is informed that the information has been removed, and that it will be made available to such director upon request.</w:t>
      </w:r>
    </w:p>
    <w:p>
      <w:pPr>
        <w:spacing w:after="0" w:line="80"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 xml:space="preserve">Our Corporate Governance Guidelines, Code of Ethics, Director Independence Standards, and By-laws are available on our website at </w:t>
      </w:r>
      <w:r>
        <w:rPr>
          <w:rFonts w:ascii="Arial" w:cs="Arial" w:eastAsia="Arial" w:hAnsi="Arial"/>
          <w:sz w:val="16"/>
          <w:szCs w:val="16"/>
          <w:i w:val="1"/>
          <w:iCs w:val="1"/>
          <w:color w:val="auto"/>
        </w:rPr>
        <w:t>www.ropertech.com/governance-documents</w:t>
      </w:r>
      <w:r>
        <w:rPr>
          <w:rFonts w:ascii="Arial" w:cs="Arial" w:eastAsia="Arial" w:hAnsi="Arial"/>
          <w:sz w:val="16"/>
          <w:szCs w:val="16"/>
          <w:color w:val="auto"/>
        </w:rPr>
        <w:t>. Requests for copies of</w:t>
      </w:r>
      <w:r>
        <w:rPr>
          <w:rFonts w:ascii="Arial" w:cs="Arial" w:eastAsia="Arial" w:hAnsi="Arial"/>
          <w:sz w:val="16"/>
          <w:szCs w:val="16"/>
          <w:i w:val="1"/>
          <w:iCs w:val="1"/>
          <w:color w:val="auto"/>
        </w:rPr>
        <w:t xml:space="preserve"> </w:t>
      </w:r>
      <w:r>
        <w:rPr>
          <w:rFonts w:ascii="Arial" w:cs="Arial" w:eastAsia="Arial" w:hAnsi="Arial"/>
          <w:sz w:val="16"/>
          <w:szCs w:val="16"/>
          <w:color w:val="auto"/>
        </w:rPr>
        <w:t>these documents or of the full text of the By-law provision regarding director candidate nominations and communications to our entire Board or non-management Board members should be addressed to:</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Roper Technologies, Inc.</w:t>
      </w:r>
    </w:p>
    <w:p>
      <w:pPr>
        <w:ind w:left="700"/>
        <w:spacing w:after="0" w:line="234" w:lineRule="auto"/>
        <w:rPr>
          <w:sz w:val="20"/>
          <w:szCs w:val="20"/>
          <w:color w:val="auto"/>
        </w:rPr>
      </w:pPr>
      <w:r>
        <w:rPr>
          <w:rFonts w:ascii="Arial" w:cs="Arial" w:eastAsia="Arial" w:hAnsi="Arial"/>
          <w:sz w:val="18"/>
          <w:szCs w:val="18"/>
          <w:color w:val="auto"/>
        </w:rPr>
        <w:t>6901 Professional Parkway East</w:t>
      </w:r>
    </w:p>
    <w:p>
      <w:pPr>
        <w:ind w:left="700"/>
        <w:spacing w:after="0" w:line="235" w:lineRule="auto"/>
        <w:rPr>
          <w:sz w:val="20"/>
          <w:szCs w:val="20"/>
          <w:color w:val="auto"/>
        </w:rPr>
      </w:pPr>
      <w:r>
        <w:rPr>
          <w:rFonts w:ascii="Arial" w:cs="Arial" w:eastAsia="Arial" w:hAnsi="Arial"/>
          <w:sz w:val="18"/>
          <w:szCs w:val="18"/>
          <w:color w:val="auto"/>
        </w:rPr>
        <w:t>Suite 200</w:t>
      </w:r>
    </w:p>
    <w:p>
      <w:pPr>
        <w:ind w:left="700"/>
        <w:spacing w:after="0" w:line="235" w:lineRule="auto"/>
        <w:rPr>
          <w:sz w:val="20"/>
          <w:szCs w:val="20"/>
          <w:color w:val="auto"/>
        </w:rPr>
      </w:pPr>
      <w:r>
        <w:rPr>
          <w:rFonts w:ascii="Arial" w:cs="Arial" w:eastAsia="Arial" w:hAnsi="Arial"/>
          <w:sz w:val="18"/>
          <w:szCs w:val="18"/>
          <w:color w:val="auto"/>
        </w:rPr>
        <w:t>Sarasota, Florida 34240</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Attention: Secretary</w:t>
      </w:r>
    </w:p>
    <w:p>
      <w:pPr>
        <w:sectPr>
          <w:pgSz w:w="11900" w:h="16838" w:orient="portrait"/>
          <w:cols w:equalWidth="0" w:num="2">
            <w:col w:w="5440" w:space="380"/>
            <w:col w:w="5460"/>
          </w:cols>
          <w:pgMar w:left="240" w:top="459" w:right="3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spacing w:after="0"/>
        <w:rPr>
          <w:sz w:val="20"/>
          <w:szCs w:val="20"/>
          <w:color w:val="auto"/>
        </w:rPr>
      </w:pPr>
      <w:r>
        <w:rPr>
          <w:rFonts w:ascii="Arial" w:cs="Arial" w:eastAsia="Arial" w:hAnsi="Arial"/>
          <w:sz w:val="32"/>
          <w:szCs w:val="32"/>
          <w:color w:val="225CAB"/>
        </w:rPr>
        <w:t>BOARD COMMITTEES AND MEETINGS</w:t>
      </w:r>
    </w:p>
    <w:p>
      <w:pPr>
        <w:sectPr>
          <w:pgSz w:w="11900" w:h="16838" w:orient="portrait"/>
          <w:cols w:equalWidth="0" w:num="1">
            <w:col w:w="11420"/>
          </w:cols>
          <w:pgMar w:left="240" w:top="459" w:right="239" w:bottom="1440" w:gutter="0" w:footer="0" w:header="0"/>
        </w:sectPr>
      </w:pPr>
    </w:p>
    <w:p>
      <w:pPr>
        <w:spacing w:after="0" w:line="347" w:lineRule="exact"/>
        <w:rPr>
          <w:sz w:val="20"/>
          <w:szCs w:val="20"/>
          <w:color w:val="auto"/>
        </w:rPr>
      </w:pPr>
    </w:p>
    <w:p>
      <w:pPr>
        <w:ind w:right="100"/>
        <w:spacing w:after="0" w:line="269" w:lineRule="auto"/>
        <w:rPr>
          <w:sz w:val="20"/>
          <w:szCs w:val="20"/>
          <w:color w:val="auto"/>
        </w:rPr>
      </w:pPr>
      <w:r>
        <w:rPr>
          <w:rFonts w:ascii="Arial" w:cs="Arial" w:eastAsia="Arial" w:hAnsi="Arial"/>
          <w:sz w:val="16"/>
          <w:szCs w:val="16"/>
          <w:color w:val="auto"/>
        </w:rPr>
        <w:t>Our Board of Directors held six scheduled meetings in 2015. Each of our current directors participated in all of the Board meetings and applicable Committee meetings held while such director was a member, except for one director who participated in 94% of all applicable meetings. Our Board has not implemented a formal policy regarding director attendance at the Annual Meeting, but encourages all directors to attend in person. All of our directors attended the 2015 Annual Meeting of Shareholders either in person or telephonically.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225CAB"/>
        </w:rPr>
        <w:t>Board Leadership Structure</w:t>
      </w:r>
    </w:p>
    <w:p>
      <w:pPr>
        <w:spacing w:after="0" w:line="99"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Mr. Jellison has served as our Company’s Chairman of the Board since 2003 and as its President and Chief Executive Officer since 2001. Mr. Jellison’s in-depth knowledge of our Company allows him to effectively identify strategic priorities, lead board discussions, and execute our Company’s strategy and business plans. Our Board believes Mr. Jellison’s combined role is in the best interest of our Company and promotes decisive leadership, clear accountability, and enhanced communication internally and externally.</w:t>
      </w:r>
    </w:p>
    <w:p>
      <w:pPr>
        <w:spacing w:after="0" w:line="73" w:lineRule="exact"/>
        <w:rPr>
          <w:sz w:val="20"/>
          <w:szCs w:val="20"/>
          <w:color w:val="auto"/>
        </w:rPr>
      </w:pPr>
    </w:p>
    <w:p>
      <w:pPr>
        <w:ind w:right="60"/>
        <w:spacing w:after="0" w:line="268" w:lineRule="auto"/>
        <w:rPr>
          <w:sz w:val="20"/>
          <w:szCs w:val="20"/>
          <w:color w:val="auto"/>
        </w:rPr>
      </w:pPr>
      <w:r>
        <w:rPr>
          <w:rFonts w:ascii="Arial" w:cs="Arial" w:eastAsia="Arial" w:hAnsi="Arial"/>
          <w:sz w:val="16"/>
          <w:szCs w:val="16"/>
          <w:color w:val="auto"/>
        </w:rPr>
        <w:t>In light of the combined roles, the independent directors select a Lead Independent Director, whose primary responsibilities include initiating and chairing meetings of the independent directors at each Board meeting, soliciting input from independent directors on issues and areas of focus, and providing feedback to the Chief Executive Officer. Pursuant to our Corporate Governance Guidelines, the Lead Independent Director serves for a term not less than one year. The non-management directors appointed Wilbur J. Prezzano, effective January 1, 2015, to serve as the Lead Independent Director.</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225CAB"/>
        </w:rPr>
        <w:t>Effective Board Processes</w:t>
      </w:r>
    </w:p>
    <w:p>
      <w:pPr>
        <w:spacing w:after="0" w:line="99"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As a result of our board structure and processes, our directors are actively involved in overseeing the strategy, business and affairs of our Company, including its transformation to a diversified technology company. Our Board meetings typically extend over several days, with directors monitoring the existing portfolio of businesses and analyzing and carefully examining with management the different ways Roper can invest for future growth, both internally and through acquisitions. Between scheduled Board meetings, our directors continue their discussions with management and each other, enabling our Company to draw from their experiences and expertise. Our directors are involved in our corporate strategy and must keep abreast of the issues encountered by our diverse global business operations.</w:t>
      </w:r>
    </w:p>
    <w:p>
      <w:pPr>
        <w:spacing w:after="0" w:line="20" w:lineRule="exact"/>
        <w:rPr>
          <w:sz w:val="20"/>
          <w:szCs w:val="20"/>
          <w:color w:val="auto"/>
        </w:rPr>
      </w:pPr>
      <w:r>
        <w:rPr>
          <w:sz w:val="20"/>
          <w:szCs w:val="20"/>
          <w:color w:val="auto"/>
        </w:rPr>
        <w:br w:type="column"/>
      </w:r>
    </w:p>
    <w:p>
      <w:pPr>
        <w:spacing w:after="0" w:line="327" w:lineRule="exact"/>
        <w:rPr>
          <w:sz w:val="20"/>
          <w:szCs w:val="20"/>
          <w:color w:val="auto"/>
        </w:rPr>
      </w:pPr>
    </w:p>
    <w:p>
      <w:pPr>
        <w:ind w:right="160"/>
        <w:spacing w:after="0" w:line="273" w:lineRule="auto"/>
        <w:rPr>
          <w:sz w:val="20"/>
          <w:szCs w:val="20"/>
          <w:color w:val="auto"/>
        </w:rPr>
      </w:pPr>
      <w:r>
        <w:rPr>
          <w:rFonts w:ascii="Arial" w:cs="Arial" w:eastAsia="Arial" w:hAnsi="Arial"/>
          <w:sz w:val="16"/>
          <w:szCs w:val="16"/>
          <w:color w:val="auto"/>
        </w:rPr>
        <w:t>The Board, including its Nominating and Governance Committee, has an effective board recruitment and evaluation process that contributes to bringing together a group of directors who complement each other and collectively provide oversight of management in ways that include challenging and discussing different perspectives.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225CAB"/>
        </w:rPr>
        <w:t>Executive Succession Planning</w:t>
      </w:r>
    </w:p>
    <w:p>
      <w:pPr>
        <w:spacing w:after="0" w:line="99" w:lineRule="exact"/>
        <w:rPr>
          <w:sz w:val="20"/>
          <w:szCs w:val="20"/>
          <w:color w:val="auto"/>
        </w:rPr>
      </w:pPr>
    </w:p>
    <w:p>
      <w:pPr>
        <w:ind w:right="200"/>
        <w:spacing w:after="0" w:line="236" w:lineRule="auto"/>
        <w:rPr>
          <w:sz w:val="20"/>
          <w:szCs w:val="20"/>
          <w:color w:val="auto"/>
        </w:rPr>
      </w:pPr>
      <w:r>
        <w:rPr>
          <w:rFonts w:ascii="Arial" w:cs="Arial" w:eastAsia="Arial" w:hAnsi="Arial"/>
          <w:sz w:val="18"/>
          <w:szCs w:val="18"/>
          <w:color w:val="auto"/>
        </w:rPr>
        <w:t>Our Board recognizes the importance of effective leadership to our Company’s success and is actively engaged and involved, on an annual basis, in succession planning on both a long- and short-term basis. Our Company’s operating unit executives, who have responsibility for their respective businesses, but no “enterprise-wide” responsibilities, provide a broad and deep talent resource that is key to our executive succession planning.</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225CAB"/>
        </w:rPr>
        <w:t>Risk Oversight</w:t>
      </w:r>
    </w:p>
    <w:p>
      <w:pPr>
        <w:spacing w:after="0" w:line="99"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Our Board has overall responsibility for the oversight of risk management at our Company, which it generally carries out through Board committees. Our General Counsel informs each committee and the Board of relevant legal and compliance issues, and each committee also has access to our Company’s outside counsel or any other outside advisor when they deem it advisable. Each of these committees along with our management, which is responsible for the implementation of the process to identify, manage and monitor risks, keeps the entire Board regularly apprised of the different risks associated with our Company.</w:t>
      </w:r>
    </w:p>
    <w:p>
      <w:pPr>
        <w:spacing w:after="0" w:line="80" w:lineRule="exact"/>
        <w:rPr>
          <w:sz w:val="20"/>
          <w:szCs w:val="20"/>
          <w:color w:val="auto"/>
        </w:rPr>
      </w:pPr>
    </w:p>
    <w:p>
      <w:pPr>
        <w:ind w:left="200" w:right="200" w:hanging="192"/>
        <w:spacing w:after="0" w:line="269" w:lineRule="auto"/>
        <w:tabs>
          <w:tab w:leader="none" w:pos="2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Audit Committee oversees financial risk, including such factors as liquidity, credit, currency exchange and market conditions, through review and discussion with management, and monitors our Company’s risk management practices. It meets regularly with our independent auditors and the Vice President of our internal audit department who reports directly to the Audit Committee. In addition to financial risk, the Audit Committee also reviews and discusses other risks that relate to our business activities and operations.</w:t>
      </w:r>
    </w:p>
    <w:p>
      <w:pPr>
        <w:spacing w:after="0" w:line="51" w:lineRule="exact"/>
        <w:rPr>
          <w:rFonts w:ascii="Arial" w:cs="Arial" w:eastAsia="Arial" w:hAnsi="Arial"/>
          <w:sz w:val="16"/>
          <w:szCs w:val="16"/>
          <w:color w:val="auto"/>
        </w:rPr>
      </w:pPr>
    </w:p>
    <w:p>
      <w:pPr>
        <w:ind w:left="200" w:right="160" w:hanging="192"/>
        <w:spacing w:after="0" w:line="237" w:lineRule="auto"/>
        <w:tabs>
          <w:tab w:leader="none" w:pos="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Compensation Committee, in overseeing risk associated with compensation programs and practices, has directly retained its own independent compensation consultant and meets periodically with management to discuss current issues.</w:t>
      </w:r>
    </w:p>
    <w:p>
      <w:pPr>
        <w:spacing w:after="0" w:line="73" w:lineRule="exact"/>
        <w:rPr>
          <w:rFonts w:ascii="Arial" w:cs="Arial" w:eastAsia="Arial" w:hAnsi="Arial"/>
          <w:sz w:val="18"/>
          <w:szCs w:val="18"/>
          <w:color w:val="auto"/>
        </w:rPr>
      </w:pPr>
    </w:p>
    <w:p>
      <w:pPr>
        <w:ind w:left="200" w:right="300" w:hanging="192"/>
        <w:spacing w:after="0" w:line="238" w:lineRule="auto"/>
        <w:tabs>
          <w:tab w:leader="none" w:pos="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Nominating and Governance Committee monitors the compliance of our corporate governance practices with applicable requirements and evolving developments.</w:t>
      </w:r>
    </w:p>
    <w:p>
      <w:pPr>
        <w:spacing w:after="0" w:line="200" w:lineRule="exact"/>
        <w:rPr>
          <w:sz w:val="20"/>
          <w:szCs w:val="20"/>
          <w:color w:val="auto"/>
        </w:rPr>
      </w:pPr>
    </w:p>
    <w:p>
      <w:pPr>
        <w:sectPr>
          <w:pgSz w:w="11900" w:h="16838" w:orient="portrait"/>
          <w:cols w:equalWidth="0" w:num="2">
            <w:col w:w="5480" w:space="340"/>
            <w:col w:w="5600"/>
          </w:cols>
          <w:pgMar w:left="240" w:top="459" w:right="239" w:bottom="1440" w:gutter="0" w:footer="0" w:header="0"/>
          <w:type w:val="continuous"/>
        </w:sectPr>
      </w:pPr>
    </w:p>
    <w:p>
      <w:pPr>
        <w:spacing w:after="0" w:line="86" w:lineRule="exact"/>
        <w:rPr>
          <w:sz w:val="20"/>
          <w:szCs w:val="20"/>
          <w:color w:val="auto"/>
        </w:rPr>
      </w:pPr>
    </w:p>
    <w:tbl>
      <w:tblPr>
        <w:tblLayout w:type="fixed"/>
        <w:tblInd w:w="6980" w:type="dxa"/>
        <w:tblCellMar>
          <w:top w:w="0" w:type="dxa"/>
          <w:left w:w="0" w:type="dxa"/>
          <w:bottom w:w="0" w:type="dxa"/>
          <w:right w:w="0" w:type="dxa"/>
        </w:tblCellMar>
      </w:tblPr>
      <w:tr>
        <w:trPr>
          <w:trHeight w:val="309"/>
        </w:trPr>
        <w:tc>
          <w:tcPr>
            <w:tcW w:w="4100" w:type="dxa"/>
            <w:vAlign w:val="bottom"/>
            <w:tcBorders>
              <w:right w:val="single" w:sz="8" w:color="225CAB"/>
            </w:tcBorders>
          </w:tcPr>
          <w:p>
            <w:pPr>
              <w:spacing w:after="0"/>
              <w:rPr>
                <w:sz w:val="20"/>
                <w:szCs w:val="20"/>
                <w:color w:val="auto"/>
              </w:rPr>
            </w:pPr>
            <w:r>
              <w:rPr>
                <w:rFonts w:ascii="Arial" w:cs="Arial" w:eastAsia="Arial" w:hAnsi="Arial"/>
                <w:sz w:val="18"/>
                <w:szCs w:val="18"/>
                <w:b w:val="1"/>
                <w:bCs w:val="1"/>
                <w:color w:val="225CAB"/>
                <w:w w:val="99"/>
              </w:rPr>
              <w:t>Roper Technologies, Inc. 2016 Proxy Statement</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225CAB"/>
              </w:rPr>
              <w:t>9</w:t>
            </w:r>
          </w:p>
        </w:tc>
      </w:tr>
      <w:tr>
        <w:trPr>
          <w:trHeight w:val="83"/>
        </w:trPr>
        <w:tc>
          <w:tcPr>
            <w:tcW w:w="4100" w:type="dxa"/>
            <w:vAlign w:val="bottom"/>
            <w:tcBorders>
              <w:right w:val="single" w:sz="8" w:color="225CAB"/>
            </w:tcBorders>
          </w:tcPr>
          <w:p>
            <w:pPr>
              <w:spacing w:after="0"/>
              <w:rPr>
                <w:sz w:val="7"/>
                <w:szCs w:val="7"/>
                <w:color w:val="auto"/>
              </w:rPr>
            </w:pPr>
          </w:p>
        </w:tc>
        <w:tc>
          <w:tcPr>
            <w:tcW w:w="34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-213995</wp:posOffset>
            </wp:positionV>
            <wp:extent cx="420370" cy="2057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225CAB"/>
        </w:rPr>
        <w:t xml:space="preserve">BOARD COMMITTEES AND MEETINGS </w:t>
      </w:r>
      <w:r>
        <w:rPr>
          <w:rFonts w:ascii="Arial" w:cs="Arial" w:eastAsia="Arial" w:hAnsi="Arial"/>
          <w:sz w:val="18"/>
          <w:szCs w:val="18"/>
          <w:i w:val="1"/>
          <w:iCs w:val="1"/>
          <w:color w:val="225CAB"/>
        </w:rPr>
        <w:t>(CONTINUED)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225CAB"/>
        </w:rPr>
        <w:t>Board Committees</w:t>
      </w:r>
    </w:p>
    <w:p>
      <w:pPr>
        <w:spacing w:after="0" w:line="153"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Our Board has four standing committees: Audit, Compensation, Nominating and Governance, and Executive. The Audit, Compensation, and Nominating and Governance Committees operate under written charters, copies of which can be viewed on Roper’s</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are the current committee memberships.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website (</w:t>
      </w:r>
      <w:r>
        <w:rPr>
          <w:rFonts w:ascii="Arial" w:cs="Arial" w:eastAsia="Arial" w:hAnsi="Arial"/>
          <w:sz w:val="16"/>
          <w:szCs w:val="16"/>
          <w:i w:val="1"/>
          <w:iCs w:val="1"/>
          <w:color w:val="auto"/>
        </w:rPr>
        <w:t>www.ropertech.com/governance-documents</w:t>
      </w:r>
      <w:r>
        <w:rPr>
          <w:rFonts w:ascii="Arial" w:cs="Arial" w:eastAsia="Arial" w:hAnsi="Arial"/>
          <w:sz w:val="16"/>
          <w:szCs w:val="16"/>
          <w:color w:val="auto"/>
        </w:rPr>
        <w:t>) or obtained upon request from the Secretary. Each Committee reviews its charter annually and reports its activities to the full Board on a regular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-1395730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840" w:lineRule="exact"/>
        <w:rPr>
          <w:sz w:val="20"/>
          <w:szCs w:val="20"/>
          <w:color w:val="auto"/>
        </w:rPr>
      </w:pPr>
    </w:p>
    <w:p>
      <w:pPr>
        <w:sectPr>
          <w:pgSz w:w="11900" w:h="16838" w:orient="portrait"/>
          <w:cols w:equalWidth="0" w:num="2">
            <w:col w:w="5440" w:space="380"/>
            <w:col w:w="5600"/>
          </w:cols>
          <w:pgMar w:left="240" w:top="459" w:right="239" w:bottom="1440" w:gutter="0" w:footer="0" w:header="0"/>
        </w:sectPr>
      </w:pPr>
    </w:p>
    <w:tbl>
      <w:tblPr>
        <w:tblLayout w:type="fixed"/>
        <w:tblInd w:w="0" w:type="dxa"/>
        <w:tblCellMar>
          <w:top w:w="0" w:type="dxa"/>
          <w:left w:w="0" w:type="dxa"/>
          <w:bottom w:w="0" w:type="dxa"/>
          <w:right w:w="0" w:type="dxa"/>
        </w:tblCellMar>
      </w:tblPr>
      <w:tr>
        <w:trPr>
          <w:trHeight w:val="161"/>
        </w:trPr>
        <w:tc>
          <w:tcPr>
            <w:tcW w:w="4080" w:type="dxa"/>
            <w:vAlign w:val="bottom"/>
            <w:shd w:val="clear" w:color="auto" w:fill="225CAB"/>
          </w:tcPr>
          <w:p>
            <w:pPr>
              <w:spacing w:after="0"/>
              <w:rPr>
                <w:sz w:val="14"/>
                <w:szCs w:val="14"/>
                <w:color w:val="auto"/>
              </w:rPr>
            </w:pPr>
          </w:p>
        </w:tc>
        <w:tc>
          <w:tcPr>
            <w:tcW w:w="3280" w:type="dxa"/>
            <w:vAlign w:val="bottom"/>
            <w:shd w:val="clear" w:color="auto" w:fill="225CAB"/>
          </w:tcPr>
          <w:p>
            <w:pPr>
              <w:spacing w:after="0"/>
              <w:rPr>
                <w:sz w:val="14"/>
                <w:szCs w:val="14"/>
                <w:color w:val="auto"/>
              </w:rPr>
            </w:pPr>
          </w:p>
        </w:tc>
        <w:tc>
          <w:tcPr>
            <w:tcW w:w="1600" w:type="dxa"/>
            <w:vAlign w:val="bottom"/>
            <w:shd w:val="clear" w:color="auto" w:fill="225CAB"/>
          </w:tcPr>
          <w:p>
            <w:pPr>
              <w:spacing w:after="0"/>
              <w:rPr>
                <w:sz w:val="14"/>
                <w:szCs w:val="14"/>
                <w:color w:val="auto"/>
              </w:rPr>
            </w:pPr>
          </w:p>
        </w:tc>
        <w:tc>
          <w:tcPr>
            <w:tcW w:w="1540" w:type="dxa"/>
            <w:vAlign w:val="bottom"/>
            <w:shd w:val="clear" w:color="auto" w:fill="225CAB"/>
          </w:tcPr>
          <w:p>
            <w:pPr>
              <w:jc w:val="center"/>
              <w:ind w:left="21"/>
              <w:spacing w:after="0"/>
              <w:rPr>
                <w:sz w:val="20"/>
                <w:szCs w:val="20"/>
                <w:color w:val="auto"/>
              </w:rPr>
            </w:pPr>
            <w:r>
              <w:rPr>
                <w:rFonts w:ascii="Arial" w:cs="Arial" w:eastAsia="Arial" w:hAnsi="Arial"/>
                <w:sz w:val="14"/>
                <w:szCs w:val="14"/>
                <w:color w:val="FFFFFF"/>
                <w:w w:val="97"/>
              </w:rPr>
              <w:t>Nominating and</w:t>
            </w:r>
          </w:p>
        </w:tc>
        <w:tc>
          <w:tcPr>
            <w:tcW w:w="920" w:type="dxa"/>
            <w:vAlign w:val="bottom"/>
            <w:shd w:val="clear" w:color="auto" w:fill="225CAB"/>
          </w:tcPr>
          <w:p>
            <w:pPr>
              <w:spacing w:after="0"/>
              <w:rPr>
                <w:sz w:val="14"/>
                <w:szCs w:val="14"/>
                <w:color w:val="auto"/>
              </w:rPr>
            </w:pPr>
          </w:p>
        </w:tc>
      </w:tr>
      <w:tr>
        <w:trPr>
          <w:trHeight w:val="149"/>
        </w:trPr>
        <w:tc>
          <w:tcPr>
            <w:tcW w:w="4080" w:type="dxa"/>
            <w:vAlign w:val="bottom"/>
            <w:shd w:val="clear" w:color="auto" w:fill="225CAB"/>
          </w:tcPr>
          <w:p>
            <w:pPr>
              <w:spacing w:after="0"/>
              <w:rPr>
                <w:sz w:val="12"/>
                <w:szCs w:val="12"/>
                <w:color w:val="auto"/>
              </w:rPr>
            </w:pPr>
          </w:p>
        </w:tc>
        <w:tc>
          <w:tcPr>
            <w:tcW w:w="3280" w:type="dxa"/>
            <w:vAlign w:val="bottom"/>
            <w:shd w:val="clear" w:color="auto" w:fill="225CAB"/>
          </w:tcPr>
          <w:p>
            <w:pPr>
              <w:jc w:val="center"/>
              <w:ind w:left="1859"/>
              <w:spacing w:after="0" w:line="149" w:lineRule="exact"/>
              <w:rPr>
                <w:sz w:val="20"/>
                <w:szCs w:val="20"/>
                <w:color w:val="auto"/>
              </w:rPr>
            </w:pPr>
            <w:r>
              <w:rPr>
                <w:rFonts w:ascii="Arial" w:cs="Arial" w:eastAsia="Arial" w:hAnsi="Arial"/>
                <w:sz w:val="14"/>
                <w:szCs w:val="14"/>
                <w:color w:val="FFFFFF"/>
                <w:w w:val="93"/>
              </w:rPr>
              <w:t>Audit</w:t>
            </w:r>
          </w:p>
        </w:tc>
        <w:tc>
          <w:tcPr>
            <w:tcW w:w="160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color w:val="FFFFFF"/>
                <w:w w:val="97"/>
              </w:rPr>
              <w:t>Compensation</w:t>
            </w:r>
          </w:p>
        </w:tc>
        <w:tc>
          <w:tcPr>
            <w:tcW w:w="1540" w:type="dxa"/>
            <w:vAlign w:val="bottom"/>
            <w:shd w:val="clear" w:color="auto" w:fill="225CAB"/>
          </w:tcPr>
          <w:p>
            <w:pPr>
              <w:jc w:val="center"/>
              <w:ind w:left="21"/>
              <w:spacing w:after="0" w:line="149" w:lineRule="exact"/>
              <w:rPr>
                <w:sz w:val="20"/>
                <w:szCs w:val="20"/>
                <w:color w:val="auto"/>
              </w:rPr>
            </w:pPr>
            <w:r>
              <w:rPr>
                <w:rFonts w:ascii="Arial" w:cs="Arial" w:eastAsia="Arial" w:hAnsi="Arial"/>
                <w:sz w:val="14"/>
                <w:szCs w:val="14"/>
                <w:color w:val="FFFFFF"/>
                <w:w w:val="94"/>
              </w:rPr>
              <w:t>Governance</w:t>
            </w:r>
          </w:p>
        </w:tc>
        <w:tc>
          <w:tcPr>
            <w:tcW w:w="920" w:type="dxa"/>
            <w:vAlign w:val="bottom"/>
            <w:shd w:val="clear" w:color="auto" w:fill="225CAB"/>
          </w:tcPr>
          <w:p>
            <w:pPr>
              <w:jc w:val="center"/>
              <w:ind w:left="179"/>
              <w:spacing w:after="0" w:line="149" w:lineRule="exact"/>
              <w:rPr>
                <w:sz w:val="20"/>
                <w:szCs w:val="20"/>
                <w:color w:val="auto"/>
              </w:rPr>
            </w:pPr>
            <w:r>
              <w:rPr>
                <w:rFonts w:ascii="Arial" w:cs="Arial" w:eastAsia="Arial" w:hAnsi="Arial"/>
                <w:sz w:val="14"/>
                <w:szCs w:val="14"/>
                <w:color w:val="FFFFFF"/>
                <w:w w:val="95"/>
              </w:rPr>
              <w:t>Executive</w:t>
            </w:r>
          </w:p>
        </w:tc>
      </w:tr>
      <w:tr>
        <w:trPr>
          <w:trHeight w:val="149"/>
        </w:trPr>
        <w:tc>
          <w:tcPr>
            <w:tcW w:w="4080" w:type="dxa"/>
            <w:vAlign w:val="bottom"/>
            <w:shd w:val="clear" w:color="auto" w:fill="225CAB"/>
          </w:tcPr>
          <w:p>
            <w:pPr>
              <w:spacing w:after="0" w:line="149" w:lineRule="exact"/>
              <w:rPr>
                <w:sz w:val="20"/>
                <w:szCs w:val="20"/>
                <w:color w:val="auto"/>
              </w:rPr>
            </w:pPr>
            <w:r>
              <w:rPr>
                <w:rFonts w:ascii="Arial" w:cs="Arial" w:eastAsia="Arial" w:hAnsi="Arial"/>
                <w:sz w:val="14"/>
                <w:szCs w:val="14"/>
                <w:color w:val="FFFFFF"/>
              </w:rPr>
              <w:t>Director</w:t>
            </w:r>
          </w:p>
        </w:tc>
        <w:tc>
          <w:tcPr>
            <w:tcW w:w="3280" w:type="dxa"/>
            <w:vAlign w:val="bottom"/>
            <w:shd w:val="clear" w:color="auto" w:fill="225CAB"/>
          </w:tcPr>
          <w:p>
            <w:pPr>
              <w:jc w:val="center"/>
              <w:ind w:left="1859"/>
              <w:spacing w:after="0" w:line="149" w:lineRule="exact"/>
              <w:rPr>
                <w:sz w:val="20"/>
                <w:szCs w:val="20"/>
                <w:color w:val="auto"/>
              </w:rPr>
            </w:pPr>
            <w:r>
              <w:rPr>
                <w:rFonts w:ascii="Arial" w:cs="Arial" w:eastAsia="Arial" w:hAnsi="Arial"/>
                <w:sz w:val="14"/>
                <w:szCs w:val="14"/>
                <w:color w:val="FFFFFF"/>
                <w:w w:val="97"/>
              </w:rPr>
              <w:t>Committee</w:t>
            </w:r>
          </w:p>
        </w:tc>
        <w:tc>
          <w:tcPr>
            <w:tcW w:w="160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color w:val="FFFFFF"/>
                <w:w w:val="94"/>
              </w:rPr>
              <w:t>Committee</w:t>
            </w:r>
          </w:p>
        </w:tc>
        <w:tc>
          <w:tcPr>
            <w:tcW w:w="1540" w:type="dxa"/>
            <w:vAlign w:val="bottom"/>
            <w:shd w:val="clear" w:color="auto" w:fill="225CAB"/>
          </w:tcPr>
          <w:p>
            <w:pPr>
              <w:jc w:val="center"/>
              <w:ind w:left="21"/>
              <w:spacing w:after="0" w:line="149" w:lineRule="exact"/>
              <w:rPr>
                <w:sz w:val="20"/>
                <w:szCs w:val="20"/>
                <w:color w:val="auto"/>
              </w:rPr>
            </w:pPr>
            <w:r>
              <w:rPr>
                <w:rFonts w:ascii="Arial" w:cs="Arial" w:eastAsia="Arial" w:hAnsi="Arial"/>
                <w:sz w:val="14"/>
                <w:szCs w:val="14"/>
                <w:color w:val="FFFFFF"/>
                <w:w w:val="94"/>
              </w:rPr>
              <w:t>Committee</w:t>
            </w:r>
          </w:p>
        </w:tc>
        <w:tc>
          <w:tcPr>
            <w:tcW w:w="920" w:type="dxa"/>
            <w:vAlign w:val="bottom"/>
            <w:shd w:val="clear" w:color="auto" w:fill="225CAB"/>
          </w:tcPr>
          <w:p>
            <w:pPr>
              <w:jc w:val="center"/>
              <w:ind w:left="179"/>
              <w:spacing w:after="0" w:line="149" w:lineRule="exact"/>
              <w:rPr>
                <w:sz w:val="20"/>
                <w:szCs w:val="20"/>
                <w:color w:val="auto"/>
              </w:rPr>
            </w:pPr>
            <w:r>
              <w:rPr>
                <w:rFonts w:ascii="Arial" w:cs="Arial" w:eastAsia="Arial" w:hAnsi="Arial"/>
                <w:sz w:val="14"/>
                <w:szCs w:val="14"/>
                <w:color w:val="FFFFFF"/>
                <w:w w:val="97"/>
              </w:rPr>
              <w:t>Committee</w:t>
            </w:r>
          </w:p>
        </w:tc>
      </w:tr>
      <w:tr>
        <w:trPr>
          <w:trHeight w:val="203"/>
        </w:trPr>
        <w:tc>
          <w:tcPr>
            <w:tcW w:w="4080" w:type="dxa"/>
            <w:vAlign w:val="bottom"/>
            <w:tcBorders>
              <w:bottom w:val="single" w:sz="8" w:color="225CAB"/>
            </w:tcBorders>
          </w:tcPr>
          <w:p>
            <w:pPr>
              <w:spacing w:after="0" w:line="202" w:lineRule="exact"/>
              <w:rPr>
                <w:sz w:val="20"/>
                <w:szCs w:val="20"/>
                <w:color w:val="auto"/>
              </w:rPr>
            </w:pPr>
            <w:r>
              <w:rPr>
                <w:rFonts w:ascii="Arial" w:cs="Arial" w:eastAsia="Arial" w:hAnsi="Arial"/>
                <w:sz w:val="18"/>
                <w:szCs w:val="18"/>
                <w:color w:val="225CAB"/>
              </w:rPr>
              <w:t>Amy Woods Brinkley</w:t>
            </w:r>
          </w:p>
        </w:tc>
        <w:tc>
          <w:tcPr>
            <w:tcW w:w="3280" w:type="dxa"/>
            <w:vAlign w:val="bottom"/>
            <w:tcBorders>
              <w:bottom w:val="single" w:sz="8" w:color="225CAB"/>
            </w:tcBorders>
          </w:tcPr>
          <w:p>
            <w:pPr>
              <w:jc w:val="center"/>
              <w:ind w:left="1839"/>
              <w:spacing w:after="0" w:line="202" w:lineRule="exact"/>
              <w:rPr>
                <w:sz w:val="20"/>
                <w:szCs w:val="20"/>
                <w:color w:val="auto"/>
              </w:rPr>
            </w:pPr>
            <w:r>
              <w:rPr>
                <w:rFonts w:ascii="Arial" w:cs="Arial" w:eastAsia="Arial" w:hAnsi="Arial"/>
                <w:sz w:val="18"/>
                <w:szCs w:val="18"/>
                <w:color w:val="auto"/>
                <w:w w:val="99"/>
              </w:rPr>
              <w:t>X</w:t>
            </w:r>
          </w:p>
        </w:tc>
        <w:tc>
          <w:tcPr>
            <w:tcW w:w="1600" w:type="dxa"/>
            <w:vAlign w:val="bottom"/>
            <w:tcBorders>
              <w:bottom w:val="single" w:sz="8" w:color="225CAB"/>
            </w:tcBorders>
          </w:tcPr>
          <w:p>
            <w:pPr>
              <w:spacing w:after="0"/>
              <w:rPr>
                <w:sz w:val="17"/>
                <w:szCs w:val="17"/>
                <w:color w:val="auto"/>
              </w:rPr>
            </w:pPr>
          </w:p>
        </w:tc>
        <w:tc>
          <w:tcPr>
            <w:tcW w:w="1540" w:type="dxa"/>
            <w:vAlign w:val="bottom"/>
            <w:tcBorders>
              <w:bottom w:val="single" w:sz="8" w:color="225CAB"/>
            </w:tcBorders>
          </w:tcPr>
          <w:p>
            <w:pPr>
              <w:spacing w:after="0"/>
              <w:rPr>
                <w:sz w:val="17"/>
                <w:szCs w:val="17"/>
                <w:color w:val="auto"/>
              </w:rPr>
            </w:pPr>
          </w:p>
        </w:tc>
        <w:tc>
          <w:tcPr>
            <w:tcW w:w="920" w:type="dxa"/>
            <w:vAlign w:val="bottom"/>
            <w:tcBorders>
              <w:bottom w:val="single" w:sz="8" w:color="225CAB"/>
            </w:tcBorders>
          </w:tcPr>
          <w:p>
            <w:pPr>
              <w:spacing w:after="0"/>
              <w:rPr>
                <w:sz w:val="17"/>
                <w:szCs w:val="17"/>
                <w:color w:val="auto"/>
              </w:rPr>
            </w:pPr>
          </w:p>
        </w:tc>
      </w:tr>
      <w:tr>
        <w:trPr>
          <w:trHeight w:val="196"/>
        </w:trPr>
        <w:tc>
          <w:tcPr>
            <w:tcW w:w="4080" w:type="dxa"/>
            <w:vAlign w:val="bottom"/>
            <w:tcBorders>
              <w:bottom w:val="single" w:sz="8" w:color="225CAB"/>
            </w:tcBorders>
          </w:tcPr>
          <w:p>
            <w:pPr>
              <w:spacing w:after="0" w:line="196" w:lineRule="exact"/>
              <w:rPr>
                <w:sz w:val="20"/>
                <w:szCs w:val="20"/>
                <w:color w:val="auto"/>
              </w:rPr>
            </w:pPr>
            <w:r>
              <w:rPr>
                <w:rFonts w:ascii="Arial" w:cs="Arial" w:eastAsia="Arial" w:hAnsi="Arial"/>
                <w:sz w:val="18"/>
                <w:szCs w:val="18"/>
                <w:color w:val="225CAB"/>
              </w:rPr>
              <w:t>John F. Fort III</w:t>
            </w:r>
          </w:p>
        </w:tc>
        <w:tc>
          <w:tcPr>
            <w:tcW w:w="3280" w:type="dxa"/>
            <w:vAlign w:val="bottom"/>
            <w:tcBorders>
              <w:bottom w:val="single" w:sz="8" w:color="225CAB"/>
            </w:tcBorders>
          </w:tcPr>
          <w:p>
            <w:pPr>
              <w:jc w:val="center"/>
              <w:ind w:left="1839"/>
              <w:spacing w:after="0" w:line="196" w:lineRule="exact"/>
              <w:rPr>
                <w:sz w:val="20"/>
                <w:szCs w:val="20"/>
                <w:color w:val="auto"/>
              </w:rPr>
            </w:pPr>
            <w:r>
              <w:rPr>
                <w:rFonts w:ascii="Arial" w:cs="Arial" w:eastAsia="Arial" w:hAnsi="Arial"/>
                <w:sz w:val="18"/>
                <w:szCs w:val="18"/>
                <w:color w:val="auto"/>
                <w:w w:val="99"/>
              </w:rPr>
              <w:t>X</w:t>
            </w:r>
          </w:p>
        </w:tc>
        <w:tc>
          <w:tcPr>
            <w:tcW w:w="1600" w:type="dxa"/>
            <w:vAlign w:val="bottom"/>
            <w:tcBorders>
              <w:bottom w:val="single" w:sz="8" w:color="225CAB"/>
            </w:tcBorders>
          </w:tcPr>
          <w:p>
            <w:pPr>
              <w:spacing w:after="0"/>
              <w:rPr>
                <w:sz w:val="17"/>
                <w:szCs w:val="17"/>
                <w:color w:val="auto"/>
              </w:rPr>
            </w:pPr>
          </w:p>
        </w:tc>
        <w:tc>
          <w:tcPr>
            <w:tcW w:w="1540" w:type="dxa"/>
            <w:vAlign w:val="bottom"/>
            <w:tcBorders>
              <w:bottom w:val="single" w:sz="8" w:color="225CAB"/>
            </w:tcBorders>
          </w:tcPr>
          <w:p>
            <w:pPr>
              <w:jc w:val="center"/>
              <w:ind w:left="21"/>
              <w:spacing w:after="0" w:line="196" w:lineRule="exact"/>
              <w:rPr>
                <w:sz w:val="20"/>
                <w:szCs w:val="20"/>
                <w:color w:val="auto"/>
              </w:rPr>
            </w:pPr>
            <w:r>
              <w:rPr>
                <w:rFonts w:ascii="Arial" w:cs="Arial" w:eastAsia="Arial" w:hAnsi="Arial"/>
                <w:sz w:val="18"/>
                <w:szCs w:val="18"/>
                <w:color w:val="auto"/>
                <w:w w:val="99"/>
              </w:rPr>
              <w:t>X</w:t>
            </w:r>
          </w:p>
        </w:tc>
        <w:tc>
          <w:tcPr>
            <w:tcW w:w="920" w:type="dxa"/>
            <w:vAlign w:val="bottom"/>
            <w:tcBorders>
              <w:bottom w:val="single" w:sz="8" w:color="225CAB"/>
            </w:tcBorders>
          </w:tcPr>
          <w:p>
            <w:pPr>
              <w:spacing w:after="0"/>
              <w:rPr>
                <w:sz w:val="17"/>
                <w:szCs w:val="17"/>
                <w:color w:val="auto"/>
              </w:rPr>
            </w:pPr>
          </w:p>
        </w:tc>
      </w:tr>
      <w:tr>
        <w:trPr>
          <w:trHeight w:val="196"/>
        </w:trPr>
        <w:tc>
          <w:tcPr>
            <w:tcW w:w="4080" w:type="dxa"/>
            <w:vAlign w:val="bottom"/>
            <w:tcBorders>
              <w:bottom w:val="single" w:sz="8" w:color="225CAB"/>
            </w:tcBorders>
          </w:tcPr>
          <w:p>
            <w:pPr>
              <w:spacing w:after="0" w:line="196" w:lineRule="exact"/>
              <w:rPr>
                <w:sz w:val="20"/>
                <w:szCs w:val="20"/>
                <w:color w:val="auto"/>
              </w:rPr>
            </w:pPr>
            <w:r>
              <w:rPr>
                <w:rFonts w:ascii="Arial" w:cs="Arial" w:eastAsia="Arial" w:hAnsi="Arial"/>
                <w:sz w:val="18"/>
                <w:szCs w:val="18"/>
                <w:color w:val="225CAB"/>
              </w:rPr>
              <w:t>Brian D. Jellison</w:t>
            </w:r>
          </w:p>
        </w:tc>
        <w:tc>
          <w:tcPr>
            <w:tcW w:w="3280" w:type="dxa"/>
            <w:vAlign w:val="bottom"/>
            <w:tcBorders>
              <w:bottom w:val="single" w:sz="8" w:color="225CAB"/>
            </w:tcBorders>
          </w:tcPr>
          <w:p>
            <w:pPr>
              <w:spacing w:after="0"/>
              <w:rPr>
                <w:sz w:val="17"/>
                <w:szCs w:val="17"/>
                <w:color w:val="auto"/>
              </w:rPr>
            </w:pPr>
          </w:p>
        </w:tc>
        <w:tc>
          <w:tcPr>
            <w:tcW w:w="1600" w:type="dxa"/>
            <w:vAlign w:val="bottom"/>
            <w:tcBorders>
              <w:bottom w:val="single" w:sz="8" w:color="225CAB"/>
            </w:tcBorders>
          </w:tcPr>
          <w:p>
            <w:pPr>
              <w:spacing w:after="0"/>
              <w:rPr>
                <w:sz w:val="17"/>
                <w:szCs w:val="17"/>
                <w:color w:val="auto"/>
              </w:rPr>
            </w:pPr>
          </w:p>
        </w:tc>
        <w:tc>
          <w:tcPr>
            <w:tcW w:w="1540" w:type="dxa"/>
            <w:vAlign w:val="bottom"/>
            <w:tcBorders>
              <w:bottom w:val="single" w:sz="8" w:color="225CAB"/>
            </w:tcBorders>
          </w:tcPr>
          <w:p>
            <w:pPr>
              <w:spacing w:after="0"/>
              <w:rPr>
                <w:sz w:val="17"/>
                <w:szCs w:val="17"/>
                <w:color w:val="auto"/>
              </w:rPr>
            </w:pPr>
          </w:p>
        </w:tc>
        <w:tc>
          <w:tcPr>
            <w:tcW w:w="920" w:type="dxa"/>
            <w:vAlign w:val="bottom"/>
            <w:tcBorders>
              <w:bottom w:val="single" w:sz="8" w:color="225CAB"/>
            </w:tcBorders>
          </w:tcPr>
          <w:p>
            <w:pPr>
              <w:jc w:val="center"/>
              <w:ind w:left="179"/>
              <w:spacing w:after="0" w:line="196" w:lineRule="exact"/>
              <w:rPr>
                <w:sz w:val="20"/>
                <w:szCs w:val="20"/>
                <w:color w:val="auto"/>
              </w:rPr>
            </w:pPr>
            <w:r>
              <w:rPr>
                <w:rFonts w:ascii="Arial" w:cs="Arial" w:eastAsia="Arial" w:hAnsi="Arial"/>
                <w:sz w:val="18"/>
                <w:szCs w:val="18"/>
                <w:color w:val="auto"/>
                <w:w w:val="97"/>
              </w:rPr>
              <w:t>Chair</w:t>
            </w:r>
          </w:p>
        </w:tc>
      </w:tr>
      <w:tr>
        <w:trPr>
          <w:trHeight w:val="196"/>
        </w:trPr>
        <w:tc>
          <w:tcPr>
            <w:tcW w:w="4080" w:type="dxa"/>
            <w:vAlign w:val="bottom"/>
            <w:tcBorders>
              <w:bottom w:val="single" w:sz="8" w:color="225CAB"/>
            </w:tcBorders>
          </w:tcPr>
          <w:p>
            <w:pPr>
              <w:spacing w:after="0" w:line="196" w:lineRule="exact"/>
              <w:rPr>
                <w:sz w:val="20"/>
                <w:szCs w:val="20"/>
                <w:color w:val="auto"/>
              </w:rPr>
            </w:pPr>
            <w:r>
              <w:rPr>
                <w:rFonts w:ascii="Arial" w:cs="Arial" w:eastAsia="Arial" w:hAnsi="Arial"/>
                <w:sz w:val="18"/>
                <w:szCs w:val="18"/>
                <w:color w:val="225CAB"/>
              </w:rPr>
              <w:t>Robert D. Johnson</w:t>
            </w:r>
          </w:p>
        </w:tc>
        <w:tc>
          <w:tcPr>
            <w:tcW w:w="3280" w:type="dxa"/>
            <w:vAlign w:val="bottom"/>
            <w:tcBorders>
              <w:bottom w:val="single" w:sz="8" w:color="225CAB"/>
            </w:tcBorders>
          </w:tcPr>
          <w:p>
            <w:pPr>
              <w:spacing w:after="0"/>
              <w:rPr>
                <w:sz w:val="17"/>
                <w:szCs w:val="17"/>
                <w:color w:val="auto"/>
              </w:rPr>
            </w:pPr>
          </w:p>
        </w:tc>
        <w:tc>
          <w:tcPr>
            <w:tcW w:w="1600" w:type="dxa"/>
            <w:vAlign w:val="bottom"/>
            <w:tcBorders>
              <w:bottom w:val="single" w:sz="8" w:color="225CAB"/>
            </w:tcBorders>
          </w:tcPr>
          <w:p>
            <w:pPr>
              <w:jc w:val="center"/>
              <w:spacing w:after="0" w:line="196" w:lineRule="exact"/>
              <w:rPr>
                <w:sz w:val="20"/>
                <w:szCs w:val="20"/>
                <w:color w:val="auto"/>
              </w:rPr>
            </w:pPr>
            <w:r>
              <w:rPr>
                <w:rFonts w:ascii="Arial" w:cs="Arial" w:eastAsia="Arial" w:hAnsi="Arial"/>
                <w:sz w:val="18"/>
                <w:szCs w:val="18"/>
                <w:color w:val="auto"/>
                <w:w w:val="99"/>
              </w:rPr>
              <w:t>X</w:t>
            </w:r>
          </w:p>
        </w:tc>
        <w:tc>
          <w:tcPr>
            <w:tcW w:w="1540" w:type="dxa"/>
            <w:vAlign w:val="bottom"/>
            <w:tcBorders>
              <w:bottom w:val="single" w:sz="8" w:color="225CAB"/>
            </w:tcBorders>
          </w:tcPr>
          <w:p>
            <w:pPr>
              <w:spacing w:after="0"/>
              <w:rPr>
                <w:sz w:val="17"/>
                <w:szCs w:val="17"/>
                <w:color w:val="auto"/>
              </w:rPr>
            </w:pPr>
          </w:p>
        </w:tc>
        <w:tc>
          <w:tcPr>
            <w:tcW w:w="920" w:type="dxa"/>
            <w:vAlign w:val="bottom"/>
            <w:tcBorders>
              <w:bottom w:val="single" w:sz="8" w:color="225CAB"/>
            </w:tcBorders>
          </w:tcPr>
          <w:p>
            <w:pPr>
              <w:spacing w:after="0"/>
              <w:rPr>
                <w:sz w:val="17"/>
                <w:szCs w:val="17"/>
                <w:color w:val="auto"/>
              </w:rPr>
            </w:pPr>
          </w:p>
        </w:tc>
      </w:tr>
      <w:tr>
        <w:trPr>
          <w:trHeight w:val="196"/>
        </w:trPr>
        <w:tc>
          <w:tcPr>
            <w:tcW w:w="4080" w:type="dxa"/>
            <w:vAlign w:val="bottom"/>
            <w:tcBorders>
              <w:bottom w:val="single" w:sz="8" w:color="225CAB"/>
            </w:tcBorders>
          </w:tcPr>
          <w:p>
            <w:pPr>
              <w:spacing w:after="0" w:line="196" w:lineRule="exact"/>
              <w:rPr>
                <w:sz w:val="20"/>
                <w:szCs w:val="20"/>
                <w:color w:val="auto"/>
              </w:rPr>
            </w:pPr>
            <w:r>
              <w:rPr>
                <w:rFonts w:ascii="Arial" w:cs="Arial" w:eastAsia="Arial" w:hAnsi="Arial"/>
                <w:sz w:val="18"/>
                <w:szCs w:val="18"/>
                <w:color w:val="225CAB"/>
              </w:rPr>
              <w:t>Robert E. Knowling, Jr.</w:t>
            </w:r>
          </w:p>
        </w:tc>
        <w:tc>
          <w:tcPr>
            <w:tcW w:w="3280" w:type="dxa"/>
            <w:vAlign w:val="bottom"/>
            <w:tcBorders>
              <w:bottom w:val="single" w:sz="8" w:color="225CAB"/>
            </w:tcBorders>
          </w:tcPr>
          <w:p>
            <w:pPr>
              <w:spacing w:after="0"/>
              <w:rPr>
                <w:sz w:val="17"/>
                <w:szCs w:val="17"/>
                <w:color w:val="auto"/>
              </w:rPr>
            </w:pPr>
          </w:p>
        </w:tc>
        <w:tc>
          <w:tcPr>
            <w:tcW w:w="1600" w:type="dxa"/>
            <w:vAlign w:val="bottom"/>
            <w:tcBorders>
              <w:bottom w:val="single" w:sz="8" w:color="225CAB"/>
            </w:tcBorders>
          </w:tcPr>
          <w:p>
            <w:pPr>
              <w:jc w:val="center"/>
              <w:spacing w:after="0" w:line="196" w:lineRule="exact"/>
              <w:rPr>
                <w:sz w:val="20"/>
                <w:szCs w:val="20"/>
                <w:color w:val="auto"/>
              </w:rPr>
            </w:pPr>
            <w:r>
              <w:rPr>
                <w:rFonts w:ascii="Arial" w:cs="Arial" w:eastAsia="Arial" w:hAnsi="Arial"/>
                <w:sz w:val="18"/>
                <w:szCs w:val="18"/>
                <w:color w:val="auto"/>
                <w:w w:val="97"/>
              </w:rPr>
              <w:t>Chair</w:t>
            </w:r>
          </w:p>
        </w:tc>
        <w:tc>
          <w:tcPr>
            <w:tcW w:w="1540" w:type="dxa"/>
            <w:vAlign w:val="bottom"/>
            <w:tcBorders>
              <w:bottom w:val="single" w:sz="8" w:color="225CAB"/>
            </w:tcBorders>
          </w:tcPr>
          <w:p>
            <w:pPr>
              <w:spacing w:after="0"/>
              <w:rPr>
                <w:sz w:val="17"/>
                <w:szCs w:val="17"/>
                <w:color w:val="auto"/>
              </w:rPr>
            </w:pPr>
          </w:p>
        </w:tc>
        <w:tc>
          <w:tcPr>
            <w:tcW w:w="920" w:type="dxa"/>
            <w:vAlign w:val="bottom"/>
            <w:tcBorders>
              <w:bottom w:val="single" w:sz="8" w:color="225CAB"/>
            </w:tcBorders>
          </w:tcPr>
          <w:p>
            <w:pPr>
              <w:jc w:val="center"/>
              <w:ind w:left="179"/>
              <w:spacing w:after="0" w:line="196" w:lineRule="exact"/>
              <w:rPr>
                <w:sz w:val="20"/>
                <w:szCs w:val="20"/>
                <w:color w:val="auto"/>
              </w:rPr>
            </w:pPr>
            <w:r>
              <w:rPr>
                <w:rFonts w:ascii="Arial" w:cs="Arial" w:eastAsia="Arial" w:hAnsi="Arial"/>
                <w:sz w:val="18"/>
                <w:szCs w:val="18"/>
                <w:color w:val="auto"/>
                <w:w w:val="82"/>
              </w:rPr>
              <w:t>X</w:t>
            </w:r>
          </w:p>
        </w:tc>
      </w:tr>
      <w:tr>
        <w:trPr>
          <w:trHeight w:val="196"/>
        </w:trPr>
        <w:tc>
          <w:tcPr>
            <w:tcW w:w="4080" w:type="dxa"/>
            <w:vAlign w:val="bottom"/>
            <w:tcBorders>
              <w:bottom w:val="single" w:sz="8" w:color="225CAB"/>
            </w:tcBorders>
          </w:tcPr>
          <w:p>
            <w:pPr>
              <w:spacing w:after="0" w:line="196" w:lineRule="exact"/>
              <w:rPr>
                <w:sz w:val="20"/>
                <w:szCs w:val="20"/>
                <w:color w:val="auto"/>
              </w:rPr>
            </w:pPr>
            <w:r>
              <w:rPr>
                <w:rFonts w:ascii="Arial" w:cs="Arial" w:eastAsia="Arial" w:hAnsi="Arial"/>
                <w:sz w:val="18"/>
                <w:szCs w:val="18"/>
                <w:color w:val="225CAB"/>
              </w:rPr>
              <w:t>Wilbur J. Prezzano</w:t>
            </w:r>
          </w:p>
        </w:tc>
        <w:tc>
          <w:tcPr>
            <w:tcW w:w="3280" w:type="dxa"/>
            <w:vAlign w:val="bottom"/>
            <w:tcBorders>
              <w:bottom w:val="single" w:sz="8" w:color="225CAB"/>
            </w:tcBorders>
          </w:tcPr>
          <w:p>
            <w:pPr>
              <w:spacing w:after="0"/>
              <w:rPr>
                <w:sz w:val="17"/>
                <w:szCs w:val="17"/>
                <w:color w:val="auto"/>
              </w:rPr>
            </w:pPr>
          </w:p>
        </w:tc>
        <w:tc>
          <w:tcPr>
            <w:tcW w:w="1600" w:type="dxa"/>
            <w:vAlign w:val="bottom"/>
            <w:tcBorders>
              <w:bottom w:val="single" w:sz="8" w:color="225CAB"/>
            </w:tcBorders>
          </w:tcPr>
          <w:p>
            <w:pPr>
              <w:jc w:val="center"/>
              <w:spacing w:after="0" w:line="196" w:lineRule="exact"/>
              <w:rPr>
                <w:sz w:val="20"/>
                <w:szCs w:val="20"/>
                <w:color w:val="auto"/>
              </w:rPr>
            </w:pPr>
            <w:r>
              <w:rPr>
                <w:rFonts w:ascii="Arial" w:cs="Arial" w:eastAsia="Arial" w:hAnsi="Arial"/>
                <w:sz w:val="18"/>
                <w:szCs w:val="18"/>
                <w:color w:val="auto"/>
                <w:w w:val="99"/>
              </w:rPr>
              <w:t>X</w:t>
            </w:r>
          </w:p>
        </w:tc>
        <w:tc>
          <w:tcPr>
            <w:tcW w:w="1540" w:type="dxa"/>
            <w:vAlign w:val="bottom"/>
            <w:tcBorders>
              <w:bottom w:val="single" w:sz="8" w:color="225CAB"/>
            </w:tcBorders>
          </w:tcPr>
          <w:p>
            <w:pPr>
              <w:jc w:val="center"/>
              <w:ind w:left="21"/>
              <w:spacing w:after="0" w:line="196" w:lineRule="exact"/>
              <w:rPr>
                <w:sz w:val="20"/>
                <w:szCs w:val="20"/>
                <w:color w:val="auto"/>
              </w:rPr>
            </w:pPr>
            <w:r>
              <w:rPr>
                <w:rFonts w:ascii="Arial" w:cs="Arial" w:eastAsia="Arial" w:hAnsi="Arial"/>
                <w:sz w:val="18"/>
                <w:szCs w:val="18"/>
                <w:color w:val="auto"/>
                <w:w w:val="99"/>
              </w:rPr>
              <w:t>X</w:t>
            </w:r>
          </w:p>
        </w:tc>
        <w:tc>
          <w:tcPr>
            <w:tcW w:w="920" w:type="dxa"/>
            <w:vAlign w:val="bottom"/>
            <w:tcBorders>
              <w:bottom w:val="single" w:sz="8" w:color="225CAB"/>
            </w:tcBorders>
          </w:tcPr>
          <w:p>
            <w:pPr>
              <w:spacing w:after="0"/>
              <w:rPr>
                <w:sz w:val="17"/>
                <w:szCs w:val="17"/>
                <w:color w:val="auto"/>
              </w:rPr>
            </w:pPr>
          </w:p>
        </w:tc>
      </w:tr>
      <w:tr>
        <w:trPr>
          <w:trHeight w:val="196"/>
        </w:trPr>
        <w:tc>
          <w:tcPr>
            <w:tcW w:w="4080" w:type="dxa"/>
            <w:vAlign w:val="bottom"/>
            <w:tcBorders>
              <w:bottom w:val="single" w:sz="8" w:color="225CAB"/>
            </w:tcBorders>
          </w:tcPr>
          <w:p>
            <w:pPr>
              <w:spacing w:after="0" w:line="196" w:lineRule="exact"/>
              <w:rPr>
                <w:sz w:val="20"/>
                <w:szCs w:val="20"/>
                <w:color w:val="auto"/>
              </w:rPr>
            </w:pPr>
            <w:r>
              <w:rPr>
                <w:rFonts w:ascii="Arial" w:cs="Arial" w:eastAsia="Arial" w:hAnsi="Arial"/>
                <w:sz w:val="18"/>
                <w:szCs w:val="18"/>
                <w:color w:val="225CAB"/>
              </w:rPr>
              <w:t>Laura G. Thatcher</w:t>
            </w:r>
          </w:p>
        </w:tc>
        <w:tc>
          <w:tcPr>
            <w:tcW w:w="3280" w:type="dxa"/>
            <w:vAlign w:val="bottom"/>
            <w:tcBorders>
              <w:bottom w:val="single" w:sz="8" w:color="225CAB"/>
            </w:tcBorders>
          </w:tcPr>
          <w:p>
            <w:pPr>
              <w:jc w:val="center"/>
              <w:ind w:left="1839"/>
              <w:spacing w:after="0" w:line="196" w:lineRule="exact"/>
              <w:rPr>
                <w:sz w:val="20"/>
                <w:szCs w:val="20"/>
                <w:color w:val="auto"/>
              </w:rPr>
            </w:pPr>
            <w:r>
              <w:rPr>
                <w:rFonts w:ascii="Arial" w:cs="Arial" w:eastAsia="Arial" w:hAnsi="Arial"/>
                <w:sz w:val="18"/>
                <w:szCs w:val="18"/>
                <w:color w:val="auto"/>
                <w:w w:val="99"/>
              </w:rPr>
              <w:t>X</w:t>
            </w:r>
          </w:p>
        </w:tc>
        <w:tc>
          <w:tcPr>
            <w:tcW w:w="1600" w:type="dxa"/>
            <w:vAlign w:val="bottom"/>
            <w:tcBorders>
              <w:bottom w:val="single" w:sz="8" w:color="225CAB"/>
            </w:tcBorders>
          </w:tcPr>
          <w:p>
            <w:pPr>
              <w:spacing w:after="0"/>
              <w:rPr>
                <w:sz w:val="17"/>
                <w:szCs w:val="17"/>
                <w:color w:val="auto"/>
              </w:rPr>
            </w:pPr>
          </w:p>
        </w:tc>
        <w:tc>
          <w:tcPr>
            <w:tcW w:w="1540" w:type="dxa"/>
            <w:vAlign w:val="bottom"/>
            <w:tcBorders>
              <w:bottom w:val="single" w:sz="8" w:color="225CAB"/>
            </w:tcBorders>
          </w:tcPr>
          <w:p>
            <w:pPr>
              <w:jc w:val="center"/>
              <w:ind w:left="21"/>
              <w:spacing w:after="0" w:line="196" w:lineRule="exact"/>
              <w:rPr>
                <w:sz w:val="20"/>
                <w:szCs w:val="20"/>
                <w:color w:val="auto"/>
              </w:rPr>
            </w:pPr>
            <w:r>
              <w:rPr>
                <w:rFonts w:ascii="Arial" w:cs="Arial" w:eastAsia="Arial" w:hAnsi="Arial"/>
                <w:sz w:val="18"/>
                <w:szCs w:val="18"/>
                <w:color w:val="auto"/>
                <w:w w:val="99"/>
              </w:rPr>
              <w:t>X</w:t>
            </w:r>
          </w:p>
        </w:tc>
        <w:tc>
          <w:tcPr>
            <w:tcW w:w="920" w:type="dxa"/>
            <w:vAlign w:val="bottom"/>
            <w:tcBorders>
              <w:bottom w:val="single" w:sz="8" w:color="225CAB"/>
            </w:tcBorders>
          </w:tcPr>
          <w:p>
            <w:pPr>
              <w:spacing w:after="0"/>
              <w:rPr>
                <w:sz w:val="17"/>
                <w:szCs w:val="17"/>
                <w:color w:val="auto"/>
              </w:rPr>
            </w:pPr>
          </w:p>
        </w:tc>
      </w:tr>
      <w:tr>
        <w:trPr>
          <w:trHeight w:val="196"/>
        </w:trPr>
        <w:tc>
          <w:tcPr>
            <w:tcW w:w="4080" w:type="dxa"/>
            <w:vAlign w:val="bottom"/>
            <w:tcBorders>
              <w:bottom w:val="single" w:sz="8" w:color="225CAB"/>
            </w:tcBorders>
          </w:tcPr>
          <w:p>
            <w:pPr>
              <w:spacing w:after="0" w:line="196" w:lineRule="exact"/>
              <w:rPr>
                <w:sz w:val="20"/>
                <w:szCs w:val="20"/>
                <w:color w:val="auto"/>
              </w:rPr>
            </w:pPr>
            <w:r>
              <w:rPr>
                <w:rFonts w:ascii="Arial" w:cs="Arial" w:eastAsia="Arial" w:hAnsi="Arial"/>
                <w:sz w:val="18"/>
                <w:szCs w:val="18"/>
                <w:color w:val="225CAB"/>
              </w:rPr>
              <w:t>Richard F. Wallman</w:t>
            </w:r>
          </w:p>
        </w:tc>
        <w:tc>
          <w:tcPr>
            <w:tcW w:w="3280" w:type="dxa"/>
            <w:vAlign w:val="bottom"/>
            <w:tcBorders>
              <w:bottom w:val="single" w:sz="8" w:color="225CAB"/>
            </w:tcBorders>
          </w:tcPr>
          <w:p>
            <w:pPr>
              <w:spacing w:after="0"/>
              <w:rPr>
                <w:sz w:val="17"/>
                <w:szCs w:val="17"/>
                <w:color w:val="auto"/>
              </w:rPr>
            </w:pPr>
          </w:p>
        </w:tc>
        <w:tc>
          <w:tcPr>
            <w:tcW w:w="1600" w:type="dxa"/>
            <w:vAlign w:val="bottom"/>
            <w:tcBorders>
              <w:bottom w:val="single" w:sz="8" w:color="225CAB"/>
            </w:tcBorders>
          </w:tcPr>
          <w:p>
            <w:pPr>
              <w:spacing w:after="0"/>
              <w:rPr>
                <w:sz w:val="17"/>
                <w:szCs w:val="17"/>
                <w:color w:val="auto"/>
              </w:rPr>
            </w:pPr>
          </w:p>
        </w:tc>
        <w:tc>
          <w:tcPr>
            <w:tcW w:w="1540" w:type="dxa"/>
            <w:vAlign w:val="bottom"/>
            <w:tcBorders>
              <w:bottom w:val="single" w:sz="8" w:color="225CAB"/>
            </w:tcBorders>
          </w:tcPr>
          <w:p>
            <w:pPr>
              <w:jc w:val="center"/>
              <w:ind w:left="1"/>
              <w:spacing w:after="0" w:line="196" w:lineRule="exact"/>
              <w:rPr>
                <w:sz w:val="20"/>
                <w:szCs w:val="20"/>
                <w:color w:val="auto"/>
              </w:rPr>
            </w:pPr>
            <w:r>
              <w:rPr>
                <w:rFonts w:ascii="Arial" w:cs="Arial" w:eastAsia="Arial" w:hAnsi="Arial"/>
                <w:sz w:val="18"/>
                <w:szCs w:val="18"/>
                <w:color w:val="auto"/>
                <w:w w:val="97"/>
              </w:rPr>
              <w:t>Chair</w:t>
            </w:r>
          </w:p>
        </w:tc>
        <w:tc>
          <w:tcPr>
            <w:tcW w:w="920" w:type="dxa"/>
            <w:vAlign w:val="bottom"/>
            <w:tcBorders>
              <w:bottom w:val="single" w:sz="8" w:color="225CAB"/>
            </w:tcBorders>
          </w:tcPr>
          <w:p>
            <w:pPr>
              <w:jc w:val="center"/>
              <w:ind w:left="179"/>
              <w:spacing w:after="0" w:line="196" w:lineRule="exact"/>
              <w:rPr>
                <w:sz w:val="20"/>
                <w:szCs w:val="20"/>
                <w:color w:val="auto"/>
              </w:rPr>
            </w:pPr>
            <w:r>
              <w:rPr>
                <w:rFonts w:ascii="Arial" w:cs="Arial" w:eastAsia="Arial" w:hAnsi="Arial"/>
                <w:sz w:val="18"/>
                <w:szCs w:val="18"/>
                <w:color w:val="auto"/>
                <w:w w:val="82"/>
              </w:rPr>
              <w:t>X</w:t>
            </w:r>
          </w:p>
        </w:tc>
      </w:tr>
      <w:tr>
        <w:trPr>
          <w:trHeight w:val="196"/>
        </w:trPr>
        <w:tc>
          <w:tcPr>
            <w:tcW w:w="4080" w:type="dxa"/>
            <w:vAlign w:val="bottom"/>
            <w:tcBorders>
              <w:bottom w:val="single" w:sz="8" w:color="225CAB"/>
            </w:tcBorders>
          </w:tcPr>
          <w:p>
            <w:pPr>
              <w:spacing w:after="0" w:line="196" w:lineRule="exact"/>
              <w:rPr>
                <w:sz w:val="20"/>
                <w:szCs w:val="20"/>
                <w:color w:val="auto"/>
              </w:rPr>
            </w:pPr>
            <w:r>
              <w:rPr>
                <w:rFonts w:ascii="Arial" w:cs="Arial" w:eastAsia="Arial" w:hAnsi="Arial"/>
                <w:sz w:val="18"/>
                <w:szCs w:val="18"/>
                <w:color w:val="225CAB"/>
              </w:rPr>
              <w:t>Christopher Wright</w:t>
            </w:r>
          </w:p>
        </w:tc>
        <w:tc>
          <w:tcPr>
            <w:tcW w:w="3280" w:type="dxa"/>
            <w:vAlign w:val="bottom"/>
            <w:tcBorders>
              <w:bottom w:val="single" w:sz="8" w:color="225CAB"/>
            </w:tcBorders>
          </w:tcPr>
          <w:p>
            <w:pPr>
              <w:jc w:val="center"/>
              <w:ind w:left="1859"/>
              <w:spacing w:after="0" w:line="196" w:lineRule="exact"/>
              <w:rPr>
                <w:sz w:val="20"/>
                <w:szCs w:val="20"/>
                <w:color w:val="auto"/>
              </w:rPr>
            </w:pPr>
            <w:r>
              <w:rPr>
                <w:rFonts w:ascii="Arial" w:cs="Arial" w:eastAsia="Arial" w:hAnsi="Arial"/>
                <w:sz w:val="18"/>
                <w:szCs w:val="18"/>
                <w:color w:val="auto"/>
                <w:w w:val="97"/>
              </w:rPr>
              <w:t>Chair</w:t>
            </w:r>
          </w:p>
        </w:tc>
        <w:tc>
          <w:tcPr>
            <w:tcW w:w="1600" w:type="dxa"/>
            <w:vAlign w:val="bottom"/>
            <w:tcBorders>
              <w:bottom w:val="single" w:sz="8" w:color="225CAB"/>
            </w:tcBorders>
          </w:tcPr>
          <w:p>
            <w:pPr>
              <w:spacing w:after="0"/>
              <w:rPr>
                <w:sz w:val="17"/>
                <w:szCs w:val="17"/>
                <w:color w:val="auto"/>
              </w:rPr>
            </w:pPr>
          </w:p>
        </w:tc>
        <w:tc>
          <w:tcPr>
            <w:tcW w:w="1540" w:type="dxa"/>
            <w:vAlign w:val="bottom"/>
            <w:tcBorders>
              <w:bottom w:val="single" w:sz="8" w:color="225CAB"/>
            </w:tcBorders>
          </w:tcPr>
          <w:p>
            <w:pPr>
              <w:spacing w:after="0"/>
              <w:rPr>
                <w:sz w:val="17"/>
                <w:szCs w:val="17"/>
                <w:color w:val="auto"/>
              </w:rPr>
            </w:pPr>
          </w:p>
        </w:tc>
        <w:tc>
          <w:tcPr>
            <w:tcW w:w="920" w:type="dxa"/>
            <w:vAlign w:val="bottom"/>
            <w:tcBorders>
              <w:bottom w:val="single" w:sz="8" w:color="225CAB"/>
            </w:tcBorders>
          </w:tcPr>
          <w:p>
            <w:pPr>
              <w:jc w:val="center"/>
              <w:ind w:left="179"/>
              <w:spacing w:after="0" w:line="196" w:lineRule="exact"/>
              <w:rPr>
                <w:sz w:val="20"/>
                <w:szCs w:val="20"/>
                <w:color w:val="auto"/>
              </w:rPr>
            </w:pPr>
            <w:r>
              <w:rPr>
                <w:rFonts w:ascii="Arial" w:cs="Arial" w:eastAsia="Arial" w:hAnsi="Arial"/>
                <w:sz w:val="18"/>
                <w:szCs w:val="18"/>
                <w:color w:val="auto"/>
                <w:w w:val="82"/>
              </w:rPr>
              <w:t>X</w:t>
            </w:r>
          </w:p>
        </w:tc>
      </w:tr>
    </w:tbl>
    <w:p>
      <w:pPr>
        <w:spacing w:after="0" w:line="200" w:lineRule="exact"/>
        <w:rPr>
          <w:sz w:val="20"/>
          <w:szCs w:val="20"/>
          <w:color w:val="auto"/>
        </w:rPr>
      </w:pPr>
    </w:p>
    <w:p>
      <w:pPr>
        <w:sectPr>
          <w:pgSz w:w="11900" w:h="16838" w:orient="portrait"/>
          <w:cols w:equalWidth="0" w:num="1">
            <w:col w:w="11420"/>
          </w:cols>
          <w:pgMar w:left="240" w:top="459" w:right="239" w:bottom="1440" w:gutter="0" w:footer="0" w:header="0"/>
          <w:type w:val="continuous"/>
        </w:sectPr>
      </w:pP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 xml:space="preserve">Audit Committee: </w:t>
      </w:r>
      <w:r>
        <w:rPr>
          <w:rFonts w:ascii="Arial" w:cs="Arial" w:eastAsia="Arial" w:hAnsi="Arial"/>
          <w:sz w:val="18"/>
          <w:szCs w:val="18"/>
          <w:b w:val="1"/>
          <w:bCs w:val="1"/>
          <w:color w:val="225CAB"/>
        </w:rPr>
        <w:t>9 Meetings Held in 2015</w:t>
      </w:r>
    </w:p>
    <w:p>
      <w:pPr>
        <w:spacing w:after="0" w:line="99"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The Audit Committee assists our Board in its oversight of the quality and integrity of our financial statements, our structure for compliance with legal and regulatory requirements, and the performance of our internal audit functions. The Board has determined that based on their extensive background and expertise, Messrs. Fort and Wright meet the criteria of an “audit committee financial expert” under SEC rules. The Board has determined that all Audit Committee members meet the NYSE standard of financial literacy and have accounting and related financial management expertise.</w:t>
      </w:r>
    </w:p>
    <w:p>
      <w:pPr>
        <w:spacing w:after="0" w:line="55" w:lineRule="exact"/>
        <w:rPr>
          <w:sz w:val="20"/>
          <w:szCs w:val="20"/>
          <w:color w:val="auto"/>
        </w:rPr>
      </w:pPr>
    </w:p>
    <w:p>
      <w:pPr>
        <w:ind w:right="340"/>
        <w:spacing w:after="0" w:line="239" w:lineRule="auto"/>
        <w:rPr>
          <w:sz w:val="20"/>
          <w:szCs w:val="20"/>
          <w:color w:val="auto"/>
        </w:rPr>
      </w:pPr>
      <w:r>
        <w:rPr>
          <w:rFonts w:ascii="Arial" w:cs="Arial" w:eastAsia="Arial" w:hAnsi="Arial"/>
          <w:sz w:val="18"/>
          <w:szCs w:val="18"/>
          <w:color w:val="auto"/>
        </w:rPr>
        <w:t>Pursuant to its charter, the Audit Committee has the authority and responsibility to:</w:t>
      </w:r>
    </w:p>
    <w:p>
      <w:pPr>
        <w:spacing w:after="0" w:line="74" w:lineRule="exact"/>
        <w:rPr>
          <w:sz w:val="20"/>
          <w:szCs w:val="20"/>
          <w:color w:val="auto"/>
        </w:rPr>
      </w:pPr>
    </w:p>
    <w:p>
      <w:pPr>
        <w:ind w:left="200" w:right="60" w:hanging="192"/>
        <w:spacing w:after="0" w:line="281" w:lineRule="auto"/>
        <w:tabs>
          <w:tab w:leader="none" w:pos="2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Appoint, compensate, retain and oversee the registered public accounting firm engaged by us; approve all audit engagement fees and terms, as well as pre-approve all non-audit engagements; and</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ind w:left="192" w:right="600"/>
        <w:spacing w:after="0" w:line="239" w:lineRule="auto"/>
        <w:rPr>
          <w:sz w:val="20"/>
          <w:szCs w:val="20"/>
          <w:color w:val="auto"/>
        </w:rPr>
      </w:pPr>
      <w:r>
        <w:rPr>
          <w:rFonts w:ascii="Arial" w:cs="Arial" w:eastAsia="Arial" w:hAnsi="Arial"/>
          <w:sz w:val="18"/>
          <w:szCs w:val="18"/>
          <w:color w:val="auto"/>
        </w:rPr>
        <w:t>ensure that the independent auditors remain independent and objective;</w:t>
      </w:r>
    </w:p>
    <w:p>
      <w:pPr>
        <w:spacing w:after="0" w:line="74" w:lineRule="exact"/>
        <w:rPr>
          <w:sz w:val="20"/>
          <w:szCs w:val="20"/>
          <w:color w:val="auto"/>
        </w:rPr>
      </w:pPr>
    </w:p>
    <w:p>
      <w:pPr>
        <w:ind w:left="192" w:right="160" w:hanging="192"/>
        <w:spacing w:after="0" w:line="237" w:lineRule="auto"/>
        <w:tabs>
          <w:tab w:leader="none" w:pos="192"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 the appointment and replacement of our Vice President of the internal auditing department, who provides the Audit Committee with significant reports to management and management’s responses thereto;</w:t>
      </w:r>
    </w:p>
    <w:p>
      <w:pPr>
        <w:spacing w:after="0" w:line="73" w:lineRule="exact"/>
        <w:rPr>
          <w:rFonts w:ascii="Arial" w:cs="Arial" w:eastAsia="Arial" w:hAnsi="Arial"/>
          <w:sz w:val="18"/>
          <w:szCs w:val="18"/>
          <w:color w:val="auto"/>
        </w:rPr>
      </w:pPr>
    </w:p>
    <w:p>
      <w:pPr>
        <w:ind w:left="192" w:right="300" w:hanging="192"/>
        <w:spacing w:after="0" w:line="238" w:lineRule="auto"/>
        <w:tabs>
          <w:tab w:leader="none" w:pos="192"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Consider any reports or communications submitted by the independent auditors relating to our financial statements, policies, processes or determinations;</w:t>
      </w:r>
    </w:p>
    <w:p>
      <w:pPr>
        <w:spacing w:after="0" w:line="72" w:lineRule="exact"/>
        <w:rPr>
          <w:rFonts w:ascii="Arial" w:cs="Arial" w:eastAsia="Arial" w:hAnsi="Arial"/>
          <w:sz w:val="18"/>
          <w:szCs w:val="18"/>
          <w:color w:val="auto"/>
        </w:rPr>
      </w:pPr>
    </w:p>
    <w:p>
      <w:pPr>
        <w:ind w:left="192" w:right="340" w:hanging="192"/>
        <w:spacing w:after="0" w:line="275" w:lineRule="auto"/>
        <w:tabs>
          <w:tab w:leader="none" w:pos="192" w:val="left"/>
        </w:tabs>
        <w:numPr>
          <w:ilvl w:val="0"/>
          <w:numId w:val="12"/>
        </w:numPr>
        <w:rPr>
          <w:rFonts w:ascii="Arial" w:cs="Arial" w:eastAsia="Arial" w:hAnsi="Arial"/>
          <w:sz w:val="16"/>
          <w:szCs w:val="16"/>
          <w:color w:val="auto"/>
        </w:rPr>
      </w:pPr>
      <w:r>
        <w:rPr>
          <w:rFonts w:ascii="Arial" w:cs="Arial" w:eastAsia="Arial" w:hAnsi="Arial"/>
          <w:sz w:val="16"/>
          <w:szCs w:val="16"/>
          <w:color w:val="auto"/>
        </w:rPr>
        <w:t>Meet with management, the independent auditors and others to discuss matters relating to the scope and results of any audit, the financial statements, and changes to any auditing or accounting principles, policies, controls procedures or practices;</w:t>
      </w:r>
    </w:p>
    <w:p>
      <w:pPr>
        <w:spacing w:after="0" w:line="48" w:lineRule="exact"/>
        <w:rPr>
          <w:rFonts w:ascii="Arial" w:cs="Arial" w:eastAsia="Arial" w:hAnsi="Arial"/>
          <w:sz w:val="16"/>
          <w:szCs w:val="16"/>
          <w:color w:val="auto"/>
        </w:rPr>
      </w:pPr>
    </w:p>
    <w:p>
      <w:pPr>
        <w:ind w:left="192" w:right="320" w:hanging="192"/>
        <w:spacing w:after="0" w:line="281" w:lineRule="auto"/>
        <w:tabs>
          <w:tab w:leader="none" w:pos="192"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Review any major issues regarding accounting principles and financial statement presentations, including significant changes in the selection or application of accounting principles, and major</w:t>
      </w:r>
    </w:p>
    <w:p>
      <w:pPr>
        <w:spacing w:after="0" w:line="200" w:lineRule="exact"/>
        <w:rPr>
          <w:sz w:val="20"/>
          <w:szCs w:val="20"/>
          <w:color w:val="auto"/>
        </w:rPr>
      </w:pPr>
    </w:p>
    <w:p>
      <w:pPr>
        <w:sectPr>
          <w:pgSz w:w="11900" w:h="16838" w:orient="portrait"/>
          <w:cols w:equalWidth="0" w:num="2">
            <w:col w:w="5440" w:space="388"/>
            <w:col w:w="5592"/>
          </w:cols>
          <w:pgMar w:left="240" w:top="459" w:right="239" w:bottom="1440" w:gutter="0" w:footer="0" w:header="0"/>
          <w:type w:val="continuous"/>
        </w:sectPr>
      </w:pP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336"/>
        </w:trPr>
        <w:tc>
          <w:tcPr>
            <w:tcW w:w="340" w:type="dxa"/>
            <w:vAlign w:val="bottom"/>
            <w:tcBorders>
              <w:right w:val="single" w:sz="8" w:color="225CAB"/>
            </w:tcBorders>
          </w:tcPr>
          <w:p>
            <w:pPr>
              <w:jc w:val="right"/>
              <w:ind w:right="52"/>
              <w:spacing w:after="0"/>
              <w:rPr>
                <w:sz w:val="20"/>
                <w:szCs w:val="20"/>
                <w:color w:val="auto"/>
              </w:rPr>
            </w:pPr>
            <w:r>
              <w:rPr>
                <w:rFonts w:ascii="Arial" w:cs="Arial" w:eastAsia="Arial" w:hAnsi="Arial"/>
                <w:sz w:val="18"/>
                <w:szCs w:val="18"/>
                <w:b w:val="1"/>
                <w:bCs w:val="1"/>
                <w:color w:val="225CAB"/>
                <w:w w:val="89"/>
              </w:rPr>
              <w:t>10</w:t>
            </w:r>
          </w:p>
        </w:tc>
        <w:tc>
          <w:tcPr>
            <w:tcW w:w="5180" w:type="dxa"/>
            <w:vAlign w:val="bottom"/>
          </w:tcPr>
          <w:p>
            <w:pPr>
              <w:ind w:left="1240"/>
              <w:spacing w:after="0"/>
              <w:rPr>
                <w:sz w:val="20"/>
                <w:szCs w:val="20"/>
                <w:color w:val="auto"/>
              </w:rPr>
            </w:pPr>
            <w:r>
              <w:rPr>
                <w:rFonts w:ascii="Arial" w:cs="Arial" w:eastAsia="Arial" w:hAnsi="Arial"/>
                <w:sz w:val="18"/>
                <w:szCs w:val="18"/>
                <w:b w:val="1"/>
                <w:bCs w:val="1"/>
                <w:color w:val="225CAB"/>
                <w:w w:val="96"/>
              </w:rPr>
              <w:t>Roper Technologies, Inc. 2016 Proxy Statement</w:t>
            </w:r>
          </w:p>
        </w:tc>
      </w:tr>
      <w:tr>
        <w:trPr>
          <w:trHeight w:val="110"/>
        </w:trPr>
        <w:tc>
          <w:tcPr>
            <w:tcW w:w="340" w:type="dxa"/>
            <w:vAlign w:val="bottom"/>
            <w:tcBorders>
              <w:right w:val="single" w:sz="8" w:color="225CAB"/>
            </w:tcBorders>
          </w:tcPr>
          <w:p>
            <w:pPr>
              <w:spacing w:after="0"/>
              <w:rPr>
                <w:sz w:val="9"/>
                <w:szCs w:val="9"/>
                <w:color w:val="auto"/>
              </w:rPr>
            </w:pPr>
          </w:p>
        </w:tc>
        <w:tc>
          <w:tcPr>
            <w:tcW w:w="518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-248285</wp:posOffset>
            </wp:positionV>
            <wp:extent cx="420370" cy="2057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225CAB"/>
        </w:rPr>
        <w:t xml:space="preserve">BOARD COMMITTEES AND MEETINGS </w:t>
      </w:r>
      <w:r>
        <w:rPr>
          <w:rFonts w:ascii="Arial" w:cs="Arial" w:eastAsia="Arial" w:hAnsi="Arial"/>
          <w:sz w:val="18"/>
          <w:szCs w:val="18"/>
          <w:i w:val="1"/>
          <w:iCs w:val="1"/>
          <w:color w:val="225CAB"/>
        </w:rPr>
        <w:t>(CONTINUED)</w:t>
      </w:r>
    </w:p>
    <w:p>
      <w:pPr>
        <w:spacing w:after="0" w:line="216"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issues as to the adequacy of our internal controls, analyses regarding significant financial reporting issues and judgments made in connection with the preparation of the financial statements, including analyses of the effects of alternative GAAP methods, and the effects of regulatory and accounting initiatives;</w:t>
      </w:r>
    </w:p>
    <w:p>
      <w:pPr>
        <w:spacing w:after="0" w:line="76" w:lineRule="exact"/>
        <w:rPr>
          <w:sz w:val="20"/>
          <w:szCs w:val="20"/>
          <w:color w:val="auto"/>
        </w:rPr>
      </w:pPr>
    </w:p>
    <w:p>
      <w:pPr>
        <w:ind w:left="200" w:right="500" w:hanging="192"/>
        <w:spacing w:after="0" w:line="239" w:lineRule="auto"/>
        <w:tabs>
          <w:tab w:leader="none" w:pos="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 significant risks and exposures and the steps taken to monitor and minimize such risks;</w:t>
      </w:r>
    </w:p>
    <w:p>
      <w:pPr>
        <w:spacing w:after="0" w:line="73" w:lineRule="exact"/>
        <w:rPr>
          <w:rFonts w:ascii="Arial" w:cs="Arial" w:eastAsia="Arial" w:hAnsi="Arial"/>
          <w:sz w:val="18"/>
          <w:szCs w:val="18"/>
          <w:color w:val="auto"/>
        </w:rPr>
      </w:pPr>
    </w:p>
    <w:p>
      <w:pPr>
        <w:ind w:left="200" w:hanging="192"/>
        <w:spacing w:after="0" w:line="236" w:lineRule="auto"/>
        <w:tabs>
          <w:tab w:leader="none" w:pos="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 procedures for the receipt, investigation and resolution of complaints received by us regarding accounting, internal accounting controls or auditing matters, and for the confidential, anonymous submission by employees of concerns regarding questionable accounting or auditing matters; and</w:t>
      </w:r>
    </w:p>
    <w:p>
      <w:pPr>
        <w:spacing w:after="0" w:line="76" w:lineRule="exact"/>
        <w:rPr>
          <w:rFonts w:ascii="Arial" w:cs="Arial" w:eastAsia="Arial" w:hAnsi="Arial"/>
          <w:sz w:val="18"/>
          <w:szCs w:val="18"/>
          <w:color w:val="auto"/>
        </w:rPr>
      </w:pPr>
    </w:p>
    <w:p>
      <w:pPr>
        <w:ind w:left="200" w:right="320" w:hanging="192"/>
        <w:spacing w:after="0" w:line="299" w:lineRule="auto"/>
        <w:tabs>
          <w:tab w:leader="none" w:pos="2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Prepare reports and disclosures required to be included in this Proxy Statement, including the “Audit Committee Report” below.</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 xml:space="preserve">Compensation Committee: </w:t>
      </w:r>
      <w:r>
        <w:rPr>
          <w:rFonts w:ascii="Arial" w:cs="Arial" w:eastAsia="Arial" w:hAnsi="Arial"/>
          <w:sz w:val="18"/>
          <w:szCs w:val="18"/>
          <w:b w:val="1"/>
          <w:bCs w:val="1"/>
          <w:color w:val="225CAB"/>
        </w:rPr>
        <w:t>5 Meetings Held in 2015</w:t>
      </w:r>
    </w:p>
    <w:p>
      <w:pPr>
        <w:spacing w:after="0" w:line="99"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The Compensation Committee administers our executive incentive compensation programs and determines, either as a committee or together with the other independent members of the Board (as directed by the Board), annual salary levels and incentive compensation awards for our executive officers. The Compensation Committee also, at the direction of the Board, periodically reviews and determines the form and amounts of director compensation and reviews and makes recommendations to the Board with respect to director compensation. The Compensation Committee may delegate its duties and responsibilities to a subcommittee of the Committee and has the authority to retain its own compensation consultants. Additional information regarding the Compensation Committee’s processes and procedures for the consideration and determination of executive compensation is set forth below in this Proxy Statement under “Compensation Discussion and Analysis.”</w:t>
      </w:r>
    </w:p>
    <w:p>
      <w:pPr>
        <w:spacing w:after="0" w:line="80"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Pursuant to its charter, the Compensation Committee has the authority and responsibility to:</w:t>
      </w:r>
    </w:p>
    <w:p>
      <w:pPr>
        <w:spacing w:after="0" w:line="74" w:lineRule="exact"/>
        <w:rPr>
          <w:sz w:val="20"/>
          <w:szCs w:val="20"/>
          <w:color w:val="auto"/>
        </w:rPr>
      </w:pPr>
    </w:p>
    <w:p>
      <w:pPr>
        <w:ind w:left="200" w:right="180" w:hanging="192"/>
        <w:spacing w:after="0" w:line="236" w:lineRule="auto"/>
        <w:tabs>
          <w:tab w:leader="none" w:pos="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Annually review and approve corporate goals and objectives relevant to our Chief Executive Officer’s compensation and based on that evaluation, determine and approve our Chief Executive Officer’s compensation, including salary, bonus, incentive and equity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00" w:right="180" w:hanging="192"/>
        <w:spacing w:after="0" w:line="238" w:lineRule="auto"/>
        <w:tabs>
          <w:tab w:leader="none" w:pos="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Annually review performance and approve compensation, including salary, bonus, and incentive and equity compensation for our executive officers;</w:t>
      </w:r>
    </w:p>
    <w:p>
      <w:pPr>
        <w:spacing w:after="0" w:line="72" w:lineRule="exact"/>
        <w:rPr>
          <w:rFonts w:ascii="Arial" w:cs="Arial" w:eastAsia="Arial" w:hAnsi="Arial"/>
          <w:sz w:val="18"/>
          <w:szCs w:val="18"/>
          <w:color w:val="auto"/>
        </w:rPr>
      </w:pPr>
    </w:p>
    <w:p>
      <w:pPr>
        <w:ind w:left="200" w:right="180" w:hanging="192"/>
        <w:spacing w:after="0" w:line="238" w:lineRule="auto"/>
        <w:tabs>
          <w:tab w:leader="none" w:pos="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Grant awards and otherwise make determinations under our equity, incentive, retirement, and deferred compensation plans, to the extent provided in such plans;</w:t>
      </w:r>
    </w:p>
    <w:p>
      <w:pPr>
        <w:spacing w:after="0" w:line="72" w:lineRule="exact"/>
        <w:rPr>
          <w:rFonts w:ascii="Arial" w:cs="Arial" w:eastAsia="Arial" w:hAnsi="Arial"/>
          <w:sz w:val="18"/>
          <w:szCs w:val="18"/>
          <w:color w:val="auto"/>
        </w:rPr>
      </w:pPr>
    </w:p>
    <w:p>
      <w:pPr>
        <w:ind w:left="200" w:right="200" w:hanging="192"/>
        <w:spacing w:after="0" w:line="237" w:lineRule="auto"/>
        <w:tabs>
          <w:tab w:leader="none" w:pos="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Determine performance goals and certify whether performance goals have been satisfied for incentive plans complying or intended to comply with Section 162(m) of the Internal Revenue Code (the “Code”);</w:t>
      </w:r>
    </w:p>
    <w:p>
      <w:pPr>
        <w:spacing w:after="0" w:line="73" w:lineRule="exact"/>
        <w:rPr>
          <w:rFonts w:ascii="Arial" w:cs="Arial" w:eastAsia="Arial" w:hAnsi="Arial"/>
          <w:sz w:val="18"/>
          <w:szCs w:val="18"/>
          <w:color w:val="auto"/>
        </w:rPr>
      </w:pPr>
    </w:p>
    <w:p>
      <w:pPr>
        <w:ind w:left="200" w:right="680" w:hanging="192"/>
        <w:spacing w:after="0" w:line="299" w:lineRule="auto"/>
        <w:tabs>
          <w:tab w:leader="none" w:pos="2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Periodically review and make recommendations to the Board concerning our equity and incentive compensation plans;</w:t>
      </w:r>
    </w:p>
    <w:p>
      <w:pPr>
        <w:spacing w:after="0" w:line="27" w:lineRule="exact"/>
        <w:rPr>
          <w:rFonts w:ascii="Arial" w:cs="Arial" w:eastAsia="Arial" w:hAnsi="Arial"/>
          <w:sz w:val="16"/>
          <w:szCs w:val="16"/>
          <w:color w:val="auto"/>
        </w:rPr>
      </w:pPr>
    </w:p>
    <w:p>
      <w:pPr>
        <w:ind w:left="200" w:right="380" w:hanging="192"/>
        <w:spacing w:after="0" w:line="239" w:lineRule="auto"/>
        <w:tabs>
          <w:tab w:leader="none" w:pos="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 risks associated with compensation and assess potential material adverse effect;</w:t>
      </w:r>
    </w:p>
    <w:p>
      <w:pPr>
        <w:spacing w:after="0" w:line="73" w:lineRule="exact"/>
        <w:rPr>
          <w:rFonts w:ascii="Arial" w:cs="Arial" w:eastAsia="Arial" w:hAnsi="Arial"/>
          <w:sz w:val="18"/>
          <w:szCs w:val="18"/>
          <w:color w:val="auto"/>
        </w:rPr>
      </w:pPr>
    </w:p>
    <w:p>
      <w:pPr>
        <w:ind w:left="200" w:right="200" w:hanging="192"/>
        <w:spacing w:after="0" w:line="239" w:lineRule="auto"/>
        <w:tabs>
          <w:tab w:leader="none" w:pos="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Periodically review and determine the form and amounts of director compensation; and</w:t>
      </w:r>
    </w:p>
    <w:p>
      <w:pPr>
        <w:spacing w:after="0" w:line="73" w:lineRule="exact"/>
        <w:rPr>
          <w:rFonts w:ascii="Arial" w:cs="Arial" w:eastAsia="Arial" w:hAnsi="Arial"/>
          <w:sz w:val="18"/>
          <w:szCs w:val="18"/>
          <w:color w:val="auto"/>
        </w:rPr>
      </w:pPr>
    </w:p>
    <w:p>
      <w:pPr>
        <w:ind w:left="200" w:right="500" w:hanging="192"/>
        <w:spacing w:after="0" w:line="281" w:lineRule="auto"/>
        <w:tabs>
          <w:tab w:leader="none" w:pos="2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Review and discuss with management the Compensation Discussion and Analysis disclosure regarding named executive officer compensation included in our annual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-3576320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Nominating and Governance Committee: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225CAB"/>
        </w:rPr>
        <w:t>6 Meetings Held in 2015</w:t>
      </w:r>
    </w:p>
    <w:p>
      <w:pPr>
        <w:spacing w:after="0" w:line="77"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The Nominating and Governance Committee assists our Board in identifying individuals qualified to become directors, determining the size and composition of our Board and its committees, developing and implementing corporate governance guidelines, evaluating the qualifications and independence of directors on a periodic basis and evaluating the overall effectiveness of our Board and its committees.</w:t>
      </w:r>
    </w:p>
    <w:p>
      <w:pPr>
        <w:spacing w:after="0" w:line="75" w:lineRule="exact"/>
        <w:rPr>
          <w:sz w:val="20"/>
          <w:szCs w:val="20"/>
          <w:color w:val="auto"/>
        </w:rPr>
      </w:pPr>
    </w:p>
    <w:p>
      <w:pPr>
        <w:ind w:right="360"/>
        <w:spacing w:after="0" w:line="239" w:lineRule="auto"/>
        <w:rPr>
          <w:sz w:val="20"/>
          <w:szCs w:val="20"/>
          <w:color w:val="auto"/>
        </w:rPr>
      </w:pPr>
      <w:r>
        <w:rPr>
          <w:rFonts w:ascii="Arial" w:cs="Arial" w:eastAsia="Arial" w:hAnsi="Arial"/>
          <w:sz w:val="18"/>
          <w:szCs w:val="18"/>
          <w:color w:val="auto"/>
        </w:rPr>
        <w:t>Pursuant to its charter, the Nominating and Governance Committee has the authority and responsibility to:</w:t>
      </w:r>
    </w:p>
    <w:p>
      <w:pPr>
        <w:spacing w:after="0" w:line="74" w:lineRule="exact"/>
        <w:rPr>
          <w:sz w:val="20"/>
          <w:szCs w:val="20"/>
          <w:color w:val="auto"/>
        </w:rPr>
      </w:pPr>
    </w:p>
    <w:p>
      <w:pPr>
        <w:ind w:left="200" w:right="240" w:hanging="192"/>
        <w:spacing w:after="0" w:line="275" w:lineRule="auto"/>
        <w:tabs>
          <w:tab w:leader="none" w:pos="2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Evaluate a candidate’s qualification based on a variety of factors, including such candidate’s integrity, reputation, judgment, knowledge, and diversity (including gender and ethnicity as well as background and experience) as well as our Board’s needs;</w:t>
      </w:r>
    </w:p>
    <w:p>
      <w:pPr>
        <w:spacing w:after="0" w:line="48" w:lineRule="exact"/>
        <w:rPr>
          <w:rFonts w:ascii="Arial" w:cs="Arial" w:eastAsia="Arial" w:hAnsi="Arial"/>
          <w:sz w:val="16"/>
          <w:szCs w:val="16"/>
          <w:color w:val="auto"/>
        </w:rPr>
      </w:pPr>
    </w:p>
    <w:p>
      <w:pPr>
        <w:ind w:left="200" w:right="280" w:hanging="192"/>
        <w:spacing w:after="0" w:line="299" w:lineRule="auto"/>
        <w:tabs>
          <w:tab w:leader="none" w:pos="2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Recommend qualified individuals for board membership, including individuals suggested by directors and/or shareholders;</w:t>
      </w:r>
    </w:p>
    <w:p>
      <w:pPr>
        <w:spacing w:after="0" w:line="322" w:lineRule="exact"/>
        <w:rPr>
          <w:sz w:val="20"/>
          <w:szCs w:val="20"/>
          <w:color w:val="auto"/>
        </w:rPr>
      </w:pPr>
    </w:p>
    <w:tbl>
      <w:tblPr>
        <w:tblLayout w:type="fixed"/>
        <w:tblInd w:w="1080" w:type="dxa"/>
        <w:tblCellMar>
          <w:top w:w="0" w:type="dxa"/>
          <w:left w:w="0" w:type="dxa"/>
          <w:bottom w:w="0" w:type="dxa"/>
          <w:right w:w="0" w:type="dxa"/>
        </w:tblCellMar>
      </w:tblPr>
      <w:tr>
        <w:trPr>
          <w:trHeight w:val="309"/>
        </w:trPr>
        <w:tc>
          <w:tcPr>
            <w:tcW w:w="4080" w:type="dxa"/>
            <w:vAlign w:val="bottom"/>
            <w:tcBorders>
              <w:right w:val="single" w:sz="8" w:color="225CAB"/>
            </w:tcBorders>
          </w:tcPr>
          <w:p>
            <w:pPr>
              <w:spacing w:after="0"/>
              <w:rPr>
                <w:sz w:val="20"/>
                <w:szCs w:val="20"/>
                <w:color w:val="auto"/>
              </w:rPr>
            </w:pPr>
            <w:r>
              <w:rPr>
                <w:rFonts w:ascii="Arial" w:cs="Arial" w:eastAsia="Arial" w:hAnsi="Arial"/>
                <w:sz w:val="18"/>
                <w:szCs w:val="18"/>
                <w:b w:val="1"/>
                <w:bCs w:val="1"/>
                <w:color w:val="225CAB"/>
                <w:w w:val="99"/>
              </w:rPr>
              <w:t>Roper Technologies, Inc. 2016 Proxy Statement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225CAB"/>
              </w:rPr>
              <w:t>11</w:t>
            </w:r>
          </w:p>
        </w:tc>
      </w:tr>
      <w:tr>
        <w:trPr>
          <w:trHeight w:val="83"/>
        </w:trPr>
        <w:tc>
          <w:tcPr>
            <w:tcW w:w="4080" w:type="dxa"/>
            <w:vAlign w:val="bottom"/>
            <w:tcBorders>
              <w:right w:val="single" w:sz="8" w:color="225CAB"/>
            </w:tcBorders>
          </w:tcPr>
          <w:p>
            <w:pPr>
              <w:spacing w:after="0"/>
              <w:rPr>
                <w:sz w:val="7"/>
                <w:szCs w:val="7"/>
                <w:color w:val="auto"/>
              </w:rPr>
            </w:pPr>
          </w:p>
        </w:tc>
        <w:tc>
          <w:tcPr>
            <w:tcW w:w="44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-213995</wp:posOffset>
            </wp:positionV>
            <wp:extent cx="420370" cy="2057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ectPr>
          <w:pgSz w:w="11900" w:h="16838" w:orient="portrait"/>
          <w:cols w:equalWidth="0" w:num="2">
            <w:col w:w="5480" w:space="340"/>
            <w:col w:w="560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225CAB"/>
        </w:rPr>
        <w:t xml:space="preserve">BOARD COMMITTEES AND MEETINGS </w:t>
      </w:r>
      <w:r>
        <w:rPr>
          <w:rFonts w:ascii="Arial" w:cs="Arial" w:eastAsia="Arial" w:hAnsi="Arial"/>
          <w:sz w:val="18"/>
          <w:szCs w:val="18"/>
          <w:i w:val="1"/>
          <w:iCs w:val="1"/>
          <w:color w:val="225CAB"/>
        </w:rPr>
        <w:t>(CONTINUED)</w:t>
      </w:r>
    </w:p>
    <w:p>
      <w:pPr>
        <w:spacing w:after="0" w:line="297" w:lineRule="exact"/>
        <w:rPr>
          <w:sz w:val="20"/>
          <w:szCs w:val="20"/>
          <w:color w:val="auto"/>
        </w:rPr>
      </w:pPr>
    </w:p>
    <w:p>
      <w:pPr>
        <w:ind w:left="200" w:right="100" w:hanging="192"/>
        <w:spacing w:after="0" w:line="239" w:lineRule="auto"/>
        <w:tabs>
          <w:tab w:leader="none" w:pos="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Periodically review the size and responsibilities of our Board and its committees and recommend changes to our Board;</w:t>
      </w:r>
    </w:p>
    <w:p>
      <w:pPr>
        <w:spacing w:after="0" w:line="73" w:lineRule="exact"/>
        <w:rPr>
          <w:rFonts w:ascii="Arial" w:cs="Arial" w:eastAsia="Arial" w:hAnsi="Arial"/>
          <w:sz w:val="18"/>
          <w:szCs w:val="18"/>
          <w:color w:val="auto"/>
        </w:rPr>
      </w:pPr>
    </w:p>
    <w:p>
      <w:pPr>
        <w:ind w:left="200" w:right="260" w:hanging="192"/>
        <w:spacing w:after="0" w:line="239" w:lineRule="auto"/>
        <w:tabs>
          <w:tab w:leader="none" w:pos="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Annually review and recommend committee slates and additional committee members to our Board as needed;</w:t>
      </w:r>
    </w:p>
    <w:p>
      <w:pPr>
        <w:spacing w:after="0" w:line="73" w:lineRule="exact"/>
        <w:rPr>
          <w:rFonts w:ascii="Arial" w:cs="Arial" w:eastAsia="Arial" w:hAnsi="Arial"/>
          <w:sz w:val="18"/>
          <w:szCs w:val="18"/>
          <w:color w:val="auto"/>
        </w:rPr>
      </w:pPr>
    </w:p>
    <w:p>
      <w:pPr>
        <w:ind w:left="200" w:right="140" w:hanging="192"/>
        <w:spacing w:after="0" w:line="238" w:lineRule="auto"/>
        <w:tabs>
          <w:tab w:leader="none" w:pos="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 and recommend to our Board a set of corporate governance guidelines and periodically review such guidelines and propose changes to our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336"/>
        </w:trPr>
        <w:tc>
          <w:tcPr>
            <w:tcW w:w="340" w:type="dxa"/>
            <w:vAlign w:val="bottom"/>
            <w:tcBorders>
              <w:right w:val="single" w:sz="8" w:color="225CAB"/>
            </w:tcBorders>
          </w:tcPr>
          <w:p>
            <w:pPr>
              <w:jc w:val="right"/>
              <w:ind w:right="52"/>
              <w:spacing w:after="0"/>
              <w:rPr>
                <w:sz w:val="20"/>
                <w:szCs w:val="20"/>
                <w:color w:val="auto"/>
              </w:rPr>
            </w:pPr>
            <w:r>
              <w:rPr>
                <w:rFonts w:ascii="Arial" w:cs="Arial" w:eastAsia="Arial" w:hAnsi="Arial"/>
                <w:sz w:val="18"/>
                <w:szCs w:val="18"/>
                <w:b w:val="1"/>
                <w:bCs w:val="1"/>
                <w:color w:val="225CAB"/>
                <w:w w:val="89"/>
              </w:rPr>
              <w:t>12</w:t>
            </w:r>
          </w:p>
        </w:tc>
        <w:tc>
          <w:tcPr>
            <w:tcW w:w="5180" w:type="dxa"/>
            <w:vAlign w:val="bottom"/>
          </w:tcPr>
          <w:p>
            <w:pPr>
              <w:ind w:left="1240"/>
              <w:spacing w:after="0"/>
              <w:rPr>
                <w:sz w:val="20"/>
                <w:szCs w:val="20"/>
                <w:color w:val="auto"/>
              </w:rPr>
            </w:pPr>
            <w:r>
              <w:rPr>
                <w:rFonts w:ascii="Arial" w:cs="Arial" w:eastAsia="Arial" w:hAnsi="Arial"/>
                <w:sz w:val="18"/>
                <w:szCs w:val="18"/>
                <w:b w:val="1"/>
                <w:bCs w:val="1"/>
                <w:color w:val="225CAB"/>
                <w:w w:val="96"/>
              </w:rPr>
              <w:t>Roper Technologies, Inc. 2016 Proxy Statement</w:t>
            </w:r>
          </w:p>
        </w:tc>
      </w:tr>
      <w:tr>
        <w:trPr>
          <w:trHeight w:val="110"/>
        </w:trPr>
        <w:tc>
          <w:tcPr>
            <w:tcW w:w="340" w:type="dxa"/>
            <w:vAlign w:val="bottom"/>
            <w:tcBorders>
              <w:right w:val="single" w:sz="8" w:color="225CAB"/>
            </w:tcBorders>
          </w:tcPr>
          <w:p>
            <w:pPr>
              <w:spacing w:after="0"/>
              <w:rPr>
                <w:sz w:val="9"/>
                <w:szCs w:val="9"/>
                <w:color w:val="auto"/>
              </w:rPr>
            </w:pPr>
          </w:p>
        </w:tc>
        <w:tc>
          <w:tcPr>
            <w:tcW w:w="518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-248285</wp:posOffset>
            </wp:positionV>
            <wp:extent cx="420370" cy="2057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00" w:hanging="192"/>
        <w:spacing w:after="0" w:line="238" w:lineRule="auto"/>
        <w:tabs>
          <w:tab w:leader="none" w:pos="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Annually review and approve our Chief Executive Officer’s management succession plan to ensure continuity of management; and</w:t>
      </w:r>
    </w:p>
    <w:p>
      <w:pPr>
        <w:spacing w:after="0" w:line="72" w:lineRule="exact"/>
        <w:rPr>
          <w:rFonts w:ascii="Arial" w:cs="Arial" w:eastAsia="Arial" w:hAnsi="Arial"/>
          <w:sz w:val="18"/>
          <w:szCs w:val="18"/>
          <w:color w:val="auto"/>
        </w:rPr>
      </w:pPr>
    </w:p>
    <w:p>
      <w:pPr>
        <w:ind w:left="200" w:right="220" w:hanging="192"/>
        <w:spacing w:after="0" w:line="238" w:lineRule="auto"/>
        <w:tabs>
          <w:tab w:leader="none" w:pos="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 and recommend to our Board an annual self-evaluation process for our Board and its committees, and administer and oversee the evaluation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-1678940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Executive Committee: No Meeting Held in 2015</w:t>
      </w:r>
    </w:p>
    <w:p>
      <w:pPr>
        <w:spacing w:after="0" w:line="97"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The Executive Committee has the authority to exercise all powers of the Board between regularly scheduled Board meetings.</w:t>
      </w:r>
    </w:p>
    <w:p>
      <w:pPr>
        <w:sectPr>
          <w:pgSz w:w="11900" w:h="16838" w:orient="portrait"/>
          <w:cols w:equalWidth="0" w:num="2">
            <w:col w:w="5520" w:space="300"/>
            <w:col w:w="5400"/>
          </w:cols>
          <w:pgMar w:left="24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spacing w:after="0"/>
        <w:rPr>
          <w:sz w:val="20"/>
          <w:szCs w:val="20"/>
          <w:color w:val="auto"/>
        </w:rPr>
      </w:pPr>
      <w:r>
        <w:rPr>
          <w:rFonts w:ascii="Arial" w:cs="Arial" w:eastAsia="Arial" w:hAnsi="Arial"/>
          <w:sz w:val="32"/>
          <w:szCs w:val="32"/>
          <w:color w:val="225CAB"/>
        </w:rPr>
        <w:t>DIRECTOR COMPENSATION</w:t>
      </w:r>
    </w:p>
    <w:p>
      <w:pPr>
        <w:spacing w:after="0" w:line="253"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Compensation for our non-employee directors is governed by our Director Compensation Plan, which is a sub-plan of our 2006 Incentive Plan. The Director Compensation Plan provides for an annual grant of 4,000 restricted stock units (“RSUs”), which are issued the first business day after our Annual Meeting of Shareholders. Unless the non-employee director has made a timely deferral election as provided in the Plan, each RSU represents the right to receive one share of our common stock on the vesting date and the right to receive a dividend equivalent in the same amount and at the same time as any dividend or other cash distribution is paid on a share of our common stock. RSUs do not have voting rights. One half of the RSUs granted vest six months after the grant date and the remaining RSUs vest the day before the next Annual Meeting. During 2015, each non-employee director received a grant of 4,000 RSUs on June 1, 2015.</w:t>
      </w:r>
    </w:p>
    <w:p>
      <w:pPr>
        <w:spacing w:after="0" w:line="74" w:lineRule="exact"/>
        <w:rPr>
          <w:sz w:val="20"/>
          <w:szCs w:val="20"/>
          <w:color w:val="auto"/>
        </w:rPr>
      </w:pPr>
    </w:p>
    <w:p>
      <w:pPr>
        <w:jc w:val="both"/>
        <w:ind w:right="480"/>
        <w:spacing w:after="0" w:line="238" w:lineRule="auto"/>
        <w:rPr>
          <w:sz w:val="20"/>
          <w:szCs w:val="20"/>
          <w:color w:val="auto"/>
        </w:rPr>
      </w:pPr>
      <w:r>
        <w:rPr>
          <w:rFonts w:ascii="Arial" w:cs="Arial" w:eastAsia="Arial" w:hAnsi="Arial"/>
          <w:sz w:val="18"/>
          <w:szCs w:val="18"/>
          <w:color w:val="auto"/>
        </w:rPr>
        <w:t>Under our Director Compensation Plan, each non-employee director also receives an annual cash retainer and fees for board and committee meetings as shown in the table below. The cash retainer and the number of RSUs granted will be prorated for any new director based on the number of full months such director serves as a non-employee director during the year.</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20" w:type="dxa"/>
            <w:vAlign w:val="bottom"/>
            <w:tcBorders>
              <w:top w:val="single" w:sz="8" w:color="auto"/>
            </w:tcBorders>
            <w:shd w:val="clear" w:color="auto" w:fill="D2DEEE"/>
          </w:tcPr>
          <w:p>
            <w:pPr>
              <w:spacing w:after="0"/>
              <w:rPr>
                <w:sz w:val="20"/>
                <w:szCs w:val="20"/>
                <w:color w:val="auto"/>
              </w:rPr>
            </w:pPr>
            <w:r>
              <w:rPr>
                <w:rFonts w:ascii="Arial" w:cs="Arial" w:eastAsia="Arial" w:hAnsi="Arial"/>
                <w:sz w:val="18"/>
                <w:szCs w:val="18"/>
                <w:b w:val="1"/>
                <w:bCs w:val="1"/>
                <w:i w:val="1"/>
                <w:iCs w:val="1"/>
                <w:color w:val="auto"/>
              </w:rPr>
              <w:t>Annual Cash Retainer</w:t>
            </w:r>
          </w:p>
        </w:tc>
        <w:tc>
          <w:tcPr>
            <w:tcW w:w="3500" w:type="dxa"/>
            <w:vAlign w:val="bottom"/>
            <w:tcBorders>
              <w:top w:val="single" w:sz="8" w:color="auto"/>
            </w:tcBorders>
            <w:shd w:val="clear" w:color="auto" w:fill="D2DEEE"/>
          </w:tcPr>
          <w:p>
            <w:pPr>
              <w:spacing w:after="0"/>
              <w:rPr>
                <w:sz w:val="18"/>
                <w:szCs w:val="18"/>
                <w:color w:val="auto"/>
              </w:rPr>
            </w:pPr>
          </w:p>
        </w:tc>
        <w:tc>
          <w:tcPr>
            <w:tcW w:w="700" w:type="dxa"/>
            <w:vAlign w:val="bottom"/>
            <w:tcBorders>
              <w:top w:val="single" w:sz="8" w:color="auto"/>
            </w:tcBorders>
            <w:shd w:val="clear" w:color="auto" w:fill="D2DEEE"/>
          </w:tcPr>
          <w:p>
            <w:pPr>
              <w:spacing w:after="0"/>
              <w:rPr>
                <w:sz w:val="18"/>
                <w:szCs w:val="18"/>
                <w:color w:val="auto"/>
              </w:rPr>
            </w:pPr>
          </w:p>
        </w:tc>
      </w:tr>
      <w:tr>
        <w:trPr>
          <w:trHeight w:val="203"/>
        </w:trPr>
        <w:tc>
          <w:tcPr>
            <w:tcW w:w="7220" w:type="dxa"/>
            <w:vAlign w:val="bottom"/>
          </w:tcPr>
          <w:p>
            <w:pPr>
              <w:spacing w:after="0" w:line="202" w:lineRule="exact"/>
              <w:rPr>
                <w:sz w:val="20"/>
                <w:szCs w:val="20"/>
                <w:color w:val="auto"/>
              </w:rPr>
            </w:pPr>
            <w:r>
              <w:rPr>
                <w:rFonts w:ascii="Arial" w:cs="Arial" w:eastAsia="Arial" w:hAnsi="Arial"/>
                <w:sz w:val="18"/>
                <w:szCs w:val="18"/>
                <w:color w:val="auto"/>
              </w:rPr>
              <w:t>Cash Retainer</w:t>
            </w:r>
          </w:p>
        </w:tc>
        <w:tc>
          <w:tcPr>
            <w:tcW w:w="35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72"/>
              <w:spacing w:after="0" w:line="202" w:lineRule="exact"/>
              <w:rPr>
                <w:sz w:val="20"/>
                <w:szCs w:val="20"/>
                <w:color w:val="auto"/>
              </w:rPr>
            </w:pPr>
            <w:r>
              <w:rPr>
                <w:rFonts w:ascii="Arial" w:cs="Arial" w:eastAsia="Arial" w:hAnsi="Arial"/>
                <w:sz w:val="18"/>
                <w:szCs w:val="18"/>
                <w:color w:val="auto"/>
                <w:w w:val="94"/>
              </w:rPr>
              <w:t>42,500</w:t>
            </w:r>
          </w:p>
        </w:tc>
      </w:tr>
      <w:tr>
        <w:trPr>
          <w:trHeight w:val="203"/>
        </w:trPr>
        <w:tc>
          <w:tcPr>
            <w:tcW w:w="7220" w:type="dxa"/>
            <w:vAlign w:val="bottom"/>
            <w:shd w:val="clear" w:color="auto" w:fill="D2DEEE"/>
          </w:tcPr>
          <w:p>
            <w:pPr>
              <w:spacing w:after="0" w:line="202" w:lineRule="exact"/>
              <w:rPr>
                <w:sz w:val="20"/>
                <w:szCs w:val="20"/>
                <w:color w:val="auto"/>
              </w:rPr>
            </w:pPr>
            <w:r>
              <w:rPr>
                <w:rFonts w:ascii="Arial" w:cs="Arial" w:eastAsia="Arial" w:hAnsi="Arial"/>
                <w:sz w:val="18"/>
                <w:szCs w:val="18"/>
                <w:b w:val="1"/>
                <w:bCs w:val="1"/>
                <w:i w:val="1"/>
                <w:iCs w:val="1"/>
                <w:color w:val="auto"/>
              </w:rPr>
              <w:t>Supplemental Annual Cash Retainers</w:t>
            </w:r>
          </w:p>
        </w:tc>
        <w:tc>
          <w:tcPr>
            <w:tcW w:w="3500" w:type="dxa"/>
            <w:vAlign w:val="bottom"/>
            <w:shd w:val="clear" w:color="auto" w:fill="D2DEEE"/>
          </w:tcPr>
          <w:p>
            <w:pPr>
              <w:spacing w:after="0"/>
              <w:rPr>
                <w:sz w:val="17"/>
                <w:szCs w:val="17"/>
                <w:color w:val="auto"/>
              </w:rPr>
            </w:pPr>
          </w:p>
        </w:tc>
        <w:tc>
          <w:tcPr>
            <w:tcW w:w="700" w:type="dxa"/>
            <w:vAlign w:val="bottom"/>
            <w:shd w:val="clear" w:color="auto" w:fill="D2DEEE"/>
          </w:tcPr>
          <w:p>
            <w:pPr>
              <w:spacing w:after="0"/>
              <w:rPr>
                <w:sz w:val="17"/>
                <w:szCs w:val="17"/>
                <w:color w:val="auto"/>
              </w:rPr>
            </w:pPr>
          </w:p>
        </w:tc>
      </w:tr>
      <w:tr>
        <w:trPr>
          <w:trHeight w:val="206"/>
        </w:trPr>
        <w:tc>
          <w:tcPr>
            <w:tcW w:w="7220" w:type="dxa"/>
            <w:vAlign w:val="bottom"/>
          </w:tcPr>
          <w:p>
            <w:pPr>
              <w:spacing w:after="0" w:line="206" w:lineRule="exact"/>
              <w:rPr>
                <w:sz w:val="20"/>
                <w:szCs w:val="20"/>
                <w:color w:val="auto"/>
              </w:rPr>
            </w:pPr>
            <w:r>
              <w:rPr>
                <w:rFonts w:ascii="Arial" w:cs="Arial" w:eastAsia="Arial" w:hAnsi="Arial"/>
                <w:sz w:val="18"/>
                <w:szCs w:val="18"/>
                <w:color w:val="auto"/>
              </w:rPr>
              <w:t>Chair of Audit Committee</w:t>
            </w:r>
          </w:p>
        </w:tc>
        <w:tc>
          <w:tcPr>
            <w:tcW w:w="3500" w:type="dxa"/>
            <w:vAlign w:val="bottom"/>
          </w:tcPr>
          <w:p>
            <w:pPr>
              <w:jc w:val="right"/>
              <w:spacing w:after="0" w:line="206"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72"/>
              <w:spacing w:after="0" w:line="206" w:lineRule="exact"/>
              <w:rPr>
                <w:sz w:val="20"/>
                <w:szCs w:val="20"/>
                <w:color w:val="auto"/>
              </w:rPr>
            </w:pPr>
            <w:r>
              <w:rPr>
                <w:rFonts w:ascii="Arial" w:cs="Arial" w:eastAsia="Arial" w:hAnsi="Arial"/>
                <w:sz w:val="18"/>
                <w:szCs w:val="18"/>
                <w:color w:val="auto"/>
              </w:rPr>
              <w:t>5,000</w:t>
            </w:r>
          </w:p>
        </w:tc>
      </w:tr>
      <w:tr>
        <w:trPr>
          <w:trHeight w:val="203"/>
        </w:trPr>
        <w:tc>
          <w:tcPr>
            <w:tcW w:w="7220" w:type="dxa"/>
            <w:vAlign w:val="bottom"/>
          </w:tcPr>
          <w:p>
            <w:pPr>
              <w:spacing w:after="0" w:line="202" w:lineRule="exact"/>
              <w:rPr>
                <w:sz w:val="20"/>
                <w:szCs w:val="20"/>
                <w:color w:val="auto"/>
              </w:rPr>
            </w:pPr>
            <w:r>
              <w:rPr>
                <w:rFonts w:ascii="Arial" w:cs="Arial" w:eastAsia="Arial" w:hAnsi="Arial"/>
                <w:sz w:val="18"/>
                <w:szCs w:val="18"/>
                <w:color w:val="auto"/>
              </w:rPr>
              <w:t>Chair of Compensation Committee</w:t>
            </w:r>
          </w:p>
        </w:tc>
        <w:tc>
          <w:tcPr>
            <w:tcW w:w="35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72"/>
              <w:spacing w:after="0" w:line="202" w:lineRule="exact"/>
              <w:rPr>
                <w:sz w:val="20"/>
                <w:szCs w:val="20"/>
                <w:color w:val="auto"/>
              </w:rPr>
            </w:pPr>
            <w:r>
              <w:rPr>
                <w:rFonts w:ascii="Arial" w:cs="Arial" w:eastAsia="Arial" w:hAnsi="Arial"/>
                <w:sz w:val="18"/>
                <w:szCs w:val="18"/>
                <w:color w:val="auto"/>
              </w:rPr>
              <w:t>5,000</w:t>
            </w:r>
          </w:p>
        </w:tc>
      </w:tr>
      <w:tr>
        <w:trPr>
          <w:trHeight w:val="199"/>
        </w:trPr>
        <w:tc>
          <w:tcPr>
            <w:tcW w:w="7220" w:type="dxa"/>
            <w:vAlign w:val="bottom"/>
          </w:tcPr>
          <w:p>
            <w:pPr>
              <w:spacing w:after="0" w:line="200" w:lineRule="exact"/>
              <w:rPr>
                <w:sz w:val="20"/>
                <w:szCs w:val="20"/>
                <w:color w:val="auto"/>
              </w:rPr>
            </w:pPr>
            <w:r>
              <w:rPr>
                <w:rFonts w:ascii="Arial" w:cs="Arial" w:eastAsia="Arial" w:hAnsi="Arial"/>
                <w:sz w:val="18"/>
                <w:szCs w:val="18"/>
                <w:color w:val="auto"/>
              </w:rPr>
              <w:t>Chair of Nominating and Governance Committee</w:t>
            </w:r>
          </w:p>
        </w:tc>
        <w:tc>
          <w:tcPr>
            <w:tcW w:w="350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72"/>
              <w:spacing w:after="0" w:line="200" w:lineRule="exact"/>
              <w:rPr>
                <w:sz w:val="20"/>
                <w:szCs w:val="20"/>
                <w:color w:val="auto"/>
              </w:rPr>
            </w:pPr>
            <w:r>
              <w:rPr>
                <w:rFonts w:ascii="Arial" w:cs="Arial" w:eastAsia="Arial" w:hAnsi="Arial"/>
                <w:sz w:val="18"/>
                <w:szCs w:val="18"/>
                <w:color w:val="auto"/>
              </w:rPr>
              <w:t>5,000</w:t>
            </w:r>
          </w:p>
        </w:tc>
      </w:tr>
      <w:tr>
        <w:trPr>
          <w:trHeight w:val="203"/>
        </w:trPr>
        <w:tc>
          <w:tcPr>
            <w:tcW w:w="7220" w:type="dxa"/>
            <w:vAlign w:val="bottom"/>
            <w:shd w:val="clear" w:color="auto" w:fill="D2DEEE"/>
          </w:tcPr>
          <w:p>
            <w:pPr>
              <w:spacing w:after="0" w:line="202" w:lineRule="exact"/>
              <w:rPr>
                <w:sz w:val="20"/>
                <w:szCs w:val="20"/>
                <w:color w:val="auto"/>
              </w:rPr>
            </w:pPr>
            <w:r>
              <w:rPr>
                <w:rFonts w:ascii="Arial" w:cs="Arial" w:eastAsia="Arial" w:hAnsi="Arial"/>
                <w:sz w:val="18"/>
                <w:szCs w:val="18"/>
                <w:b w:val="1"/>
                <w:bCs w:val="1"/>
                <w:i w:val="1"/>
                <w:iCs w:val="1"/>
                <w:color w:val="auto"/>
              </w:rPr>
              <w:t>Board Meeting Compensation</w:t>
            </w:r>
            <w:r>
              <w:rPr>
                <w:rFonts w:ascii="Arial" w:cs="Arial" w:eastAsia="Arial" w:hAnsi="Arial"/>
                <w:sz w:val="11"/>
                <w:szCs w:val="11"/>
                <w:b w:val="1"/>
                <w:bCs w:val="1"/>
                <w:color w:val="auto"/>
              </w:rPr>
              <w:t>(1)</w:t>
            </w:r>
          </w:p>
        </w:tc>
        <w:tc>
          <w:tcPr>
            <w:tcW w:w="3500" w:type="dxa"/>
            <w:vAlign w:val="bottom"/>
            <w:shd w:val="clear" w:color="auto" w:fill="D2DEEE"/>
          </w:tcPr>
          <w:p>
            <w:pPr>
              <w:spacing w:after="0"/>
              <w:rPr>
                <w:sz w:val="17"/>
                <w:szCs w:val="17"/>
                <w:color w:val="auto"/>
              </w:rPr>
            </w:pPr>
          </w:p>
        </w:tc>
        <w:tc>
          <w:tcPr>
            <w:tcW w:w="700" w:type="dxa"/>
            <w:vAlign w:val="bottom"/>
            <w:shd w:val="clear" w:color="auto" w:fill="D2DEEE"/>
          </w:tcPr>
          <w:p>
            <w:pPr>
              <w:spacing w:after="0"/>
              <w:rPr>
                <w:sz w:val="17"/>
                <w:szCs w:val="17"/>
                <w:color w:val="auto"/>
              </w:rPr>
            </w:pPr>
          </w:p>
        </w:tc>
      </w:tr>
      <w:tr>
        <w:trPr>
          <w:trHeight w:val="206"/>
        </w:trPr>
        <w:tc>
          <w:tcPr>
            <w:tcW w:w="7220" w:type="dxa"/>
            <w:vAlign w:val="bottom"/>
          </w:tcPr>
          <w:p>
            <w:pPr>
              <w:spacing w:after="0" w:line="206" w:lineRule="exact"/>
              <w:rPr>
                <w:sz w:val="20"/>
                <w:szCs w:val="20"/>
                <w:color w:val="auto"/>
              </w:rPr>
            </w:pPr>
            <w:r>
              <w:rPr>
                <w:rFonts w:ascii="Arial" w:cs="Arial" w:eastAsia="Arial" w:hAnsi="Arial"/>
                <w:sz w:val="18"/>
                <w:szCs w:val="18"/>
                <w:color w:val="auto"/>
              </w:rPr>
              <w:t>In-Person Attendance</w:t>
            </w:r>
          </w:p>
        </w:tc>
        <w:tc>
          <w:tcPr>
            <w:tcW w:w="3500" w:type="dxa"/>
            <w:vAlign w:val="bottom"/>
          </w:tcPr>
          <w:p>
            <w:pPr>
              <w:jc w:val="right"/>
              <w:spacing w:after="0" w:line="206"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72"/>
              <w:spacing w:after="0" w:line="206" w:lineRule="exact"/>
              <w:rPr>
                <w:sz w:val="20"/>
                <w:szCs w:val="20"/>
                <w:color w:val="auto"/>
              </w:rPr>
            </w:pPr>
            <w:r>
              <w:rPr>
                <w:rFonts w:ascii="Arial" w:cs="Arial" w:eastAsia="Arial" w:hAnsi="Arial"/>
                <w:sz w:val="18"/>
                <w:szCs w:val="18"/>
                <w:color w:val="auto"/>
              </w:rPr>
              <w:t>2,000</w:t>
            </w:r>
          </w:p>
        </w:tc>
      </w:tr>
      <w:tr>
        <w:trPr>
          <w:trHeight w:val="199"/>
        </w:trPr>
        <w:tc>
          <w:tcPr>
            <w:tcW w:w="7220" w:type="dxa"/>
            <w:vAlign w:val="bottom"/>
          </w:tcPr>
          <w:p>
            <w:pPr>
              <w:spacing w:after="0" w:line="200" w:lineRule="exact"/>
              <w:rPr>
                <w:sz w:val="20"/>
                <w:szCs w:val="20"/>
                <w:color w:val="auto"/>
              </w:rPr>
            </w:pPr>
            <w:r>
              <w:rPr>
                <w:rFonts w:ascii="Arial" w:cs="Arial" w:eastAsia="Arial" w:hAnsi="Arial"/>
                <w:sz w:val="18"/>
                <w:szCs w:val="18"/>
                <w:color w:val="auto"/>
              </w:rPr>
              <w:t>Telephonic Attendance</w:t>
            </w:r>
          </w:p>
        </w:tc>
        <w:tc>
          <w:tcPr>
            <w:tcW w:w="350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72"/>
              <w:spacing w:after="0" w:line="200" w:lineRule="exact"/>
              <w:rPr>
                <w:sz w:val="20"/>
                <w:szCs w:val="20"/>
                <w:color w:val="auto"/>
              </w:rPr>
            </w:pPr>
            <w:r>
              <w:rPr>
                <w:rFonts w:ascii="Arial" w:cs="Arial" w:eastAsia="Arial" w:hAnsi="Arial"/>
                <w:sz w:val="18"/>
                <w:szCs w:val="18"/>
                <w:color w:val="auto"/>
              </w:rPr>
              <w:t>1,000</w:t>
            </w:r>
          </w:p>
        </w:tc>
      </w:tr>
      <w:tr>
        <w:trPr>
          <w:trHeight w:val="203"/>
        </w:trPr>
        <w:tc>
          <w:tcPr>
            <w:tcW w:w="7220" w:type="dxa"/>
            <w:vAlign w:val="bottom"/>
            <w:shd w:val="clear" w:color="auto" w:fill="D2DEEE"/>
          </w:tcPr>
          <w:p>
            <w:pPr>
              <w:spacing w:after="0" w:line="202" w:lineRule="exact"/>
              <w:rPr>
                <w:sz w:val="20"/>
                <w:szCs w:val="20"/>
                <w:color w:val="auto"/>
              </w:rPr>
            </w:pPr>
            <w:r>
              <w:rPr>
                <w:rFonts w:ascii="Arial" w:cs="Arial" w:eastAsia="Arial" w:hAnsi="Arial"/>
                <w:sz w:val="18"/>
                <w:szCs w:val="18"/>
                <w:b w:val="1"/>
                <w:bCs w:val="1"/>
                <w:i w:val="1"/>
                <w:iCs w:val="1"/>
                <w:color w:val="auto"/>
              </w:rPr>
              <w:t>Committee Meeting Compensation</w:t>
            </w:r>
            <w:r>
              <w:rPr>
                <w:rFonts w:ascii="Arial" w:cs="Arial" w:eastAsia="Arial" w:hAnsi="Arial"/>
                <w:sz w:val="11"/>
                <w:szCs w:val="11"/>
                <w:b w:val="1"/>
                <w:bCs w:val="1"/>
                <w:color w:val="auto"/>
              </w:rPr>
              <w:t>(2)</w:t>
            </w:r>
          </w:p>
        </w:tc>
        <w:tc>
          <w:tcPr>
            <w:tcW w:w="3500" w:type="dxa"/>
            <w:vAlign w:val="bottom"/>
            <w:shd w:val="clear" w:color="auto" w:fill="D2DEEE"/>
          </w:tcPr>
          <w:p>
            <w:pPr>
              <w:spacing w:after="0"/>
              <w:rPr>
                <w:sz w:val="17"/>
                <w:szCs w:val="17"/>
                <w:color w:val="auto"/>
              </w:rPr>
            </w:pPr>
          </w:p>
        </w:tc>
        <w:tc>
          <w:tcPr>
            <w:tcW w:w="700" w:type="dxa"/>
            <w:vAlign w:val="bottom"/>
            <w:shd w:val="clear" w:color="auto" w:fill="D2DEEE"/>
          </w:tcPr>
          <w:p>
            <w:pPr>
              <w:spacing w:after="0"/>
              <w:rPr>
                <w:sz w:val="17"/>
                <w:szCs w:val="17"/>
                <w:color w:val="auto"/>
              </w:rPr>
            </w:pPr>
          </w:p>
        </w:tc>
      </w:tr>
      <w:tr>
        <w:trPr>
          <w:trHeight w:val="206"/>
        </w:trPr>
        <w:tc>
          <w:tcPr>
            <w:tcW w:w="7220" w:type="dxa"/>
            <w:vAlign w:val="bottom"/>
          </w:tcPr>
          <w:p>
            <w:pPr>
              <w:spacing w:after="0" w:line="206" w:lineRule="exact"/>
              <w:rPr>
                <w:sz w:val="20"/>
                <w:szCs w:val="20"/>
                <w:color w:val="auto"/>
              </w:rPr>
            </w:pPr>
            <w:r>
              <w:rPr>
                <w:rFonts w:ascii="Arial" w:cs="Arial" w:eastAsia="Arial" w:hAnsi="Arial"/>
                <w:sz w:val="18"/>
                <w:szCs w:val="18"/>
                <w:color w:val="auto"/>
              </w:rPr>
              <w:t>In-Person Attendance</w:t>
            </w:r>
          </w:p>
        </w:tc>
        <w:tc>
          <w:tcPr>
            <w:tcW w:w="3500" w:type="dxa"/>
            <w:vAlign w:val="bottom"/>
          </w:tcPr>
          <w:p>
            <w:pPr>
              <w:jc w:val="right"/>
              <w:spacing w:after="0" w:line="206"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72"/>
              <w:spacing w:after="0" w:line="206" w:lineRule="exact"/>
              <w:rPr>
                <w:sz w:val="20"/>
                <w:szCs w:val="20"/>
                <w:color w:val="auto"/>
              </w:rPr>
            </w:pPr>
            <w:r>
              <w:rPr>
                <w:rFonts w:ascii="Arial" w:cs="Arial" w:eastAsia="Arial" w:hAnsi="Arial"/>
                <w:sz w:val="18"/>
                <w:szCs w:val="18"/>
                <w:color w:val="auto"/>
              </w:rPr>
              <w:t>1,000</w:t>
            </w:r>
          </w:p>
        </w:tc>
      </w:tr>
      <w:tr>
        <w:trPr>
          <w:trHeight w:val="192"/>
        </w:trPr>
        <w:tc>
          <w:tcPr>
            <w:tcW w:w="7220" w:type="dxa"/>
            <w:vAlign w:val="bottom"/>
          </w:tcPr>
          <w:p>
            <w:pPr>
              <w:spacing w:after="0" w:line="192" w:lineRule="exact"/>
              <w:rPr>
                <w:sz w:val="20"/>
                <w:szCs w:val="20"/>
                <w:color w:val="auto"/>
              </w:rPr>
            </w:pPr>
            <w:r>
              <w:rPr>
                <w:rFonts w:ascii="Arial" w:cs="Arial" w:eastAsia="Arial" w:hAnsi="Arial"/>
                <w:sz w:val="18"/>
                <w:szCs w:val="18"/>
                <w:color w:val="auto"/>
              </w:rPr>
              <w:t>Telephonic Attendance</w:t>
            </w:r>
          </w:p>
        </w:tc>
        <w:tc>
          <w:tcPr>
            <w:tcW w:w="3500" w:type="dxa"/>
            <w:vAlign w:val="bottom"/>
          </w:tcPr>
          <w:p>
            <w:pPr>
              <w:jc w:val="right"/>
              <w:spacing w:after="0" w:line="192"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72"/>
              <w:spacing w:after="0" w:line="192" w:lineRule="exact"/>
              <w:rPr>
                <w:sz w:val="20"/>
                <w:szCs w:val="20"/>
                <w:color w:val="auto"/>
              </w:rPr>
            </w:pPr>
            <w:r>
              <w:rPr>
                <w:rFonts w:ascii="Arial" w:cs="Arial" w:eastAsia="Arial" w:hAnsi="Arial"/>
                <w:sz w:val="18"/>
                <w:szCs w:val="18"/>
                <w:color w:val="auto"/>
              </w:rPr>
              <w:t>500</w:t>
            </w:r>
          </w:p>
        </w:tc>
      </w:tr>
    </w:tbl>
    <w:p>
      <w:pPr>
        <w:ind w:left="340" w:hanging="332"/>
        <w:spacing w:after="0" w:line="181" w:lineRule="auto"/>
        <w:tabs>
          <w:tab w:leader="none" w:pos="340" w:val="left"/>
        </w:tabs>
        <w:numPr>
          <w:ilvl w:val="0"/>
          <w:numId w:val="19"/>
        </w:numPr>
        <w:rPr>
          <w:rFonts w:ascii="Arial" w:cs="Arial" w:eastAsia="Arial" w:hAnsi="Arial"/>
          <w:sz w:val="21"/>
          <w:szCs w:val="21"/>
          <w:color w:val="auto"/>
          <w:vertAlign w:val="superscript"/>
        </w:rPr>
      </w:pPr>
      <w:r>
        <w:rPr>
          <w:rFonts w:ascii="Arial" w:cs="Arial" w:eastAsia="Arial" w:hAnsi="Arial"/>
          <w:sz w:val="13"/>
          <w:szCs w:val="13"/>
          <w:color w:val="auto"/>
        </w:rPr>
        <w:t>An extended board meeting over multiple days is treated as a single board meeting for payment purposes.</w:t>
      </w:r>
    </w:p>
    <w:p>
      <w:pPr>
        <w:spacing w:after="0" w:line="67" w:lineRule="exact"/>
        <w:rPr>
          <w:rFonts w:ascii="Arial" w:cs="Arial" w:eastAsia="Arial" w:hAnsi="Arial"/>
          <w:sz w:val="21"/>
          <w:szCs w:val="21"/>
          <w:color w:val="auto"/>
          <w:vertAlign w:val="superscript"/>
        </w:rPr>
      </w:pPr>
    </w:p>
    <w:p>
      <w:pPr>
        <w:ind w:left="340" w:hanging="332"/>
        <w:spacing w:after="0" w:line="188" w:lineRule="auto"/>
        <w:tabs>
          <w:tab w:leader="none" w:pos="340" w:val="left"/>
        </w:tabs>
        <w:numPr>
          <w:ilvl w:val="0"/>
          <w:numId w:val="19"/>
        </w:numPr>
        <w:rPr>
          <w:rFonts w:ascii="Arial" w:cs="Arial" w:eastAsia="Arial" w:hAnsi="Arial"/>
          <w:sz w:val="18"/>
          <w:szCs w:val="18"/>
          <w:color w:val="auto"/>
          <w:vertAlign w:val="superscript"/>
        </w:rPr>
      </w:pPr>
      <w:r>
        <w:rPr>
          <w:rFonts w:ascii="Arial" w:cs="Arial" w:eastAsia="Arial" w:hAnsi="Arial"/>
          <w:sz w:val="12"/>
          <w:szCs w:val="12"/>
          <w:color w:val="auto"/>
        </w:rPr>
        <w:t>Directors attending a board and a committee meeting on the same day will only receive a fee for the board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1" w:lineRule="exact"/>
        <w:rPr>
          <w:sz w:val="20"/>
          <w:szCs w:val="20"/>
          <w:color w:val="auto"/>
        </w:rPr>
      </w:pPr>
    </w:p>
    <w:p>
      <w:pPr>
        <w:ind w:right="520"/>
        <w:spacing w:after="0" w:line="239" w:lineRule="auto"/>
        <w:rPr>
          <w:sz w:val="20"/>
          <w:szCs w:val="20"/>
          <w:color w:val="auto"/>
        </w:rPr>
      </w:pPr>
      <w:r>
        <w:rPr>
          <w:rFonts w:ascii="Arial" w:cs="Arial" w:eastAsia="Arial" w:hAnsi="Arial"/>
          <w:sz w:val="18"/>
          <w:szCs w:val="18"/>
          <w:color w:val="auto"/>
        </w:rPr>
        <w:t>We also reimburse our directors for reasonable travel expenses incurred in connection with attendance at board, committee and shareholder meetings and other Company business.</w:t>
      </w:r>
    </w:p>
    <w:p>
      <w:pPr>
        <w:spacing w:after="0" w:line="74"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Mr. Jellison is an employee of our Company and did not receive any compensation for his service as a director. His compensation is set forth in the “Executive Compensation” section below.</w:t>
      </w:r>
    </w:p>
    <w:p>
      <w:pPr>
        <w:spacing w:after="0" w:line="138" w:lineRule="exact"/>
        <w:rPr>
          <w:sz w:val="20"/>
          <w:szCs w:val="20"/>
          <w:color w:val="auto"/>
        </w:rPr>
      </w:pPr>
    </w:p>
    <w:tbl>
      <w:tblPr>
        <w:tblLayout w:type="fixed"/>
        <w:tblInd w:w="6900" w:type="dxa"/>
        <w:tblCellMar>
          <w:top w:w="0" w:type="dxa"/>
          <w:left w:w="0" w:type="dxa"/>
          <w:bottom w:w="0" w:type="dxa"/>
          <w:right w:w="0" w:type="dxa"/>
        </w:tblCellMar>
      </w:tblPr>
      <w:tr>
        <w:trPr>
          <w:trHeight w:val="309"/>
        </w:trPr>
        <w:tc>
          <w:tcPr>
            <w:tcW w:w="4080" w:type="dxa"/>
            <w:vAlign w:val="bottom"/>
            <w:tcBorders>
              <w:right w:val="single" w:sz="8" w:color="225CAB"/>
            </w:tcBorders>
          </w:tcPr>
          <w:p>
            <w:pPr>
              <w:spacing w:after="0"/>
              <w:rPr>
                <w:sz w:val="20"/>
                <w:szCs w:val="20"/>
                <w:color w:val="auto"/>
              </w:rPr>
            </w:pPr>
            <w:r>
              <w:rPr>
                <w:rFonts w:ascii="Arial" w:cs="Arial" w:eastAsia="Arial" w:hAnsi="Arial"/>
                <w:sz w:val="18"/>
                <w:szCs w:val="18"/>
                <w:b w:val="1"/>
                <w:bCs w:val="1"/>
                <w:color w:val="225CAB"/>
                <w:w w:val="99"/>
              </w:rPr>
              <w:t>Roper Technologies, Inc. 2016 Proxy Statement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225CAB"/>
              </w:rPr>
              <w:t>13</w:t>
            </w:r>
          </w:p>
        </w:tc>
      </w:tr>
      <w:tr>
        <w:trPr>
          <w:trHeight w:val="83"/>
        </w:trPr>
        <w:tc>
          <w:tcPr>
            <w:tcW w:w="4080" w:type="dxa"/>
            <w:vAlign w:val="bottom"/>
            <w:tcBorders>
              <w:right w:val="single" w:sz="8" w:color="225CAB"/>
            </w:tcBorders>
          </w:tcPr>
          <w:p>
            <w:pPr>
              <w:spacing w:after="0"/>
              <w:rPr>
                <w:sz w:val="7"/>
                <w:szCs w:val="7"/>
                <w:color w:val="auto"/>
              </w:rPr>
            </w:pPr>
          </w:p>
        </w:tc>
        <w:tc>
          <w:tcPr>
            <w:tcW w:w="44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-213995</wp:posOffset>
            </wp:positionV>
            <wp:extent cx="420370" cy="2057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225CAB"/>
        </w:rPr>
        <w:t xml:space="preserve">DIRECTOR COMPENSATION </w:t>
      </w:r>
      <w:r>
        <w:rPr>
          <w:rFonts w:ascii="Arial" w:cs="Arial" w:eastAsia="Arial" w:hAnsi="Arial"/>
          <w:sz w:val="18"/>
          <w:szCs w:val="18"/>
          <w:i w:val="1"/>
          <w:iCs w:val="1"/>
          <w:color w:val="225CAB"/>
        </w:rPr>
        <w:t>(CONTINUED)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compensation of our non-employee directors for 2015.</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Director Compensation</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shd w:val="clear" w:color="auto" w:fill="225CAB"/>
          </w:tcPr>
          <w:p>
            <w:pPr>
              <w:spacing w:after="0"/>
              <w:rPr>
                <w:sz w:val="14"/>
                <w:szCs w:val="14"/>
                <w:color w:val="auto"/>
              </w:rPr>
            </w:pPr>
          </w:p>
        </w:tc>
        <w:tc>
          <w:tcPr>
            <w:tcW w:w="3160" w:type="dxa"/>
            <w:vAlign w:val="bottom"/>
            <w:shd w:val="clear" w:color="auto" w:fill="225CAB"/>
          </w:tcPr>
          <w:p>
            <w:pPr>
              <w:jc w:val="right"/>
              <w:ind w:right="437"/>
              <w:spacing w:after="0"/>
              <w:rPr>
                <w:sz w:val="20"/>
                <w:szCs w:val="20"/>
                <w:color w:val="auto"/>
              </w:rPr>
            </w:pPr>
            <w:r>
              <w:rPr>
                <w:rFonts w:ascii="Arial" w:cs="Arial" w:eastAsia="Arial" w:hAnsi="Arial"/>
                <w:sz w:val="14"/>
                <w:szCs w:val="14"/>
                <w:color w:val="FFFFFF"/>
              </w:rPr>
              <w:t>Fees Earned or</w:t>
            </w:r>
          </w:p>
        </w:tc>
        <w:tc>
          <w:tcPr>
            <w:tcW w:w="1620" w:type="dxa"/>
            <w:vAlign w:val="bottom"/>
            <w:shd w:val="clear" w:color="auto" w:fill="225CAB"/>
          </w:tcPr>
          <w:p>
            <w:pPr>
              <w:ind w:left="600"/>
              <w:spacing w:after="0"/>
              <w:rPr>
                <w:sz w:val="20"/>
                <w:szCs w:val="20"/>
                <w:color w:val="auto"/>
              </w:rPr>
            </w:pPr>
            <w:r>
              <w:rPr>
                <w:rFonts w:ascii="Arial" w:cs="Arial" w:eastAsia="Arial" w:hAnsi="Arial"/>
                <w:sz w:val="14"/>
                <w:szCs w:val="14"/>
                <w:color w:val="FFFFFF"/>
              </w:rPr>
              <w:t>Stock</w:t>
            </w:r>
          </w:p>
        </w:tc>
        <w:tc>
          <w:tcPr>
            <w:tcW w:w="1880" w:type="dxa"/>
            <w:vAlign w:val="bottom"/>
            <w:shd w:val="clear" w:color="auto" w:fill="225CAB"/>
          </w:tcPr>
          <w:p>
            <w:pPr>
              <w:jc w:val="right"/>
              <w:ind w:right="597"/>
              <w:spacing w:after="0"/>
              <w:rPr>
                <w:sz w:val="20"/>
                <w:szCs w:val="20"/>
                <w:color w:val="auto"/>
              </w:rPr>
            </w:pPr>
            <w:r>
              <w:rPr>
                <w:rFonts w:ascii="Arial" w:cs="Arial" w:eastAsia="Arial" w:hAnsi="Arial"/>
                <w:sz w:val="14"/>
                <w:szCs w:val="14"/>
                <w:color w:val="FFFFFF"/>
              </w:rPr>
              <w:t>All Other</w:t>
            </w:r>
          </w:p>
        </w:tc>
        <w:tc>
          <w:tcPr>
            <w:tcW w:w="1260" w:type="dxa"/>
            <w:vAlign w:val="bottom"/>
            <w:shd w:val="clear" w:color="auto" w:fill="225CAB"/>
          </w:tcPr>
          <w:p>
            <w:pPr>
              <w:spacing w:after="0"/>
              <w:rPr>
                <w:sz w:val="14"/>
                <w:szCs w:val="14"/>
                <w:color w:val="auto"/>
              </w:rPr>
            </w:pPr>
          </w:p>
        </w:tc>
      </w:tr>
      <w:tr>
        <w:trPr>
          <w:trHeight w:val="128"/>
        </w:trPr>
        <w:tc>
          <w:tcPr>
            <w:tcW w:w="3500" w:type="dxa"/>
            <w:vAlign w:val="bottom"/>
            <w:shd w:val="clear" w:color="auto" w:fill="225CAB"/>
          </w:tcPr>
          <w:p>
            <w:pPr>
              <w:spacing w:after="0"/>
              <w:rPr>
                <w:sz w:val="11"/>
                <w:szCs w:val="11"/>
                <w:color w:val="auto"/>
              </w:rPr>
            </w:pPr>
          </w:p>
        </w:tc>
        <w:tc>
          <w:tcPr>
            <w:tcW w:w="3160" w:type="dxa"/>
            <w:vAlign w:val="bottom"/>
            <w:shd w:val="clear" w:color="auto" w:fill="225CAB"/>
          </w:tcPr>
          <w:p>
            <w:pPr>
              <w:jc w:val="right"/>
              <w:ind w:right="517"/>
              <w:spacing w:after="0" w:line="129" w:lineRule="exact"/>
              <w:rPr>
                <w:sz w:val="20"/>
                <w:szCs w:val="20"/>
                <w:color w:val="auto"/>
              </w:rPr>
            </w:pPr>
            <w:r>
              <w:rPr>
                <w:rFonts w:ascii="Arial" w:cs="Arial" w:eastAsia="Arial" w:hAnsi="Arial"/>
                <w:sz w:val="14"/>
                <w:szCs w:val="14"/>
                <w:color w:val="FFFFFF"/>
              </w:rPr>
              <w:t>Paid in Cash</w:t>
            </w:r>
          </w:p>
        </w:tc>
        <w:tc>
          <w:tcPr>
            <w:tcW w:w="1620" w:type="dxa"/>
            <w:vAlign w:val="bottom"/>
            <w:shd w:val="clear" w:color="auto" w:fill="225CAB"/>
          </w:tcPr>
          <w:p>
            <w:pPr>
              <w:ind w:left="580"/>
              <w:spacing w:after="0" w:line="129" w:lineRule="exact"/>
              <w:rPr>
                <w:sz w:val="20"/>
                <w:szCs w:val="20"/>
                <w:color w:val="auto"/>
              </w:rPr>
            </w:pPr>
            <w:r>
              <w:rPr>
                <w:rFonts w:ascii="Arial" w:cs="Arial" w:eastAsia="Arial" w:hAnsi="Arial"/>
                <w:sz w:val="14"/>
                <w:szCs w:val="14"/>
                <w:color w:val="FFFFFF"/>
              </w:rPr>
              <w:t>Awards</w:t>
            </w:r>
          </w:p>
        </w:tc>
        <w:tc>
          <w:tcPr>
            <w:tcW w:w="1880" w:type="dxa"/>
            <w:vAlign w:val="bottom"/>
            <w:shd w:val="clear" w:color="auto" w:fill="225CAB"/>
          </w:tcPr>
          <w:p>
            <w:pPr>
              <w:jc w:val="right"/>
              <w:ind w:right="437"/>
              <w:spacing w:after="0" w:line="129" w:lineRule="exact"/>
              <w:rPr>
                <w:sz w:val="20"/>
                <w:szCs w:val="20"/>
                <w:color w:val="auto"/>
              </w:rPr>
            </w:pPr>
            <w:r>
              <w:rPr>
                <w:rFonts w:ascii="Arial" w:cs="Arial" w:eastAsia="Arial" w:hAnsi="Arial"/>
                <w:sz w:val="14"/>
                <w:szCs w:val="14"/>
                <w:color w:val="FFFFFF"/>
              </w:rPr>
              <w:t>Compensation</w:t>
            </w:r>
          </w:p>
        </w:tc>
        <w:tc>
          <w:tcPr>
            <w:tcW w:w="1260" w:type="dxa"/>
            <w:vAlign w:val="bottom"/>
            <w:shd w:val="clear" w:color="auto" w:fill="225CAB"/>
          </w:tcPr>
          <w:p>
            <w:pPr>
              <w:jc w:val="right"/>
              <w:ind w:right="216"/>
              <w:spacing w:after="0" w:line="129" w:lineRule="exact"/>
              <w:rPr>
                <w:sz w:val="20"/>
                <w:szCs w:val="20"/>
                <w:color w:val="auto"/>
              </w:rPr>
            </w:pPr>
            <w:r>
              <w:rPr>
                <w:rFonts w:ascii="Arial" w:cs="Arial" w:eastAsia="Arial" w:hAnsi="Arial"/>
                <w:sz w:val="14"/>
                <w:szCs w:val="14"/>
                <w:color w:val="FFFFFF"/>
              </w:rPr>
              <w:t>Total</w:t>
            </w:r>
          </w:p>
        </w:tc>
      </w:tr>
      <w:tr>
        <w:trPr>
          <w:trHeight w:val="169"/>
        </w:trPr>
        <w:tc>
          <w:tcPr>
            <w:tcW w:w="3500" w:type="dxa"/>
            <w:vAlign w:val="bottom"/>
            <w:shd w:val="clear" w:color="auto" w:fill="225CAB"/>
          </w:tcPr>
          <w:p>
            <w:pPr>
              <w:spacing w:after="0"/>
              <w:rPr>
                <w:sz w:val="20"/>
                <w:szCs w:val="20"/>
                <w:color w:val="auto"/>
              </w:rPr>
            </w:pPr>
            <w:r>
              <w:rPr>
                <w:rFonts w:ascii="Arial" w:cs="Arial" w:eastAsia="Arial" w:hAnsi="Arial"/>
                <w:sz w:val="14"/>
                <w:szCs w:val="14"/>
                <w:color w:val="FFFFFF"/>
              </w:rPr>
              <w:t>Name</w:t>
            </w:r>
          </w:p>
        </w:tc>
        <w:tc>
          <w:tcPr>
            <w:tcW w:w="3160" w:type="dxa"/>
            <w:vAlign w:val="bottom"/>
            <w:shd w:val="clear" w:color="auto" w:fill="225CAB"/>
          </w:tcPr>
          <w:p>
            <w:pPr>
              <w:jc w:val="right"/>
              <w:ind w:right="817"/>
              <w:spacing w:after="0"/>
              <w:rPr>
                <w:sz w:val="20"/>
                <w:szCs w:val="20"/>
                <w:color w:val="auto"/>
              </w:rPr>
            </w:pPr>
            <w:r>
              <w:rPr>
                <w:rFonts w:ascii="Arial" w:cs="Arial" w:eastAsia="Arial" w:hAnsi="Arial"/>
                <w:sz w:val="14"/>
                <w:szCs w:val="14"/>
                <w:color w:val="FFFFFF"/>
              </w:rPr>
              <w:t>($)</w:t>
            </w:r>
          </w:p>
        </w:tc>
        <w:tc>
          <w:tcPr>
            <w:tcW w:w="1620" w:type="dxa"/>
            <w:vAlign w:val="bottom"/>
            <w:shd w:val="clear" w:color="auto" w:fill="225CAB"/>
          </w:tcPr>
          <w:p>
            <w:pPr>
              <w:ind w:left="500"/>
              <w:spacing w:after="0" w:line="170" w:lineRule="exact"/>
              <w:rPr>
                <w:sz w:val="20"/>
                <w:szCs w:val="20"/>
                <w:color w:val="auto"/>
              </w:rPr>
            </w:pPr>
            <w:r>
              <w:rPr>
                <w:rFonts w:ascii="Arial" w:cs="Arial" w:eastAsia="Arial" w:hAnsi="Arial"/>
                <w:sz w:val="19"/>
                <w:szCs w:val="19"/>
                <w:color w:val="FFFFFF"/>
                <w:vertAlign w:val="subscript"/>
              </w:rPr>
              <w:t>($)</w:t>
            </w:r>
            <w:r>
              <w:rPr>
                <w:rFonts w:ascii="Arial" w:cs="Arial" w:eastAsia="Arial" w:hAnsi="Arial"/>
                <w:sz w:val="9"/>
                <w:szCs w:val="9"/>
                <w:color w:val="FFFFFF"/>
              </w:rPr>
              <w:t>(1)(2)(3)</w:t>
            </w:r>
          </w:p>
        </w:tc>
        <w:tc>
          <w:tcPr>
            <w:tcW w:w="1880" w:type="dxa"/>
            <w:vAlign w:val="bottom"/>
            <w:shd w:val="clear" w:color="auto" w:fill="225CAB"/>
          </w:tcPr>
          <w:p>
            <w:pPr>
              <w:jc w:val="right"/>
              <w:ind w:right="777"/>
              <w:spacing w:after="0"/>
              <w:rPr>
                <w:sz w:val="20"/>
                <w:szCs w:val="20"/>
                <w:color w:val="auto"/>
              </w:rPr>
            </w:pPr>
            <w:r>
              <w:rPr>
                <w:rFonts w:ascii="Arial" w:cs="Arial" w:eastAsia="Arial" w:hAnsi="Arial"/>
                <w:sz w:val="14"/>
                <w:szCs w:val="14"/>
                <w:color w:val="FFFFFF"/>
              </w:rPr>
              <w:t>($)</w:t>
            </w:r>
          </w:p>
        </w:tc>
        <w:tc>
          <w:tcPr>
            <w:tcW w:w="1260" w:type="dxa"/>
            <w:vAlign w:val="bottom"/>
            <w:shd w:val="clear" w:color="auto" w:fill="225CAB"/>
          </w:tcPr>
          <w:p>
            <w:pPr>
              <w:jc w:val="right"/>
              <w:ind w:right="276"/>
              <w:spacing w:after="0"/>
              <w:rPr>
                <w:sz w:val="20"/>
                <w:szCs w:val="20"/>
                <w:color w:val="auto"/>
              </w:rPr>
            </w:pPr>
            <w:r>
              <w:rPr>
                <w:rFonts w:ascii="Arial" w:cs="Arial" w:eastAsia="Arial" w:hAnsi="Arial"/>
                <w:sz w:val="14"/>
                <w:szCs w:val="14"/>
                <w:color w:val="FFFFFF"/>
              </w:rPr>
              <w:t>($)</w:t>
            </w:r>
          </w:p>
        </w:tc>
      </w:tr>
      <w:tr>
        <w:trPr>
          <w:trHeight w:val="203"/>
        </w:trPr>
        <w:tc>
          <w:tcPr>
            <w:tcW w:w="3500" w:type="dxa"/>
            <w:vAlign w:val="bottom"/>
            <w:tcBorders>
              <w:bottom w:val="single" w:sz="8" w:color="225CAB"/>
            </w:tcBorders>
          </w:tcPr>
          <w:p>
            <w:pPr>
              <w:spacing w:after="0" w:line="202" w:lineRule="exact"/>
              <w:rPr>
                <w:sz w:val="20"/>
                <w:szCs w:val="20"/>
                <w:color w:val="auto"/>
              </w:rPr>
            </w:pPr>
            <w:r>
              <w:rPr>
                <w:rFonts w:ascii="Arial" w:cs="Arial" w:eastAsia="Arial" w:hAnsi="Arial"/>
                <w:sz w:val="18"/>
                <w:szCs w:val="18"/>
                <w:color w:val="225CAB"/>
              </w:rPr>
              <w:t>Amy Woods Brinkley</w:t>
            </w:r>
            <w:r>
              <w:rPr>
                <w:rFonts w:ascii="Arial" w:cs="Arial" w:eastAsia="Arial" w:hAnsi="Arial"/>
                <w:sz w:val="11"/>
                <w:szCs w:val="11"/>
                <w:color w:val="225CAB"/>
              </w:rPr>
              <w:t>(4)</w:t>
            </w:r>
          </w:p>
        </w:tc>
        <w:tc>
          <w:tcPr>
            <w:tcW w:w="3160" w:type="dxa"/>
            <w:vAlign w:val="bottom"/>
            <w:tcBorders>
              <w:bottom w:val="single" w:sz="8" w:color="225CAB"/>
            </w:tcBorders>
          </w:tcPr>
          <w:p>
            <w:pPr>
              <w:jc w:val="right"/>
              <w:ind w:right="437"/>
              <w:spacing w:after="0" w:line="202" w:lineRule="exact"/>
              <w:rPr>
                <w:sz w:val="20"/>
                <w:szCs w:val="20"/>
                <w:color w:val="auto"/>
              </w:rPr>
            </w:pPr>
            <w:r>
              <w:rPr>
                <w:rFonts w:ascii="Arial" w:cs="Arial" w:eastAsia="Arial" w:hAnsi="Arial"/>
                <w:sz w:val="18"/>
                <w:szCs w:val="18"/>
                <w:color w:val="auto"/>
              </w:rPr>
              <w:t>41,875</w:t>
            </w:r>
          </w:p>
        </w:tc>
        <w:tc>
          <w:tcPr>
            <w:tcW w:w="1620" w:type="dxa"/>
            <w:vAlign w:val="bottom"/>
            <w:tcBorders>
              <w:bottom w:val="single" w:sz="8" w:color="225CAB"/>
            </w:tcBorders>
          </w:tcPr>
          <w:p>
            <w:pPr>
              <w:ind w:left="500"/>
              <w:spacing w:after="0" w:line="202" w:lineRule="exact"/>
              <w:rPr>
                <w:sz w:val="20"/>
                <w:szCs w:val="20"/>
                <w:color w:val="auto"/>
              </w:rPr>
            </w:pPr>
            <w:r>
              <w:rPr>
                <w:rFonts w:ascii="Arial" w:cs="Arial" w:eastAsia="Arial" w:hAnsi="Arial"/>
                <w:sz w:val="18"/>
                <w:szCs w:val="18"/>
                <w:color w:val="auto"/>
              </w:rPr>
              <w:t>699,640</w:t>
            </w:r>
          </w:p>
        </w:tc>
        <w:tc>
          <w:tcPr>
            <w:tcW w:w="1880" w:type="dxa"/>
            <w:vAlign w:val="bottom"/>
            <w:tcBorders>
              <w:bottom w:val="single" w:sz="8" w:color="225CAB"/>
            </w:tcBorders>
          </w:tcPr>
          <w:p>
            <w:pPr>
              <w:jc w:val="right"/>
              <w:ind w:right="417"/>
              <w:spacing w:after="0" w:line="202" w:lineRule="exact"/>
              <w:rPr>
                <w:sz w:val="20"/>
                <w:szCs w:val="20"/>
                <w:color w:val="auto"/>
              </w:rPr>
            </w:pPr>
            <w:r>
              <w:rPr>
                <w:rFonts w:ascii="Arial" w:cs="Arial" w:eastAsia="Arial" w:hAnsi="Arial"/>
                <w:sz w:val="18"/>
                <w:szCs w:val="18"/>
                <w:color w:val="auto"/>
              </w:rPr>
              <w:t>-</w:t>
            </w:r>
          </w:p>
        </w:tc>
        <w:tc>
          <w:tcPr>
            <w:tcW w:w="1260" w:type="dxa"/>
            <w:vAlign w:val="bottom"/>
            <w:tcBorders>
              <w:bottom w:val="single" w:sz="8" w:color="225CAB"/>
            </w:tcBorders>
          </w:tcPr>
          <w:p>
            <w:pPr>
              <w:jc w:val="right"/>
              <w:ind w:right="16"/>
              <w:spacing w:after="0" w:line="202" w:lineRule="exact"/>
              <w:rPr>
                <w:sz w:val="20"/>
                <w:szCs w:val="20"/>
                <w:color w:val="auto"/>
              </w:rPr>
            </w:pPr>
            <w:r>
              <w:rPr>
                <w:rFonts w:ascii="Arial" w:cs="Arial" w:eastAsia="Arial" w:hAnsi="Arial"/>
                <w:sz w:val="18"/>
                <w:szCs w:val="18"/>
                <w:color w:val="auto"/>
              </w:rPr>
              <w:t>741,515</w:t>
            </w:r>
          </w:p>
        </w:tc>
      </w:tr>
      <w:tr>
        <w:trPr>
          <w:trHeight w:val="196"/>
        </w:trPr>
        <w:tc>
          <w:tcPr>
            <w:tcW w:w="3500" w:type="dxa"/>
            <w:vAlign w:val="bottom"/>
            <w:tcBorders>
              <w:bottom w:val="single" w:sz="8" w:color="225CAB"/>
            </w:tcBorders>
          </w:tcPr>
          <w:p>
            <w:pPr>
              <w:spacing w:after="0" w:line="196" w:lineRule="exact"/>
              <w:rPr>
                <w:sz w:val="20"/>
                <w:szCs w:val="20"/>
                <w:color w:val="auto"/>
              </w:rPr>
            </w:pPr>
            <w:r>
              <w:rPr>
                <w:rFonts w:ascii="Arial" w:cs="Arial" w:eastAsia="Arial" w:hAnsi="Arial"/>
                <w:sz w:val="18"/>
                <w:szCs w:val="18"/>
                <w:color w:val="225CAB"/>
              </w:rPr>
              <w:t>David W. Devonshire</w:t>
            </w:r>
            <w:r>
              <w:rPr>
                <w:rFonts w:ascii="Arial" w:cs="Arial" w:eastAsia="Arial" w:hAnsi="Arial"/>
                <w:sz w:val="11"/>
                <w:szCs w:val="11"/>
                <w:color w:val="225CAB"/>
              </w:rPr>
              <w:t>(5)</w:t>
            </w:r>
          </w:p>
        </w:tc>
        <w:tc>
          <w:tcPr>
            <w:tcW w:w="3160" w:type="dxa"/>
            <w:vAlign w:val="bottom"/>
            <w:tcBorders>
              <w:bottom w:val="single" w:sz="8" w:color="225CAB"/>
            </w:tcBorders>
          </w:tcPr>
          <w:p>
            <w:pPr>
              <w:jc w:val="right"/>
              <w:ind w:right="437"/>
              <w:spacing w:after="0" w:line="196" w:lineRule="exact"/>
              <w:rPr>
                <w:sz w:val="20"/>
                <w:szCs w:val="20"/>
                <w:color w:val="auto"/>
              </w:rPr>
            </w:pPr>
            <w:r>
              <w:rPr>
                <w:rFonts w:ascii="Arial" w:cs="Arial" w:eastAsia="Arial" w:hAnsi="Arial"/>
                <w:sz w:val="18"/>
                <w:szCs w:val="18"/>
                <w:color w:val="auto"/>
              </w:rPr>
              <w:t>27,250</w:t>
            </w:r>
          </w:p>
        </w:tc>
        <w:tc>
          <w:tcPr>
            <w:tcW w:w="1620" w:type="dxa"/>
            <w:vAlign w:val="bottom"/>
            <w:tcBorders>
              <w:bottom w:val="single" w:sz="8" w:color="225CAB"/>
            </w:tcBorders>
          </w:tcPr>
          <w:p>
            <w:pPr>
              <w:ind w:left="500"/>
              <w:spacing w:after="0" w:line="196" w:lineRule="exact"/>
              <w:rPr>
                <w:sz w:val="20"/>
                <w:szCs w:val="20"/>
                <w:color w:val="auto"/>
              </w:rPr>
            </w:pPr>
            <w:r>
              <w:rPr>
                <w:rFonts w:ascii="Arial" w:cs="Arial" w:eastAsia="Arial" w:hAnsi="Arial"/>
                <w:sz w:val="18"/>
                <w:szCs w:val="18"/>
                <w:color w:val="auto"/>
              </w:rPr>
              <w:t>699,640</w:t>
            </w:r>
          </w:p>
        </w:tc>
        <w:tc>
          <w:tcPr>
            <w:tcW w:w="1880" w:type="dxa"/>
            <w:vAlign w:val="bottom"/>
            <w:tcBorders>
              <w:bottom w:val="single" w:sz="8" w:color="225CAB"/>
            </w:tcBorders>
          </w:tcPr>
          <w:p>
            <w:pPr>
              <w:jc w:val="right"/>
              <w:ind w:right="417"/>
              <w:spacing w:after="0" w:line="196" w:lineRule="exact"/>
              <w:rPr>
                <w:sz w:val="20"/>
                <w:szCs w:val="20"/>
                <w:color w:val="auto"/>
              </w:rPr>
            </w:pPr>
            <w:r>
              <w:rPr>
                <w:rFonts w:ascii="Arial" w:cs="Arial" w:eastAsia="Arial" w:hAnsi="Arial"/>
                <w:sz w:val="18"/>
                <w:szCs w:val="18"/>
                <w:color w:val="auto"/>
              </w:rPr>
              <w:t>-</w:t>
            </w:r>
          </w:p>
        </w:tc>
        <w:tc>
          <w:tcPr>
            <w:tcW w:w="1260" w:type="dxa"/>
            <w:vAlign w:val="bottom"/>
            <w:tcBorders>
              <w:bottom w:val="single" w:sz="8" w:color="225CAB"/>
            </w:tcBorders>
          </w:tcPr>
          <w:p>
            <w:pPr>
              <w:jc w:val="right"/>
              <w:ind w:right="16"/>
              <w:spacing w:after="0" w:line="196" w:lineRule="exact"/>
              <w:rPr>
                <w:sz w:val="20"/>
                <w:szCs w:val="20"/>
                <w:color w:val="auto"/>
              </w:rPr>
            </w:pPr>
            <w:r>
              <w:rPr>
                <w:rFonts w:ascii="Arial" w:cs="Arial" w:eastAsia="Arial" w:hAnsi="Arial"/>
                <w:sz w:val="18"/>
                <w:szCs w:val="18"/>
                <w:color w:val="auto"/>
              </w:rPr>
              <w:t>726,890</w:t>
            </w:r>
          </w:p>
        </w:tc>
      </w:tr>
      <w:tr>
        <w:trPr>
          <w:trHeight w:val="196"/>
        </w:trPr>
        <w:tc>
          <w:tcPr>
            <w:tcW w:w="3500" w:type="dxa"/>
            <w:vAlign w:val="bottom"/>
            <w:tcBorders>
              <w:bottom w:val="single" w:sz="8" w:color="225CAB"/>
            </w:tcBorders>
          </w:tcPr>
          <w:p>
            <w:pPr>
              <w:spacing w:after="0" w:line="196" w:lineRule="exact"/>
              <w:rPr>
                <w:sz w:val="20"/>
                <w:szCs w:val="20"/>
                <w:color w:val="auto"/>
              </w:rPr>
            </w:pPr>
            <w:r>
              <w:rPr>
                <w:rFonts w:ascii="Arial" w:cs="Arial" w:eastAsia="Arial" w:hAnsi="Arial"/>
                <w:sz w:val="18"/>
                <w:szCs w:val="18"/>
                <w:color w:val="225CAB"/>
              </w:rPr>
              <w:t>John F. Fort III</w:t>
            </w:r>
          </w:p>
        </w:tc>
        <w:tc>
          <w:tcPr>
            <w:tcW w:w="3160" w:type="dxa"/>
            <w:vAlign w:val="bottom"/>
            <w:tcBorders>
              <w:bottom w:val="single" w:sz="8" w:color="225CAB"/>
            </w:tcBorders>
          </w:tcPr>
          <w:p>
            <w:pPr>
              <w:jc w:val="right"/>
              <w:ind w:right="437"/>
              <w:spacing w:after="0" w:line="196" w:lineRule="exact"/>
              <w:rPr>
                <w:sz w:val="20"/>
                <w:szCs w:val="20"/>
                <w:color w:val="auto"/>
              </w:rPr>
            </w:pPr>
            <w:r>
              <w:rPr>
                <w:rFonts w:ascii="Arial" w:cs="Arial" w:eastAsia="Arial" w:hAnsi="Arial"/>
                <w:sz w:val="18"/>
                <w:szCs w:val="18"/>
                <w:color w:val="auto"/>
              </w:rPr>
              <w:t>61,000</w:t>
            </w:r>
          </w:p>
        </w:tc>
        <w:tc>
          <w:tcPr>
            <w:tcW w:w="1620" w:type="dxa"/>
            <w:vAlign w:val="bottom"/>
            <w:tcBorders>
              <w:bottom w:val="single" w:sz="8" w:color="225CAB"/>
            </w:tcBorders>
          </w:tcPr>
          <w:p>
            <w:pPr>
              <w:ind w:left="500"/>
              <w:spacing w:after="0" w:line="196" w:lineRule="exact"/>
              <w:rPr>
                <w:sz w:val="20"/>
                <w:szCs w:val="20"/>
                <w:color w:val="auto"/>
              </w:rPr>
            </w:pPr>
            <w:r>
              <w:rPr>
                <w:rFonts w:ascii="Arial" w:cs="Arial" w:eastAsia="Arial" w:hAnsi="Arial"/>
                <w:sz w:val="18"/>
                <w:szCs w:val="18"/>
                <w:color w:val="auto"/>
              </w:rPr>
              <w:t>699,640</w:t>
            </w:r>
          </w:p>
        </w:tc>
        <w:tc>
          <w:tcPr>
            <w:tcW w:w="1880" w:type="dxa"/>
            <w:vAlign w:val="bottom"/>
            <w:tcBorders>
              <w:bottom w:val="single" w:sz="8" w:color="225CAB"/>
            </w:tcBorders>
          </w:tcPr>
          <w:p>
            <w:pPr>
              <w:jc w:val="right"/>
              <w:ind w:right="417"/>
              <w:spacing w:after="0" w:line="196" w:lineRule="exact"/>
              <w:rPr>
                <w:sz w:val="20"/>
                <w:szCs w:val="20"/>
                <w:color w:val="auto"/>
              </w:rPr>
            </w:pPr>
            <w:r>
              <w:rPr>
                <w:rFonts w:ascii="Arial" w:cs="Arial" w:eastAsia="Arial" w:hAnsi="Arial"/>
                <w:sz w:val="18"/>
                <w:szCs w:val="18"/>
                <w:color w:val="auto"/>
              </w:rPr>
              <w:t>-</w:t>
            </w:r>
          </w:p>
        </w:tc>
        <w:tc>
          <w:tcPr>
            <w:tcW w:w="1260" w:type="dxa"/>
            <w:vAlign w:val="bottom"/>
            <w:tcBorders>
              <w:bottom w:val="single" w:sz="8" w:color="225CAB"/>
            </w:tcBorders>
          </w:tcPr>
          <w:p>
            <w:pPr>
              <w:jc w:val="right"/>
              <w:ind w:right="16"/>
              <w:spacing w:after="0" w:line="196" w:lineRule="exact"/>
              <w:rPr>
                <w:sz w:val="20"/>
                <w:szCs w:val="20"/>
                <w:color w:val="auto"/>
              </w:rPr>
            </w:pPr>
            <w:r>
              <w:rPr>
                <w:rFonts w:ascii="Arial" w:cs="Arial" w:eastAsia="Arial" w:hAnsi="Arial"/>
                <w:sz w:val="18"/>
                <w:szCs w:val="18"/>
                <w:color w:val="auto"/>
              </w:rPr>
              <w:t>760,640</w:t>
            </w:r>
          </w:p>
        </w:tc>
      </w:tr>
      <w:tr>
        <w:trPr>
          <w:trHeight w:val="196"/>
        </w:trPr>
        <w:tc>
          <w:tcPr>
            <w:tcW w:w="3500" w:type="dxa"/>
            <w:vAlign w:val="bottom"/>
            <w:tcBorders>
              <w:bottom w:val="single" w:sz="8" w:color="225CAB"/>
            </w:tcBorders>
          </w:tcPr>
          <w:p>
            <w:pPr>
              <w:spacing w:after="0" w:line="196" w:lineRule="exact"/>
              <w:rPr>
                <w:sz w:val="20"/>
                <w:szCs w:val="20"/>
                <w:color w:val="auto"/>
              </w:rPr>
            </w:pPr>
            <w:r>
              <w:rPr>
                <w:rFonts w:ascii="Arial" w:cs="Arial" w:eastAsia="Arial" w:hAnsi="Arial"/>
                <w:sz w:val="18"/>
                <w:szCs w:val="18"/>
                <w:color w:val="225CAB"/>
              </w:rPr>
              <w:t>Robert D. Johnson</w:t>
            </w:r>
          </w:p>
        </w:tc>
        <w:tc>
          <w:tcPr>
            <w:tcW w:w="3160" w:type="dxa"/>
            <w:vAlign w:val="bottom"/>
            <w:tcBorders>
              <w:bottom w:val="single" w:sz="8" w:color="225CAB"/>
            </w:tcBorders>
          </w:tcPr>
          <w:p>
            <w:pPr>
              <w:jc w:val="right"/>
              <w:ind w:right="437"/>
              <w:spacing w:after="0" w:line="196" w:lineRule="exact"/>
              <w:rPr>
                <w:sz w:val="20"/>
                <w:szCs w:val="20"/>
                <w:color w:val="auto"/>
              </w:rPr>
            </w:pPr>
            <w:r>
              <w:rPr>
                <w:rFonts w:ascii="Arial" w:cs="Arial" w:eastAsia="Arial" w:hAnsi="Arial"/>
                <w:sz w:val="18"/>
                <w:szCs w:val="18"/>
                <w:color w:val="auto"/>
              </w:rPr>
              <w:t>56,500</w:t>
            </w:r>
          </w:p>
        </w:tc>
        <w:tc>
          <w:tcPr>
            <w:tcW w:w="1620" w:type="dxa"/>
            <w:vAlign w:val="bottom"/>
            <w:tcBorders>
              <w:bottom w:val="single" w:sz="8" w:color="225CAB"/>
            </w:tcBorders>
          </w:tcPr>
          <w:p>
            <w:pPr>
              <w:ind w:left="500"/>
              <w:spacing w:after="0" w:line="196" w:lineRule="exact"/>
              <w:rPr>
                <w:sz w:val="20"/>
                <w:szCs w:val="20"/>
                <w:color w:val="auto"/>
              </w:rPr>
            </w:pPr>
            <w:r>
              <w:rPr>
                <w:rFonts w:ascii="Arial" w:cs="Arial" w:eastAsia="Arial" w:hAnsi="Arial"/>
                <w:sz w:val="18"/>
                <w:szCs w:val="18"/>
                <w:color w:val="auto"/>
              </w:rPr>
              <w:t>699,640</w:t>
            </w:r>
          </w:p>
        </w:tc>
        <w:tc>
          <w:tcPr>
            <w:tcW w:w="1880" w:type="dxa"/>
            <w:vAlign w:val="bottom"/>
            <w:tcBorders>
              <w:bottom w:val="single" w:sz="8" w:color="225CAB"/>
            </w:tcBorders>
          </w:tcPr>
          <w:p>
            <w:pPr>
              <w:jc w:val="right"/>
              <w:ind w:right="417"/>
              <w:spacing w:after="0" w:line="196" w:lineRule="exact"/>
              <w:rPr>
                <w:sz w:val="20"/>
                <w:szCs w:val="20"/>
                <w:color w:val="auto"/>
              </w:rPr>
            </w:pPr>
            <w:r>
              <w:rPr>
                <w:rFonts w:ascii="Arial" w:cs="Arial" w:eastAsia="Arial" w:hAnsi="Arial"/>
                <w:sz w:val="18"/>
                <w:szCs w:val="18"/>
                <w:color w:val="auto"/>
              </w:rPr>
              <w:t>-</w:t>
            </w:r>
          </w:p>
        </w:tc>
        <w:tc>
          <w:tcPr>
            <w:tcW w:w="1260" w:type="dxa"/>
            <w:vAlign w:val="bottom"/>
            <w:tcBorders>
              <w:bottom w:val="single" w:sz="8" w:color="225CAB"/>
            </w:tcBorders>
          </w:tcPr>
          <w:p>
            <w:pPr>
              <w:jc w:val="right"/>
              <w:ind w:right="16"/>
              <w:spacing w:after="0" w:line="196" w:lineRule="exact"/>
              <w:rPr>
                <w:sz w:val="20"/>
                <w:szCs w:val="20"/>
                <w:color w:val="auto"/>
              </w:rPr>
            </w:pPr>
            <w:r>
              <w:rPr>
                <w:rFonts w:ascii="Arial" w:cs="Arial" w:eastAsia="Arial" w:hAnsi="Arial"/>
                <w:sz w:val="18"/>
                <w:szCs w:val="18"/>
                <w:color w:val="auto"/>
              </w:rPr>
              <w:t>756,140</w:t>
            </w:r>
          </w:p>
        </w:tc>
      </w:tr>
      <w:tr>
        <w:trPr>
          <w:trHeight w:val="196"/>
        </w:trPr>
        <w:tc>
          <w:tcPr>
            <w:tcW w:w="3500" w:type="dxa"/>
            <w:vAlign w:val="bottom"/>
            <w:tcBorders>
              <w:bottom w:val="single" w:sz="8" w:color="225CAB"/>
            </w:tcBorders>
          </w:tcPr>
          <w:p>
            <w:pPr>
              <w:spacing w:after="0" w:line="196" w:lineRule="exact"/>
              <w:rPr>
                <w:sz w:val="20"/>
                <w:szCs w:val="20"/>
                <w:color w:val="auto"/>
              </w:rPr>
            </w:pPr>
            <w:r>
              <w:rPr>
                <w:rFonts w:ascii="Arial" w:cs="Arial" w:eastAsia="Arial" w:hAnsi="Arial"/>
                <w:sz w:val="18"/>
                <w:szCs w:val="18"/>
                <w:color w:val="225CAB"/>
              </w:rPr>
              <w:t>Robert E. Knowling, Jr</w:t>
            </w:r>
          </w:p>
        </w:tc>
        <w:tc>
          <w:tcPr>
            <w:tcW w:w="3160" w:type="dxa"/>
            <w:vAlign w:val="bottom"/>
            <w:tcBorders>
              <w:bottom w:val="single" w:sz="8" w:color="225CAB"/>
            </w:tcBorders>
          </w:tcPr>
          <w:p>
            <w:pPr>
              <w:jc w:val="right"/>
              <w:ind w:right="437"/>
              <w:spacing w:after="0" w:line="196" w:lineRule="exact"/>
              <w:rPr>
                <w:sz w:val="20"/>
                <w:szCs w:val="20"/>
                <w:color w:val="auto"/>
              </w:rPr>
            </w:pPr>
            <w:r>
              <w:rPr>
                <w:rFonts w:ascii="Arial" w:cs="Arial" w:eastAsia="Arial" w:hAnsi="Arial"/>
                <w:sz w:val="18"/>
                <w:szCs w:val="18"/>
                <w:color w:val="auto"/>
              </w:rPr>
              <w:t>61,500</w:t>
            </w:r>
          </w:p>
        </w:tc>
        <w:tc>
          <w:tcPr>
            <w:tcW w:w="1620" w:type="dxa"/>
            <w:vAlign w:val="bottom"/>
            <w:tcBorders>
              <w:bottom w:val="single" w:sz="8" w:color="225CAB"/>
            </w:tcBorders>
          </w:tcPr>
          <w:p>
            <w:pPr>
              <w:ind w:left="500"/>
              <w:spacing w:after="0" w:line="196" w:lineRule="exact"/>
              <w:rPr>
                <w:sz w:val="20"/>
                <w:szCs w:val="20"/>
                <w:color w:val="auto"/>
              </w:rPr>
            </w:pPr>
            <w:r>
              <w:rPr>
                <w:rFonts w:ascii="Arial" w:cs="Arial" w:eastAsia="Arial" w:hAnsi="Arial"/>
                <w:sz w:val="18"/>
                <w:szCs w:val="18"/>
                <w:color w:val="auto"/>
              </w:rPr>
              <w:t>699,640</w:t>
            </w:r>
          </w:p>
        </w:tc>
        <w:tc>
          <w:tcPr>
            <w:tcW w:w="1880" w:type="dxa"/>
            <w:vAlign w:val="bottom"/>
            <w:tcBorders>
              <w:bottom w:val="single" w:sz="8" w:color="225CAB"/>
            </w:tcBorders>
          </w:tcPr>
          <w:p>
            <w:pPr>
              <w:jc w:val="right"/>
              <w:ind w:right="417"/>
              <w:spacing w:after="0" w:line="196" w:lineRule="exact"/>
              <w:rPr>
                <w:sz w:val="20"/>
                <w:szCs w:val="20"/>
                <w:color w:val="auto"/>
              </w:rPr>
            </w:pPr>
            <w:r>
              <w:rPr>
                <w:rFonts w:ascii="Arial" w:cs="Arial" w:eastAsia="Arial" w:hAnsi="Arial"/>
                <w:sz w:val="18"/>
                <w:szCs w:val="18"/>
                <w:color w:val="auto"/>
              </w:rPr>
              <w:t>-</w:t>
            </w:r>
          </w:p>
        </w:tc>
        <w:tc>
          <w:tcPr>
            <w:tcW w:w="1260" w:type="dxa"/>
            <w:vAlign w:val="bottom"/>
            <w:tcBorders>
              <w:bottom w:val="single" w:sz="8" w:color="225CAB"/>
            </w:tcBorders>
          </w:tcPr>
          <w:p>
            <w:pPr>
              <w:jc w:val="right"/>
              <w:ind w:right="16"/>
              <w:spacing w:after="0" w:line="196" w:lineRule="exact"/>
              <w:rPr>
                <w:sz w:val="20"/>
                <w:szCs w:val="20"/>
                <w:color w:val="auto"/>
              </w:rPr>
            </w:pPr>
            <w:r>
              <w:rPr>
                <w:rFonts w:ascii="Arial" w:cs="Arial" w:eastAsia="Arial" w:hAnsi="Arial"/>
                <w:sz w:val="18"/>
                <w:szCs w:val="18"/>
                <w:color w:val="auto"/>
              </w:rPr>
              <w:t>761,140</w:t>
            </w:r>
          </w:p>
        </w:tc>
      </w:tr>
      <w:tr>
        <w:trPr>
          <w:trHeight w:val="196"/>
        </w:trPr>
        <w:tc>
          <w:tcPr>
            <w:tcW w:w="3500" w:type="dxa"/>
            <w:vAlign w:val="bottom"/>
            <w:tcBorders>
              <w:bottom w:val="single" w:sz="8" w:color="225CAB"/>
            </w:tcBorders>
          </w:tcPr>
          <w:p>
            <w:pPr>
              <w:spacing w:after="0" w:line="196" w:lineRule="exact"/>
              <w:rPr>
                <w:sz w:val="20"/>
                <w:szCs w:val="20"/>
                <w:color w:val="auto"/>
              </w:rPr>
            </w:pPr>
            <w:r>
              <w:rPr>
                <w:rFonts w:ascii="Arial" w:cs="Arial" w:eastAsia="Arial" w:hAnsi="Arial"/>
                <w:sz w:val="18"/>
                <w:szCs w:val="18"/>
                <w:color w:val="225CAB"/>
              </w:rPr>
              <w:t>Wilbur J. Prezzano</w:t>
            </w:r>
          </w:p>
        </w:tc>
        <w:tc>
          <w:tcPr>
            <w:tcW w:w="3160" w:type="dxa"/>
            <w:vAlign w:val="bottom"/>
            <w:tcBorders>
              <w:bottom w:val="single" w:sz="8" w:color="225CAB"/>
            </w:tcBorders>
          </w:tcPr>
          <w:p>
            <w:pPr>
              <w:jc w:val="right"/>
              <w:ind w:right="437"/>
              <w:spacing w:after="0" w:line="196" w:lineRule="exact"/>
              <w:rPr>
                <w:sz w:val="20"/>
                <w:szCs w:val="20"/>
                <w:color w:val="auto"/>
              </w:rPr>
            </w:pPr>
            <w:r>
              <w:rPr>
                <w:rFonts w:ascii="Arial" w:cs="Arial" w:eastAsia="Arial" w:hAnsi="Arial"/>
                <w:sz w:val="18"/>
                <w:szCs w:val="18"/>
                <w:color w:val="auto"/>
              </w:rPr>
              <w:t>58,000</w:t>
            </w:r>
          </w:p>
        </w:tc>
        <w:tc>
          <w:tcPr>
            <w:tcW w:w="1620" w:type="dxa"/>
            <w:vAlign w:val="bottom"/>
            <w:tcBorders>
              <w:bottom w:val="single" w:sz="8" w:color="225CAB"/>
            </w:tcBorders>
          </w:tcPr>
          <w:p>
            <w:pPr>
              <w:ind w:left="500"/>
              <w:spacing w:after="0" w:line="196" w:lineRule="exact"/>
              <w:rPr>
                <w:sz w:val="20"/>
                <w:szCs w:val="20"/>
                <w:color w:val="auto"/>
              </w:rPr>
            </w:pPr>
            <w:r>
              <w:rPr>
                <w:rFonts w:ascii="Arial" w:cs="Arial" w:eastAsia="Arial" w:hAnsi="Arial"/>
                <w:sz w:val="18"/>
                <w:szCs w:val="18"/>
                <w:color w:val="auto"/>
              </w:rPr>
              <w:t>699,640</w:t>
            </w:r>
          </w:p>
        </w:tc>
        <w:tc>
          <w:tcPr>
            <w:tcW w:w="1880" w:type="dxa"/>
            <w:vAlign w:val="bottom"/>
            <w:tcBorders>
              <w:bottom w:val="single" w:sz="8" w:color="225CAB"/>
            </w:tcBorders>
          </w:tcPr>
          <w:p>
            <w:pPr>
              <w:jc w:val="right"/>
              <w:ind w:right="417"/>
              <w:spacing w:after="0" w:line="196" w:lineRule="exact"/>
              <w:rPr>
                <w:sz w:val="20"/>
                <w:szCs w:val="20"/>
                <w:color w:val="auto"/>
              </w:rPr>
            </w:pPr>
            <w:r>
              <w:rPr>
                <w:rFonts w:ascii="Arial" w:cs="Arial" w:eastAsia="Arial" w:hAnsi="Arial"/>
                <w:sz w:val="18"/>
                <w:szCs w:val="18"/>
                <w:color w:val="auto"/>
              </w:rPr>
              <w:t>-</w:t>
            </w:r>
          </w:p>
        </w:tc>
        <w:tc>
          <w:tcPr>
            <w:tcW w:w="1260" w:type="dxa"/>
            <w:vAlign w:val="bottom"/>
            <w:tcBorders>
              <w:bottom w:val="single" w:sz="8" w:color="225CAB"/>
            </w:tcBorders>
          </w:tcPr>
          <w:p>
            <w:pPr>
              <w:jc w:val="right"/>
              <w:ind w:right="16"/>
              <w:spacing w:after="0" w:line="196" w:lineRule="exact"/>
              <w:rPr>
                <w:sz w:val="20"/>
                <w:szCs w:val="20"/>
                <w:color w:val="auto"/>
              </w:rPr>
            </w:pPr>
            <w:r>
              <w:rPr>
                <w:rFonts w:ascii="Arial" w:cs="Arial" w:eastAsia="Arial" w:hAnsi="Arial"/>
                <w:sz w:val="18"/>
                <w:szCs w:val="18"/>
                <w:color w:val="auto"/>
              </w:rPr>
              <w:t>757,640</w:t>
            </w:r>
          </w:p>
        </w:tc>
      </w:tr>
      <w:tr>
        <w:trPr>
          <w:trHeight w:val="196"/>
        </w:trPr>
        <w:tc>
          <w:tcPr>
            <w:tcW w:w="3500" w:type="dxa"/>
            <w:vAlign w:val="bottom"/>
            <w:tcBorders>
              <w:bottom w:val="single" w:sz="8" w:color="225CAB"/>
            </w:tcBorders>
          </w:tcPr>
          <w:p>
            <w:pPr>
              <w:spacing w:after="0" w:line="196" w:lineRule="exact"/>
              <w:rPr>
                <w:sz w:val="20"/>
                <w:szCs w:val="20"/>
                <w:color w:val="auto"/>
              </w:rPr>
            </w:pPr>
            <w:r>
              <w:rPr>
                <w:rFonts w:ascii="Arial" w:cs="Arial" w:eastAsia="Arial" w:hAnsi="Arial"/>
                <w:sz w:val="18"/>
                <w:szCs w:val="18"/>
                <w:color w:val="225CAB"/>
              </w:rPr>
              <w:t>Laura G. Thatcher</w:t>
            </w:r>
            <w:r>
              <w:rPr>
                <w:rFonts w:ascii="Arial" w:cs="Arial" w:eastAsia="Arial" w:hAnsi="Arial"/>
                <w:sz w:val="11"/>
                <w:szCs w:val="11"/>
                <w:color w:val="225CAB"/>
              </w:rPr>
              <w:t>(6)</w:t>
            </w:r>
          </w:p>
        </w:tc>
        <w:tc>
          <w:tcPr>
            <w:tcW w:w="3160" w:type="dxa"/>
            <w:vAlign w:val="bottom"/>
            <w:tcBorders>
              <w:bottom w:val="single" w:sz="8" w:color="225CAB"/>
            </w:tcBorders>
          </w:tcPr>
          <w:p>
            <w:pPr>
              <w:jc w:val="right"/>
              <w:ind w:right="437"/>
              <w:spacing w:after="0" w:line="196" w:lineRule="exact"/>
              <w:rPr>
                <w:sz w:val="20"/>
                <w:szCs w:val="20"/>
                <w:color w:val="auto"/>
              </w:rPr>
            </w:pPr>
            <w:r>
              <w:rPr>
                <w:rFonts w:ascii="Arial" w:cs="Arial" w:eastAsia="Arial" w:hAnsi="Arial"/>
                <w:sz w:val="18"/>
                <w:szCs w:val="18"/>
                <w:color w:val="auto"/>
              </w:rPr>
              <w:t>40,375</w:t>
            </w:r>
          </w:p>
        </w:tc>
        <w:tc>
          <w:tcPr>
            <w:tcW w:w="1620" w:type="dxa"/>
            <w:vAlign w:val="bottom"/>
            <w:tcBorders>
              <w:bottom w:val="single" w:sz="8" w:color="225CAB"/>
            </w:tcBorders>
          </w:tcPr>
          <w:p>
            <w:pPr>
              <w:ind w:left="500"/>
              <w:spacing w:after="0" w:line="196" w:lineRule="exact"/>
              <w:rPr>
                <w:sz w:val="20"/>
                <w:szCs w:val="20"/>
                <w:color w:val="auto"/>
              </w:rPr>
            </w:pPr>
            <w:r>
              <w:rPr>
                <w:rFonts w:ascii="Arial" w:cs="Arial" w:eastAsia="Arial" w:hAnsi="Arial"/>
                <w:sz w:val="18"/>
                <w:szCs w:val="18"/>
                <w:color w:val="auto"/>
              </w:rPr>
              <w:t>699,640</w:t>
            </w:r>
          </w:p>
        </w:tc>
        <w:tc>
          <w:tcPr>
            <w:tcW w:w="1880" w:type="dxa"/>
            <w:vAlign w:val="bottom"/>
            <w:tcBorders>
              <w:bottom w:val="single" w:sz="8" w:color="225CAB"/>
            </w:tcBorders>
          </w:tcPr>
          <w:p>
            <w:pPr>
              <w:jc w:val="right"/>
              <w:ind w:right="417"/>
              <w:spacing w:after="0" w:line="196" w:lineRule="exact"/>
              <w:rPr>
                <w:sz w:val="20"/>
                <w:szCs w:val="20"/>
                <w:color w:val="auto"/>
              </w:rPr>
            </w:pPr>
            <w:r>
              <w:rPr>
                <w:rFonts w:ascii="Arial" w:cs="Arial" w:eastAsia="Arial" w:hAnsi="Arial"/>
                <w:sz w:val="18"/>
                <w:szCs w:val="18"/>
                <w:color w:val="auto"/>
              </w:rPr>
              <w:t>-</w:t>
            </w:r>
          </w:p>
        </w:tc>
        <w:tc>
          <w:tcPr>
            <w:tcW w:w="1260" w:type="dxa"/>
            <w:vAlign w:val="bottom"/>
            <w:tcBorders>
              <w:bottom w:val="single" w:sz="8" w:color="225CAB"/>
            </w:tcBorders>
          </w:tcPr>
          <w:p>
            <w:pPr>
              <w:jc w:val="right"/>
              <w:ind w:right="16"/>
              <w:spacing w:after="0" w:line="196" w:lineRule="exact"/>
              <w:rPr>
                <w:sz w:val="20"/>
                <w:szCs w:val="20"/>
                <w:color w:val="auto"/>
              </w:rPr>
            </w:pPr>
            <w:r>
              <w:rPr>
                <w:rFonts w:ascii="Arial" w:cs="Arial" w:eastAsia="Arial" w:hAnsi="Arial"/>
                <w:sz w:val="18"/>
                <w:szCs w:val="18"/>
                <w:color w:val="auto"/>
              </w:rPr>
              <w:t>740,015</w:t>
            </w:r>
          </w:p>
        </w:tc>
      </w:tr>
      <w:tr>
        <w:trPr>
          <w:trHeight w:val="196"/>
        </w:trPr>
        <w:tc>
          <w:tcPr>
            <w:tcW w:w="3500" w:type="dxa"/>
            <w:vAlign w:val="bottom"/>
            <w:tcBorders>
              <w:bottom w:val="single" w:sz="8" w:color="225CAB"/>
            </w:tcBorders>
          </w:tcPr>
          <w:p>
            <w:pPr>
              <w:spacing w:after="0" w:line="196" w:lineRule="exact"/>
              <w:rPr>
                <w:sz w:val="20"/>
                <w:szCs w:val="20"/>
                <w:color w:val="auto"/>
              </w:rPr>
            </w:pPr>
            <w:r>
              <w:rPr>
                <w:rFonts w:ascii="Arial" w:cs="Arial" w:eastAsia="Arial" w:hAnsi="Arial"/>
                <w:sz w:val="18"/>
                <w:szCs w:val="18"/>
                <w:color w:val="225CAB"/>
              </w:rPr>
              <w:t>Richard F. Wallman</w:t>
            </w:r>
          </w:p>
        </w:tc>
        <w:tc>
          <w:tcPr>
            <w:tcW w:w="3160" w:type="dxa"/>
            <w:vAlign w:val="bottom"/>
            <w:tcBorders>
              <w:bottom w:val="single" w:sz="8" w:color="225CAB"/>
            </w:tcBorders>
          </w:tcPr>
          <w:p>
            <w:pPr>
              <w:jc w:val="right"/>
              <w:ind w:right="437"/>
              <w:spacing w:after="0" w:line="196" w:lineRule="exact"/>
              <w:rPr>
                <w:sz w:val="20"/>
                <w:szCs w:val="20"/>
                <w:color w:val="auto"/>
              </w:rPr>
            </w:pPr>
            <w:r>
              <w:rPr>
                <w:rFonts w:ascii="Arial" w:cs="Arial" w:eastAsia="Arial" w:hAnsi="Arial"/>
                <w:sz w:val="18"/>
                <w:szCs w:val="18"/>
                <w:color w:val="auto"/>
              </w:rPr>
              <w:t>61,000</w:t>
            </w:r>
          </w:p>
        </w:tc>
        <w:tc>
          <w:tcPr>
            <w:tcW w:w="1620" w:type="dxa"/>
            <w:vAlign w:val="bottom"/>
            <w:tcBorders>
              <w:bottom w:val="single" w:sz="8" w:color="225CAB"/>
            </w:tcBorders>
          </w:tcPr>
          <w:p>
            <w:pPr>
              <w:ind w:left="500"/>
              <w:spacing w:after="0" w:line="196" w:lineRule="exact"/>
              <w:rPr>
                <w:sz w:val="20"/>
                <w:szCs w:val="20"/>
                <w:color w:val="auto"/>
              </w:rPr>
            </w:pPr>
            <w:r>
              <w:rPr>
                <w:rFonts w:ascii="Arial" w:cs="Arial" w:eastAsia="Arial" w:hAnsi="Arial"/>
                <w:sz w:val="18"/>
                <w:szCs w:val="18"/>
                <w:color w:val="auto"/>
              </w:rPr>
              <w:t>699,640</w:t>
            </w:r>
          </w:p>
        </w:tc>
        <w:tc>
          <w:tcPr>
            <w:tcW w:w="1880" w:type="dxa"/>
            <w:vAlign w:val="bottom"/>
            <w:tcBorders>
              <w:bottom w:val="single" w:sz="8" w:color="225CAB"/>
            </w:tcBorders>
          </w:tcPr>
          <w:p>
            <w:pPr>
              <w:jc w:val="right"/>
              <w:ind w:right="417"/>
              <w:spacing w:after="0" w:line="196" w:lineRule="exact"/>
              <w:rPr>
                <w:sz w:val="20"/>
                <w:szCs w:val="20"/>
                <w:color w:val="auto"/>
              </w:rPr>
            </w:pPr>
            <w:r>
              <w:rPr>
                <w:rFonts w:ascii="Arial" w:cs="Arial" w:eastAsia="Arial" w:hAnsi="Arial"/>
                <w:sz w:val="18"/>
                <w:szCs w:val="18"/>
                <w:color w:val="auto"/>
              </w:rPr>
              <w:t>-</w:t>
            </w:r>
          </w:p>
        </w:tc>
        <w:tc>
          <w:tcPr>
            <w:tcW w:w="1260" w:type="dxa"/>
            <w:vAlign w:val="bottom"/>
            <w:tcBorders>
              <w:bottom w:val="single" w:sz="8" w:color="225CAB"/>
            </w:tcBorders>
          </w:tcPr>
          <w:p>
            <w:pPr>
              <w:jc w:val="right"/>
              <w:ind w:right="16"/>
              <w:spacing w:after="0" w:line="196" w:lineRule="exact"/>
              <w:rPr>
                <w:sz w:val="20"/>
                <w:szCs w:val="20"/>
                <w:color w:val="auto"/>
              </w:rPr>
            </w:pPr>
            <w:r>
              <w:rPr>
                <w:rFonts w:ascii="Arial" w:cs="Arial" w:eastAsia="Arial" w:hAnsi="Arial"/>
                <w:sz w:val="18"/>
                <w:szCs w:val="18"/>
                <w:color w:val="auto"/>
              </w:rPr>
              <w:t>760,640</w:t>
            </w:r>
          </w:p>
        </w:tc>
      </w:tr>
      <w:tr>
        <w:trPr>
          <w:trHeight w:val="189"/>
        </w:trPr>
        <w:tc>
          <w:tcPr>
            <w:tcW w:w="3500" w:type="dxa"/>
            <w:vAlign w:val="bottom"/>
          </w:tcPr>
          <w:p>
            <w:pPr>
              <w:spacing w:after="0" w:line="189" w:lineRule="exact"/>
              <w:rPr>
                <w:sz w:val="20"/>
                <w:szCs w:val="20"/>
                <w:color w:val="auto"/>
              </w:rPr>
            </w:pPr>
            <w:r>
              <w:rPr>
                <w:rFonts w:ascii="Arial" w:cs="Arial" w:eastAsia="Arial" w:hAnsi="Arial"/>
                <w:sz w:val="18"/>
                <w:szCs w:val="18"/>
                <w:color w:val="225CAB"/>
              </w:rPr>
              <w:t>Christopher Wright</w:t>
            </w:r>
          </w:p>
        </w:tc>
        <w:tc>
          <w:tcPr>
            <w:tcW w:w="3160" w:type="dxa"/>
            <w:vAlign w:val="bottom"/>
          </w:tcPr>
          <w:p>
            <w:pPr>
              <w:jc w:val="right"/>
              <w:ind w:right="437"/>
              <w:spacing w:after="0" w:line="189" w:lineRule="exact"/>
              <w:rPr>
                <w:sz w:val="20"/>
                <w:szCs w:val="20"/>
                <w:color w:val="auto"/>
              </w:rPr>
            </w:pPr>
            <w:r>
              <w:rPr>
                <w:rFonts w:ascii="Arial" w:cs="Arial" w:eastAsia="Arial" w:hAnsi="Arial"/>
                <w:sz w:val="18"/>
                <w:szCs w:val="18"/>
                <w:color w:val="auto"/>
              </w:rPr>
              <w:t>63,500</w:t>
            </w:r>
          </w:p>
        </w:tc>
        <w:tc>
          <w:tcPr>
            <w:tcW w:w="1620" w:type="dxa"/>
            <w:vAlign w:val="bottom"/>
          </w:tcPr>
          <w:p>
            <w:pPr>
              <w:ind w:left="500"/>
              <w:spacing w:after="0" w:line="189" w:lineRule="exact"/>
              <w:rPr>
                <w:sz w:val="20"/>
                <w:szCs w:val="20"/>
                <w:color w:val="auto"/>
              </w:rPr>
            </w:pPr>
            <w:r>
              <w:rPr>
                <w:rFonts w:ascii="Arial" w:cs="Arial" w:eastAsia="Arial" w:hAnsi="Arial"/>
                <w:sz w:val="18"/>
                <w:szCs w:val="18"/>
                <w:color w:val="auto"/>
              </w:rPr>
              <w:t>699,640</w:t>
            </w:r>
          </w:p>
        </w:tc>
        <w:tc>
          <w:tcPr>
            <w:tcW w:w="1880" w:type="dxa"/>
            <w:vAlign w:val="bottom"/>
          </w:tcPr>
          <w:p>
            <w:pPr>
              <w:jc w:val="right"/>
              <w:ind w:right="417"/>
              <w:spacing w:after="0" w:line="189"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16"/>
              <w:spacing w:after="0" w:line="189" w:lineRule="exact"/>
              <w:rPr>
                <w:sz w:val="20"/>
                <w:szCs w:val="20"/>
                <w:color w:val="auto"/>
              </w:rPr>
            </w:pPr>
            <w:r>
              <w:rPr>
                <w:rFonts w:ascii="Arial" w:cs="Arial" w:eastAsia="Arial" w:hAnsi="Arial"/>
                <w:sz w:val="18"/>
                <w:szCs w:val="18"/>
                <w:color w:val="auto"/>
              </w:rPr>
              <w:t>763,140</w:t>
            </w:r>
          </w:p>
        </w:tc>
      </w:tr>
    </w:tbl>
    <w:p>
      <w:pPr>
        <w:spacing w:after="0" w:line="20" w:lineRule="exact"/>
        <w:rPr>
          <w:sz w:val="20"/>
          <w:szCs w:val="20"/>
          <w:color w:val="auto"/>
        </w:rPr>
      </w:pPr>
    </w:p>
    <w:p>
      <w:pPr>
        <w:ind w:left="340" w:right="140" w:hanging="332"/>
        <w:spacing w:after="0" w:line="180" w:lineRule="auto"/>
        <w:tabs>
          <w:tab w:leader="none" w:pos="340" w:val="left"/>
        </w:tabs>
        <w:numPr>
          <w:ilvl w:val="0"/>
          <w:numId w:val="20"/>
        </w:numPr>
        <w:rPr>
          <w:rFonts w:ascii="Arial" w:cs="Arial" w:eastAsia="Arial" w:hAnsi="Arial"/>
          <w:sz w:val="22"/>
          <w:szCs w:val="22"/>
          <w:color w:val="auto"/>
          <w:vertAlign w:val="superscript"/>
        </w:rPr>
      </w:pPr>
      <w:r>
        <w:rPr>
          <w:rFonts w:ascii="Arial" w:cs="Arial" w:eastAsia="Arial" w:hAnsi="Arial"/>
          <w:sz w:val="14"/>
          <w:szCs w:val="14"/>
          <w:color w:val="auto"/>
        </w:rPr>
        <w:t>The dollar values shown represent the grant date fair values for RSUs granted to these directors during 2015, calculated in accordance with Accounting Standards Codification (“ASC”) Topic 718 stock compensation.</w:t>
      </w:r>
    </w:p>
    <w:p>
      <w:pPr>
        <w:ind w:left="340" w:hanging="332"/>
        <w:spacing w:after="0" w:line="205" w:lineRule="auto"/>
        <w:tabs>
          <w:tab w:leader="none" w:pos="340" w:val="left"/>
        </w:tabs>
        <w:numPr>
          <w:ilvl w:val="0"/>
          <w:numId w:val="20"/>
        </w:numPr>
        <w:rPr>
          <w:rFonts w:ascii="Arial" w:cs="Arial" w:eastAsia="Arial" w:hAnsi="Arial"/>
          <w:sz w:val="22"/>
          <w:szCs w:val="22"/>
          <w:color w:val="auto"/>
          <w:vertAlign w:val="superscript"/>
        </w:rPr>
      </w:pPr>
      <w:r>
        <w:rPr>
          <w:rFonts w:ascii="Arial" w:cs="Arial" w:eastAsia="Arial" w:hAnsi="Arial"/>
          <w:sz w:val="14"/>
          <w:szCs w:val="14"/>
          <w:color w:val="auto"/>
        </w:rPr>
        <w:t>As of December 31, 2015, each non-employee director, excluding Mr. Devonshire, whose awards vested upon his death, had 2,000 unvested RSUs outstanding.</w:t>
      </w:r>
    </w:p>
    <w:p>
      <w:pPr>
        <w:spacing w:after="0" w:line="53" w:lineRule="exact"/>
        <w:rPr>
          <w:rFonts w:ascii="Arial" w:cs="Arial" w:eastAsia="Arial" w:hAnsi="Arial"/>
          <w:sz w:val="22"/>
          <w:szCs w:val="22"/>
          <w:color w:val="auto"/>
          <w:vertAlign w:val="superscript"/>
        </w:rPr>
      </w:pPr>
    </w:p>
    <w:p>
      <w:pPr>
        <w:ind w:left="340" w:hanging="332"/>
        <w:spacing w:after="0" w:line="188" w:lineRule="auto"/>
        <w:tabs>
          <w:tab w:leader="none" w:pos="340" w:val="left"/>
        </w:tabs>
        <w:numPr>
          <w:ilvl w:val="0"/>
          <w:numId w:val="20"/>
        </w:numPr>
        <w:rPr>
          <w:rFonts w:ascii="Arial" w:cs="Arial" w:eastAsia="Arial" w:hAnsi="Arial"/>
          <w:sz w:val="18"/>
          <w:szCs w:val="18"/>
          <w:color w:val="auto"/>
          <w:vertAlign w:val="superscript"/>
        </w:rPr>
      </w:pPr>
      <w:r>
        <w:rPr>
          <w:rFonts w:ascii="Arial" w:cs="Arial" w:eastAsia="Arial" w:hAnsi="Arial"/>
          <w:sz w:val="12"/>
          <w:szCs w:val="12"/>
          <w:color w:val="auto"/>
        </w:rPr>
        <w:t>There were no stock option awards outstanding at December 31, 2015 for our non-employee directors.</w:t>
      </w:r>
    </w:p>
    <w:p>
      <w:pPr>
        <w:spacing w:after="0" w:line="53" w:lineRule="exact"/>
        <w:rPr>
          <w:rFonts w:ascii="Arial" w:cs="Arial" w:eastAsia="Arial" w:hAnsi="Arial"/>
          <w:sz w:val="18"/>
          <w:szCs w:val="18"/>
          <w:color w:val="auto"/>
          <w:vertAlign w:val="superscript"/>
        </w:rPr>
      </w:pPr>
    </w:p>
    <w:p>
      <w:pPr>
        <w:ind w:left="340" w:hanging="332"/>
        <w:spacing w:after="0" w:line="188" w:lineRule="auto"/>
        <w:tabs>
          <w:tab w:leader="none" w:pos="340" w:val="left"/>
        </w:tabs>
        <w:numPr>
          <w:ilvl w:val="0"/>
          <w:numId w:val="20"/>
        </w:numPr>
        <w:rPr>
          <w:rFonts w:ascii="Arial" w:cs="Arial" w:eastAsia="Arial" w:hAnsi="Arial"/>
          <w:sz w:val="18"/>
          <w:szCs w:val="18"/>
          <w:color w:val="auto"/>
          <w:vertAlign w:val="superscript"/>
        </w:rPr>
      </w:pPr>
      <w:r>
        <w:rPr>
          <w:rFonts w:ascii="Arial" w:cs="Arial" w:eastAsia="Arial" w:hAnsi="Arial"/>
          <w:sz w:val="12"/>
          <w:szCs w:val="12"/>
          <w:color w:val="auto"/>
        </w:rPr>
        <w:t>Ms. Brinkley joined the Board in May 2015.</w:t>
      </w:r>
    </w:p>
    <w:p>
      <w:pPr>
        <w:spacing w:after="0" w:line="53" w:lineRule="exact"/>
        <w:rPr>
          <w:rFonts w:ascii="Arial" w:cs="Arial" w:eastAsia="Arial" w:hAnsi="Arial"/>
          <w:sz w:val="18"/>
          <w:szCs w:val="18"/>
          <w:color w:val="auto"/>
          <w:vertAlign w:val="superscript"/>
        </w:rPr>
      </w:pPr>
    </w:p>
    <w:p>
      <w:pPr>
        <w:ind w:left="340" w:hanging="332"/>
        <w:spacing w:after="0" w:line="188" w:lineRule="auto"/>
        <w:tabs>
          <w:tab w:leader="none" w:pos="340" w:val="left"/>
        </w:tabs>
        <w:numPr>
          <w:ilvl w:val="0"/>
          <w:numId w:val="20"/>
        </w:numPr>
        <w:rPr>
          <w:rFonts w:ascii="Arial" w:cs="Arial" w:eastAsia="Arial" w:hAnsi="Arial"/>
          <w:sz w:val="18"/>
          <w:szCs w:val="18"/>
          <w:color w:val="auto"/>
          <w:vertAlign w:val="superscript"/>
        </w:rPr>
      </w:pPr>
      <w:r>
        <w:rPr>
          <w:rFonts w:ascii="Arial" w:cs="Arial" w:eastAsia="Arial" w:hAnsi="Arial"/>
          <w:sz w:val="12"/>
          <w:szCs w:val="12"/>
          <w:color w:val="auto"/>
        </w:rPr>
        <w:t>Mr. Devonshire passed away in June 2015.</w:t>
      </w:r>
    </w:p>
    <w:p>
      <w:pPr>
        <w:spacing w:after="0" w:line="53" w:lineRule="exact"/>
        <w:rPr>
          <w:rFonts w:ascii="Arial" w:cs="Arial" w:eastAsia="Arial" w:hAnsi="Arial"/>
          <w:sz w:val="18"/>
          <w:szCs w:val="18"/>
          <w:color w:val="auto"/>
          <w:vertAlign w:val="superscript"/>
        </w:rPr>
      </w:pPr>
    </w:p>
    <w:p>
      <w:pPr>
        <w:ind w:left="340" w:hanging="332"/>
        <w:spacing w:after="0" w:line="188" w:lineRule="auto"/>
        <w:tabs>
          <w:tab w:leader="none" w:pos="340" w:val="left"/>
        </w:tabs>
        <w:numPr>
          <w:ilvl w:val="0"/>
          <w:numId w:val="20"/>
        </w:numPr>
        <w:rPr>
          <w:rFonts w:ascii="Arial" w:cs="Arial" w:eastAsia="Arial" w:hAnsi="Arial"/>
          <w:sz w:val="18"/>
          <w:szCs w:val="18"/>
          <w:color w:val="auto"/>
          <w:vertAlign w:val="superscript"/>
        </w:rPr>
      </w:pPr>
      <w:r>
        <w:rPr>
          <w:rFonts w:ascii="Arial" w:cs="Arial" w:eastAsia="Arial" w:hAnsi="Arial"/>
          <w:sz w:val="12"/>
          <w:szCs w:val="12"/>
          <w:color w:val="auto"/>
        </w:rPr>
        <w:t>Ms. Thatcher joined the Board in May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-890905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1"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Our shareholder ownership and retention guidelines for non-employee directors require them to own 4,000 shares of our common stock. Until the share ownership guidelines are met, non-employee directors are required to retain 100% of any shares they receive (on a net after tax basis) under our Director Compensation Plan. All of our current directors are in compliance with the ownership and retention guidelines. The ownership requirement equated to approximately 18 times the annual cash retainer for directors, based on the closing price of our common stock on December 31, 2015 ($189.79 per share).</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336"/>
        </w:trPr>
        <w:tc>
          <w:tcPr>
            <w:tcW w:w="340" w:type="dxa"/>
            <w:vAlign w:val="bottom"/>
            <w:tcBorders>
              <w:right w:val="single" w:sz="8" w:color="225CAB"/>
            </w:tcBorders>
          </w:tcPr>
          <w:p>
            <w:pPr>
              <w:jc w:val="right"/>
              <w:ind w:right="52"/>
              <w:spacing w:after="0"/>
              <w:rPr>
                <w:sz w:val="20"/>
                <w:szCs w:val="20"/>
                <w:color w:val="auto"/>
              </w:rPr>
            </w:pPr>
            <w:r>
              <w:rPr>
                <w:rFonts w:ascii="Arial" w:cs="Arial" w:eastAsia="Arial" w:hAnsi="Arial"/>
                <w:sz w:val="18"/>
                <w:szCs w:val="18"/>
                <w:b w:val="1"/>
                <w:bCs w:val="1"/>
                <w:color w:val="225CAB"/>
                <w:w w:val="89"/>
              </w:rPr>
              <w:t>14</w:t>
            </w:r>
          </w:p>
        </w:tc>
        <w:tc>
          <w:tcPr>
            <w:tcW w:w="5180" w:type="dxa"/>
            <w:vAlign w:val="bottom"/>
          </w:tcPr>
          <w:p>
            <w:pPr>
              <w:ind w:left="1240"/>
              <w:spacing w:after="0"/>
              <w:rPr>
                <w:sz w:val="20"/>
                <w:szCs w:val="20"/>
                <w:color w:val="auto"/>
              </w:rPr>
            </w:pPr>
            <w:r>
              <w:rPr>
                <w:rFonts w:ascii="Arial" w:cs="Arial" w:eastAsia="Arial" w:hAnsi="Arial"/>
                <w:sz w:val="18"/>
                <w:szCs w:val="18"/>
                <w:b w:val="1"/>
                <w:bCs w:val="1"/>
                <w:color w:val="225CAB"/>
                <w:w w:val="96"/>
              </w:rPr>
              <w:t>Roper Technologies, Inc. 2016 Proxy Statement</w:t>
            </w:r>
          </w:p>
        </w:tc>
      </w:tr>
      <w:tr>
        <w:trPr>
          <w:trHeight w:val="110"/>
        </w:trPr>
        <w:tc>
          <w:tcPr>
            <w:tcW w:w="340" w:type="dxa"/>
            <w:vAlign w:val="bottom"/>
            <w:tcBorders>
              <w:right w:val="single" w:sz="8" w:color="225CAB"/>
            </w:tcBorders>
          </w:tcPr>
          <w:p>
            <w:pPr>
              <w:spacing w:after="0"/>
              <w:rPr>
                <w:sz w:val="9"/>
                <w:szCs w:val="9"/>
                <w:color w:val="auto"/>
              </w:rPr>
            </w:pPr>
          </w:p>
        </w:tc>
        <w:tc>
          <w:tcPr>
            <w:tcW w:w="518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-248285</wp:posOffset>
            </wp:positionV>
            <wp:extent cx="420370" cy="2057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spacing w:after="0"/>
        <w:rPr>
          <w:sz w:val="20"/>
          <w:szCs w:val="20"/>
          <w:color w:val="auto"/>
        </w:rPr>
      </w:pPr>
      <w:r>
        <w:rPr>
          <w:rFonts w:ascii="Arial" w:cs="Arial" w:eastAsia="Arial" w:hAnsi="Arial"/>
          <w:sz w:val="32"/>
          <w:szCs w:val="32"/>
          <w:color w:val="225CAB"/>
        </w:rPr>
        <w:t>EXECUTIVE OFFICERS</w:t>
      </w:r>
    </w:p>
    <w:p>
      <w:pPr>
        <w:spacing w:after="0" w:line="253" w:lineRule="exact"/>
        <w:rPr>
          <w:sz w:val="20"/>
          <w:szCs w:val="20"/>
          <w:color w:val="auto"/>
        </w:rPr>
      </w:pPr>
    </w:p>
    <w:p>
      <w:pPr>
        <w:ind w:right="520"/>
        <w:spacing w:after="0" w:line="239" w:lineRule="auto"/>
        <w:rPr>
          <w:sz w:val="20"/>
          <w:szCs w:val="20"/>
          <w:color w:val="auto"/>
        </w:rPr>
      </w:pPr>
      <w:r>
        <w:rPr>
          <w:rFonts w:ascii="Arial" w:cs="Arial" w:eastAsia="Arial" w:hAnsi="Arial"/>
          <w:sz w:val="18"/>
          <w:szCs w:val="18"/>
          <w:color w:val="auto"/>
        </w:rPr>
        <w:t>The following table sets forth certain information concerning our current executive officers. The executive officers are elected by the Board of Directors and serve at its discretion.</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80" w:type="dxa"/>
            <w:vAlign w:val="bottom"/>
            <w:shd w:val="clear" w:color="auto" w:fill="D2DEEE"/>
          </w:tcPr>
          <w:p>
            <w:pPr>
              <w:spacing w:after="0"/>
              <w:rPr>
                <w:sz w:val="20"/>
                <w:szCs w:val="20"/>
                <w:color w:val="auto"/>
              </w:rPr>
            </w:pPr>
            <w:r>
              <w:rPr>
                <w:rFonts w:ascii="Arial" w:cs="Arial" w:eastAsia="Arial" w:hAnsi="Arial"/>
                <w:sz w:val="18"/>
                <w:szCs w:val="18"/>
                <w:b w:val="1"/>
                <w:bCs w:val="1"/>
                <w:color w:val="auto"/>
              </w:rPr>
              <w:t>Brian D. Jellison</w:t>
            </w:r>
          </w:p>
        </w:tc>
        <w:tc>
          <w:tcPr>
            <w:tcW w:w="7420" w:type="dxa"/>
            <w:vAlign w:val="bottom"/>
            <w:gridSpan w:val="3"/>
            <w:shd w:val="clear" w:color="auto" w:fill="D2DEEE"/>
          </w:tcPr>
          <w:p>
            <w:pPr>
              <w:spacing w:after="0"/>
              <w:rPr>
                <w:sz w:val="20"/>
                <w:szCs w:val="20"/>
                <w:color w:val="auto"/>
              </w:rPr>
            </w:pPr>
            <w:r>
              <w:rPr>
                <w:rFonts w:ascii="Arial" w:cs="Arial" w:eastAsia="Arial" w:hAnsi="Arial"/>
                <w:sz w:val="18"/>
                <w:szCs w:val="18"/>
                <w:color w:val="auto"/>
              </w:rPr>
              <w:t>Professional Experience</w:t>
            </w:r>
          </w:p>
        </w:tc>
        <w:tc>
          <w:tcPr>
            <w:tcW w:w="220" w:type="dxa"/>
            <w:vAlign w:val="bottom"/>
            <w:shd w:val="clear" w:color="auto" w:fill="D2DEEE"/>
          </w:tcPr>
          <w:p>
            <w:pPr>
              <w:spacing w:after="0"/>
              <w:rPr>
                <w:sz w:val="17"/>
                <w:szCs w:val="17"/>
                <w:color w:val="auto"/>
              </w:rPr>
            </w:pPr>
          </w:p>
        </w:tc>
      </w:tr>
      <w:tr>
        <w:trPr>
          <w:trHeight w:val="27"/>
        </w:trPr>
        <w:tc>
          <w:tcPr>
            <w:tcW w:w="3780" w:type="dxa"/>
            <w:vAlign w:val="bottom"/>
            <w:shd w:val="clear" w:color="auto" w:fill="D2DEEE"/>
          </w:tcPr>
          <w:p>
            <w:pPr>
              <w:spacing w:after="0"/>
              <w:rPr>
                <w:sz w:val="2"/>
                <w:szCs w:val="2"/>
                <w:color w:val="auto"/>
              </w:rPr>
            </w:pPr>
          </w:p>
        </w:tc>
        <w:tc>
          <w:tcPr>
            <w:tcW w:w="1880" w:type="dxa"/>
            <w:vAlign w:val="bottom"/>
            <w:shd w:val="clear" w:color="auto" w:fill="000000"/>
          </w:tcPr>
          <w:p>
            <w:pPr>
              <w:spacing w:after="0"/>
              <w:rPr>
                <w:sz w:val="2"/>
                <w:szCs w:val="2"/>
                <w:color w:val="auto"/>
              </w:rPr>
            </w:pPr>
          </w:p>
        </w:tc>
        <w:tc>
          <w:tcPr>
            <w:tcW w:w="5320" w:type="dxa"/>
            <w:vAlign w:val="bottom"/>
            <w:tcBorders>
              <w:right w:val="single" w:sz="8" w:color="D2DEEE"/>
            </w:tcBorders>
            <w:shd w:val="clear" w:color="auto" w:fill="D2DEEE"/>
          </w:tcPr>
          <w:p>
            <w:pPr>
              <w:spacing w:after="0"/>
              <w:rPr>
                <w:sz w:val="2"/>
                <w:szCs w:val="2"/>
                <w:color w:val="auto"/>
              </w:rPr>
            </w:pPr>
          </w:p>
        </w:tc>
        <w:tc>
          <w:tcPr>
            <w:tcW w:w="220" w:type="dxa"/>
            <w:vAlign w:val="bottom"/>
            <w:shd w:val="clear" w:color="auto" w:fill="D2DEEE"/>
          </w:tcPr>
          <w:p>
            <w:pPr>
              <w:spacing w:after="0"/>
              <w:rPr>
                <w:sz w:val="2"/>
                <w:szCs w:val="2"/>
                <w:color w:val="auto"/>
              </w:rPr>
            </w:pPr>
          </w:p>
        </w:tc>
        <w:tc>
          <w:tcPr>
            <w:tcW w:w="220" w:type="dxa"/>
            <w:vAlign w:val="bottom"/>
            <w:shd w:val="clear" w:color="auto" w:fill="D2DEEE"/>
          </w:tcPr>
          <w:p>
            <w:pPr>
              <w:spacing w:after="0"/>
              <w:rPr>
                <w:sz w:val="2"/>
                <w:szCs w:val="2"/>
                <w:color w:val="auto"/>
              </w:rPr>
            </w:pPr>
          </w:p>
        </w:tc>
      </w:tr>
      <w:tr>
        <w:trPr>
          <w:trHeight w:val="206"/>
        </w:trPr>
        <w:tc>
          <w:tcPr>
            <w:tcW w:w="3780" w:type="dxa"/>
            <w:vAlign w:val="bottom"/>
          </w:tcPr>
          <w:p>
            <w:pPr>
              <w:spacing w:after="0" w:line="206" w:lineRule="exact"/>
              <w:rPr>
                <w:sz w:val="20"/>
                <w:szCs w:val="20"/>
                <w:color w:val="auto"/>
              </w:rPr>
            </w:pPr>
            <w:r>
              <w:rPr>
                <w:rFonts w:ascii="Arial" w:cs="Arial" w:eastAsia="Arial" w:hAnsi="Arial"/>
                <w:sz w:val="18"/>
                <w:szCs w:val="18"/>
                <w:color w:val="auto"/>
              </w:rPr>
              <w:t>President and CEO since 2001</w:t>
            </w:r>
          </w:p>
        </w:tc>
        <w:tc>
          <w:tcPr>
            <w:tcW w:w="7420" w:type="dxa"/>
            <w:vAlign w:val="bottom"/>
            <w:gridSpan w:val="3"/>
          </w:tcPr>
          <w:p>
            <w:pPr>
              <w:spacing w:after="0" w:line="206" w:lineRule="exact"/>
              <w:rPr>
                <w:sz w:val="20"/>
                <w:szCs w:val="20"/>
                <w:color w:val="auto"/>
              </w:rPr>
            </w:pPr>
            <w:r>
              <w:rPr>
                <w:rFonts w:ascii="Arial" w:cs="Arial" w:eastAsia="Arial" w:hAnsi="Arial"/>
                <w:sz w:val="18"/>
                <w:szCs w:val="18"/>
                <w:color w:val="auto"/>
              </w:rPr>
              <w:t>Mr. Jellison’s professional experience is discussed under “Board of Directors” above.</w:t>
            </w:r>
          </w:p>
        </w:tc>
        <w:tc>
          <w:tcPr>
            <w:tcW w:w="220" w:type="dxa"/>
            <w:vAlign w:val="bottom"/>
          </w:tcPr>
          <w:p>
            <w:pPr>
              <w:spacing w:after="0"/>
              <w:rPr>
                <w:sz w:val="17"/>
                <w:szCs w:val="17"/>
                <w:color w:val="auto"/>
              </w:rPr>
            </w:pPr>
          </w:p>
        </w:tc>
      </w:tr>
      <w:tr>
        <w:trPr>
          <w:trHeight w:val="211"/>
        </w:trPr>
        <w:tc>
          <w:tcPr>
            <w:tcW w:w="3780" w:type="dxa"/>
            <w:vAlign w:val="bottom"/>
          </w:tcPr>
          <w:p>
            <w:pPr>
              <w:spacing w:after="0"/>
              <w:rPr>
                <w:sz w:val="20"/>
                <w:szCs w:val="20"/>
                <w:color w:val="auto"/>
              </w:rPr>
            </w:pPr>
            <w:r>
              <w:rPr>
                <w:rFonts w:ascii="Arial" w:cs="Arial" w:eastAsia="Arial" w:hAnsi="Arial"/>
                <w:sz w:val="18"/>
                <w:szCs w:val="18"/>
                <w:color w:val="auto"/>
              </w:rPr>
              <w:t>Director since 2001</w:t>
            </w:r>
          </w:p>
        </w:tc>
        <w:tc>
          <w:tcPr>
            <w:tcW w:w="188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8"/>
        </w:trPr>
        <w:tc>
          <w:tcPr>
            <w:tcW w:w="3780" w:type="dxa"/>
            <w:vAlign w:val="bottom"/>
          </w:tcPr>
          <w:p>
            <w:pPr>
              <w:spacing w:after="0"/>
              <w:rPr>
                <w:sz w:val="20"/>
                <w:szCs w:val="20"/>
                <w:color w:val="auto"/>
              </w:rPr>
            </w:pPr>
            <w:r>
              <w:rPr>
                <w:rFonts w:ascii="Arial" w:cs="Arial" w:eastAsia="Arial" w:hAnsi="Arial"/>
                <w:sz w:val="18"/>
                <w:szCs w:val="18"/>
                <w:color w:val="auto"/>
              </w:rPr>
              <w:t>Chairman since 2003</w:t>
            </w:r>
          </w:p>
        </w:tc>
        <w:tc>
          <w:tcPr>
            <w:tcW w:w="188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1"/>
        </w:trPr>
        <w:tc>
          <w:tcPr>
            <w:tcW w:w="3780" w:type="dxa"/>
            <w:vAlign w:val="bottom"/>
          </w:tcPr>
          <w:p>
            <w:pPr>
              <w:spacing w:after="0"/>
              <w:rPr>
                <w:sz w:val="20"/>
                <w:szCs w:val="20"/>
                <w:color w:val="auto"/>
              </w:rPr>
            </w:pPr>
            <w:r>
              <w:rPr>
                <w:rFonts w:ascii="Arial" w:cs="Arial" w:eastAsia="Arial" w:hAnsi="Arial"/>
                <w:sz w:val="18"/>
                <w:szCs w:val="18"/>
                <w:color w:val="auto"/>
              </w:rPr>
              <w:t>Age: 70</w:t>
            </w:r>
          </w:p>
        </w:tc>
        <w:tc>
          <w:tcPr>
            <w:tcW w:w="188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178"/>
        </w:trPr>
        <w:tc>
          <w:tcPr>
            <w:tcW w:w="3780" w:type="dxa"/>
            <w:vAlign w:val="bottom"/>
            <w:shd w:val="clear" w:color="auto" w:fill="D2DEEE"/>
          </w:tcPr>
          <w:p>
            <w:pPr>
              <w:spacing w:after="0" w:line="177" w:lineRule="exact"/>
              <w:rPr>
                <w:sz w:val="20"/>
                <w:szCs w:val="20"/>
                <w:color w:val="auto"/>
              </w:rPr>
            </w:pPr>
            <w:r>
              <w:rPr>
                <w:rFonts w:ascii="Arial" w:cs="Arial" w:eastAsia="Arial" w:hAnsi="Arial"/>
                <w:sz w:val="18"/>
                <w:szCs w:val="18"/>
                <w:b w:val="1"/>
                <w:bCs w:val="1"/>
                <w:color w:val="auto"/>
              </w:rPr>
              <w:t>John Humphrey</w:t>
            </w:r>
          </w:p>
        </w:tc>
        <w:tc>
          <w:tcPr>
            <w:tcW w:w="7420" w:type="dxa"/>
            <w:vAlign w:val="bottom"/>
            <w:gridSpan w:val="3"/>
            <w:shd w:val="clear" w:color="auto" w:fill="D2DEEE"/>
          </w:tcPr>
          <w:p>
            <w:pPr>
              <w:spacing w:after="0" w:line="177" w:lineRule="exact"/>
              <w:rPr>
                <w:sz w:val="20"/>
                <w:szCs w:val="20"/>
                <w:color w:val="auto"/>
              </w:rPr>
            </w:pPr>
            <w:r>
              <w:rPr>
                <w:rFonts w:ascii="Arial" w:cs="Arial" w:eastAsia="Arial" w:hAnsi="Arial"/>
                <w:sz w:val="18"/>
                <w:szCs w:val="18"/>
                <w:color w:val="auto"/>
              </w:rPr>
              <w:t>Professional Experience</w:t>
            </w:r>
          </w:p>
        </w:tc>
        <w:tc>
          <w:tcPr>
            <w:tcW w:w="220" w:type="dxa"/>
            <w:vAlign w:val="bottom"/>
            <w:shd w:val="clear" w:color="auto" w:fill="D2DEEE"/>
          </w:tcPr>
          <w:p>
            <w:pPr>
              <w:spacing w:after="0"/>
              <w:rPr>
                <w:sz w:val="15"/>
                <w:szCs w:val="15"/>
                <w:color w:val="auto"/>
              </w:rPr>
            </w:pPr>
          </w:p>
        </w:tc>
      </w:tr>
      <w:tr>
        <w:trPr>
          <w:trHeight w:val="27"/>
        </w:trPr>
        <w:tc>
          <w:tcPr>
            <w:tcW w:w="3780" w:type="dxa"/>
            <w:vAlign w:val="bottom"/>
            <w:shd w:val="clear" w:color="auto" w:fill="D2DEEE"/>
          </w:tcPr>
          <w:p>
            <w:pPr>
              <w:spacing w:after="0"/>
              <w:rPr>
                <w:sz w:val="2"/>
                <w:szCs w:val="2"/>
                <w:color w:val="auto"/>
              </w:rPr>
            </w:pPr>
          </w:p>
        </w:tc>
        <w:tc>
          <w:tcPr>
            <w:tcW w:w="1880" w:type="dxa"/>
            <w:vAlign w:val="bottom"/>
            <w:shd w:val="clear" w:color="auto" w:fill="000000"/>
          </w:tcPr>
          <w:p>
            <w:pPr>
              <w:spacing w:after="0"/>
              <w:rPr>
                <w:sz w:val="2"/>
                <w:szCs w:val="2"/>
                <w:color w:val="auto"/>
              </w:rPr>
            </w:pPr>
          </w:p>
        </w:tc>
        <w:tc>
          <w:tcPr>
            <w:tcW w:w="5320" w:type="dxa"/>
            <w:vAlign w:val="bottom"/>
            <w:tcBorders>
              <w:right w:val="single" w:sz="8" w:color="D2DEEE"/>
            </w:tcBorders>
            <w:shd w:val="clear" w:color="auto" w:fill="D2DEEE"/>
          </w:tcPr>
          <w:p>
            <w:pPr>
              <w:spacing w:after="0"/>
              <w:rPr>
                <w:sz w:val="2"/>
                <w:szCs w:val="2"/>
                <w:color w:val="auto"/>
              </w:rPr>
            </w:pPr>
          </w:p>
        </w:tc>
        <w:tc>
          <w:tcPr>
            <w:tcW w:w="220" w:type="dxa"/>
            <w:vAlign w:val="bottom"/>
            <w:shd w:val="clear" w:color="auto" w:fill="D2DEEE"/>
          </w:tcPr>
          <w:p>
            <w:pPr>
              <w:spacing w:after="0"/>
              <w:rPr>
                <w:sz w:val="2"/>
                <w:szCs w:val="2"/>
                <w:color w:val="auto"/>
              </w:rPr>
            </w:pPr>
          </w:p>
        </w:tc>
        <w:tc>
          <w:tcPr>
            <w:tcW w:w="220" w:type="dxa"/>
            <w:vAlign w:val="bottom"/>
            <w:shd w:val="clear" w:color="auto" w:fill="D2DEEE"/>
          </w:tcPr>
          <w:p>
            <w:pPr>
              <w:spacing w:after="0"/>
              <w:rPr>
                <w:sz w:val="2"/>
                <w:szCs w:val="2"/>
                <w:color w:val="auto"/>
              </w:rPr>
            </w:pPr>
          </w:p>
        </w:tc>
      </w:tr>
      <w:tr>
        <w:trPr>
          <w:trHeight w:val="206"/>
        </w:trPr>
        <w:tc>
          <w:tcPr>
            <w:tcW w:w="3780" w:type="dxa"/>
            <w:vAlign w:val="bottom"/>
          </w:tcPr>
          <w:p>
            <w:pPr>
              <w:spacing w:after="0" w:line="206" w:lineRule="exact"/>
              <w:rPr>
                <w:sz w:val="20"/>
                <w:szCs w:val="20"/>
                <w:color w:val="auto"/>
              </w:rPr>
            </w:pPr>
            <w:r>
              <w:rPr>
                <w:rFonts w:ascii="Arial" w:cs="Arial" w:eastAsia="Arial" w:hAnsi="Arial"/>
                <w:sz w:val="18"/>
                <w:szCs w:val="18"/>
                <w:color w:val="auto"/>
              </w:rPr>
              <w:t>Executive Vice President since 2011</w:t>
            </w:r>
          </w:p>
        </w:tc>
        <w:tc>
          <w:tcPr>
            <w:tcW w:w="7420" w:type="dxa"/>
            <w:vAlign w:val="bottom"/>
            <w:gridSpan w:val="3"/>
          </w:tcPr>
          <w:p>
            <w:pPr>
              <w:spacing w:after="0" w:line="206" w:lineRule="exact"/>
              <w:rPr>
                <w:sz w:val="20"/>
                <w:szCs w:val="20"/>
                <w:color w:val="auto"/>
              </w:rPr>
            </w:pPr>
            <w:r>
              <w:rPr>
                <w:rFonts w:ascii="Arial" w:cs="Arial" w:eastAsia="Arial" w:hAnsi="Arial"/>
                <w:sz w:val="18"/>
                <w:szCs w:val="18"/>
                <w:color w:val="auto"/>
              </w:rPr>
              <w:t>Prior to joining Roper, Mr. Humphrey served as Vice President and Chief Financial Officer of</w:t>
            </w:r>
          </w:p>
        </w:tc>
        <w:tc>
          <w:tcPr>
            <w:tcW w:w="220" w:type="dxa"/>
            <w:vAlign w:val="bottom"/>
          </w:tcPr>
          <w:p>
            <w:pPr>
              <w:spacing w:after="0"/>
              <w:rPr>
                <w:sz w:val="17"/>
                <w:szCs w:val="17"/>
                <w:color w:val="auto"/>
              </w:rPr>
            </w:pPr>
          </w:p>
        </w:tc>
      </w:tr>
      <w:tr>
        <w:trPr>
          <w:trHeight w:val="203"/>
        </w:trPr>
        <w:tc>
          <w:tcPr>
            <w:tcW w:w="3780" w:type="dxa"/>
            <w:vAlign w:val="bottom"/>
          </w:tcPr>
          <w:p>
            <w:pPr>
              <w:spacing w:after="0" w:line="202" w:lineRule="exact"/>
              <w:rPr>
                <w:sz w:val="20"/>
                <w:szCs w:val="20"/>
                <w:color w:val="auto"/>
              </w:rPr>
            </w:pPr>
            <w:r>
              <w:rPr>
                <w:rFonts w:ascii="Arial" w:cs="Arial" w:eastAsia="Arial" w:hAnsi="Arial"/>
                <w:sz w:val="18"/>
                <w:szCs w:val="18"/>
                <w:color w:val="auto"/>
              </w:rPr>
              <w:t>Chief Financial Officer since 2006</w:t>
            </w:r>
          </w:p>
        </w:tc>
        <w:tc>
          <w:tcPr>
            <w:tcW w:w="7420" w:type="dxa"/>
            <w:vAlign w:val="bottom"/>
            <w:gridSpan w:val="3"/>
          </w:tcPr>
          <w:p>
            <w:pPr>
              <w:spacing w:after="0" w:line="202" w:lineRule="exact"/>
              <w:rPr>
                <w:sz w:val="20"/>
                <w:szCs w:val="20"/>
                <w:color w:val="auto"/>
              </w:rPr>
            </w:pPr>
            <w:r>
              <w:rPr>
                <w:rFonts w:ascii="Arial" w:cs="Arial" w:eastAsia="Arial" w:hAnsi="Arial"/>
                <w:sz w:val="18"/>
                <w:szCs w:val="18"/>
                <w:color w:val="auto"/>
              </w:rPr>
              <w:t>Honeywell Aerospace, the aviation segment of Honeywell International Inc., after serving in</w:t>
            </w:r>
          </w:p>
        </w:tc>
        <w:tc>
          <w:tcPr>
            <w:tcW w:w="220" w:type="dxa"/>
            <w:vAlign w:val="bottom"/>
          </w:tcPr>
          <w:p>
            <w:pPr>
              <w:spacing w:after="0"/>
              <w:rPr>
                <w:sz w:val="17"/>
                <w:szCs w:val="17"/>
                <w:color w:val="auto"/>
              </w:rPr>
            </w:pPr>
          </w:p>
        </w:tc>
      </w:tr>
      <w:tr>
        <w:trPr>
          <w:trHeight w:val="203"/>
        </w:trPr>
        <w:tc>
          <w:tcPr>
            <w:tcW w:w="3780" w:type="dxa"/>
            <w:vAlign w:val="bottom"/>
          </w:tcPr>
          <w:p>
            <w:pPr>
              <w:spacing w:after="0" w:line="202" w:lineRule="exact"/>
              <w:rPr>
                <w:sz w:val="20"/>
                <w:szCs w:val="20"/>
                <w:color w:val="auto"/>
              </w:rPr>
            </w:pPr>
            <w:r>
              <w:rPr>
                <w:rFonts w:ascii="Arial" w:cs="Arial" w:eastAsia="Arial" w:hAnsi="Arial"/>
                <w:sz w:val="18"/>
                <w:szCs w:val="18"/>
                <w:color w:val="auto"/>
              </w:rPr>
              <w:t>Vice President from 2006 to 2011</w:t>
            </w:r>
          </w:p>
        </w:tc>
        <w:tc>
          <w:tcPr>
            <w:tcW w:w="7420" w:type="dxa"/>
            <w:vAlign w:val="bottom"/>
            <w:gridSpan w:val="3"/>
          </w:tcPr>
          <w:p>
            <w:pPr>
              <w:spacing w:after="0" w:line="202" w:lineRule="exact"/>
              <w:rPr>
                <w:sz w:val="20"/>
                <w:szCs w:val="20"/>
                <w:color w:val="auto"/>
              </w:rPr>
            </w:pPr>
            <w:r>
              <w:rPr>
                <w:rFonts w:ascii="Arial" w:cs="Arial" w:eastAsia="Arial" w:hAnsi="Arial"/>
                <w:sz w:val="18"/>
                <w:szCs w:val="18"/>
                <w:color w:val="auto"/>
              </w:rPr>
              <w:t>several financial positions with Honeywell International and its predecessor AlliedSignal. Mr.</w:t>
            </w:r>
          </w:p>
        </w:tc>
        <w:tc>
          <w:tcPr>
            <w:tcW w:w="220" w:type="dxa"/>
            <w:vAlign w:val="bottom"/>
          </w:tcPr>
          <w:p>
            <w:pPr>
              <w:spacing w:after="0"/>
              <w:rPr>
                <w:sz w:val="17"/>
                <w:szCs w:val="17"/>
                <w:color w:val="auto"/>
              </w:rPr>
            </w:pPr>
          </w:p>
        </w:tc>
      </w:tr>
      <w:tr>
        <w:trPr>
          <w:trHeight w:val="203"/>
        </w:trPr>
        <w:tc>
          <w:tcPr>
            <w:tcW w:w="3780" w:type="dxa"/>
            <w:vAlign w:val="bottom"/>
          </w:tcPr>
          <w:p>
            <w:pPr>
              <w:spacing w:after="0" w:line="202" w:lineRule="exact"/>
              <w:rPr>
                <w:sz w:val="20"/>
                <w:szCs w:val="20"/>
                <w:color w:val="auto"/>
              </w:rPr>
            </w:pPr>
            <w:r>
              <w:rPr>
                <w:rFonts w:ascii="Arial" w:cs="Arial" w:eastAsia="Arial" w:hAnsi="Arial"/>
                <w:sz w:val="18"/>
                <w:szCs w:val="18"/>
                <w:color w:val="auto"/>
              </w:rPr>
              <w:t>Age: 50</w:t>
            </w:r>
          </w:p>
        </w:tc>
        <w:tc>
          <w:tcPr>
            <w:tcW w:w="7420" w:type="dxa"/>
            <w:vAlign w:val="bottom"/>
            <w:gridSpan w:val="3"/>
          </w:tcPr>
          <w:p>
            <w:pPr>
              <w:spacing w:after="0" w:line="202" w:lineRule="exact"/>
              <w:rPr>
                <w:sz w:val="20"/>
                <w:szCs w:val="20"/>
                <w:color w:val="auto"/>
              </w:rPr>
            </w:pPr>
            <w:r>
              <w:rPr>
                <w:rFonts w:ascii="Arial" w:cs="Arial" w:eastAsia="Arial" w:hAnsi="Arial"/>
                <w:sz w:val="18"/>
                <w:szCs w:val="18"/>
                <w:color w:val="auto"/>
                <w:w w:val="99"/>
              </w:rPr>
              <w:t>Humphrey’s earlier career included 6 years with Detroit Diesel Corporation, a manufacturer of</w:t>
            </w:r>
          </w:p>
        </w:tc>
        <w:tc>
          <w:tcPr>
            <w:tcW w:w="220" w:type="dxa"/>
            <w:vAlign w:val="bottom"/>
          </w:tcPr>
          <w:p>
            <w:pPr>
              <w:spacing w:after="0"/>
              <w:rPr>
                <w:sz w:val="17"/>
                <w:szCs w:val="17"/>
                <w:color w:val="auto"/>
              </w:rPr>
            </w:pPr>
          </w:p>
        </w:tc>
      </w:tr>
      <w:tr>
        <w:trPr>
          <w:trHeight w:val="199"/>
        </w:trPr>
        <w:tc>
          <w:tcPr>
            <w:tcW w:w="3780" w:type="dxa"/>
            <w:vAlign w:val="bottom"/>
          </w:tcPr>
          <w:p>
            <w:pPr>
              <w:spacing w:after="0"/>
              <w:rPr>
                <w:sz w:val="17"/>
                <w:szCs w:val="17"/>
                <w:color w:val="auto"/>
              </w:rPr>
            </w:pPr>
          </w:p>
        </w:tc>
        <w:tc>
          <w:tcPr>
            <w:tcW w:w="7420" w:type="dxa"/>
            <w:vAlign w:val="bottom"/>
            <w:gridSpan w:val="3"/>
          </w:tcPr>
          <w:p>
            <w:pPr>
              <w:spacing w:after="0" w:line="200" w:lineRule="exact"/>
              <w:rPr>
                <w:sz w:val="20"/>
                <w:szCs w:val="20"/>
                <w:color w:val="auto"/>
              </w:rPr>
            </w:pPr>
            <w:r>
              <w:rPr>
                <w:rFonts w:ascii="Arial" w:cs="Arial" w:eastAsia="Arial" w:hAnsi="Arial"/>
                <w:sz w:val="18"/>
                <w:szCs w:val="18"/>
                <w:color w:val="auto"/>
              </w:rPr>
              <w:t>heavy-duty engines, in a variety of engineering and manufacturing management positions.</w:t>
            </w:r>
          </w:p>
        </w:tc>
        <w:tc>
          <w:tcPr>
            <w:tcW w:w="220" w:type="dxa"/>
            <w:vAlign w:val="bottom"/>
          </w:tcPr>
          <w:p>
            <w:pPr>
              <w:spacing w:after="0"/>
              <w:rPr>
                <w:sz w:val="17"/>
                <w:szCs w:val="17"/>
                <w:color w:val="auto"/>
              </w:rPr>
            </w:pPr>
          </w:p>
        </w:tc>
      </w:tr>
      <w:tr>
        <w:trPr>
          <w:trHeight w:val="176"/>
        </w:trPr>
        <w:tc>
          <w:tcPr>
            <w:tcW w:w="3780" w:type="dxa"/>
            <w:vAlign w:val="bottom"/>
            <w:shd w:val="clear" w:color="auto" w:fill="D2DEEE"/>
          </w:tcPr>
          <w:p>
            <w:pPr>
              <w:spacing w:after="0" w:line="176" w:lineRule="exact"/>
              <w:rPr>
                <w:sz w:val="20"/>
                <w:szCs w:val="20"/>
                <w:color w:val="auto"/>
              </w:rPr>
            </w:pPr>
            <w:r>
              <w:rPr>
                <w:rFonts w:ascii="Arial" w:cs="Arial" w:eastAsia="Arial" w:hAnsi="Arial"/>
                <w:sz w:val="18"/>
                <w:szCs w:val="18"/>
                <w:b w:val="1"/>
                <w:bCs w:val="1"/>
                <w:color w:val="auto"/>
              </w:rPr>
              <w:t>David B. Liner</w:t>
            </w:r>
          </w:p>
        </w:tc>
        <w:tc>
          <w:tcPr>
            <w:tcW w:w="7420" w:type="dxa"/>
            <w:vAlign w:val="bottom"/>
            <w:gridSpan w:val="3"/>
            <w:shd w:val="clear" w:color="auto" w:fill="D2DEEE"/>
          </w:tcPr>
          <w:p>
            <w:pPr>
              <w:spacing w:after="0" w:line="176" w:lineRule="exact"/>
              <w:rPr>
                <w:sz w:val="20"/>
                <w:szCs w:val="20"/>
                <w:color w:val="auto"/>
              </w:rPr>
            </w:pPr>
            <w:r>
              <w:rPr>
                <w:rFonts w:ascii="Arial" w:cs="Arial" w:eastAsia="Arial" w:hAnsi="Arial"/>
                <w:sz w:val="18"/>
                <w:szCs w:val="18"/>
                <w:color w:val="auto"/>
              </w:rPr>
              <w:t>Professional Experience</w:t>
            </w:r>
          </w:p>
        </w:tc>
        <w:tc>
          <w:tcPr>
            <w:tcW w:w="220" w:type="dxa"/>
            <w:vAlign w:val="bottom"/>
            <w:shd w:val="clear" w:color="auto" w:fill="D2DEEE"/>
          </w:tcPr>
          <w:p>
            <w:pPr>
              <w:spacing w:after="0"/>
              <w:rPr>
                <w:sz w:val="15"/>
                <w:szCs w:val="15"/>
                <w:color w:val="auto"/>
              </w:rPr>
            </w:pPr>
          </w:p>
        </w:tc>
      </w:tr>
      <w:tr>
        <w:trPr>
          <w:trHeight w:val="27"/>
        </w:trPr>
        <w:tc>
          <w:tcPr>
            <w:tcW w:w="3780" w:type="dxa"/>
            <w:vAlign w:val="bottom"/>
            <w:shd w:val="clear" w:color="auto" w:fill="D2DEEE"/>
          </w:tcPr>
          <w:p>
            <w:pPr>
              <w:spacing w:after="0"/>
              <w:rPr>
                <w:sz w:val="2"/>
                <w:szCs w:val="2"/>
                <w:color w:val="auto"/>
              </w:rPr>
            </w:pPr>
          </w:p>
        </w:tc>
        <w:tc>
          <w:tcPr>
            <w:tcW w:w="1880" w:type="dxa"/>
            <w:vAlign w:val="bottom"/>
            <w:shd w:val="clear" w:color="auto" w:fill="000000"/>
          </w:tcPr>
          <w:p>
            <w:pPr>
              <w:spacing w:after="0"/>
              <w:rPr>
                <w:sz w:val="2"/>
                <w:szCs w:val="2"/>
                <w:color w:val="auto"/>
              </w:rPr>
            </w:pPr>
          </w:p>
        </w:tc>
        <w:tc>
          <w:tcPr>
            <w:tcW w:w="5320" w:type="dxa"/>
            <w:vAlign w:val="bottom"/>
            <w:tcBorders>
              <w:right w:val="single" w:sz="8" w:color="D2DEEE"/>
            </w:tcBorders>
            <w:shd w:val="clear" w:color="auto" w:fill="D2DEEE"/>
          </w:tcPr>
          <w:p>
            <w:pPr>
              <w:spacing w:after="0"/>
              <w:rPr>
                <w:sz w:val="2"/>
                <w:szCs w:val="2"/>
                <w:color w:val="auto"/>
              </w:rPr>
            </w:pPr>
          </w:p>
        </w:tc>
        <w:tc>
          <w:tcPr>
            <w:tcW w:w="220" w:type="dxa"/>
            <w:vAlign w:val="bottom"/>
            <w:shd w:val="clear" w:color="auto" w:fill="D2DEEE"/>
          </w:tcPr>
          <w:p>
            <w:pPr>
              <w:spacing w:after="0"/>
              <w:rPr>
                <w:sz w:val="2"/>
                <w:szCs w:val="2"/>
                <w:color w:val="auto"/>
              </w:rPr>
            </w:pPr>
          </w:p>
        </w:tc>
        <w:tc>
          <w:tcPr>
            <w:tcW w:w="220" w:type="dxa"/>
            <w:vAlign w:val="bottom"/>
            <w:shd w:val="clear" w:color="auto" w:fill="D2DEEE"/>
          </w:tcPr>
          <w:p>
            <w:pPr>
              <w:spacing w:after="0"/>
              <w:rPr>
                <w:sz w:val="2"/>
                <w:szCs w:val="2"/>
                <w:color w:val="auto"/>
              </w:rPr>
            </w:pPr>
          </w:p>
        </w:tc>
      </w:tr>
      <w:tr>
        <w:trPr>
          <w:trHeight w:val="206"/>
        </w:trPr>
        <w:tc>
          <w:tcPr>
            <w:tcW w:w="3780" w:type="dxa"/>
            <w:vAlign w:val="bottom"/>
          </w:tcPr>
          <w:p>
            <w:pPr>
              <w:spacing w:after="0" w:line="206" w:lineRule="exact"/>
              <w:rPr>
                <w:sz w:val="20"/>
                <w:szCs w:val="20"/>
                <w:color w:val="auto"/>
              </w:rPr>
            </w:pPr>
            <w:r>
              <w:rPr>
                <w:rFonts w:ascii="Arial" w:cs="Arial" w:eastAsia="Arial" w:hAnsi="Arial"/>
                <w:sz w:val="18"/>
                <w:szCs w:val="18"/>
                <w:color w:val="auto"/>
              </w:rPr>
              <w:t>Vice President since 2005</w:t>
            </w:r>
          </w:p>
        </w:tc>
        <w:tc>
          <w:tcPr>
            <w:tcW w:w="7640" w:type="dxa"/>
            <w:vAlign w:val="bottom"/>
            <w:gridSpan w:val="4"/>
          </w:tcPr>
          <w:p>
            <w:pPr>
              <w:spacing w:after="0" w:line="206" w:lineRule="exact"/>
              <w:rPr>
                <w:sz w:val="20"/>
                <w:szCs w:val="20"/>
                <w:color w:val="auto"/>
              </w:rPr>
            </w:pPr>
            <w:r>
              <w:rPr>
                <w:rFonts w:ascii="Arial" w:cs="Arial" w:eastAsia="Arial" w:hAnsi="Arial"/>
                <w:sz w:val="18"/>
                <w:szCs w:val="18"/>
                <w:color w:val="auto"/>
                <w:w w:val="98"/>
              </w:rPr>
              <w:t>Prior to joining Roper, Mr. Liner served four years in the corporate finance group of the law firm of</w:t>
            </w:r>
          </w:p>
        </w:tc>
      </w:tr>
      <w:tr>
        <w:trPr>
          <w:trHeight w:val="203"/>
        </w:trPr>
        <w:tc>
          <w:tcPr>
            <w:tcW w:w="3780" w:type="dxa"/>
            <w:vAlign w:val="bottom"/>
          </w:tcPr>
          <w:p>
            <w:pPr>
              <w:spacing w:after="0" w:line="202" w:lineRule="exact"/>
              <w:rPr>
                <w:sz w:val="20"/>
                <w:szCs w:val="20"/>
                <w:color w:val="auto"/>
              </w:rPr>
            </w:pPr>
            <w:r>
              <w:rPr>
                <w:rFonts w:ascii="Arial" w:cs="Arial" w:eastAsia="Arial" w:hAnsi="Arial"/>
                <w:sz w:val="18"/>
                <w:szCs w:val="18"/>
                <w:color w:val="auto"/>
              </w:rPr>
              <w:t>General Counsel since 2005</w:t>
            </w:r>
          </w:p>
        </w:tc>
        <w:tc>
          <w:tcPr>
            <w:tcW w:w="7640" w:type="dxa"/>
            <w:vAlign w:val="bottom"/>
            <w:gridSpan w:val="4"/>
          </w:tcPr>
          <w:p>
            <w:pPr>
              <w:spacing w:after="0" w:line="202" w:lineRule="exact"/>
              <w:rPr>
                <w:sz w:val="20"/>
                <w:szCs w:val="20"/>
                <w:color w:val="auto"/>
              </w:rPr>
            </w:pPr>
            <w:r>
              <w:rPr>
                <w:rFonts w:ascii="Arial" w:cs="Arial" w:eastAsia="Arial" w:hAnsi="Arial"/>
                <w:sz w:val="18"/>
                <w:szCs w:val="18"/>
                <w:color w:val="auto"/>
                <w:w w:val="97"/>
              </w:rPr>
              <w:t>Dykema Gossett, PLLC, heading up both the firm’s automotive industry and China teams, and four</w:t>
            </w:r>
          </w:p>
        </w:tc>
      </w:tr>
      <w:tr>
        <w:trPr>
          <w:trHeight w:val="203"/>
        </w:trPr>
        <w:tc>
          <w:tcPr>
            <w:tcW w:w="3780" w:type="dxa"/>
            <w:vAlign w:val="bottom"/>
          </w:tcPr>
          <w:p>
            <w:pPr>
              <w:spacing w:after="0" w:line="202" w:lineRule="exact"/>
              <w:rPr>
                <w:sz w:val="20"/>
                <w:szCs w:val="20"/>
                <w:color w:val="auto"/>
              </w:rPr>
            </w:pPr>
            <w:r>
              <w:rPr>
                <w:rFonts w:ascii="Arial" w:cs="Arial" w:eastAsia="Arial" w:hAnsi="Arial"/>
                <w:sz w:val="18"/>
                <w:szCs w:val="18"/>
                <w:color w:val="auto"/>
              </w:rPr>
              <w:t>Secretary since 2005</w:t>
            </w:r>
          </w:p>
        </w:tc>
        <w:tc>
          <w:tcPr>
            <w:tcW w:w="7640" w:type="dxa"/>
            <w:vAlign w:val="bottom"/>
            <w:gridSpan w:val="4"/>
          </w:tcPr>
          <w:p>
            <w:pPr>
              <w:spacing w:after="0" w:line="202" w:lineRule="exact"/>
              <w:rPr>
                <w:sz w:val="20"/>
                <w:szCs w:val="20"/>
                <w:color w:val="auto"/>
              </w:rPr>
            </w:pPr>
            <w:r>
              <w:rPr>
                <w:rFonts w:ascii="Arial" w:cs="Arial" w:eastAsia="Arial" w:hAnsi="Arial"/>
                <w:sz w:val="18"/>
                <w:szCs w:val="18"/>
                <w:color w:val="auto"/>
                <w:w w:val="97"/>
              </w:rPr>
              <w:t>years as Vice President and General Counsel of MascoTech, Inc., a diversified industrial products</w:t>
            </w:r>
          </w:p>
        </w:tc>
      </w:tr>
      <w:tr>
        <w:trPr>
          <w:trHeight w:val="203"/>
        </w:trPr>
        <w:tc>
          <w:tcPr>
            <w:tcW w:w="3780" w:type="dxa"/>
            <w:vAlign w:val="bottom"/>
          </w:tcPr>
          <w:p>
            <w:pPr>
              <w:spacing w:after="0" w:line="202" w:lineRule="exact"/>
              <w:rPr>
                <w:sz w:val="20"/>
                <w:szCs w:val="20"/>
                <w:color w:val="auto"/>
              </w:rPr>
            </w:pPr>
            <w:r>
              <w:rPr>
                <w:rFonts w:ascii="Arial" w:cs="Arial" w:eastAsia="Arial" w:hAnsi="Arial"/>
                <w:sz w:val="18"/>
                <w:szCs w:val="18"/>
                <w:color w:val="auto"/>
              </w:rPr>
              <w:t>Age: 60</w:t>
            </w:r>
          </w:p>
        </w:tc>
        <w:tc>
          <w:tcPr>
            <w:tcW w:w="7640" w:type="dxa"/>
            <w:vAlign w:val="bottom"/>
            <w:gridSpan w:val="4"/>
          </w:tcPr>
          <w:p>
            <w:pPr>
              <w:spacing w:after="0" w:line="202" w:lineRule="exact"/>
              <w:rPr>
                <w:sz w:val="20"/>
                <w:szCs w:val="20"/>
                <w:color w:val="auto"/>
              </w:rPr>
            </w:pPr>
            <w:r>
              <w:rPr>
                <w:rFonts w:ascii="Arial" w:cs="Arial" w:eastAsia="Arial" w:hAnsi="Arial"/>
                <w:sz w:val="18"/>
                <w:szCs w:val="18"/>
                <w:color w:val="auto"/>
                <w:w w:val="98"/>
              </w:rPr>
              <w:t>company primarily serving the global transportation industry. Mr. Liner’s earlier career included 17</w:t>
            </w:r>
          </w:p>
        </w:tc>
      </w:tr>
      <w:tr>
        <w:trPr>
          <w:trHeight w:val="203"/>
        </w:trPr>
        <w:tc>
          <w:tcPr>
            <w:tcW w:w="3780" w:type="dxa"/>
            <w:vAlign w:val="bottom"/>
          </w:tcPr>
          <w:p>
            <w:pPr>
              <w:spacing w:after="0"/>
              <w:rPr>
                <w:sz w:val="17"/>
                <w:szCs w:val="17"/>
                <w:color w:val="auto"/>
              </w:rPr>
            </w:pPr>
          </w:p>
        </w:tc>
        <w:tc>
          <w:tcPr>
            <w:tcW w:w="7640" w:type="dxa"/>
            <w:vAlign w:val="bottom"/>
            <w:gridSpan w:val="4"/>
          </w:tcPr>
          <w:p>
            <w:pPr>
              <w:spacing w:after="0" w:line="202" w:lineRule="exact"/>
              <w:rPr>
                <w:sz w:val="20"/>
                <w:szCs w:val="20"/>
                <w:color w:val="auto"/>
              </w:rPr>
            </w:pPr>
            <w:r>
              <w:rPr>
                <w:rFonts w:ascii="Arial" w:cs="Arial" w:eastAsia="Arial" w:hAnsi="Arial"/>
                <w:sz w:val="18"/>
                <w:szCs w:val="18"/>
                <w:color w:val="auto"/>
                <w:w w:val="98"/>
              </w:rPr>
              <w:t>years as a member of the legal department of Masco Corporation, a manufacturer of products for</w:t>
            </w:r>
          </w:p>
        </w:tc>
      </w:tr>
      <w:tr>
        <w:trPr>
          <w:trHeight w:val="199"/>
        </w:trPr>
        <w:tc>
          <w:tcPr>
            <w:tcW w:w="3780" w:type="dxa"/>
            <w:vAlign w:val="bottom"/>
          </w:tcPr>
          <w:p>
            <w:pPr>
              <w:spacing w:after="0"/>
              <w:rPr>
                <w:sz w:val="17"/>
                <w:szCs w:val="17"/>
                <w:color w:val="auto"/>
              </w:rPr>
            </w:pPr>
          </w:p>
        </w:tc>
        <w:tc>
          <w:tcPr>
            <w:tcW w:w="7420" w:type="dxa"/>
            <w:vAlign w:val="bottom"/>
            <w:gridSpan w:val="3"/>
          </w:tcPr>
          <w:p>
            <w:pPr>
              <w:spacing w:after="0" w:line="200" w:lineRule="exact"/>
              <w:rPr>
                <w:sz w:val="20"/>
                <w:szCs w:val="20"/>
                <w:color w:val="auto"/>
              </w:rPr>
            </w:pPr>
            <w:r>
              <w:rPr>
                <w:rFonts w:ascii="Arial" w:cs="Arial" w:eastAsia="Arial" w:hAnsi="Arial"/>
                <w:sz w:val="18"/>
                <w:szCs w:val="18"/>
                <w:color w:val="auto"/>
              </w:rPr>
              <w:t>the home improvement and new home construction markets.</w:t>
            </w:r>
          </w:p>
        </w:tc>
        <w:tc>
          <w:tcPr>
            <w:tcW w:w="220" w:type="dxa"/>
            <w:vAlign w:val="bottom"/>
          </w:tcPr>
          <w:p>
            <w:pPr>
              <w:spacing w:after="0"/>
              <w:rPr>
                <w:sz w:val="17"/>
                <w:szCs w:val="17"/>
                <w:color w:val="auto"/>
              </w:rPr>
            </w:pPr>
          </w:p>
        </w:tc>
      </w:tr>
      <w:tr>
        <w:trPr>
          <w:trHeight w:val="176"/>
        </w:trPr>
        <w:tc>
          <w:tcPr>
            <w:tcW w:w="3780" w:type="dxa"/>
            <w:vAlign w:val="bottom"/>
            <w:shd w:val="clear" w:color="auto" w:fill="D2DEEE"/>
          </w:tcPr>
          <w:p>
            <w:pPr>
              <w:spacing w:after="0" w:line="176" w:lineRule="exact"/>
              <w:rPr>
                <w:sz w:val="20"/>
                <w:szCs w:val="20"/>
                <w:color w:val="auto"/>
              </w:rPr>
            </w:pPr>
            <w:r>
              <w:rPr>
                <w:rFonts w:ascii="Arial" w:cs="Arial" w:eastAsia="Arial" w:hAnsi="Arial"/>
                <w:sz w:val="18"/>
                <w:szCs w:val="18"/>
                <w:b w:val="1"/>
                <w:bCs w:val="1"/>
                <w:color w:val="auto"/>
              </w:rPr>
              <w:t>Paul J. Soni</w:t>
            </w:r>
          </w:p>
        </w:tc>
        <w:tc>
          <w:tcPr>
            <w:tcW w:w="7420" w:type="dxa"/>
            <w:vAlign w:val="bottom"/>
            <w:gridSpan w:val="3"/>
            <w:shd w:val="clear" w:color="auto" w:fill="D2DEEE"/>
          </w:tcPr>
          <w:p>
            <w:pPr>
              <w:spacing w:after="0" w:line="176" w:lineRule="exact"/>
              <w:rPr>
                <w:sz w:val="20"/>
                <w:szCs w:val="20"/>
                <w:color w:val="auto"/>
              </w:rPr>
            </w:pPr>
            <w:r>
              <w:rPr>
                <w:rFonts w:ascii="Arial" w:cs="Arial" w:eastAsia="Arial" w:hAnsi="Arial"/>
                <w:sz w:val="18"/>
                <w:szCs w:val="18"/>
                <w:color w:val="auto"/>
              </w:rPr>
              <w:t>Professional Experience</w:t>
            </w:r>
          </w:p>
        </w:tc>
        <w:tc>
          <w:tcPr>
            <w:tcW w:w="220" w:type="dxa"/>
            <w:vAlign w:val="bottom"/>
            <w:shd w:val="clear" w:color="auto" w:fill="D2DEEE"/>
          </w:tcPr>
          <w:p>
            <w:pPr>
              <w:spacing w:after="0"/>
              <w:rPr>
                <w:sz w:val="15"/>
                <w:szCs w:val="15"/>
                <w:color w:val="auto"/>
              </w:rPr>
            </w:pPr>
          </w:p>
        </w:tc>
      </w:tr>
      <w:tr>
        <w:trPr>
          <w:trHeight w:val="27"/>
        </w:trPr>
        <w:tc>
          <w:tcPr>
            <w:tcW w:w="3780" w:type="dxa"/>
            <w:vAlign w:val="bottom"/>
            <w:shd w:val="clear" w:color="auto" w:fill="D2DEEE"/>
          </w:tcPr>
          <w:p>
            <w:pPr>
              <w:spacing w:after="0"/>
              <w:rPr>
                <w:sz w:val="2"/>
                <w:szCs w:val="2"/>
                <w:color w:val="auto"/>
              </w:rPr>
            </w:pPr>
          </w:p>
        </w:tc>
        <w:tc>
          <w:tcPr>
            <w:tcW w:w="1880" w:type="dxa"/>
            <w:vAlign w:val="bottom"/>
            <w:shd w:val="clear" w:color="auto" w:fill="000000"/>
          </w:tcPr>
          <w:p>
            <w:pPr>
              <w:spacing w:after="0"/>
              <w:rPr>
                <w:sz w:val="2"/>
                <w:szCs w:val="2"/>
                <w:color w:val="auto"/>
              </w:rPr>
            </w:pPr>
          </w:p>
        </w:tc>
        <w:tc>
          <w:tcPr>
            <w:tcW w:w="5320" w:type="dxa"/>
            <w:vAlign w:val="bottom"/>
            <w:tcBorders>
              <w:right w:val="single" w:sz="8" w:color="D2DEEE"/>
            </w:tcBorders>
            <w:shd w:val="clear" w:color="auto" w:fill="D2DEEE"/>
          </w:tcPr>
          <w:p>
            <w:pPr>
              <w:spacing w:after="0"/>
              <w:rPr>
                <w:sz w:val="2"/>
                <w:szCs w:val="2"/>
                <w:color w:val="auto"/>
              </w:rPr>
            </w:pPr>
          </w:p>
        </w:tc>
        <w:tc>
          <w:tcPr>
            <w:tcW w:w="220" w:type="dxa"/>
            <w:vAlign w:val="bottom"/>
            <w:shd w:val="clear" w:color="auto" w:fill="D2DEEE"/>
          </w:tcPr>
          <w:p>
            <w:pPr>
              <w:spacing w:after="0"/>
              <w:rPr>
                <w:sz w:val="2"/>
                <w:szCs w:val="2"/>
                <w:color w:val="auto"/>
              </w:rPr>
            </w:pPr>
          </w:p>
        </w:tc>
        <w:tc>
          <w:tcPr>
            <w:tcW w:w="220" w:type="dxa"/>
            <w:vAlign w:val="bottom"/>
            <w:shd w:val="clear" w:color="auto" w:fill="D2DEEE"/>
          </w:tcPr>
          <w:p>
            <w:pPr>
              <w:spacing w:after="0"/>
              <w:rPr>
                <w:sz w:val="2"/>
                <w:szCs w:val="2"/>
                <w:color w:val="auto"/>
              </w:rPr>
            </w:pPr>
          </w:p>
        </w:tc>
      </w:tr>
      <w:tr>
        <w:trPr>
          <w:trHeight w:val="206"/>
        </w:trPr>
        <w:tc>
          <w:tcPr>
            <w:tcW w:w="3780" w:type="dxa"/>
            <w:vAlign w:val="bottom"/>
          </w:tcPr>
          <w:p>
            <w:pPr>
              <w:spacing w:after="0" w:line="206" w:lineRule="exact"/>
              <w:rPr>
                <w:sz w:val="20"/>
                <w:szCs w:val="20"/>
                <w:color w:val="auto"/>
              </w:rPr>
            </w:pPr>
            <w:r>
              <w:rPr>
                <w:rFonts w:ascii="Arial" w:cs="Arial" w:eastAsia="Arial" w:hAnsi="Arial"/>
                <w:sz w:val="18"/>
                <w:szCs w:val="18"/>
                <w:color w:val="auto"/>
              </w:rPr>
              <w:t>Vice President since 2006</w:t>
            </w:r>
          </w:p>
        </w:tc>
        <w:tc>
          <w:tcPr>
            <w:tcW w:w="7420" w:type="dxa"/>
            <w:vAlign w:val="bottom"/>
            <w:gridSpan w:val="3"/>
          </w:tcPr>
          <w:p>
            <w:pPr>
              <w:spacing w:after="0" w:line="206" w:lineRule="exact"/>
              <w:rPr>
                <w:sz w:val="20"/>
                <w:szCs w:val="20"/>
                <w:color w:val="auto"/>
              </w:rPr>
            </w:pPr>
            <w:r>
              <w:rPr>
                <w:rFonts w:ascii="Arial" w:cs="Arial" w:eastAsia="Arial" w:hAnsi="Arial"/>
                <w:sz w:val="18"/>
                <w:szCs w:val="18"/>
                <w:color w:val="auto"/>
                <w:w w:val="98"/>
              </w:rPr>
              <w:t>Prior to joining Roper, Mr. Soni served four years as Corporate Controller of Oxford Industries,</w:t>
            </w:r>
          </w:p>
        </w:tc>
        <w:tc>
          <w:tcPr>
            <w:tcW w:w="220" w:type="dxa"/>
            <w:vAlign w:val="bottom"/>
          </w:tcPr>
          <w:p>
            <w:pPr>
              <w:spacing w:after="0"/>
              <w:rPr>
                <w:sz w:val="17"/>
                <w:szCs w:val="17"/>
                <w:color w:val="auto"/>
              </w:rPr>
            </w:pPr>
          </w:p>
        </w:tc>
      </w:tr>
      <w:tr>
        <w:trPr>
          <w:trHeight w:val="203"/>
        </w:trPr>
        <w:tc>
          <w:tcPr>
            <w:tcW w:w="3780" w:type="dxa"/>
            <w:vAlign w:val="bottom"/>
          </w:tcPr>
          <w:p>
            <w:pPr>
              <w:spacing w:after="0" w:line="202" w:lineRule="exact"/>
              <w:rPr>
                <w:sz w:val="20"/>
                <w:szCs w:val="20"/>
                <w:color w:val="auto"/>
              </w:rPr>
            </w:pPr>
            <w:r>
              <w:rPr>
                <w:rFonts w:ascii="Arial" w:cs="Arial" w:eastAsia="Arial" w:hAnsi="Arial"/>
                <w:sz w:val="18"/>
                <w:szCs w:val="18"/>
                <w:color w:val="auto"/>
              </w:rPr>
              <w:t>Controller since 2002</w:t>
            </w:r>
          </w:p>
        </w:tc>
        <w:tc>
          <w:tcPr>
            <w:tcW w:w="7420" w:type="dxa"/>
            <w:vAlign w:val="bottom"/>
            <w:gridSpan w:val="3"/>
          </w:tcPr>
          <w:p>
            <w:pPr>
              <w:spacing w:after="0" w:line="202" w:lineRule="exact"/>
              <w:rPr>
                <w:sz w:val="20"/>
                <w:szCs w:val="20"/>
                <w:color w:val="auto"/>
              </w:rPr>
            </w:pPr>
            <w:r>
              <w:rPr>
                <w:rFonts w:ascii="Arial" w:cs="Arial" w:eastAsia="Arial" w:hAnsi="Arial"/>
                <w:sz w:val="18"/>
                <w:szCs w:val="18"/>
                <w:color w:val="auto"/>
                <w:w w:val="98"/>
              </w:rPr>
              <w:t>Inc., a clothing company, and four years as Controller of the International Division of Savannah</w:t>
            </w:r>
          </w:p>
        </w:tc>
        <w:tc>
          <w:tcPr>
            <w:tcW w:w="220" w:type="dxa"/>
            <w:vAlign w:val="bottom"/>
          </w:tcPr>
          <w:p>
            <w:pPr>
              <w:spacing w:after="0"/>
              <w:rPr>
                <w:sz w:val="17"/>
                <w:szCs w:val="17"/>
                <w:color w:val="auto"/>
              </w:rPr>
            </w:pPr>
          </w:p>
        </w:tc>
      </w:tr>
      <w:tr>
        <w:trPr>
          <w:trHeight w:val="203"/>
        </w:trPr>
        <w:tc>
          <w:tcPr>
            <w:tcW w:w="3780" w:type="dxa"/>
            <w:vAlign w:val="bottom"/>
          </w:tcPr>
          <w:p>
            <w:pPr>
              <w:spacing w:after="0" w:line="202" w:lineRule="exact"/>
              <w:rPr>
                <w:sz w:val="20"/>
                <w:szCs w:val="20"/>
                <w:color w:val="auto"/>
              </w:rPr>
            </w:pPr>
            <w:r>
              <w:rPr>
                <w:rFonts w:ascii="Arial" w:cs="Arial" w:eastAsia="Arial" w:hAnsi="Arial"/>
                <w:sz w:val="18"/>
                <w:szCs w:val="18"/>
                <w:color w:val="auto"/>
              </w:rPr>
              <w:t>Age: 57</w:t>
            </w:r>
          </w:p>
        </w:tc>
        <w:tc>
          <w:tcPr>
            <w:tcW w:w="7420" w:type="dxa"/>
            <w:vAlign w:val="bottom"/>
            <w:gridSpan w:val="3"/>
          </w:tcPr>
          <w:p>
            <w:pPr>
              <w:spacing w:after="0" w:line="202" w:lineRule="exact"/>
              <w:rPr>
                <w:sz w:val="20"/>
                <w:szCs w:val="20"/>
                <w:color w:val="auto"/>
              </w:rPr>
            </w:pPr>
            <w:r>
              <w:rPr>
                <w:rFonts w:ascii="Arial" w:cs="Arial" w:eastAsia="Arial" w:hAnsi="Arial"/>
                <w:sz w:val="18"/>
                <w:szCs w:val="18"/>
                <w:color w:val="auto"/>
              </w:rPr>
              <w:t>Foods &amp; Industries, Inc., a producer, marketer, and distributor of food products, with</w:t>
            </w:r>
          </w:p>
        </w:tc>
        <w:tc>
          <w:tcPr>
            <w:tcW w:w="220" w:type="dxa"/>
            <w:vAlign w:val="bottom"/>
          </w:tcPr>
          <w:p>
            <w:pPr>
              <w:spacing w:after="0"/>
              <w:rPr>
                <w:sz w:val="17"/>
                <w:szCs w:val="17"/>
                <w:color w:val="auto"/>
              </w:rPr>
            </w:pPr>
          </w:p>
        </w:tc>
      </w:tr>
      <w:tr>
        <w:trPr>
          <w:trHeight w:val="203"/>
        </w:trPr>
        <w:tc>
          <w:tcPr>
            <w:tcW w:w="3780" w:type="dxa"/>
            <w:vAlign w:val="bottom"/>
          </w:tcPr>
          <w:p>
            <w:pPr>
              <w:spacing w:after="0"/>
              <w:rPr>
                <w:sz w:val="17"/>
                <w:szCs w:val="17"/>
                <w:color w:val="auto"/>
              </w:rPr>
            </w:pPr>
          </w:p>
        </w:tc>
        <w:tc>
          <w:tcPr>
            <w:tcW w:w="7420" w:type="dxa"/>
            <w:vAlign w:val="bottom"/>
            <w:gridSpan w:val="3"/>
          </w:tcPr>
          <w:p>
            <w:pPr>
              <w:spacing w:after="0" w:line="202" w:lineRule="exact"/>
              <w:rPr>
                <w:sz w:val="20"/>
                <w:szCs w:val="20"/>
                <w:color w:val="auto"/>
              </w:rPr>
            </w:pPr>
            <w:r>
              <w:rPr>
                <w:rFonts w:ascii="Arial" w:cs="Arial" w:eastAsia="Arial" w:hAnsi="Arial"/>
                <w:sz w:val="18"/>
                <w:szCs w:val="18"/>
                <w:color w:val="auto"/>
                <w:w w:val="97"/>
              </w:rPr>
              <w:t>responsibilities in the U.S. and Latin America. Mr. Soni’s earlier career included eight years with</w:t>
            </w:r>
          </w:p>
        </w:tc>
        <w:tc>
          <w:tcPr>
            <w:tcW w:w="220" w:type="dxa"/>
            <w:vAlign w:val="bottom"/>
          </w:tcPr>
          <w:p>
            <w:pPr>
              <w:spacing w:after="0"/>
              <w:rPr>
                <w:sz w:val="17"/>
                <w:szCs w:val="17"/>
                <w:color w:val="auto"/>
              </w:rPr>
            </w:pPr>
          </w:p>
        </w:tc>
      </w:tr>
      <w:tr>
        <w:trPr>
          <w:trHeight w:val="203"/>
        </w:trPr>
        <w:tc>
          <w:tcPr>
            <w:tcW w:w="3780" w:type="dxa"/>
            <w:vAlign w:val="bottom"/>
          </w:tcPr>
          <w:p>
            <w:pPr>
              <w:spacing w:after="0"/>
              <w:rPr>
                <w:sz w:val="17"/>
                <w:szCs w:val="17"/>
                <w:color w:val="auto"/>
              </w:rPr>
            </w:pPr>
          </w:p>
        </w:tc>
        <w:tc>
          <w:tcPr>
            <w:tcW w:w="7640" w:type="dxa"/>
            <w:vAlign w:val="bottom"/>
            <w:gridSpan w:val="4"/>
          </w:tcPr>
          <w:p>
            <w:pPr>
              <w:spacing w:after="0" w:line="202" w:lineRule="exact"/>
              <w:rPr>
                <w:sz w:val="20"/>
                <w:szCs w:val="20"/>
                <w:color w:val="auto"/>
              </w:rPr>
            </w:pPr>
            <w:r>
              <w:rPr>
                <w:rFonts w:ascii="Arial" w:cs="Arial" w:eastAsia="Arial" w:hAnsi="Arial"/>
                <w:sz w:val="18"/>
                <w:szCs w:val="18"/>
                <w:color w:val="auto"/>
                <w:w w:val="98"/>
              </w:rPr>
              <w:t>Price Waterhouse LLP, a professional services firm, in the U.S. and Europe, performing audit and</w:t>
            </w:r>
          </w:p>
        </w:tc>
      </w:tr>
      <w:tr>
        <w:trPr>
          <w:trHeight w:val="211"/>
        </w:trPr>
        <w:tc>
          <w:tcPr>
            <w:tcW w:w="378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rPr>
              <w:t>transaction support services.</w:t>
            </w:r>
          </w:p>
        </w:tc>
        <w:tc>
          <w:tcPr>
            <w:tcW w:w="220" w:type="dxa"/>
            <w:vAlign w:val="bottom"/>
          </w:tcPr>
          <w:p>
            <w:pPr>
              <w:spacing w:after="0"/>
              <w:rPr>
                <w:sz w:val="18"/>
                <w:szCs w:val="18"/>
                <w:color w:val="auto"/>
              </w:rPr>
            </w:pPr>
          </w:p>
        </w:tc>
      </w:tr>
      <w:tr>
        <w:trPr>
          <w:trHeight w:val="137"/>
        </w:trPr>
        <w:tc>
          <w:tcPr>
            <w:tcW w:w="37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5540" w:type="dxa"/>
            <w:vAlign w:val="bottom"/>
            <w:gridSpan w:val="2"/>
          </w:tcPr>
          <w:p>
            <w:pPr>
              <w:spacing w:after="0"/>
              <w:rPr>
                <w:sz w:val="11"/>
                <w:szCs w:val="11"/>
                <w:color w:val="auto"/>
              </w:rPr>
            </w:pPr>
          </w:p>
        </w:tc>
        <w:tc>
          <w:tcPr>
            <w:tcW w:w="220" w:type="dxa"/>
            <w:vAlign w:val="bottom"/>
          </w:tcPr>
          <w:p>
            <w:pPr>
              <w:spacing w:after="0"/>
              <w:rPr>
                <w:sz w:val="11"/>
                <w:szCs w:val="11"/>
                <w:color w:val="auto"/>
              </w:rPr>
            </w:pPr>
          </w:p>
        </w:tc>
      </w:tr>
      <w:tr>
        <w:trPr>
          <w:trHeight w:val="309"/>
        </w:trPr>
        <w:tc>
          <w:tcPr>
            <w:tcW w:w="37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5320" w:type="dxa"/>
            <w:vAlign w:val="bottom"/>
            <w:tcBorders>
              <w:right w:val="single" w:sz="8" w:color="225CAB"/>
            </w:tcBorders>
          </w:tcPr>
          <w:p>
            <w:pPr>
              <w:ind w:left="1240"/>
              <w:spacing w:after="0"/>
              <w:rPr>
                <w:sz w:val="20"/>
                <w:szCs w:val="20"/>
                <w:color w:val="auto"/>
              </w:rPr>
            </w:pPr>
            <w:r>
              <w:rPr>
                <w:rFonts w:ascii="Arial" w:cs="Arial" w:eastAsia="Arial" w:hAnsi="Arial"/>
                <w:sz w:val="18"/>
                <w:szCs w:val="18"/>
                <w:b w:val="1"/>
                <w:bCs w:val="1"/>
                <w:color w:val="225CAB"/>
                <w:w w:val="99"/>
              </w:rPr>
              <w:t>Roper Technologies, Inc. 2016 Proxy Statement</w:t>
            </w:r>
          </w:p>
        </w:tc>
        <w:tc>
          <w:tcPr>
            <w:tcW w:w="2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8"/>
                <w:szCs w:val="18"/>
                <w:b w:val="1"/>
                <w:bCs w:val="1"/>
                <w:color w:val="225CAB"/>
                <w:w w:val="99"/>
              </w:rPr>
              <w:t>15</w:t>
            </w:r>
          </w:p>
        </w:tc>
      </w:tr>
      <w:tr>
        <w:trPr>
          <w:trHeight w:val="83"/>
        </w:trPr>
        <w:tc>
          <w:tcPr>
            <w:tcW w:w="3780" w:type="dxa"/>
            <w:vAlign w:val="bottom"/>
          </w:tcPr>
          <w:p>
            <w:pPr>
              <w:spacing w:after="0"/>
              <w:rPr>
                <w:sz w:val="7"/>
                <w:szCs w:val="7"/>
                <w:color w:val="auto"/>
              </w:rPr>
            </w:pPr>
          </w:p>
        </w:tc>
        <w:tc>
          <w:tcPr>
            <w:tcW w:w="1880" w:type="dxa"/>
            <w:vAlign w:val="bottom"/>
          </w:tcPr>
          <w:p>
            <w:pPr>
              <w:spacing w:after="0"/>
              <w:rPr>
                <w:sz w:val="7"/>
                <w:szCs w:val="7"/>
                <w:color w:val="auto"/>
              </w:rPr>
            </w:pPr>
          </w:p>
        </w:tc>
        <w:tc>
          <w:tcPr>
            <w:tcW w:w="5320" w:type="dxa"/>
            <w:vAlign w:val="bottom"/>
            <w:tcBorders>
              <w:right w:val="single" w:sz="8" w:color="225CAB"/>
            </w:tcBorders>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-213995</wp:posOffset>
            </wp:positionV>
            <wp:extent cx="420370" cy="2057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spacing w:after="0"/>
        <w:rPr>
          <w:sz w:val="20"/>
          <w:szCs w:val="20"/>
          <w:color w:val="auto"/>
        </w:rPr>
      </w:pPr>
      <w:r>
        <w:rPr>
          <w:rFonts w:ascii="Arial" w:cs="Arial" w:eastAsia="Arial" w:hAnsi="Arial"/>
          <w:sz w:val="32"/>
          <w:szCs w:val="32"/>
          <w:color w:val="225CAB"/>
        </w:rPr>
        <w:t>BENEFICIAL OWNERSHIP</w:t>
      </w:r>
    </w:p>
    <w:p>
      <w:pPr>
        <w:spacing w:after="0" w:line="253"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Beneficial ownership is determined in accordance with the SEC rules. Under the rules, the number of shares beneficially owned by a person and the percentage of ownership held by that person includes shares of common stock that could be acquired upon exercise of an option within sixty days, although such shares are not deemed exercised and outstanding for computing percentage ownership of any other person. Unless otherwise indicated in the footnotes below, the persons and entities named in the table have sole voting and investment power with respect to all shares beneficially owned, subject to community property laws where applicable.</w:t>
      </w:r>
    </w:p>
    <w:p>
      <w:pPr>
        <w:spacing w:after="0" w:line="76"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The following table shows the beneficial ownership of Roper common stock as of March 31, 2016 by (i) each of our director nominees, (ii) each named executive officer in the “2015 Summary Compensation Table,” (iii) all of our current directors and executive officers as a group, and (iv) all persons who we know are the beneficial owners of five percent or more of Roper common stock. Except as noted below, the address of each person in the table is c/o Roper Technologies, Inc., 6901 Professional Parkway East, Suite 200, Sarasota, FL 34240.</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60" w:type="dxa"/>
            <w:vAlign w:val="bottom"/>
            <w:shd w:val="clear" w:color="auto" w:fill="225CAB"/>
          </w:tcPr>
          <w:p>
            <w:pPr>
              <w:spacing w:after="0"/>
              <w:rPr>
                <w:sz w:val="14"/>
                <w:szCs w:val="14"/>
                <w:color w:val="auto"/>
              </w:rPr>
            </w:pPr>
          </w:p>
        </w:tc>
        <w:tc>
          <w:tcPr>
            <w:tcW w:w="3320" w:type="dxa"/>
            <w:vAlign w:val="bottom"/>
            <w:shd w:val="clear" w:color="auto" w:fill="225CAB"/>
          </w:tcPr>
          <w:p>
            <w:pPr>
              <w:jc w:val="right"/>
              <w:ind w:right="595"/>
              <w:spacing w:after="0"/>
              <w:rPr>
                <w:sz w:val="20"/>
                <w:szCs w:val="20"/>
                <w:color w:val="auto"/>
              </w:rPr>
            </w:pPr>
            <w:r>
              <w:rPr>
                <w:rFonts w:ascii="Arial" w:cs="Arial" w:eastAsia="Arial" w:hAnsi="Arial"/>
                <w:sz w:val="14"/>
                <w:szCs w:val="14"/>
                <w:color w:val="FFFFFF"/>
              </w:rPr>
              <w:t>Beneficial Ownership</w:t>
            </w:r>
          </w:p>
        </w:tc>
        <w:tc>
          <w:tcPr>
            <w:tcW w:w="1440" w:type="dxa"/>
            <w:vAlign w:val="bottom"/>
            <w:shd w:val="clear" w:color="auto" w:fill="225CAB"/>
          </w:tcPr>
          <w:p>
            <w:pPr>
              <w:jc w:val="right"/>
              <w:ind w:right="554"/>
              <w:spacing w:after="0"/>
              <w:rPr>
                <w:sz w:val="20"/>
                <w:szCs w:val="20"/>
                <w:color w:val="auto"/>
              </w:rPr>
            </w:pPr>
            <w:r>
              <w:rPr>
                <w:rFonts w:ascii="Arial" w:cs="Arial" w:eastAsia="Arial" w:hAnsi="Arial"/>
                <w:sz w:val="14"/>
                <w:szCs w:val="14"/>
                <w:color w:val="FFFFFF"/>
              </w:rPr>
              <w:t>Percent</w:t>
            </w:r>
          </w:p>
        </w:tc>
      </w:tr>
      <w:tr>
        <w:trPr>
          <w:trHeight w:val="169"/>
        </w:trPr>
        <w:tc>
          <w:tcPr>
            <w:tcW w:w="6660" w:type="dxa"/>
            <w:vAlign w:val="bottom"/>
            <w:shd w:val="clear" w:color="auto" w:fill="225CAB"/>
          </w:tcPr>
          <w:p>
            <w:pPr>
              <w:spacing w:after="0"/>
              <w:rPr>
                <w:sz w:val="20"/>
                <w:szCs w:val="20"/>
                <w:color w:val="auto"/>
              </w:rPr>
            </w:pPr>
            <w:r>
              <w:rPr>
                <w:rFonts w:ascii="Arial" w:cs="Arial" w:eastAsia="Arial" w:hAnsi="Arial"/>
                <w:sz w:val="14"/>
                <w:szCs w:val="14"/>
                <w:color w:val="FFFFFF"/>
              </w:rPr>
              <w:t>Name of Beneficial Owner</w:t>
            </w:r>
          </w:p>
        </w:tc>
        <w:tc>
          <w:tcPr>
            <w:tcW w:w="3320" w:type="dxa"/>
            <w:vAlign w:val="bottom"/>
            <w:shd w:val="clear" w:color="auto" w:fill="225CAB"/>
          </w:tcPr>
          <w:p>
            <w:pPr>
              <w:jc w:val="right"/>
              <w:ind w:right="535"/>
              <w:spacing w:after="0" w:line="170" w:lineRule="exact"/>
              <w:rPr>
                <w:sz w:val="20"/>
                <w:szCs w:val="20"/>
                <w:color w:val="auto"/>
              </w:rPr>
            </w:pPr>
            <w:r>
              <w:rPr>
                <w:rFonts w:ascii="Arial" w:cs="Arial" w:eastAsia="Arial" w:hAnsi="Arial"/>
                <w:sz w:val="12"/>
                <w:szCs w:val="12"/>
                <w:color w:val="FFFFFF"/>
              </w:rPr>
              <w:t>of Common Stock</w:t>
            </w:r>
            <w:r>
              <w:rPr>
                <w:rFonts w:ascii="Arial" w:cs="Arial" w:eastAsia="Arial" w:hAnsi="Arial"/>
                <w:sz w:val="19"/>
                <w:szCs w:val="19"/>
                <w:color w:val="FFFFFF"/>
                <w:vertAlign w:val="superscript"/>
              </w:rPr>
              <w:t>(1)(2)</w:t>
            </w:r>
          </w:p>
        </w:tc>
        <w:tc>
          <w:tcPr>
            <w:tcW w:w="1440" w:type="dxa"/>
            <w:vAlign w:val="bottom"/>
            <w:shd w:val="clear" w:color="auto" w:fill="225CAB"/>
          </w:tcPr>
          <w:p>
            <w:pPr>
              <w:jc w:val="right"/>
              <w:ind w:right="534"/>
              <w:spacing w:after="0"/>
              <w:rPr>
                <w:sz w:val="20"/>
                <w:szCs w:val="20"/>
                <w:color w:val="auto"/>
              </w:rPr>
            </w:pPr>
            <w:r>
              <w:rPr>
                <w:rFonts w:ascii="Arial" w:cs="Arial" w:eastAsia="Arial" w:hAnsi="Arial"/>
                <w:sz w:val="14"/>
                <w:szCs w:val="14"/>
                <w:color w:val="FFFFFF"/>
              </w:rPr>
              <w:t>of Class</w:t>
            </w:r>
          </w:p>
        </w:tc>
      </w:tr>
      <w:tr>
        <w:trPr>
          <w:trHeight w:val="206"/>
        </w:trPr>
        <w:tc>
          <w:tcPr>
            <w:tcW w:w="6660" w:type="dxa"/>
            <w:vAlign w:val="bottom"/>
          </w:tcPr>
          <w:p>
            <w:pPr>
              <w:spacing w:after="0" w:line="206" w:lineRule="exact"/>
              <w:rPr>
                <w:sz w:val="20"/>
                <w:szCs w:val="20"/>
                <w:color w:val="auto"/>
              </w:rPr>
            </w:pPr>
            <w:r>
              <w:rPr>
                <w:rFonts w:ascii="Arial" w:cs="Arial" w:eastAsia="Arial" w:hAnsi="Arial"/>
                <w:sz w:val="18"/>
                <w:szCs w:val="18"/>
                <w:color w:val="auto"/>
              </w:rPr>
              <w:t>T. Rowe Price Associates, Inc.</w:t>
            </w:r>
          </w:p>
        </w:tc>
        <w:tc>
          <w:tcPr>
            <w:tcW w:w="33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199"/>
        </w:trPr>
        <w:tc>
          <w:tcPr>
            <w:tcW w:w="6660" w:type="dxa"/>
            <w:vAlign w:val="bottom"/>
            <w:tcBorders>
              <w:bottom w:val="single" w:sz="8" w:color="225CAB"/>
            </w:tcBorders>
          </w:tcPr>
          <w:p>
            <w:pPr>
              <w:ind w:left="220"/>
              <w:spacing w:after="0" w:line="200" w:lineRule="exact"/>
              <w:rPr>
                <w:sz w:val="20"/>
                <w:szCs w:val="20"/>
                <w:color w:val="auto"/>
              </w:rPr>
            </w:pPr>
            <w:r>
              <w:rPr>
                <w:rFonts w:ascii="Arial" w:cs="Arial" w:eastAsia="Arial" w:hAnsi="Arial"/>
                <w:sz w:val="18"/>
                <w:szCs w:val="18"/>
                <w:color w:val="auto"/>
              </w:rPr>
              <w:t>100 East Pratt Street, Baltimore, Maryland 21202</w:t>
            </w:r>
          </w:p>
        </w:tc>
        <w:tc>
          <w:tcPr>
            <w:tcW w:w="3320" w:type="dxa"/>
            <w:vAlign w:val="bottom"/>
            <w:tcBorders>
              <w:bottom w:val="single" w:sz="8" w:color="225CAB"/>
            </w:tcBorders>
          </w:tcPr>
          <w:p>
            <w:pPr>
              <w:jc w:val="right"/>
              <w:ind w:right="255"/>
              <w:spacing w:after="0" w:line="200" w:lineRule="exact"/>
              <w:rPr>
                <w:sz w:val="20"/>
                <w:szCs w:val="20"/>
                <w:color w:val="auto"/>
              </w:rPr>
            </w:pPr>
            <w:r>
              <w:rPr>
                <w:rFonts w:ascii="Arial" w:cs="Arial" w:eastAsia="Arial" w:hAnsi="Arial"/>
                <w:sz w:val="18"/>
                <w:szCs w:val="18"/>
                <w:color w:val="auto"/>
              </w:rPr>
              <w:t>14,666,657</w:t>
            </w:r>
            <w:r>
              <w:rPr>
                <w:rFonts w:ascii="Arial" w:cs="Arial" w:eastAsia="Arial" w:hAnsi="Arial"/>
                <w:sz w:val="11"/>
                <w:szCs w:val="11"/>
                <w:color w:val="auto"/>
              </w:rPr>
              <w:t>(3)</w:t>
            </w:r>
          </w:p>
        </w:tc>
        <w:tc>
          <w:tcPr>
            <w:tcW w:w="1440" w:type="dxa"/>
            <w:vAlign w:val="bottom"/>
            <w:tcBorders>
              <w:bottom w:val="single" w:sz="8" w:color="225CAB"/>
            </w:tcBorders>
          </w:tcPr>
          <w:p>
            <w:pPr>
              <w:jc w:val="right"/>
              <w:ind w:right="374"/>
              <w:spacing w:after="0" w:line="200" w:lineRule="exact"/>
              <w:rPr>
                <w:sz w:val="20"/>
                <w:szCs w:val="20"/>
                <w:color w:val="auto"/>
              </w:rPr>
            </w:pPr>
            <w:r>
              <w:rPr>
                <w:rFonts w:ascii="Arial" w:cs="Arial" w:eastAsia="Arial" w:hAnsi="Arial"/>
                <w:sz w:val="18"/>
                <w:szCs w:val="18"/>
                <w:color w:val="auto"/>
              </w:rPr>
              <w:t>14.5%</w:t>
            </w:r>
          </w:p>
        </w:tc>
      </w:tr>
      <w:tr>
        <w:trPr>
          <w:trHeight w:val="199"/>
        </w:trPr>
        <w:tc>
          <w:tcPr>
            <w:tcW w:w="6660" w:type="dxa"/>
            <w:vAlign w:val="bottom"/>
          </w:tcPr>
          <w:p>
            <w:pPr>
              <w:spacing w:after="0" w:line="200" w:lineRule="exact"/>
              <w:rPr>
                <w:sz w:val="20"/>
                <w:szCs w:val="20"/>
                <w:color w:val="auto"/>
              </w:rPr>
            </w:pPr>
            <w:r>
              <w:rPr>
                <w:rFonts w:ascii="Arial" w:cs="Arial" w:eastAsia="Arial" w:hAnsi="Arial"/>
                <w:sz w:val="18"/>
                <w:szCs w:val="18"/>
                <w:color w:val="auto"/>
              </w:rPr>
              <w:t>The Vanguard Group, Inc.</w:t>
            </w:r>
          </w:p>
        </w:tc>
        <w:tc>
          <w:tcPr>
            <w:tcW w:w="33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199"/>
        </w:trPr>
        <w:tc>
          <w:tcPr>
            <w:tcW w:w="6660" w:type="dxa"/>
            <w:vAlign w:val="bottom"/>
            <w:tcBorders>
              <w:bottom w:val="single" w:sz="8" w:color="225CAB"/>
            </w:tcBorders>
          </w:tcPr>
          <w:p>
            <w:pPr>
              <w:ind w:left="220"/>
              <w:spacing w:after="0" w:line="200" w:lineRule="exact"/>
              <w:rPr>
                <w:sz w:val="20"/>
                <w:szCs w:val="20"/>
                <w:color w:val="auto"/>
              </w:rPr>
            </w:pPr>
            <w:r>
              <w:rPr>
                <w:rFonts w:ascii="Arial" w:cs="Arial" w:eastAsia="Arial" w:hAnsi="Arial"/>
                <w:sz w:val="18"/>
                <w:szCs w:val="18"/>
                <w:color w:val="auto"/>
              </w:rPr>
              <w:t>100 Vanguard Blvd., Malvern, Pennsylvania 19355</w:t>
            </w:r>
          </w:p>
        </w:tc>
        <w:tc>
          <w:tcPr>
            <w:tcW w:w="3320" w:type="dxa"/>
            <w:vAlign w:val="bottom"/>
            <w:tcBorders>
              <w:bottom w:val="single" w:sz="8" w:color="225CAB"/>
            </w:tcBorders>
          </w:tcPr>
          <w:p>
            <w:pPr>
              <w:jc w:val="right"/>
              <w:ind w:right="255"/>
              <w:spacing w:after="0" w:line="200" w:lineRule="exact"/>
              <w:rPr>
                <w:sz w:val="20"/>
                <w:szCs w:val="20"/>
                <w:color w:val="auto"/>
              </w:rPr>
            </w:pPr>
            <w:r>
              <w:rPr>
                <w:rFonts w:ascii="Arial" w:cs="Arial" w:eastAsia="Arial" w:hAnsi="Arial"/>
                <w:sz w:val="18"/>
                <w:szCs w:val="18"/>
                <w:color w:val="auto"/>
              </w:rPr>
              <w:t>9,050,250</w:t>
            </w:r>
            <w:r>
              <w:rPr>
                <w:rFonts w:ascii="Arial" w:cs="Arial" w:eastAsia="Arial" w:hAnsi="Arial"/>
                <w:sz w:val="11"/>
                <w:szCs w:val="11"/>
                <w:color w:val="auto"/>
              </w:rPr>
              <w:t>(4)</w:t>
            </w:r>
          </w:p>
        </w:tc>
        <w:tc>
          <w:tcPr>
            <w:tcW w:w="1440" w:type="dxa"/>
            <w:vAlign w:val="bottom"/>
            <w:tcBorders>
              <w:bottom w:val="single" w:sz="8" w:color="225CAB"/>
            </w:tcBorders>
          </w:tcPr>
          <w:p>
            <w:pPr>
              <w:jc w:val="right"/>
              <w:ind w:right="374"/>
              <w:spacing w:after="0" w:line="200" w:lineRule="exact"/>
              <w:rPr>
                <w:sz w:val="20"/>
                <w:szCs w:val="20"/>
                <w:color w:val="auto"/>
              </w:rPr>
            </w:pPr>
            <w:r>
              <w:rPr>
                <w:rFonts w:ascii="Arial" w:cs="Arial" w:eastAsia="Arial" w:hAnsi="Arial"/>
                <w:sz w:val="18"/>
                <w:szCs w:val="18"/>
                <w:color w:val="auto"/>
              </w:rPr>
              <w:t>9.0%</w:t>
            </w:r>
          </w:p>
        </w:tc>
      </w:tr>
      <w:tr>
        <w:trPr>
          <w:trHeight w:val="199"/>
        </w:trPr>
        <w:tc>
          <w:tcPr>
            <w:tcW w:w="6660" w:type="dxa"/>
            <w:vAlign w:val="bottom"/>
          </w:tcPr>
          <w:p>
            <w:pPr>
              <w:spacing w:after="0" w:line="200" w:lineRule="exact"/>
              <w:rPr>
                <w:sz w:val="20"/>
                <w:szCs w:val="20"/>
                <w:color w:val="auto"/>
              </w:rPr>
            </w:pPr>
            <w:r>
              <w:rPr>
                <w:rFonts w:ascii="Arial" w:cs="Arial" w:eastAsia="Arial" w:hAnsi="Arial"/>
                <w:sz w:val="18"/>
                <w:szCs w:val="18"/>
                <w:color w:val="auto"/>
              </w:rPr>
              <w:t>FMR LLC</w:t>
            </w:r>
          </w:p>
        </w:tc>
        <w:tc>
          <w:tcPr>
            <w:tcW w:w="33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199"/>
        </w:trPr>
        <w:tc>
          <w:tcPr>
            <w:tcW w:w="6660" w:type="dxa"/>
            <w:vAlign w:val="bottom"/>
            <w:tcBorders>
              <w:bottom w:val="single" w:sz="8" w:color="225CAB"/>
            </w:tcBorders>
          </w:tcPr>
          <w:p>
            <w:pPr>
              <w:ind w:left="220"/>
              <w:spacing w:after="0" w:line="200" w:lineRule="exact"/>
              <w:rPr>
                <w:sz w:val="20"/>
                <w:szCs w:val="20"/>
                <w:color w:val="auto"/>
              </w:rPr>
            </w:pPr>
            <w:r>
              <w:rPr>
                <w:rFonts w:ascii="Arial" w:cs="Arial" w:eastAsia="Arial" w:hAnsi="Arial"/>
                <w:sz w:val="18"/>
                <w:szCs w:val="18"/>
                <w:color w:val="auto"/>
              </w:rPr>
              <w:t>245 Summer Street, Boston, Massachusetts 02210</w:t>
            </w:r>
          </w:p>
        </w:tc>
        <w:tc>
          <w:tcPr>
            <w:tcW w:w="3320" w:type="dxa"/>
            <w:vAlign w:val="bottom"/>
            <w:tcBorders>
              <w:bottom w:val="single" w:sz="8" w:color="225CAB"/>
            </w:tcBorders>
          </w:tcPr>
          <w:p>
            <w:pPr>
              <w:jc w:val="right"/>
              <w:ind w:right="255"/>
              <w:spacing w:after="0" w:line="200" w:lineRule="exact"/>
              <w:rPr>
                <w:sz w:val="20"/>
                <w:szCs w:val="20"/>
                <w:color w:val="auto"/>
              </w:rPr>
            </w:pPr>
            <w:r>
              <w:rPr>
                <w:rFonts w:ascii="Arial" w:cs="Arial" w:eastAsia="Arial" w:hAnsi="Arial"/>
                <w:sz w:val="18"/>
                <w:szCs w:val="18"/>
                <w:color w:val="auto"/>
              </w:rPr>
              <w:t>7,447,048</w:t>
            </w:r>
            <w:r>
              <w:rPr>
                <w:rFonts w:ascii="Arial" w:cs="Arial" w:eastAsia="Arial" w:hAnsi="Arial"/>
                <w:sz w:val="11"/>
                <w:szCs w:val="11"/>
                <w:color w:val="auto"/>
              </w:rPr>
              <w:t>(5)</w:t>
            </w:r>
          </w:p>
        </w:tc>
        <w:tc>
          <w:tcPr>
            <w:tcW w:w="1440" w:type="dxa"/>
            <w:vAlign w:val="bottom"/>
            <w:tcBorders>
              <w:bottom w:val="single" w:sz="8" w:color="225CAB"/>
            </w:tcBorders>
          </w:tcPr>
          <w:p>
            <w:pPr>
              <w:jc w:val="right"/>
              <w:ind w:right="374"/>
              <w:spacing w:after="0" w:line="200" w:lineRule="exact"/>
              <w:rPr>
                <w:sz w:val="20"/>
                <w:szCs w:val="20"/>
                <w:color w:val="auto"/>
              </w:rPr>
            </w:pPr>
            <w:r>
              <w:rPr>
                <w:rFonts w:ascii="Arial" w:cs="Arial" w:eastAsia="Arial" w:hAnsi="Arial"/>
                <w:sz w:val="18"/>
                <w:szCs w:val="18"/>
                <w:color w:val="auto"/>
              </w:rPr>
              <w:t>7.4%</w:t>
            </w:r>
          </w:p>
        </w:tc>
      </w:tr>
      <w:tr>
        <w:trPr>
          <w:trHeight w:val="199"/>
        </w:trPr>
        <w:tc>
          <w:tcPr>
            <w:tcW w:w="6660" w:type="dxa"/>
            <w:vAlign w:val="bottom"/>
          </w:tcPr>
          <w:p>
            <w:pPr>
              <w:spacing w:after="0" w:line="200" w:lineRule="exact"/>
              <w:rPr>
                <w:sz w:val="20"/>
                <w:szCs w:val="20"/>
                <w:color w:val="auto"/>
              </w:rPr>
            </w:pPr>
            <w:r>
              <w:rPr>
                <w:rFonts w:ascii="Arial" w:cs="Arial" w:eastAsia="Arial" w:hAnsi="Arial"/>
                <w:sz w:val="18"/>
                <w:szCs w:val="18"/>
                <w:color w:val="auto"/>
              </w:rPr>
              <w:t>Blackrock, Inc.</w:t>
            </w:r>
          </w:p>
        </w:tc>
        <w:tc>
          <w:tcPr>
            <w:tcW w:w="33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199"/>
        </w:trPr>
        <w:tc>
          <w:tcPr>
            <w:tcW w:w="6660" w:type="dxa"/>
            <w:vAlign w:val="bottom"/>
            <w:tcBorders>
              <w:bottom w:val="single" w:sz="8" w:color="225CAB"/>
            </w:tcBorders>
          </w:tcPr>
          <w:p>
            <w:pPr>
              <w:ind w:left="220"/>
              <w:spacing w:after="0" w:line="200" w:lineRule="exact"/>
              <w:rPr>
                <w:sz w:val="20"/>
                <w:szCs w:val="20"/>
                <w:color w:val="auto"/>
              </w:rPr>
            </w:pPr>
            <w:r>
              <w:rPr>
                <w:rFonts w:ascii="Arial" w:cs="Arial" w:eastAsia="Arial" w:hAnsi="Arial"/>
                <w:sz w:val="18"/>
                <w:szCs w:val="18"/>
                <w:color w:val="auto"/>
              </w:rPr>
              <w:t>55 East 52nd Street, New York, New York 10055</w:t>
            </w:r>
          </w:p>
        </w:tc>
        <w:tc>
          <w:tcPr>
            <w:tcW w:w="3320" w:type="dxa"/>
            <w:vAlign w:val="bottom"/>
            <w:tcBorders>
              <w:bottom w:val="single" w:sz="8" w:color="225CAB"/>
            </w:tcBorders>
          </w:tcPr>
          <w:p>
            <w:pPr>
              <w:jc w:val="right"/>
              <w:ind w:right="255"/>
              <w:spacing w:after="0" w:line="200" w:lineRule="exact"/>
              <w:rPr>
                <w:sz w:val="20"/>
                <w:szCs w:val="20"/>
                <w:color w:val="auto"/>
              </w:rPr>
            </w:pPr>
            <w:r>
              <w:rPr>
                <w:rFonts w:ascii="Arial" w:cs="Arial" w:eastAsia="Arial" w:hAnsi="Arial"/>
                <w:sz w:val="18"/>
                <w:szCs w:val="18"/>
                <w:color w:val="auto"/>
              </w:rPr>
              <w:t>5,743,127</w:t>
            </w:r>
            <w:r>
              <w:rPr>
                <w:rFonts w:ascii="Arial" w:cs="Arial" w:eastAsia="Arial" w:hAnsi="Arial"/>
                <w:sz w:val="11"/>
                <w:szCs w:val="11"/>
                <w:color w:val="auto"/>
              </w:rPr>
              <w:t>(6)</w:t>
            </w:r>
          </w:p>
        </w:tc>
        <w:tc>
          <w:tcPr>
            <w:tcW w:w="1440" w:type="dxa"/>
            <w:vAlign w:val="bottom"/>
            <w:tcBorders>
              <w:bottom w:val="single" w:sz="8" w:color="225CAB"/>
            </w:tcBorders>
          </w:tcPr>
          <w:p>
            <w:pPr>
              <w:jc w:val="right"/>
              <w:ind w:right="374"/>
              <w:spacing w:after="0" w:line="200" w:lineRule="exact"/>
              <w:rPr>
                <w:sz w:val="20"/>
                <w:szCs w:val="20"/>
                <w:color w:val="auto"/>
              </w:rPr>
            </w:pPr>
            <w:r>
              <w:rPr>
                <w:rFonts w:ascii="Arial" w:cs="Arial" w:eastAsia="Arial" w:hAnsi="Arial"/>
                <w:sz w:val="18"/>
                <w:szCs w:val="18"/>
                <w:color w:val="auto"/>
              </w:rPr>
              <w:t>5.7%</w:t>
            </w:r>
          </w:p>
        </w:tc>
      </w:tr>
      <w:tr>
        <w:trPr>
          <w:trHeight w:val="199"/>
        </w:trPr>
        <w:tc>
          <w:tcPr>
            <w:tcW w:w="6660" w:type="dxa"/>
            <w:vAlign w:val="bottom"/>
          </w:tcPr>
          <w:p>
            <w:pPr>
              <w:spacing w:after="0" w:line="200" w:lineRule="exact"/>
              <w:rPr>
                <w:sz w:val="20"/>
                <w:szCs w:val="20"/>
                <w:color w:val="auto"/>
              </w:rPr>
            </w:pPr>
            <w:r>
              <w:rPr>
                <w:rFonts w:ascii="Arial" w:cs="Arial" w:eastAsia="Arial" w:hAnsi="Arial"/>
                <w:sz w:val="18"/>
                <w:szCs w:val="18"/>
                <w:color w:val="auto"/>
              </w:rPr>
              <w:t>Franklin Resources, Inc.</w:t>
            </w:r>
          </w:p>
        </w:tc>
        <w:tc>
          <w:tcPr>
            <w:tcW w:w="33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199"/>
        </w:trPr>
        <w:tc>
          <w:tcPr>
            <w:tcW w:w="6660" w:type="dxa"/>
            <w:vAlign w:val="bottom"/>
            <w:tcBorders>
              <w:bottom w:val="single" w:sz="8" w:color="225CAB"/>
            </w:tcBorders>
          </w:tcPr>
          <w:p>
            <w:pPr>
              <w:ind w:left="220"/>
              <w:spacing w:after="0" w:line="200" w:lineRule="exact"/>
              <w:rPr>
                <w:sz w:val="20"/>
                <w:szCs w:val="20"/>
                <w:color w:val="auto"/>
              </w:rPr>
            </w:pPr>
            <w:r>
              <w:rPr>
                <w:rFonts w:ascii="Arial" w:cs="Arial" w:eastAsia="Arial" w:hAnsi="Arial"/>
                <w:sz w:val="18"/>
                <w:szCs w:val="18"/>
                <w:color w:val="auto"/>
              </w:rPr>
              <w:t>One Franklin Parkway, San Mateo, CA 94403</w:t>
            </w:r>
          </w:p>
        </w:tc>
        <w:tc>
          <w:tcPr>
            <w:tcW w:w="3320" w:type="dxa"/>
            <w:vAlign w:val="bottom"/>
            <w:tcBorders>
              <w:bottom w:val="single" w:sz="8" w:color="225CAB"/>
            </w:tcBorders>
          </w:tcPr>
          <w:p>
            <w:pPr>
              <w:jc w:val="right"/>
              <w:ind w:right="255"/>
              <w:spacing w:after="0" w:line="200" w:lineRule="exact"/>
              <w:rPr>
                <w:sz w:val="20"/>
                <w:szCs w:val="20"/>
                <w:color w:val="auto"/>
              </w:rPr>
            </w:pPr>
            <w:r>
              <w:rPr>
                <w:rFonts w:ascii="Arial" w:cs="Arial" w:eastAsia="Arial" w:hAnsi="Arial"/>
                <w:sz w:val="18"/>
                <w:szCs w:val="18"/>
                <w:color w:val="auto"/>
              </w:rPr>
              <w:t>5,086,441</w:t>
            </w:r>
            <w:r>
              <w:rPr>
                <w:rFonts w:ascii="Arial" w:cs="Arial" w:eastAsia="Arial" w:hAnsi="Arial"/>
                <w:sz w:val="11"/>
                <w:szCs w:val="11"/>
                <w:color w:val="auto"/>
              </w:rPr>
              <w:t>(7)</w:t>
            </w:r>
          </w:p>
        </w:tc>
        <w:tc>
          <w:tcPr>
            <w:tcW w:w="1440" w:type="dxa"/>
            <w:vAlign w:val="bottom"/>
            <w:tcBorders>
              <w:bottom w:val="single" w:sz="8" w:color="225CAB"/>
            </w:tcBorders>
          </w:tcPr>
          <w:p>
            <w:pPr>
              <w:jc w:val="right"/>
              <w:ind w:right="374"/>
              <w:spacing w:after="0" w:line="200" w:lineRule="exact"/>
              <w:rPr>
                <w:sz w:val="20"/>
                <w:szCs w:val="20"/>
                <w:color w:val="auto"/>
              </w:rPr>
            </w:pPr>
            <w:r>
              <w:rPr>
                <w:rFonts w:ascii="Arial" w:cs="Arial" w:eastAsia="Arial" w:hAnsi="Arial"/>
                <w:sz w:val="18"/>
                <w:szCs w:val="18"/>
                <w:color w:val="auto"/>
              </w:rPr>
              <w:t>5.0%</w:t>
            </w:r>
          </w:p>
        </w:tc>
      </w:tr>
      <w:tr>
        <w:trPr>
          <w:trHeight w:val="196"/>
        </w:trPr>
        <w:tc>
          <w:tcPr>
            <w:tcW w:w="6660" w:type="dxa"/>
            <w:vAlign w:val="bottom"/>
            <w:tcBorders>
              <w:bottom w:val="single" w:sz="8" w:color="225CAB"/>
            </w:tcBorders>
          </w:tcPr>
          <w:p>
            <w:pPr>
              <w:spacing w:after="0" w:line="196" w:lineRule="exact"/>
              <w:rPr>
                <w:sz w:val="20"/>
                <w:szCs w:val="20"/>
                <w:color w:val="auto"/>
              </w:rPr>
            </w:pPr>
            <w:r>
              <w:rPr>
                <w:rFonts w:ascii="Arial" w:cs="Arial" w:eastAsia="Arial" w:hAnsi="Arial"/>
                <w:sz w:val="18"/>
                <w:szCs w:val="18"/>
                <w:color w:val="auto"/>
              </w:rPr>
              <w:t>Amy Woods Brinkley</w:t>
            </w:r>
          </w:p>
        </w:tc>
        <w:tc>
          <w:tcPr>
            <w:tcW w:w="3320" w:type="dxa"/>
            <w:vAlign w:val="bottom"/>
            <w:tcBorders>
              <w:bottom w:val="single" w:sz="8" w:color="225CAB"/>
            </w:tcBorders>
          </w:tcPr>
          <w:p>
            <w:pPr>
              <w:jc w:val="right"/>
              <w:ind w:right="395"/>
              <w:spacing w:after="0" w:line="196" w:lineRule="exact"/>
              <w:rPr>
                <w:sz w:val="20"/>
                <w:szCs w:val="20"/>
                <w:color w:val="auto"/>
              </w:rPr>
            </w:pPr>
            <w:r>
              <w:rPr>
                <w:rFonts w:ascii="Arial" w:cs="Arial" w:eastAsia="Arial" w:hAnsi="Arial"/>
                <w:sz w:val="18"/>
                <w:szCs w:val="18"/>
                <w:color w:val="auto"/>
              </w:rPr>
              <w:t>4,000</w:t>
            </w:r>
          </w:p>
        </w:tc>
        <w:tc>
          <w:tcPr>
            <w:tcW w:w="1440" w:type="dxa"/>
            <w:vAlign w:val="bottom"/>
            <w:tcBorders>
              <w:bottom w:val="single" w:sz="8" w:color="225CAB"/>
            </w:tcBorders>
          </w:tcPr>
          <w:p>
            <w:pPr>
              <w:jc w:val="right"/>
              <w:ind w:right="474"/>
              <w:spacing w:after="0" w:line="196" w:lineRule="exact"/>
              <w:rPr>
                <w:sz w:val="20"/>
                <w:szCs w:val="20"/>
                <w:color w:val="auto"/>
              </w:rPr>
            </w:pPr>
            <w:r>
              <w:rPr>
                <w:rFonts w:ascii="Arial" w:cs="Arial" w:eastAsia="Arial" w:hAnsi="Arial"/>
                <w:sz w:val="18"/>
                <w:szCs w:val="18"/>
                <w:color w:val="auto"/>
              </w:rPr>
              <w:t>**</w:t>
            </w:r>
          </w:p>
        </w:tc>
      </w:tr>
      <w:tr>
        <w:trPr>
          <w:trHeight w:val="196"/>
        </w:trPr>
        <w:tc>
          <w:tcPr>
            <w:tcW w:w="6660" w:type="dxa"/>
            <w:vAlign w:val="bottom"/>
            <w:tcBorders>
              <w:bottom w:val="single" w:sz="8" w:color="225CAB"/>
            </w:tcBorders>
          </w:tcPr>
          <w:p>
            <w:pPr>
              <w:spacing w:after="0" w:line="196" w:lineRule="exact"/>
              <w:rPr>
                <w:sz w:val="20"/>
                <w:szCs w:val="20"/>
                <w:color w:val="auto"/>
              </w:rPr>
            </w:pPr>
            <w:r>
              <w:rPr>
                <w:rFonts w:ascii="Arial" w:cs="Arial" w:eastAsia="Arial" w:hAnsi="Arial"/>
                <w:sz w:val="18"/>
                <w:szCs w:val="18"/>
                <w:color w:val="auto"/>
              </w:rPr>
              <w:t>John F. Fort III</w:t>
            </w:r>
          </w:p>
        </w:tc>
        <w:tc>
          <w:tcPr>
            <w:tcW w:w="3320" w:type="dxa"/>
            <w:vAlign w:val="bottom"/>
            <w:tcBorders>
              <w:bottom w:val="single" w:sz="8" w:color="225CAB"/>
            </w:tcBorders>
          </w:tcPr>
          <w:p>
            <w:pPr>
              <w:jc w:val="right"/>
              <w:ind w:right="255"/>
              <w:spacing w:after="0" w:line="196" w:lineRule="exact"/>
              <w:rPr>
                <w:sz w:val="20"/>
                <w:szCs w:val="20"/>
                <w:color w:val="auto"/>
              </w:rPr>
            </w:pPr>
            <w:r>
              <w:rPr>
                <w:rFonts w:ascii="Arial" w:cs="Arial" w:eastAsia="Arial" w:hAnsi="Arial"/>
                <w:sz w:val="18"/>
                <w:szCs w:val="18"/>
                <w:color w:val="auto"/>
              </w:rPr>
              <w:t>18,150</w:t>
            </w:r>
            <w:r>
              <w:rPr>
                <w:rFonts w:ascii="Arial" w:cs="Arial" w:eastAsia="Arial" w:hAnsi="Arial"/>
                <w:sz w:val="11"/>
                <w:szCs w:val="11"/>
                <w:color w:val="auto"/>
              </w:rPr>
              <w:t>(8)</w:t>
            </w:r>
          </w:p>
        </w:tc>
        <w:tc>
          <w:tcPr>
            <w:tcW w:w="1440" w:type="dxa"/>
            <w:vAlign w:val="bottom"/>
            <w:tcBorders>
              <w:bottom w:val="single" w:sz="8" w:color="225CAB"/>
            </w:tcBorders>
          </w:tcPr>
          <w:p>
            <w:pPr>
              <w:jc w:val="right"/>
              <w:ind w:right="474"/>
              <w:spacing w:after="0" w:line="196" w:lineRule="exact"/>
              <w:rPr>
                <w:sz w:val="20"/>
                <w:szCs w:val="20"/>
                <w:color w:val="auto"/>
              </w:rPr>
            </w:pPr>
            <w:r>
              <w:rPr>
                <w:rFonts w:ascii="Arial" w:cs="Arial" w:eastAsia="Arial" w:hAnsi="Arial"/>
                <w:sz w:val="18"/>
                <w:szCs w:val="18"/>
                <w:color w:val="auto"/>
              </w:rPr>
              <w:t>**</w:t>
            </w:r>
          </w:p>
        </w:tc>
      </w:tr>
      <w:tr>
        <w:trPr>
          <w:trHeight w:val="196"/>
        </w:trPr>
        <w:tc>
          <w:tcPr>
            <w:tcW w:w="6660" w:type="dxa"/>
            <w:vAlign w:val="bottom"/>
            <w:tcBorders>
              <w:bottom w:val="single" w:sz="8" w:color="225CAB"/>
            </w:tcBorders>
          </w:tcPr>
          <w:p>
            <w:pPr>
              <w:spacing w:after="0" w:line="196" w:lineRule="exact"/>
              <w:rPr>
                <w:sz w:val="20"/>
                <w:szCs w:val="20"/>
                <w:color w:val="auto"/>
              </w:rPr>
            </w:pPr>
            <w:r>
              <w:rPr>
                <w:rFonts w:ascii="Arial" w:cs="Arial" w:eastAsia="Arial" w:hAnsi="Arial"/>
                <w:sz w:val="18"/>
                <w:szCs w:val="18"/>
                <w:color w:val="auto"/>
              </w:rPr>
              <w:t>Brian D. Jellison</w:t>
            </w:r>
          </w:p>
        </w:tc>
        <w:tc>
          <w:tcPr>
            <w:tcW w:w="3320" w:type="dxa"/>
            <w:vAlign w:val="bottom"/>
            <w:tcBorders>
              <w:bottom w:val="single" w:sz="8" w:color="225CAB"/>
            </w:tcBorders>
          </w:tcPr>
          <w:p>
            <w:pPr>
              <w:jc w:val="right"/>
              <w:ind w:right="395"/>
              <w:spacing w:after="0" w:line="196" w:lineRule="exact"/>
              <w:rPr>
                <w:sz w:val="20"/>
                <w:szCs w:val="20"/>
                <w:color w:val="auto"/>
              </w:rPr>
            </w:pPr>
            <w:r>
              <w:rPr>
                <w:rFonts w:ascii="Arial" w:cs="Arial" w:eastAsia="Arial" w:hAnsi="Arial"/>
                <w:sz w:val="18"/>
                <w:szCs w:val="18"/>
                <w:color w:val="auto"/>
              </w:rPr>
              <w:t>1,866,814</w:t>
            </w:r>
          </w:p>
        </w:tc>
        <w:tc>
          <w:tcPr>
            <w:tcW w:w="1440" w:type="dxa"/>
            <w:vAlign w:val="bottom"/>
            <w:tcBorders>
              <w:bottom w:val="single" w:sz="8" w:color="225CAB"/>
            </w:tcBorders>
          </w:tcPr>
          <w:p>
            <w:pPr>
              <w:jc w:val="right"/>
              <w:ind w:right="374"/>
              <w:spacing w:after="0" w:line="196" w:lineRule="exact"/>
              <w:rPr>
                <w:sz w:val="20"/>
                <w:szCs w:val="20"/>
                <w:color w:val="auto"/>
              </w:rPr>
            </w:pPr>
            <w:r>
              <w:rPr>
                <w:rFonts w:ascii="Arial" w:cs="Arial" w:eastAsia="Arial" w:hAnsi="Arial"/>
                <w:sz w:val="18"/>
                <w:szCs w:val="18"/>
                <w:color w:val="auto"/>
              </w:rPr>
              <w:t>1.8%</w:t>
            </w:r>
          </w:p>
        </w:tc>
      </w:tr>
      <w:tr>
        <w:trPr>
          <w:trHeight w:val="196"/>
        </w:trPr>
        <w:tc>
          <w:tcPr>
            <w:tcW w:w="6660" w:type="dxa"/>
            <w:vAlign w:val="bottom"/>
            <w:tcBorders>
              <w:bottom w:val="single" w:sz="8" w:color="225CAB"/>
            </w:tcBorders>
          </w:tcPr>
          <w:p>
            <w:pPr>
              <w:spacing w:after="0" w:line="196" w:lineRule="exact"/>
              <w:rPr>
                <w:sz w:val="20"/>
                <w:szCs w:val="20"/>
                <w:color w:val="auto"/>
              </w:rPr>
            </w:pPr>
            <w:r>
              <w:rPr>
                <w:rFonts w:ascii="Arial" w:cs="Arial" w:eastAsia="Arial" w:hAnsi="Arial"/>
                <w:sz w:val="18"/>
                <w:szCs w:val="18"/>
                <w:color w:val="auto"/>
              </w:rPr>
              <w:t>Robert D. Johnson</w:t>
            </w:r>
          </w:p>
        </w:tc>
        <w:tc>
          <w:tcPr>
            <w:tcW w:w="3320" w:type="dxa"/>
            <w:vAlign w:val="bottom"/>
            <w:tcBorders>
              <w:bottom w:val="single" w:sz="8" w:color="225CAB"/>
            </w:tcBorders>
          </w:tcPr>
          <w:p>
            <w:pPr>
              <w:jc w:val="right"/>
              <w:ind w:right="395"/>
              <w:spacing w:after="0" w:line="196" w:lineRule="exact"/>
              <w:rPr>
                <w:sz w:val="20"/>
                <w:szCs w:val="20"/>
                <w:color w:val="auto"/>
              </w:rPr>
            </w:pPr>
            <w:r>
              <w:rPr>
                <w:rFonts w:ascii="Arial" w:cs="Arial" w:eastAsia="Arial" w:hAnsi="Arial"/>
                <w:sz w:val="18"/>
                <w:szCs w:val="18"/>
                <w:color w:val="auto"/>
              </w:rPr>
              <w:t>8,500</w:t>
            </w:r>
          </w:p>
        </w:tc>
        <w:tc>
          <w:tcPr>
            <w:tcW w:w="1440" w:type="dxa"/>
            <w:vAlign w:val="bottom"/>
            <w:tcBorders>
              <w:bottom w:val="single" w:sz="8" w:color="225CAB"/>
            </w:tcBorders>
          </w:tcPr>
          <w:p>
            <w:pPr>
              <w:jc w:val="right"/>
              <w:ind w:right="474"/>
              <w:spacing w:after="0" w:line="196" w:lineRule="exact"/>
              <w:rPr>
                <w:sz w:val="20"/>
                <w:szCs w:val="20"/>
                <w:color w:val="auto"/>
              </w:rPr>
            </w:pPr>
            <w:r>
              <w:rPr>
                <w:rFonts w:ascii="Arial" w:cs="Arial" w:eastAsia="Arial" w:hAnsi="Arial"/>
                <w:sz w:val="18"/>
                <w:szCs w:val="18"/>
                <w:color w:val="auto"/>
              </w:rPr>
              <w:t>**</w:t>
            </w:r>
          </w:p>
        </w:tc>
      </w:tr>
      <w:tr>
        <w:trPr>
          <w:trHeight w:val="196"/>
        </w:trPr>
        <w:tc>
          <w:tcPr>
            <w:tcW w:w="6660" w:type="dxa"/>
            <w:vAlign w:val="bottom"/>
            <w:tcBorders>
              <w:bottom w:val="single" w:sz="8" w:color="225CAB"/>
            </w:tcBorders>
          </w:tcPr>
          <w:p>
            <w:pPr>
              <w:spacing w:after="0" w:line="196" w:lineRule="exact"/>
              <w:rPr>
                <w:sz w:val="20"/>
                <w:szCs w:val="20"/>
                <w:color w:val="auto"/>
              </w:rPr>
            </w:pPr>
            <w:r>
              <w:rPr>
                <w:rFonts w:ascii="Arial" w:cs="Arial" w:eastAsia="Arial" w:hAnsi="Arial"/>
                <w:sz w:val="18"/>
                <w:szCs w:val="18"/>
                <w:color w:val="auto"/>
              </w:rPr>
              <w:t>Robert E. Knowling, Jr.</w:t>
            </w:r>
          </w:p>
        </w:tc>
        <w:tc>
          <w:tcPr>
            <w:tcW w:w="3320" w:type="dxa"/>
            <w:vAlign w:val="bottom"/>
            <w:tcBorders>
              <w:bottom w:val="single" w:sz="8" w:color="225CAB"/>
            </w:tcBorders>
          </w:tcPr>
          <w:p>
            <w:pPr>
              <w:jc w:val="right"/>
              <w:ind w:right="395"/>
              <w:spacing w:after="0" w:line="196" w:lineRule="exact"/>
              <w:rPr>
                <w:sz w:val="20"/>
                <w:szCs w:val="20"/>
                <w:color w:val="auto"/>
              </w:rPr>
            </w:pPr>
            <w:r>
              <w:rPr>
                <w:rFonts w:ascii="Arial" w:cs="Arial" w:eastAsia="Arial" w:hAnsi="Arial"/>
                <w:sz w:val="18"/>
                <w:szCs w:val="18"/>
                <w:color w:val="auto"/>
              </w:rPr>
              <w:t>14,038</w:t>
            </w:r>
          </w:p>
        </w:tc>
        <w:tc>
          <w:tcPr>
            <w:tcW w:w="1440" w:type="dxa"/>
            <w:vAlign w:val="bottom"/>
            <w:tcBorders>
              <w:bottom w:val="single" w:sz="8" w:color="225CAB"/>
            </w:tcBorders>
          </w:tcPr>
          <w:p>
            <w:pPr>
              <w:jc w:val="right"/>
              <w:ind w:right="474"/>
              <w:spacing w:after="0" w:line="196" w:lineRule="exact"/>
              <w:rPr>
                <w:sz w:val="20"/>
                <w:szCs w:val="20"/>
                <w:color w:val="auto"/>
              </w:rPr>
            </w:pPr>
            <w:r>
              <w:rPr>
                <w:rFonts w:ascii="Arial" w:cs="Arial" w:eastAsia="Arial" w:hAnsi="Arial"/>
                <w:sz w:val="18"/>
                <w:szCs w:val="18"/>
                <w:color w:val="auto"/>
              </w:rPr>
              <w:t>**</w:t>
            </w:r>
          </w:p>
        </w:tc>
      </w:tr>
      <w:tr>
        <w:trPr>
          <w:trHeight w:val="196"/>
        </w:trPr>
        <w:tc>
          <w:tcPr>
            <w:tcW w:w="6660" w:type="dxa"/>
            <w:vAlign w:val="bottom"/>
            <w:tcBorders>
              <w:bottom w:val="single" w:sz="8" w:color="225CAB"/>
            </w:tcBorders>
          </w:tcPr>
          <w:p>
            <w:pPr>
              <w:spacing w:after="0" w:line="196" w:lineRule="exact"/>
              <w:rPr>
                <w:sz w:val="20"/>
                <w:szCs w:val="20"/>
                <w:color w:val="auto"/>
              </w:rPr>
            </w:pPr>
            <w:r>
              <w:rPr>
                <w:rFonts w:ascii="Arial" w:cs="Arial" w:eastAsia="Arial" w:hAnsi="Arial"/>
                <w:sz w:val="18"/>
                <w:szCs w:val="18"/>
                <w:color w:val="auto"/>
              </w:rPr>
              <w:t>Wilbur J. Prezzano</w:t>
            </w:r>
          </w:p>
        </w:tc>
        <w:tc>
          <w:tcPr>
            <w:tcW w:w="3320" w:type="dxa"/>
            <w:vAlign w:val="bottom"/>
            <w:tcBorders>
              <w:bottom w:val="single" w:sz="8" w:color="225CAB"/>
            </w:tcBorders>
          </w:tcPr>
          <w:p>
            <w:pPr>
              <w:jc w:val="right"/>
              <w:ind w:right="395"/>
              <w:spacing w:after="0" w:line="196" w:lineRule="exact"/>
              <w:rPr>
                <w:sz w:val="20"/>
                <w:szCs w:val="20"/>
                <w:color w:val="auto"/>
              </w:rPr>
            </w:pPr>
            <w:r>
              <w:rPr>
                <w:rFonts w:ascii="Arial" w:cs="Arial" w:eastAsia="Arial" w:hAnsi="Arial"/>
                <w:sz w:val="18"/>
                <w:szCs w:val="18"/>
                <w:color w:val="auto"/>
              </w:rPr>
              <w:t>16,000</w:t>
            </w:r>
          </w:p>
        </w:tc>
        <w:tc>
          <w:tcPr>
            <w:tcW w:w="1440" w:type="dxa"/>
            <w:vAlign w:val="bottom"/>
            <w:tcBorders>
              <w:bottom w:val="single" w:sz="8" w:color="225CAB"/>
            </w:tcBorders>
          </w:tcPr>
          <w:p>
            <w:pPr>
              <w:jc w:val="right"/>
              <w:ind w:right="474"/>
              <w:spacing w:after="0" w:line="196" w:lineRule="exact"/>
              <w:rPr>
                <w:sz w:val="20"/>
                <w:szCs w:val="20"/>
                <w:color w:val="auto"/>
              </w:rPr>
            </w:pPr>
            <w:r>
              <w:rPr>
                <w:rFonts w:ascii="Arial" w:cs="Arial" w:eastAsia="Arial" w:hAnsi="Arial"/>
                <w:sz w:val="18"/>
                <w:szCs w:val="18"/>
                <w:color w:val="auto"/>
              </w:rPr>
              <w:t>**</w:t>
            </w:r>
          </w:p>
        </w:tc>
      </w:tr>
      <w:tr>
        <w:trPr>
          <w:trHeight w:val="196"/>
        </w:trPr>
        <w:tc>
          <w:tcPr>
            <w:tcW w:w="6660" w:type="dxa"/>
            <w:vAlign w:val="bottom"/>
            <w:tcBorders>
              <w:bottom w:val="single" w:sz="8" w:color="225CAB"/>
            </w:tcBorders>
          </w:tcPr>
          <w:p>
            <w:pPr>
              <w:spacing w:after="0" w:line="196" w:lineRule="exact"/>
              <w:rPr>
                <w:sz w:val="20"/>
                <w:szCs w:val="20"/>
                <w:color w:val="auto"/>
              </w:rPr>
            </w:pPr>
            <w:r>
              <w:rPr>
                <w:rFonts w:ascii="Arial" w:cs="Arial" w:eastAsia="Arial" w:hAnsi="Arial"/>
                <w:sz w:val="18"/>
                <w:szCs w:val="18"/>
                <w:color w:val="auto"/>
              </w:rPr>
              <w:t>Laura G. Thatcher</w:t>
            </w:r>
          </w:p>
        </w:tc>
        <w:tc>
          <w:tcPr>
            <w:tcW w:w="3320" w:type="dxa"/>
            <w:vAlign w:val="bottom"/>
            <w:tcBorders>
              <w:bottom w:val="single" w:sz="8" w:color="225CAB"/>
            </w:tcBorders>
          </w:tcPr>
          <w:p>
            <w:pPr>
              <w:jc w:val="right"/>
              <w:ind w:right="395"/>
              <w:spacing w:after="0" w:line="196" w:lineRule="exact"/>
              <w:rPr>
                <w:sz w:val="20"/>
                <w:szCs w:val="20"/>
                <w:color w:val="auto"/>
              </w:rPr>
            </w:pPr>
            <w:r>
              <w:rPr>
                <w:rFonts w:ascii="Arial" w:cs="Arial" w:eastAsia="Arial" w:hAnsi="Arial"/>
                <w:sz w:val="18"/>
                <w:szCs w:val="18"/>
                <w:color w:val="auto"/>
              </w:rPr>
              <w:t>4,000</w:t>
            </w:r>
          </w:p>
        </w:tc>
        <w:tc>
          <w:tcPr>
            <w:tcW w:w="1440" w:type="dxa"/>
            <w:vAlign w:val="bottom"/>
            <w:tcBorders>
              <w:bottom w:val="single" w:sz="8" w:color="225CAB"/>
            </w:tcBorders>
          </w:tcPr>
          <w:p>
            <w:pPr>
              <w:jc w:val="right"/>
              <w:ind w:right="474"/>
              <w:spacing w:after="0" w:line="196" w:lineRule="exact"/>
              <w:rPr>
                <w:sz w:val="20"/>
                <w:szCs w:val="20"/>
                <w:color w:val="auto"/>
              </w:rPr>
            </w:pPr>
            <w:r>
              <w:rPr>
                <w:rFonts w:ascii="Arial" w:cs="Arial" w:eastAsia="Arial" w:hAnsi="Arial"/>
                <w:sz w:val="18"/>
                <w:szCs w:val="18"/>
                <w:color w:val="auto"/>
              </w:rPr>
              <w:t>**</w:t>
            </w:r>
          </w:p>
        </w:tc>
      </w:tr>
      <w:tr>
        <w:trPr>
          <w:trHeight w:val="196"/>
        </w:trPr>
        <w:tc>
          <w:tcPr>
            <w:tcW w:w="6660" w:type="dxa"/>
            <w:vAlign w:val="bottom"/>
            <w:tcBorders>
              <w:bottom w:val="single" w:sz="8" w:color="225CAB"/>
            </w:tcBorders>
          </w:tcPr>
          <w:p>
            <w:pPr>
              <w:spacing w:after="0" w:line="196" w:lineRule="exact"/>
              <w:rPr>
                <w:sz w:val="20"/>
                <w:szCs w:val="20"/>
                <w:color w:val="auto"/>
              </w:rPr>
            </w:pPr>
            <w:r>
              <w:rPr>
                <w:rFonts w:ascii="Arial" w:cs="Arial" w:eastAsia="Arial" w:hAnsi="Arial"/>
                <w:sz w:val="18"/>
                <w:szCs w:val="18"/>
                <w:color w:val="auto"/>
              </w:rPr>
              <w:t>Richard F. Wallman</w:t>
            </w:r>
          </w:p>
        </w:tc>
        <w:tc>
          <w:tcPr>
            <w:tcW w:w="3320" w:type="dxa"/>
            <w:vAlign w:val="bottom"/>
            <w:tcBorders>
              <w:bottom w:val="single" w:sz="8" w:color="225CAB"/>
            </w:tcBorders>
          </w:tcPr>
          <w:p>
            <w:pPr>
              <w:jc w:val="right"/>
              <w:ind w:right="395"/>
              <w:spacing w:after="0" w:line="196" w:lineRule="exact"/>
              <w:rPr>
                <w:sz w:val="20"/>
                <w:szCs w:val="20"/>
                <w:color w:val="auto"/>
              </w:rPr>
            </w:pPr>
            <w:r>
              <w:rPr>
                <w:rFonts w:ascii="Arial" w:cs="Arial" w:eastAsia="Arial" w:hAnsi="Arial"/>
                <w:sz w:val="18"/>
                <w:szCs w:val="18"/>
                <w:color w:val="auto"/>
              </w:rPr>
              <w:t>39,965</w:t>
            </w:r>
          </w:p>
        </w:tc>
        <w:tc>
          <w:tcPr>
            <w:tcW w:w="1440" w:type="dxa"/>
            <w:vAlign w:val="bottom"/>
            <w:tcBorders>
              <w:bottom w:val="single" w:sz="8" w:color="225CAB"/>
            </w:tcBorders>
          </w:tcPr>
          <w:p>
            <w:pPr>
              <w:jc w:val="right"/>
              <w:ind w:right="474"/>
              <w:spacing w:after="0" w:line="196" w:lineRule="exact"/>
              <w:rPr>
                <w:sz w:val="20"/>
                <w:szCs w:val="20"/>
                <w:color w:val="auto"/>
              </w:rPr>
            </w:pPr>
            <w:r>
              <w:rPr>
                <w:rFonts w:ascii="Arial" w:cs="Arial" w:eastAsia="Arial" w:hAnsi="Arial"/>
                <w:sz w:val="18"/>
                <w:szCs w:val="18"/>
                <w:color w:val="auto"/>
              </w:rPr>
              <w:t>**</w:t>
            </w:r>
          </w:p>
        </w:tc>
      </w:tr>
      <w:tr>
        <w:trPr>
          <w:trHeight w:val="196"/>
        </w:trPr>
        <w:tc>
          <w:tcPr>
            <w:tcW w:w="6660" w:type="dxa"/>
            <w:vAlign w:val="bottom"/>
            <w:tcBorders>
              <w:bottom w:val="single" w:sz="8" w:color="225CAB"/>
            </w:tcBorders>
          </w:tcPr>
          <w:p>
            <w:pPr>
              <w:spacing w:after="0" w:line="196" w:lineRule="exact"/>
              <w:rPr>
                <w:sz w:val="20"/>
                <w:szCs w:val="20"/>
                <w:color w:val="auto"/>
              </w:rPr>
            </w:pPr>
            <w:r>
              <w:rPr>
                <w:rFonts w:ascii="Arial" w:cs="Arial" w:eastAsia="Arial" w:hAnsi="Arial"/>
                <w:sz w:val="18"/>
                <w:szCs w:val="18"/>
                <w:color w:val="auto"/>
              </w:rPr>
              <w:t>Christopher Wright</w:t>
            </w:r>
          </w:p>
        </w:tc>
        <w:tc>
          <w:tcPr>
            <w:tcW w:w="3320" w:type="dxa"/>
            <w:vAlign w:val="bottom"/>
            <w:tcBorders>
              <w:bottom w:val="single" w:sz="8" w:color="225CAB"/>
            </w:tcBorders>
          </w:tcPr>
          <w:p>
            <w:pPr>
              <w:jc w:val="right"/>
              <w:ind w:right="395"/>
              <w:spacing w:after="0" w:line="196" w:lineRule="exact"/>
              <w:rPr>
                <w:sz w:val="20"/>
                <w:szCs w:val="20"/>
                <w:color w:val="auto"/>
              </w:rPr>
            </w:pPr>
            <w:r>
              <w:rPr>
                <w:rFonts w:ascii="Arial" w:cs="Arial" w:eastAsia="Arial" w:hAnsi="Arial"/>
                <w:sz w:val="18"/>
                <w:szCs w:val="18"/>
                <w:color w:val="auto"/>
              </w:rPr>
              <w:t>66,904</w:t>
            </w:r>
          </w:p>
        </w:tc>
        <w:tc>
          <w:tcPr>
            <w:tcW w:w="1440" w:type="dxa"/>
            <w:vAlign w:val="bottom"/>
            <w:tcBorders>
              <w:bottom w:val="single" w:sz="8" w:color="225CAB"/>
            </w:tcBorders>
          </w:tcPr>
          <w:p>
            <w:pPr>
              <w:jc w:val="right"/>
              <w:ind w:right="474"/>
              <w:spacing w:after="0" w:line="196" w:lineRule="exact"/>
              <w:rPr>
                <w:sz w:val="20"/>
                <w:szCs w:val="20"/>
                <w:color w:val="auto"/>
              </w:rPr>
            </w:pPr>
            <w:r>
              <w:rPr>
                <w:rFonts w:ascii="Arial" w:cs="Arial" w:eastAsia="Arial" w:hAnsi="Arial"/>
                <w:sz w:val="18"/>
                <w:szCs w:val="18"/>
                <w:color w:val="auto"/>
              </w:rPr>
              <w:t>**</w:t>
            </w:r>
          </w:p>
        </w:tc>
      </w:tr>
      <w:tr>
        <w:trPr>
          <w:trHeight w:val="196"/>
        </w:trPr>
        <w:tc>
          <w:tcPr>
            <w:tcW w:w="6660" w:type="dxa"/>
            <w:vAlign w:val="bottom"/>
            <w:tcBorders>
              <w:bottom w:val="single" w:sz="8" w:color="225CAB"/>
            </w:tcBorders>
          </w:tcPr>
          <w:p>
            <w:pPr>
              <w:spacing w:after="0" w:line="196" w:lineRule="exact"/>
              <w:rPr>
                <w:sz w:val="20"/>
                <w:szCs w:val="20"/>
                <w:color w:val="auto"/>
              </w:rPr>
            </w:pPr>
            <w:r>
              <w:rPr>
                <w:rFonts w:ascii="Arial" w:cs="Arial" w:eastAsia="Arial" w:hAnsi="Arial"/>
                <w:sz w:val="18"/>
                <w:szCs w:val="18"/>
                <w:color w:val="auto"/>
              </w:rPr>
              <w:t>John Humphrey</w:t>
            </w:r>
          </w:p>
        </w:tc>
        <w:tc>
          <w:tcPr>
            <w:tcW w:w="3320" w:type="dxa"/>
            <w:vAlign w:val="bottom"/>
            <w:tcBorders>
              <w:bottom w:val="single" w:sz="8" w:color="225CAB"/>
            </w:tcBorders>
          </w:tcPr>
          <w:p>
            <w:pPr>
              <w:jc w:val="right"/>
              <w:ind w:right="395"/>
              <w:spacing w:after="0" w:line="196" w:lineRule="exact"/>
              <w:rPr>
                <w:sz w:val="20"/>
                <w:szCs w:val="20"/>
                <w:color w:val="auto"/>
              </w:rPr>
            </w:pPr>
            <w:r>
              <w:rPr>
                <w:rFonts w:ascii="Arial" w:cs="Arial" w:eastAsia="Arial" w:hAnsi="Arial"/>
                <w:sz w:val="18"/>
                <w:szCs w:val="18"/>
                <w:color w:val="auto"/>
              </w:rPr>
              <w:t>288,728</w:t>
            </w:r>
          </w:p>
        </w:tc>
        <w:tc>
          <w:tcPr>
            <w:tcW w:w="1440" w:type="dxa"/>
            <w:vAlign w:val="bottom"/>
            <w:tcBorders>
              <w:bottom w:val="single" w:sz="8" w:color="225CAB"/>
            </w:tcBorders>
          </w:tcPr>
          <w:p>
            <w:pPr>
              <w:jc w:val="right"/>
              <w:ind w:right="474"/>
              <w:spacing w:after="0" w:line="196" w:lineRule="exact"/>
              <w:rPr>
                <w:sz w:val="20"/>
                <w:szCs w:val="20"/>
                <w:color w:val="auto"/>
              </w:rPr>
            </w:pPr>
            <w:r>
              <w:rPr>
                <w:rFonts w:ascii="Arial" w:cs="Arial" w:eastAsia="Arial" w:hAnsi="Arial"/>
                <w:sz w:val="18"/>
                <w:szCs w:val="18"/>
                <w:color w:val="auto"/>
              </w:rPr>
              <w:t>**</w:t>
            </w:r>
          </w:p>
        </w:tc>
      </w:tr>
      <w:tr>
        <w:trPr>
          <w:trHeight w:val="196"/>
        </w:trPr>
        <w:tc>
          <w:tcPr>
            <w:tcW w:w="6660" w:type="dxa"/>
            <w:vAlign w:val="bottom"/>
            <w:tcBorders>
              <w:bottom w:val="single" w:sz="8" w:color="225CAB"/>
            </w:tcBorders>
          </w:tcPr>
          <w:p>
            <w:pPr>
              <w:spacing w:after="0" w:line="196" w:lineRule="exact"/>
              <w:rPr>
                <w:sz w:val="20"/>
                <w:szCs w:val="20"/>
                <w:color w:val="auto"/>
              </w:rPr>
            </w:pPr>
            <w:r>
              <w:rPr>
                <w:rFonts w:ascii="Arial" w:cs="Arial" w:eastAsia="Arial" w:hAnsi="Arial"/>
                <w:sz w:val="18"/>
                <w:szCs w:val="18"/>
                <w:color w:val="auto"/>
              </w:rPr>
              <w:t>David B. Liner</w:t>
            </w:r>
          </w:p>
        </w:tc>
        <w:tc>
          <w:tcPr>
            <w:tcW w:w="3320" w:type="dxa"/>
            <w:vAlign w:val="bottom"/>
            <w:tcBorders>
              <w:bottom w:val="single" w:sz="8" w:color="225CAB"/>
            </w:tcBorders>
          </w:tcPr>
          <w:p>
            <w:pPr>
              <w:jc w:val="right"/>
              <w:ind w:right="395"/>
              <w:spacing w:after="0" w:line="196" w:lineRule="exact"/>
              <w:rPr>
                <w:sz w:val="20"/>
                <w:szCs w:val="20"/>
                <w:color w:val="auto"/>
              </w:rPr>
            </w:pPr>
            <w:r>
              <w:rPr>
                <w:rFonts w:ascii="Arial" w:cs="Arial" w:eastAsia="Arial" w:hAnsi="Arial"/>
                <w:sz w:val="18"/>
                <w:szCs w:val="18"/>
                <w:color w:val="auto"/>
              </w:rPr>
              <w:t>154,366</w:t>
            </w:r>
          </w:p>
        </w:tc>
        <w:tc>
          <w:tcPr>
            <w:tcW w:w="1440" w:type="dxa"/>
            <w:vAlign w:val="bottom"/>
            <w:tcBorders>
              <w:bottom w:val="single" w:sz="8" w:color="225CAB"/>
            </w:tcBorders>
          </w:tcPr>
          <w:p>
            <w:pPr>
              <w:jc w:val="right"/>
              <w:ind w:right="474"/>
              <w:spacing w:after="0" w:line="196" w:lineRule="exact"/>
              <w:rPr>
                <w:sz w:val="20"/>
                <w:szCs w:val="20"/>
                <w:color w:val="auto"/>
              </w:rPr>
            </w:pPr>
            <w:r>
              <w:rPr>
                <w:rFonts w:ascii="Arial" w:cs="Arial" w:eastAsia="Arial" w:hAnsi="Arial"/>
                <w:sz w:val="18"/>
                <w:szCs w:val="18"/>
                <w:color w:val="auto"/>
              </w:rPr>
              <w:t>**</w:t>
            </w:r>
          </w:p>
        </w:tc>
      </w:tr>
      <w:tr>
        <w:trPr>
          <w:trHeight w:val="196"/>
        </w:trPr>
        <w:tc>
          <w:tcPr>
            <w:tcW w:w="6660" w:type="dxa"/>
            <w:vAlign w:val="bottom"/>
            <w:tcBorders>
              <w:bottom w:val="single" w:sz="8" w:color="225CAB"/>
            </w:tcBorders>
          </w:tcPr>
          <w:p>
            <w:pPr>
              <w:spacing w:after="0" w:line="196" w:lineRule="exact"/>
              <w:rPr>
                <w:sz w:val="20"/>
                <w:szCs w:val="20"/>
                <w:color w:val="auto"/>
              </w:rPr>
            </w:pPr>
            <w:r>
              <w:rPr>
                <w:rFonts w:ascii="Arial" w:cs="Arial" w:eastAsia="Arial" w:hAnsi="Arial"/>
                <w:sz w:val="18"/>
                <w:szCs w:val="18"/>
                <w:color w:val="auto"/>
              </w:rPr>
              <w:t>Paul J. Soni</w:t>
            </w:r>
          </w:p>
        </w:tc>
        <w:tc>
          <w:tcPr>
            <w:tcW w:w="3320" w:type="dxa"/>
            <w:vAlign w:val="bottom"/>
            <w:tcBorders>
              <w:bottom w:val="single" w:sz="8" w:color="225CAB"/>
            </w:tcBorders>
          </w:tcPr>
          <w:p>
            <w:pPr>
              <w:jc w:val="right"/>
              <w:ind w:right="255"/>
              <w:spacing w:after="0" w:line="196" w:lineRule="exact"/>
              <w:rPr>
                <w:sz w:val="20"/>
                <w:szCs w:val="20"/>
                <w:color w:val="auto"/>
              </w:rPr>
            </w:pPr>
            <w:r>
              <w:rPr>
                <w:rFonts w:ascii="Arial" w:cs="Arial" w:eastAsia="Arial" w:hAnsi="Arial"/>
                <w:sz w:val="18"/>
                <w:szCs w:val="18"/>
                <w:color w:val="auto"/>
              </w:rPr>
              <w:t>112,956</w:t>
            </w:r>
            <w:r>
              <w:rPr>
                <w:rFonts w:ascii="Arial" w:cs="Arial" w:eastAsia="Arial" w:hAnsi="Arial"/>
                <w:sz w:val="11"/>
                <w:szCs w:val="11"/>
                <w:color w:val="auto"/>
              </w:rPr>
              <w:t>(9)</w:t>
            </w:r>
          </w:p>
        </w:tc>
        <w:tc>
          <w:tcPr>
            <w:tcW w:w="1440" w:type="dxa"/>
            <w:vAlign w:val="bottom"/>
            <w:tcBorders>
              <w:bottom w:val="single" w:sz="8" w:color="225CAB"/>
            </w:tcBorders>
          </w:tcPr>
          <w:p>
            <w:pPr>
              <w:jc w:val="right"/>
              <w:ind w:right="474"/>
              <w:spacing w:after="0" w:line="196" w:lineRule="exact"/>
              <w:rPr>
                <w:sz w:val="20"/>
                <w:szCs w:val="20"/>
                <w:color w:val="auto"/>
              </w:rPr>
            </w:pPr>
            <w:r>
              <w:rPr>
                <w:rFonts w:ascii="Arial" w:cs="Arial" w:eastAsia="Arial" w:hAnsi="Arial"/>
                <w:sz w:val="18"/>
                <w:szCs w:val="18"/>
                <w:color w:val="auto"/>
              </w:rPr>
              <w:t>**</w:t>
            </w:r>
          </w:p>
        </w:tc>
      </w:tr>
      <w:tr>
        <w:trPr>
          <w:trHeight w:val="196"/>
        </w:trPr>
        <w:tc>
          <w:tcPr>
            <w:tcW w:w="6660" w:type="dxa"/>
            <w:vAlign w:val="bottom"/>
            <w:tcBorders>
              <w:bottom w:val="single" w:sz="8" w:color="225CAB"/>
            </w:tcBorders>
          </w:tcPr>
          <w:p>
            <w:pPr>
              <w:spacing w:after="0" w:line="196" w:lineRule="exact"/>
              <w:rPr>
                <w:sz w:val="20"/>
                <w:szCs w:val="20"/>
                <w:color w:val="auto"/>
              </w:rPr>
            </w:pPr>
            <w:r>
              <w:rPr>
                <w:rFonts w:ascii="Arial" w:cs="Arial" w:eastAsia="Arial" w:hAnsi="Arial"/>
                <w:sz w:val="18"/>
                <w:szCs w:val="18"/>
                <w:color w:val="auto"/>
              </w:rPr>
              <w:t>All current directors and executive officers as a group (12 individuals)</w:t>
            </w:r>
          </w:p>
        </w:tc>
        <w:tc>
          <w:tcPr>
            <w:tcW w:w="3320" w:type="dxa"/>
            <w:vAlign w:val="bottom"/>
            <w:tcBorders>
              <w:bottom w:val="single" w:sz="8" w:color="225CAB"/>
            </w:tcBorders>
          </w:tcPr>
          <w:p>
            <w:pPr>
              <w:jc w:val="right"/>
              <w:ind w:right="395"/>
              <w:spacing w:after="0" w:line="196" w:lineRule="exact"/>
              <w:rPr>
                <w:sz w:val="20"/>
                <w:szCs w:val="20"/>
                <w:color w:val="auto"/>
              </w:rPr>
            </w:pPr>
            <w:r>
              <w:rPr>
                <w:rFonts w:ascii="Arial" w:cs="Arial" w:eastAsia="Arial" w:hAnsi="Arial"/>
                <w:sz w:val="18"/>
                <w:szCs w:val="18"/>
                <w:color w:val="auto"/>
              </w:rPr>
              <w:t>2,594,421</w:t>
            </w:r>
          </w:p>
        </w:tc>
        <w:tc>
          <w:tcPr>
            <w:tcW w:w="1440" w:type="dxa"/>
            <w:vAlign w:val="bottom"/>
            <w:tcBorders>
              <w:bottom w:val="single" w:sz="8" w:color="225CAB"/>
            </w:tcBorders>
          </w:tcPr>
          <w:p>
            <w:pPr>
              <w:jc w:val="right"/>
              <w:ind w:right="374"/>
              <w:spacing w:after="0" w:line="196" w:lineRule="exact"/>
              <w:rPr>
                <w:sz w:val="20"/>
                <w:szCs w:val="20"/>
                <w:color w:val="auto"/>
              </w:rPr>
            </w:pPr>
            <w:r>
              <w:rPr>
                <w:rFonts w:ascii="Arial" w:cs="Arial" w:eastAsia="Arial" w:hAnsi="Arial"/>
                <w:sz w:val="18"/>
                <w:szCs w:val="18"/>
                <w:color w:val="auto"/>
              </w:rPr>
              <w:t>2.5%</w:t>
            </w:r>
          </w:p>
        </w:tc>
      </w:tr>
      <w:tr>
        <w:trPr>
          <w:trHeight w:val="156"/>
        </w:trPr>
        <w:tc>
          <w:tcPr>
            <w:tcW w:w="6660" w:type="dxa"/>
            <w:vAlign w:val="bottom"/>
          </w:tcPr>
          <w:p>
            <w:pPr>
              <w:spacing w:after="0" w:line="156" w:lineRule="exact"/>
              <w:rPr>
                <w:sz w:val="20"/>
                <w:szCs w:val="20"/>
                <w:color w:val="auto"/>
              </w:rPr>
            </w:pPr>
            <w:r>
              <w:rPr>
                <w:rFonts w:ascii="Arial" w:cs="Arial" w:eastAsia="Arial" w:hAnsi="Arial"/>
                <w:sz w:val="14"/>
                <w:szCs w:val="14"/>
                <w:color w:val="auto"/>
              </w:rPr>
              <w:t>**   Less than 1%.</w:t>
            </w:r>
          </w:p>
        </w:tc>
        <w:tc>
          <w:tcPr>
            <w:tcW w:w="3320" w:type="dxa"/>
            <w:vAlign w:val="bottom"/>
          </w:tcPr>
          <w:p>
            <w:pPr>
              <w:spacing w:after="0"/>
              <w:rPr>
                <w:sz w:val="13"/>
                <w:szCs w:val="13"/>
                <w:color w:val="auto"/>
              </w:rPr>
            </w:pPr>
          </w:p>
        </w:tc>
        <w:tc>
          <w:tcPr>
            <w:tcW w:w="1440" w:type="dxa"/>
            <w:vAlign w:val="bottom"/>
          </w:tcPr>
          <w:p>
            <w:pPr>
              <w:spacing w:after="0"/>
              <w:rPr>
                <w:sz w:val="13"/>
                <w:szCs w:val="13"/>
                <w:color w:val="auto"/>
              </w:rPr>
            </w:pPr>
          </w:p>
        </w:tc>
      </w:tr>
    </w:tbl>
    <w:p>
      <w:pPr>
        <w:spacing w:after="0" w:line="67" w:lineRule="exact"/>
        <w:rPr>
          <w:sz w:val="20"/>
          <w:szCs w:val="20"/>
          <w:color w:val="auto"/>
        </w:rPr>
      </w:pPr>
    </w:p>
    <w:p>
      <w:pPr>
        <w:ind w:left="340" w:right="640" w:hanging="332"/>
        <w:spacing w:after="0" w:line="191" w:lineRule="auto"/>
        <w:tabs>
          <w:tab w:leader="none" w:pos="340" w:val="left"/>
        </w:tabs>
        <w:numPr>
          <w:ilvl w:val="0"/>
          <w:numId w:val="21"/>
        </w:numPr>
        <w:rPr>
          <w:rFonts w:ascii="Arial" w:cs="Arial" w:eastAsia="Arial" w:hAnsi="Arial"/>
          <w:sz w:val="22"/>
          <w:szCs w:val="22"/>
          <w:color w:val="auto"/>
          <w:vertAlign w:val="superscript"/>
        </w:rPr>
      </w:pPr>
      <w:r>
        <w:rPr>
          <w:rFonts w:ascii="Arial" w:cs="Arial" w:eastAsia="Arial" w:hAnsi="Arial"/>
          <w:sz w:val="14"/>
          <w:szCs w:val="14"/>
          <w:color w:val="auto"/>
        </w:rPr>
        <w:t>Includes shares that may be acquired on or before May 30, 2016 upon exercise of stock options issued under Company plans as follows: Mr. Jellison (548,084), Mr. Humphrey (181,916), Mr. Liner (92,000), Mr. Soni (56,000) and all 12 current directors and executive officers as a group (878,000). Holders do not have voting or investment power over unexercised option shares.</w:t>
      </w:r>
    </w:p>
    <w:p>
      <w:pPr>
        <w:spacing w:after="0" w:line="1" w:lineRule="exact"/>
        <w:rPr>
          <w:rFonts w:ascii="Arial" w:cs="Arial" w:eastAsia="Arial" w:hAnsi="Arial"/>
          <w:sz w:val="22"/>
          <w:szCs w:val="22"/>
          <w:color w:val="auto"/>
          <w:vertAlign w:val="superscript"/>
        </w:rPr>
      </w:pPr>
    </w:p>
    <w:p>
      <w:pPr>
        <w:ind w:left="340" w:hanging="332"/>
        <w:spacing w:after="0" w:line="214" w:lineRule="auto"/>
        <w:tabs>
          <w:tab w:leader="none" w:pos="340" w:val="left"/>
        </w:tabs>
        <w:numPr>
          <w:ilvl w:val="0"/>
          <w:numId w:val="21"/>
        </w:numPr>
        <w:rPr>
          <w:rFonts w:ascii="Arial" w:cs="Arial" w:eastAsia="Arial" w:hAnsi="Arial"/>
          <w:sz w:val="21"/>
          <w:szCs w:val="21"/>
          <w:color w:val="auto"/>
          <w:vertAlign w:val="superscript"/>
        </w:rPr>
      </w:pPr>
      <w:r>
        <w:rPr>
          <w:rFonts w:ascii="Arial" w:cs="Arial" w:eastAsia="Arial" w:hAnsi="Arial"/>
          <w:sz w:val="13"/>
          <w:szCs w:val="13"/>
          <w:color w:val="auto"/>
        </w:rPr>
        <w:t>Includes the following shares of unvested restricted stock held by named executives officers over which they have sole voting power but no investment power: Mr. Jellison (350,000),</w:t>
      </w:r>
    </w:p>
    <w:p>
      <w:pPr>
        <w:ind w:left="340" w:right="20"/>
        <w:spacing w:after="0" w:line="228" w:lineRule="auto"/>
        <w:rPr>
          <w:rFonts w:ascii="Arial" w:cs="Arial" w:eastAsia="Arial" w:hAnsi="Arial"/>
          <w:sz w:val="21"/>
          <w:szCs w:val="21"/>
          <w:color w:val="auto"/>
          <w:vertAlign w:val="superscript"/>
        </w:rPr>
      </w:pPr>
      <w:r>
        <w:rPr>
          <w:rFonts w:ascii="Arial" w:cs="Arial" w:eastAsia="Arial" w:hAnsi="Arial"/>
          <w:sz w:val="14"/>
          <w:szCs w:val="14"/>
          <w:color w:val="auto"/>
        </w:rPr>
        <w:t>Mr. Humphrey (70,000), Mr. Liner (14,000) and Mr. Soni (14,000). Also includes 2,000 shares that will be acquired on May 26, 2016 upon the vesting of unvested restricted stock units for each of our non-employee directors: Messrs. Fort, Johnson, Knowling, Prezzano, Wallman and Wright, Ms. Brinkley and Ms. Thatcher. The total for all current executive officers and directors as a group is 464,000.</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336"/>
        </w:trPr>
        <w:tc>
          <w:tcPr>
            <w:tcW w:w="340" w:type="dxa"/>
            <w:vAlign w:val="bottom"/>
            <w:tcBorders>
              <w:right w:val="single" w:sz="8" w:color="225CAB"/>
            </w:tcBorders>
          </w:tcPr>
          <w:p>
            <w:pPr>
              <w:jc w:val="right"/>
              <w:ind w:right="52"/>
              <w:spacing w:after="0"/>
              <w:rPr>
                <w:sz w:val="20"/>
                <w:szCs w:val="20"/>
                <w:color w:val="auto"/>
              </w:rPr>
            </w:pPr>
            <w:r>
              <w:rPr>
                <w:rFonts w:ascii="Arial" w:cs="Arial" w:eastAsia="Arial" w:hAnsi="Arial"/>
                <w:sz w:val="18"/>
                <w:szCs w:val="18"/>
                <w:b w:val="1"/>
                <w:bCs w:val="1"/>
                <w:color w:val="225CAB"/>
                <w:w w:val="89"/>
              </w:rPr>
              <w:t>16</w:t>
            </w:r>
          </w:p>
        </w:tc>
        <w:tc>
          <w:tcPr>
            <w:tcW w:w="5180" w:type="dxa"/>
            <w:vAlign w:val="bottom"/>
          </w:tcPr>
          <w:p>
            <w:pPr>
              <w:ind w:left="1240"/>
              <w:spacing w:after="0"/>
              <w:rPr>
                <w:sz w:val="20"/>
                <w:szCs w:val="20"/>
                <w:color w:val="auto"/>
              </w:rPr>
            </w:pPr>
            <w:r>
              <w:rPr>
                <w:rFonts w:ascii="Arial" w:cs="Arial" w:eastAsia="Arial" w:hAnsi="Arial"/>
                <w:sz w:val="18"/>
                <w:szCs w:val="18"/>
                <w:b w:val="1"/>
                <w:bCs w:val="1"/>
                <w:color w:val="225CAB"/>
                <w:w w:val="96"/>
              </w:rPr>
              <w:t>Roper Technologies, Inc. 2016 Proxy Statement</w:t>
            </w:r>
          </w:p>
        </w:tc>
      </w:tr>
      <w:tr>
        <w:trPr>
          <w:trHeight w:val="110"/>
        </w:trPr>
        <w:tc>
          <w:tcPr>
            <w:tcW w:w="340" w:type="dxa"/>
            <w:vAlign w:val="bottom"/>
            <w:tcBorders>
              <w:right w:val="single" w:sz="8" w:color="225CAB"/>
            </w:tcBorders>
          </w:tcPr>
          <w:p>
            <w:pPr>
              <w:spacing w:after="0"/>
              <w:rPr>
                <w:sz w:val="9"/>
                <w:szCs w:val="9"/>
                <w:color w:val="auto"/>
              </w:rPr>
            </w:pPr>
          </w:p>
        </w:tc>
        <w:tc>
          <w:tcPr>
            <w:tcW w:w="518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-248285</wp:posOffset>
            </wp:positionV>
            <wp:extent cx="420370" cy="2057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225CAB"/>
        </w:rPr>
        <w:t xml:space="preserve">BENEFICIAL OWNERSHIP </w:t>
      </w:r>
      <w:r>
        <w:rPr>
          <w:rFonts w:ascii="Arial" w:cs="Arial" w:eastAsia="Arial" w:hAnsi="Arial"/>
          <w:sz w:val="18"/>
          <w:szCs w:val="18"/>
          <w:i w:val="1"/>
          <w:iCs w:val="1"/>
          <w:color w:val="225CAB"/>
        </w:rPr>
        <w:t>(CONTINUED)</w:t>
      </w:r>
    </w:p>
    <w:p>
      <w:pPr>
        <w:spacing w:after="0" w:line="239" w:lineRule="exact"/>
        <w:rPr>
          <w:sz w:val="20"/>
          <w:szCs w:val="20"/>
          <w:color w:val="auto"/>
        </w:rPr>
      </w:pPr>
    </w:p>
    <w:p>
      <w:pPr>
        <w:ind w:left="340" w:right="80" w:hanging="332"/>
        <w:spacing w:after="0" w:line="180" w:lineRule="auto"/>
        <w:tabs>
          <w:tab w:leader="none" w:pos="340" w:val="left"/>
        </w:tabs>
        <w:numPr>
          <w:ilvl w:val="0"/>
          <w:numId w:val="22"/>
        </w:numPr>
        <w:rPr>
          <w:rFonts w:ascii="Arial" w:cs="Arial" w:eastAsia="Arial" w:hAnsi="Arial"/>
          <w:sz w:val="22"/>
          <w:szCs w:val="22"/>
          <w:color w:val="auto"/>
          <w:vertAlign w:val="superscript"/>
        </w:rPr>
      </w:pPr>
      <w:r>
        <w:rPr>
          <w:rFonts w:ascii="Arial" w:cs="Arial" w:eastAsia="Arial" w:hAnsi="Arial"/>
          <w:sz w:val="14"/>
          <w:szCs w:val="14"/>
          <w:color w:val="auto"/>
        </w:rPr>
        <w:t>Based on information reported on Schedule 13G filed with the SEC on February 10, 2016, as of December 31, 2015, T. Rowe Price Associates, Inc. may be deemed to be the beneficial owner of such securities, with sole voting power over 4,205,137 shares and sole dispositive power over all of the shares.</w:t>
      </w:r>
    </w:p>
    <w:p>
      <w:pPr>
        <w:spacing w:after="0" w:line="67" w:lineRule="exact"/>
        <w:rPr>
          <w:rFonts w:ascii="Arial" w:cs="Arial" w:eastAsia="Arial" w:hAnsi="Arial"/>
          <w:sz w:val="22"/>
          <w:szCs w:val="22"/>
          <w:color w:val="auto"/>
          <w:vertAlign w:val="superscript"/>
        </w:rPr>
      </w:pPr>
    </w:p>
    <w:p>
      <w:pPr>
        <w:ind w:left="340" w:right="160" w:hanging="332"/>
        <w:spacing w:after="0" w:line="198" w:lineRule="auto"/>
        <w:tabs>
          <w:tab w:leader="none" w:pos="340" w:val="left"/>
        </w:tabs>
        <w:numPr>
          <w:ilvl w:val="0"/>
          <w:numId w:val="22"/>
        </w:numPr>
        <w:rPr>
          <w:rFonts w:ascii="Arial" w:cs="Arial" w:eastAsia="Arial" w:hAnsi="Arial"/>
          <w:sz w:val="22"/>
          <w:szCs w:val="22"/>
          <w:color w:val="auto"/>
          <w:vertAlign w:val="superscript"/>
        </w:rPr>
      </w:pPr>
      <w:r>
        <w:rPr>
          <w:rFonts w:ascii="Arial" w:cs="Arial" w:eastAsia="Arial" w:hAnsi="Arial"/>
          <w:sz w:val="14"/>
          <w:szCs w:val="14"/>
          <w:color w:val="auto"/>
        </w:rPr>
        <w:t>Based on information reported on Schedule 13G filed with the SEC on February 10, 2016, as of December 31, 2015, The Vanguard Group, Inc. beneficially owned 9,050,250 shares of Roper common stock, with sole voting power over 188,377 shares, shared voting power over 9,900 shares, sole dispositive power over 8,851,410 shares and shared dispositive power over 198,840 shares. Certain of these shares are beneficially owned by subsidiaries that serve as investment manager of collective trust accounts or as investment manager of investment offerings.</w:t>
      </w:r>
    </w:p>
    <w:p>
      <w:pPr>
        <w:spacing w:after="0" w:line="68" w:lineRule="exact"/>
        <w:rPr>
          <w:rFonts w:ascii="Arial" w:cs="Arial" w:eastAsia="Arial" w:hAnsi="Arial"/>
          <w:sz w:val="22"/>
          <w:szCs w:val="22"/>
          <w:color w:val="auto"/>
          <w:vertAlign w:val="superscript"/>
        </w:rPr>
      </w:pPr>
    </w:p>
    <w:p>
      <w:pPr>
        <w:ind w:left="340" w:right="80" w:hanging="332"/>
        <w:spacing w:after="0" w:line="180" w:lineRule="auto"/>
        <w:tabs>
          <w:tab w:leader="none" w:pos="340" w:val="left"/>
        </w:tabs>
        <w:numPr>
          <w:ilvl w:val="0"/>
          <w:numId w:val="22"/>
        </w:numPr>
        <w:rPr>
          <w:rFonts w:ascii="Arial" w:cs="Arial" w:eastAsia="Arial" w:hAnsi="Arial"/>
          <w:sz w:val="22"/>
          <w:szCs w:val="22"/>
          <w:color w:val="auto"/>
          <w:vertAlign w:val="superscript"/>
        </w:rPr>
      </w:pPr>
      <w:r>
        <w:rPr>
          <w:rFonts w:ascii="Arial" w:cs="Arial" w:eastAsia="Arial" w:hAnsi="Arial"/>
          <w:sz w:val="14"/>
          <w:szCs w:val="14"/>
          <w:color w:val="auto"/>
        </w:rPr>
        <w:t>Based on information reported on Schedule 13G filed with the SEC on February 12, 2016, as of December 31, 2015, FMR LLC (and of its affiliates) beneficially owned 7,477,048 shares of Roper common stock with the sole voting power over 73,515 shares and sole dispositive power over all of the shares.</w:t>
      </w:r>
    </w:p>
    <w:p>
      <w:pPr>
        <w:spacing w:after="0" w:line="67" w:lineRule="exact"/>
        <w:rPr>
          <w:rFonts w:ascii="Arial" w:cs="Arial" w:eastAsia="Arial" w:hAnsi="Arial"/>
          <w:sz w:val="22"/>
          <w:szCs w:val="22"/>
          <w:color w:val="auto"/>
          <w:vertAlign w:val="superscript"/>
        </w:rPr>
      </w:pPr>
    </w:p>
    <w:p>
      <w:pPr>
        <w:ind w:left="340" w:right="460" w:hanging="332"/>
        <w:spacing w:after="0" w:line="180" w:lineRule="auto"/>
        <w:tabs>
          <w:tab w:leader="none" w:pos="340" w:val="left"/>
        </w:tabs>
        <w:numPr>
          <w:ilvl w:val="0"/>
          <w:numId w:val="22"/>
        </w:numPr>
        <w:rPr>
          <w:rFonts w:ascii="Arial" w:cs="Arial" w:eastAsia="Arial" w:hAnsi="Arial"/>
          <w:sz w:val="22"/>
          <w:szCs w:val="22"/>
          <w:color w:val="auto"/>
          <w:vertAlign w:val="superscript"/>
        </w:rPr>
      </w:pPr>
      <w:r>
        <w:rPr>
          <w:rFonts w:ascii="Arial" w:cs="Arial" w:eastAsia="Arial" w:hAnsi="Arial"/>
          <w:sz w:val="14"/>
          <w:szCs w:val="14"/>
          <w:color w:val="auto"/>
        </w:rPr>
        <w:t>Based on information reported on Schedule 13G filed with the SEC on February 10, 2016, as of December 31, 2015, BlackRock, Inc. (and certain subsidiaries) beneficially owned 5,743,127, shares of Roper common stock with the sole voting power over 4,893,874 shares and sole dispositive power over all of the shares.</w:t>
      </w:r>
    </w:p>
    <w:p>
      <w:pPr>
        <w:spacing w:after="0" w:line="67" w:lineRule="exact"/>
        <w:rPr>
          <w:rFonts w:ascii="Arial" w:cs="Arial" w:eastAsia="Arial" w:hAnsi="Arial"/>
          <w:sz w:val="22"/>
          <w:szCs w:val="22"/>
          <w:color w:val="auto"/>
          <w:vertAlign w:val="superscript"/>
        </w:rPr>
      </w:pPr>
    </w:p>
    <w:p>
      <w:pPr>
        <w:ind w:left="340" w:right="260" w:hanging="332"/>
        <w:spacing w:after="0" w:line="190" w:lineRule="auto"/>
        <w:tabs>
          <w:tab w:leader="none" w:pos="340" w:val="left"/>
        </w:tabs>
        <w:numPr>
          <w:ilvl w:val="0"/>
          <w:numId w:val="22"/>
        </w:numPr>
        <w:rPr>
          <w:rFonts w:ascii="Arial" w:cs="Arial" w:eastAsia="Arial" w:hAnsi="Arial"/>
          <w:sz w:val="21"/>
          <w:szCs w:val="21"/>
          <w:color w:val="auto"/>
          <w:vertAlign w:val="superscript"/>
        </w:rPr>
      </w:pPr>
      <w:r>
        <w:rPr>
          <w:rFonts w:ascii="Arial" w:cs="Arial" w:eastAsia="Arial" w:hAnsi="Arial"/>
          <w:sz w:val="13"/>
          <w:szCs w:val="13"/>
          <w:color w:val="auto"/>
        </w:rPr>
        <w:t>Based on information reported on Schedule 13G filed with the SEC on February 10, 2016, as of December 31, 2015, Franklin Resources, Inc. (and certain of its affiliates) beneficially owned 5,086,441 shares of Roper common stock, with certain affiliates having sole voting power and sole dispositive power over an aggregated of 926,387 shares.</w:t>
      </w:r>
    </w:p>
    <w:p>
      <w:pPr>
        <w:spacing w:after="0" w:line="1" w:lineRule="exact"/>
        <w:rPr>
          <w:rFonts w:ascii="Arial" w:cs="Arial" w:eastAsia="Arial" w:hAnsi="Arial"/>
          <w:sz w:val="21"/>
          <w:szCs w:val="21"/>
          <w:color w:val="auto"/>
          <w:vertAlign w:val="superscript"/>
        </w:rPr>
      </w:pPr>
    </w:p>
    <w:p>
      <w:pPr>
        <w:ind w:left="340" w:hanging="332"/>
        <w:spacing w:after="0" w:line="217" w:lineRule="auto"/>
        <w:tabs>
          <w:tab w:leader="none" w:pos="340" w:val="left"/>
        </w:tabs>
        <w:numPr>
          <w:ilvl w:val="0"/>
          <w:numId w:val="22"/>
        </w:numPr>
        <w:rPr>
          <w:rFonts w:ascii="Arial" w:cs="Arial" w:eastAsia="Arial" w:hAnsi="Arial"/>
          <w:sz w:val="22"/>
          <w:szCs w:val="22"/>
          <w:color w:val="auto"/>
          <w:vertAlign w:val="superscript"/>
        </w:rPr>
      </w:pPr>
      <w:r>
        <w:rPr>
          <w:rFonts w:ascii="Arial" w:cs="Arial" w:eastAsia="Arial" w:hAnsi="Arial"/>
          <w:sz w:val="14"/>
          <w:szCs w:val="14"/>
          <w:color w:val="auto"/>
        </w:rPr>
        <w:t>Includes 250 shares held by a trust of which Mr. Fort is a trustee.</w:t>
      </w:r>
    </w:p>
    <w:p>
      <w:pPr>
        <w:spacing w:after="0" w:line="68" w:lineRule="exact"/>
        <w:rPr>
          <w:rFonts w:ascii="Arial" w:cs="Arial" w:eastAsia="Arial" w:hAnsi="Arial"/>
          <w:sz w:val="22"/>
          <w:szCs w:val="22"/>
          <w:color w:val="auto"/>
          <w:vertAlign w:val="superscript"/>
        </w:rPr>
      </w:pPr>
    </w:p>
    <w:p>
      <w:pPr>
        <w:ind w:left="340" w:right="320" w:hanging="332"/>
        <w:spacing w:after="0" w:line="190" w:lineRule="auto"/>
        <w:tabs>
          <w:tab w:leader="none" w:pos="340" w:val="left"/>
        </w:tabs>
        <w:numPr>
          <w:ilvl w:val="0"/>
          <w:numId w:val="22"/>
        </w:numPr>
        <w:rPr>
          <w:rFonts w:ascii="Arial" w:cs="Arial" w:eastAsia="Arial" w:hAnsi="Arial"/>
          <w:sz w:val="21"/>
          <w:szCs w:val="21"/>
          <w:color w:val="auto"/>
          <w:vertAlign w:val="superscript"/>
        </w:rPr>
      </w:pPr>
      <w:r>
        <w:rPr>
          <w:rFonts w:ascii="Arial" w:cs="Arial" w:eastAsia="Arial" w:hAnsi="Arial"/>
          <w:sz w:val="13"/>
          <w:szCs w:val="13"/>
          <w:color w:val="auto"/>
        </w:rPr>
        <w:t>Mr. Soni and his spouse each participate in a 401(k) plan with a unitized stock fund that consists of cash and common stock in amounts that vary from time to time. Based on a conversion factor representing the units in the fund as of March 31, 2016, the shares in the table include 2,798 shares in Mr. Soni’s account and 946 shares in his spouse’s account.</w:t>
      </w:r>
    </w:p>
    <w:p>
      <w:pPr>
        <w:spacing w:after="0" w:line="316" w:lineRule="exact"/>
        <w:rPr>
          <w:sz w:val="20"/>
          <w:szCs w:val="20"/>
          <w:color w:val="auto"/>
        </w:rPr>
      </w:pPr>
    </w:p>
    <w:p>
      <w:pPr>
        <w:spacing w:after="0"/>
        <w:rPr>
          <w:sz w:val="20"/>
          <w:szCs w:val="20"/>
          <w:color w:val="auto"/>
        </w:rPr>
      </w:pPr>
      <w:r>
        <w:rPr>
          <w:rFonts w:ascii="Arial" w:cs="Arial" w:eastAsia="Arial" w:hAnsi="Arial"/>
          <w:sz w:val="32"/>
          <w:szCs w:val="32"/>
          <w:color w:val="225CAB"/>
        </w:rPr>
        <w:t>SECTION 16(a) BENEFICIAL OWNERSHIP REPORTING COMPLIANCE</w:t>
      </w:r>
    </w:p>
    <w:p>
      <w:pPr>
        <w:spacing w:after="0" w:line="25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Section 16(a) of the Exchange Act requires Roper’s directors, officers and persons who own more than 10% of Roper common stock to file with the SEC initial reports of ownership and reports of changes in ownership. Officers, directors and greater than 10% shareholders are required by SEC regulation to furnish Roper with copies of all Section 16(a) forms they file.</w:t>
      </w:r>
    </w:p>
    <w:p>
      <w:pPr>
        <w:spacing w:after="0" w:line="73"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We believe that during 2015 all of our directors and executive officers complied with all Section 16(a) filing requirements, with the exception of one late Form 4 filed March 6, 2015 due to an administrative oversight in reporting a sale of 2,250 shares for Mr. Wright. In making this statement, we have relied upon examination of the copies of Forms 3, 4 and 5, and amendments to these forms, provided to us and the written representations of our directors and executive officers.</w:t>
      </w:r>
    </w:p>
    <w:p>
      <w:pPr>
        <w:spacing w:after="0" w:line="138" w:lineRule="exact"/>
        <w:rPr>
          <w:sz w:val="20"/>
          <w:szCs w:val="20"/>
          <w:color w:val="auto"/>
        </w:rPr>
      </w:pPr>
    </w:p>
    <w:tbl>
      <w:tblPr>
        <w:tblLayout w:type="fixed"/>
        <w:tblInd w:w="6900" w:type="dxa"/>
        <w:tblCellMar>
          <w:top w:w="0" w:type="dxa"/>
          <w:left w:w="0" w:type="dxa"/>
          <w:bottom w:w="0" w:type="dxa"/>
          <w:right w:w="0" w:type="dxa"/>
        </w:tblCellMar>
      </w:tblPr>
      <w:tr>
        <w:trPr>
          <w:trHeight w:val="309"/>
        </w:trPr>
        <w:tc>
          <w:tcPr>
            <w:tcW w:w="4080" w:type="dxa"/>
            <w:vAlign w:val="bottom"/>
            <w:tcBorders>
              <w:right w:val="single" w:sz="8" w:color="225CAB"/>
            </w:tcBorders>
          </w:tcPr>
          <w:p>
            <w:pPr>
              <w:spacing w:after="0"/>
              <w:rPr>
                <w:sz w:val="20"/>
                <w:szCs w:val="20"/>
                <w:color w:val="auto"/>
              </w:rPr>
            </w:pPr>
            <w:r>
              <w:rPr>
                <w:rFonts w:ascii="Arial" w:cs="Arial" w:eastAsia="Arial" w:hAnsi="Arial"/>
                <w:sz w:val="18"/>
                <w:szCs w:val="18"/>
                <w:b w:val="1"/>
                <w:bCs w:val="1"/>
                <w:color w:val="225CAB"/>
                <w:w w:val="99"/>
              </w:rPr>
              <w:t>Roper Technologies, Inc. 2016 Proxy Statement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225CAB"/>
              </w:rPr>
              <w:t>17</w:t>
            </w:r>
          </w:p>
        </w:tc>
      </w:tr>
      <w:tr>
        <w:trPr>
          <w:trHeight w:val="83"/>
        </w:trPr>
        <w:tc>
          <w:tcPr>
            <w:tcW w:w="4080" w:type="dxa"/>
            <w:vAlign w:val="bottom"/>
            <w:tcBorders>
              <w:right w:val="single" w:sz="8" w:color="225CAB"/>
            </w:tcBorders>
          </w:tcPr>
          <w:p>
            <w:pPr>
              <w:spacing w:after="0"/>
              <w:rPr>
                <w:sz w:val="7"/>
                <w:szCs w:val="7"/>
                <w:color w:val="auto"/>
              </w:rPr>
            </w:pPr>
          </w:p>
        </w:tc>
        <w:tc>
          <w:tcPr>
            <w:tcW w:w="44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-213995</wp:posOffset>
            </wp:positionV>
            <wp:extent cx="420370" cy="2057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spacing w:after="0"/>
        <w:rPr>
          <w:sz w:val="20"/>
          <w:szCs w:val="20"/>
          <w:color w:val="auto"/>
        </w:rPr>
      </w:pPr>
      <w:r>
        <w:rPr>
          <w:rFonts w:ascii="Arial" w:cs="Arial" w:eastAsia="Arial" w:hAnsi="Arial"/>
          <w:sz w:val="32"/>
          <w:szCs w:val="32"/>
          <w:color w:val="225CAB"/>
        </w:rPr>
        <w:t>COMPENSATION DISCUSSION AND ANALYSIS</w:t>
      </w:r>
    </w:p>
    <w:p>
      <w:pPr>
        <w:spacing w:after="0" w:line="253" w:lineRule="exact"/>
        <w:rPr>
          <w:sz w:val="20"/>
          <w:szCs w:val="20"/>
          <w:color w:val="auto"/>
        </w:rPr>
      </w:pPr>
    </w:p>
    <w:p>
      <w:pPr>
        <w:ind w:right="620"/>
        <w:spacing w:after="0" w:line="237" w:lineRule="auto"/>
        <w:rPr>
          <w:sz w:val="20"/>
          <w:szCs w:val="20"/>
          <w:color w:val="auto"/>
        </w:rPr>
      </w:pPr>
      <w:r>
        <w:rPr>
          <w:rFonts w:ascii="Arial" w:cs="Arial" w:eastAsia="Arial" w:hAnsi="Arial"/>
          <w:sz w:val="18"/>
          <w:szCs w:val="18"/>
          <w:color w:val="auto"/>
        </w:rPr>
        <w:t>This Compensation Discussion and Analysis (“CD&amp;A”) provides information about our compensation objectives and policies for our Chief Executive Officer and other executive officers (who are included in the 2015 Summary Compensation Table and referred to in this CD&amp;A as “executive officers”) that will place in perspective the information set forth in the “Executive Compensation” section that follows in this Proxy Statement.</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EXECUTIVE SUMMARY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225CAB"/>
        </w:rPr>
        <w:t>Superior Returns for Roper Investors</w:t>
      </w:r>
    </w:p>
    <w:p>
      <w:pPr>
        <w:spacing w:after="0" w:line="99" w:lineRule="exact"/>
        <w:rPr>
          <w:sz w:val="20"/>
          <w:szCs w:val="20"/>
          <w:color w:val="auto"/>
        </w:rPr>
      </w:pPr>
    </w:p>
    <w:p>
      <w:pPr>
        <w:ind w:right="340"/>
        <w:spacing w:after="0" w:line="239" w:lineRule="auto"/>
        <w:rPr>
          <w:sz w:val="20"/>
          <w:szCs w:val="20"/>
          <w:color w:val="auto"/>
        </w:rPr>
      </w:pPr>
      <w:r>
        <w:rPr>
          <w:rFonts w:ascii="Arial" w:cs="Arial" w:eastAsia="Arial" w:hAnsi="Arial"/>
          <w:sz w:val="18"/>
          <w:szCs w:val="18"/>
          <w:color w:val="auto"/>
        </w:rPr>
        <w:t>Roper is proud of its long track record of superior returns for its investors. Roper has significantly outperformed the S&amp;P 500 over the past one, three, five, and 10 years.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shd w:val="clear" w:color="auto" w:fill="225CAB"/>
          </w:tcPr>
          <w:p>
            <w:pPr>
              <w:spacing w:after="0"/>
              <w:rPr>
                <w:sz w:val="14"/>
                <w:szCs w:val="14"/>
                <w:color w:val="auto"/>
              </w:rPr>
            </w:pPr>
          </w:p>
        </w:tc>
        <w:tc>
          <w:tcPr>
            <w:tcW w:w="4540" w:type="dxa"/>
            <w:vAlign w:val="bottom"/>
            <w:shd w:val="clear" w:color="auto" w:fill="225CAB"/>
          </w:tcPr>
          <w:p>
            <w:pPr>
              <w:spacing w:after="0"/>
              <w:rPr>
                <w:sz w:val="14"/>
                <w:szCs w:val="14"/>
                <w:color w:val="auto"/>
              </w:rPr>
            </w:pPr>
          </w:p>
        </w:tc>
        <w:tc>
          <w:tcPr>
            <w:tcW w:w="1140" w:type="dxa"/>
            <w:vAlign w:val="bottom"/>
            <w:shd w:val="clear" w:color="auto" w:fill="225CAB"/>
          </w:tcPr>
          <w:p>
            <w:pPr>
              <w:spacing w:after="0"/>
              <w:rPr>
                <w:sz w:val="14"/>
                <w:szCs w:val="14"/>
                <w:color w:val="auto"/>
              </w:rPr>
            </w:pPr>
          </w:p>
        </w:tc>
        <w:tc>
          <w:tcPr>
            <w:tcW w:w="2200" w:type="dxa"/>
            <w:vAlign w:val="bottom"/>
            <w:shd w:val="clear" w:color="auto" w:fill="225CAB"/>
          </w:tcPr>
          <w:p>
            <w:pPr>
              <w:jc w:val="center"/>
              <w:ind w:right="979"/>
              <w:spacing w:after="0"/>
              <w:rPr>
                <w:sz w:val="20"/>
                <w:szCs w:val="20"/>
                <w:color w:val="auto"/>
              </w:rPr>
            </w:pPr>
            <w:r>
              <w:rPr>
                <w:rFonts w:ascii="Arial" w:cs="Arial" w:eastAsia="Arial" w:hAnsi="Arial"/>
                <w:sz w:val="14"/>
                <w:szCs w:val="14"/>
                <w:color w:val="FFFFFF"/>
                <w:w w:val="94"/>
              </w:rPr>
              <w:t>Compound Annual</w:t>
            </w:r>
          </w:p>
        </w:tc>
        <w:tc>
          <w:tcPr>
            <w:tcW w:w="3400" w:type="dxa"/>
            <w:vAlign w:val="bottom"/>
            <w:gridSpan w:val="2"/>
            <w:shd w:val="clear" w:color="auto" w:fill="225CAB"/>
          </w:tcPr>
          <w:p>
            <w:pPr>
              <w:jc w:val="center"/>
              <w:ind w:left="219"/>
              <w:spacing w:after="0"/>
              <w:rPr>
                <w:sz w:val="20"/>
                <w:szCs w:val="20"/>
                <w:color w:val="auto"/>
              </w:rPr>
            </w:pPr>
            <w:r>
              <w:rPr>
                <w:rFonts w:ascii="Arial" w:cs="Arial" w:eastAsia="Arial" w:hAnsi="Arial"/>
                <w:sz w:val="14"/>
                <w:szCs w:val="14"/>
                <w:color w:val="FFFFFF"/>
                <w:w w:val="95"/>
              </w:rPr>
              <w:t>Total Shareholder Return</w:t>
            </w:r>
          </w:p>
        </w:tc>
      </w:tr>
      <w:tr>
        <w:trPr>
          <w:trHeight w:val="149"/>
        </w:trPr>
        <w:tc>
          <w:tcPr>
            <w:tcW w:w="140" w:type="dxa"/>
            <w:vAlign w:val="bottom"/>
            <w:shd w:val="clear" w:color="auto" w:fill="225CAB"/>
          </w:tcPr>
          <w:p>
            <w:pPr>
              <w:spacing w:after="0"/>
              <w:rPr>
                <w:sz w:val="12"/>
                <w:szCs w:val="12"/>
                <w:color w:val="auto"/>
              </w:rPr>
            </w:pPr>
          </w:p>
        </w:tc>
        <w:tc>
          <w:tcPr>
            <w:tcW w:w="4540" w:type="dxa"/>
            <w:vAlign w:val="bottom"/>
            <w:shd w:val="clear" w:color="auto" w:fill="225CAB"/>
          </w:tcPr>
          <w:p>
            <w:pPr>
              <w:spacing w:after="0"/>
              <w:rPr>
                <w:sz w:val="12"/>
                <w:szCs w:val="12"/>
                <w:color w:val="auto"/>
              </w:rPr>
            </w:pPr>
          </w:p>
        </w:tc>
        <w:tc>
          <w:tcPr>
            <w:tcW w:w="3340" w:type="dxa"/>
            <w:vAlign w:val="bottom"/>
            <w:gridSpan w:val="2"/>
            <w:shd w:val="clear" w:color="auto" w:fill="225CAB"/>
          </w:tcPr>
          <w:p>
            <w:pPr>
              <w:jc w:val="center"/>
              <w:spacing w:after="0" w:line="149" w:lineRule="exact"/>
              <w:rPr>
                <w:sz w:val="20"/>
                <w:szCs w:val="20"/>
                <w:color w:val="auto"/>
              </w:rPr>
            </w:pPr>
            <w:r>
              <w:rPr>
                <w:rFonts w:ascii="Arial" w:cs="Arial" w:eastAsia="Arial" w:hAnsi="Arial"/>
                <w:sz w:val="14"/>
                <w:szCs w:val="14"/>
                <w:color w:val="FFFFFF"/>
                <w:w w:val="96"/>
              </w:rPr>
              <w:t>Shareholder Return</w:t>
            </w:r>
          </w:p>
        </w:tc>
        <w:tc>
          <w:tcPr>
            <w:tcW w:w="1440" w:type="dxa"/>
            <w:vAlign w:val="bottom"/>
            <w:shd w:val="clear" w:color="auto" w:fill="225CAB"/>
          </w:tcPr>
          <w:p>
            <w:pPr>
              <w:spacing w:after="0"/>
              <w:rPr>
                <w:sz w:val="12"/>
                <w:szCs w:val="12"/>
                <w:color w:val="auto"/>
              </w:rPr>
            </w:pPr>
          </w:p>
        </w:tc>
        <w:tc>
          <w:tcPr>
            <w:tcW w:w="1960" w:type="dxa"/>
            <w:vAlign w:val="bottom"/>
            <w:shd w:val="clear" w:color="auto" w:fill="225CAB"/>
          </w:tcPr>
          <w:p>
            <w:pPr>
              <w:jc w:val="center"/>
              <w:ind w:right="1039"/>
              <w:spacing w:after="0" w:line="149" w:lineRule="exact"/>
              <w:rPr>
                <w:sz w:val="20"/>
                <w:szCs w:val="20"/>
                <w:color w:val="auto"/>
              </w:rPr>
            </w:pPr>
            <w:r>
              <w:rPr>
                <w:rFonts w:ascii="Arial" w:cs="Arial" w:eastAsia="Arial" w:hAnsi="Arial"/>
                <w:sz w:val="14"/>
                <w:szCs w:val="14"/>
                <w:color w:val="FFFFFF"/>
                <w:w w:val="96"/>
              </w:rPr>
              <w:t>(TSR)</w:t>
            </w:r>
          </w:p>
        </w:tc>
      </w:tr>
      <w:tr>
        <w:trPr>
          <w:trHeight w:val="149"/>
        </w:trPr>
        <w:tc>
          <w:tcPr>
            <w:tcW w:w="4680" w:type="dxa"/>
            <w:vAlign w:val="bottom"/>
            <w:gridSpan w:val="2"/>
            <w:shd w:val="clear" w:color="auto" w:fill="225CAB"/>
          </w:tcPr>
          <w:p>
            <w:pPr>
              <w:spacing w:after="0" w:line="149" w:lineRule="exact"/>
              <w:rPr>
                <w:sz w:val="20"/>
                <w:szCs w:val="20"/>
                <w:color w:val="auto"/>
              </w:rPr>
            </w:pPr>
            <w:r>
              <w:rPr>
                <w:rFonts w:ascii="Arial" w:cs="Arial" w:eastAsia="Arial" w:hAnsi="Arial"/>
                <w:sz w:val="14"/>
                <w:szCs w:val="14"/>
                <w:color w:val="FFFFFF"/>
              </w:rPr>
              <w:t>Period</w:t>
            </w:r>
          </w:p>
        </w:tc>
        <w:tc>
          <w:tcPr>
            <w:tcW w:w="1140" w:type="dxa"/>
            <w:vAlign w:val="bottom"/>
            <w:shd w:val="clear" w:color="auto" w:fill="225CAB"/>
          </w:tcPr>
          <w:p>
            <w:pPr>
              <w:jc w:val="center"/>
              <w:ind w:left="559"/>
              <w:spacing w:after="0" w:line="149" w:lineRule="exact"/>
              <w:rPr>
                <w:sz w:val="20"/>
                <w:szCs w:val="20"/>
                <w:color w:val="auto"/>
              </w:rPr>
            </w:pPr>
            <w:r>
              <w:rPr>
                <w:rFonts w:ascii="Arial" w:cs="Arial" w:eastAsia="Arial" w:hAnsi="Arial"/>
                <w:sz w:val="14"/>
                <w:szCs w:val="14"/>
                <w:color w:val="FFFFFF"/>
                <w:w w:val="99"/>
              </w:rPr>
              <w:t>Roper</w:t>
            </w:r>
          </w:p>
        </w:tc>
        <w:tc>
          <w:tcPr>
            <w:tcW w:w="2200" w:type="dxa"/>
            <w:vAlign w:val="bottom"/>
            <w:shd w:val="clear" w:color="auto" w:fill="225CAB"/>
          </w:tcPr>
          <w:p>
            <w:pPr>
              <w:ind w:left="1080"/>
              <w:spacing w:after="0" w:line="149" w:lineRule="exact"/>
              <w:rPr>
                <w:sz w:val="20"/>
                <w:szCs w:val="20"/>
                <w:color w:val="auto"/>
              </w:rPr>
            </w:pPr>
            <w:r>
              <w:rPr>
                <w:rFonts w:ascii="Arial" w:cs="Arial" w:eastAsia="Arial" w:hAnsi="Arial"/>
                <w:sz w:val="14"/>
                <w:szCs w:val="14"/>
                <w:color w:val="FFFFFF"/>
              </w:rPr>
              <w:t>S&amp;P 500</w:t>
            </w:r>
          </w:p>
        </w:tc>
        <w:tc>
          <w:tcPr>
            <w:tcW w:w="1440" w:type="dxa"/>
            <w:vAlign w:val="bottom"/>
            <w:shd w:val="clear" w:color="auto" w:fill="225CAB"/>
          </w:tcPr>
          <w:p>
            <w:pPr>
              <w:ind w:left="720"/>
              <w:spacing w:after="0" w:line="149" w:lineRule="exact"/>
              <w:rPr>
                <w:sz w:val="20"/>
                <w:szCs w:val="20"/>
                <w:color w:val="auto"/>
              </w:rPr>
            </w:pPr>
            <w:r>
              <w:rPr>
                <w:rFonts w:ascii="Arial" w:cs="Arial" w:eastAsia="Arial" w:hAnsi="Arial"/>
                <w:sz w:val="14"/>
                <w:szCs w:val="14"/>
                <w:color w:val="FFFFFF"/>
              </w:rPr>
              <w:t>Roper</w:t>
            </w:r>
          </w:p>
        </w:tc>
        <w:tc>
          <w:tcPr>
            <w:tcW w:w="1960" w:type="dxa"/>
            <w:vAlign w:val="bottom"/>
            <w:shd w:val="clear" w:color="auto" w:fill="225CAB"/>
          </w:tcPr>
          <w:p>
            <w:pPr>
              <w:ind w:left="1080"/>
              <w:spacing w:after="0" w:line="149" w:lineRule="exact"/>
              <w:rPr>
                <w:sz w:val="20"/>
                <w:szCs w:val="20"/>
                <w:color w:val="auto"/>
              </w:rPr>
            </w:pPr>
            <w:r>
              <w:rPr>
                <w:rFonts w:ascii="Arial" w:cs="Arial" w:eastAsia="Arial" w:hAnsi="Arial"/>
                <w:sz w:val="14"/>
                <w:szCs w:val="14"/>
                <w:color w:val="FFFFFF"/>
              </w:rPr>
              <w:t>S&amp;P 500</w:t>
            </w:r>
          </w:p>
        </w:tc>
      </w:tr>
      <w:tr>
        <w:trPr>
          <w:trHeight w:val="203"/>
        </w:trPr>
        <w:tc>
          <w:tcPr>
            <w:tcW w:w="140" w:type="dxa"/>
            <w:vAlign w:val="bottom"/>
            <w:tcBorders>
              <w:bottom w:val="single" w:sz="8" w:color="225CAB"/>
            </w:tcBorders>
          </w:tcPr>
          <w:p>
            <w:pPr>
              <w:spacing w:after="0" w:line="202" w:lineRule="exact"/>
              <w:rPr>
                <w:sz w:val="20"/>
                <w:szCs w:val="20"/>
                <w:color w:val="auto"/>
              </w:rPr>
            </w:pPr>
            <w:r>
              <w:rPr>
                <w:rFonts w:ascii="Arial" w:cs="Arial" w:eastAsia="Arial" w:hAnsi="Arial"/>
                <w:sz w:val="18"/>
                <w:szCs w:val="18"/>
                <w:color w:val="auto"/>
              </w:rPr>
              <w:t>1</w:t>
            </w:r>
          </w:p>
        </w:tc>
        <w:tc>
          <w:tcPr>
            <w:tcW w:w="4540" w:type="dxa"/>
            <w:vAlign w:val="bottom"/>
            <w:tcBorders>
              <w:bottom w:val="single" w:sz="8" w:color="225CAB"/>
            </w:tcBorders>
          </w:tcPr>
          <w:p>
            <w:pPr>
              <w:ind w:left="20"/>
              <w:spacing w:after="0" w:line="202" w:lineRule="exact"/>
              <w:rPr>
                <w:sz w:val="20"/>
                <w:szCs w:val="20"/>
                <w:color w:val="auto"/>
              </w:rPr>
            </w:pPr>
            <w:r>
              <w:rPr>
                <w:rFonts w:ascii="Arial" w:cs="Arial" w:eastAsia="Arial" w:hAnsi="Arial"/>
                <w:sz w:val="18"/>
                <w:szCs w:val="18"/>
                <w:color w:val="auto"/>
              </w:rPr>
              <w:t>Year</w:t>
            </w:r>
          </w:p>
        </w:tc>
        <w:tc>
          <w:tcPr>
            <w:tcW w:w="1140" w:type="dxa"/>
            <w:vAlign w:val="bottom"/>
            <w:tcBorders>
              <w:bottom w:val="single" w:sz="8" w:color="225CAB"/>
            </w:tcBorders>
          </w:tcPr>
          <w:p>
            <w:pPr>
              <w:jc w:val="center"/>
              <w:ind w:left="559"/>
              <w:spacing w:after="0" w:line="202" w:lineRule="exact"/>
              <w:rPr>
                <w:sz w:val="20"/>
                <w:szCs w:val="20"/>
                <w:color w:val="auto"/>
              </w:rPr>
            </w:pPr>
            <w:r>
              <w:rPr>
                <w:rFonts w:ascii="Arial" w:cs="Arial" w:eastAsia="Arial" w:hAnsi="Arial"/>
                <w:sz w:val="18"/>
                <w:szCs w:val="18"/>
                <w:b w:val="1"/>
                <w:bCs w:val="1"/>
                <w:color w:val="auto"/>
                <w:w w:val="97"/>
              </w:rPr>
              <w:t>22.1%</w:t>
            </w:r>
          </w:p>
        </w:tc>
        <w:tc>
          <w:tcPr>
            <w:tcW w:w="2200" w:type="dxa"/>
            <w:vAlign w:val="bottom"/>
            <w:tcBorders>
              <w:bottom w:val="single" w:sz="8" w:color="225CAB"/>
            </w:tcBorders>
          </w:tcPr>
          <w:p>
            <w:pPr>
              <w:jc w:val="center"/>
              <w:ind w:left="439"/>
              <w:spacing w:after="0" w:line="202" w:lineRule="exact"/>
              <w:rPr>
                <w:sz w:val="20"/>
                <w:szCs w:val="20"/>
                <w:color w:val="auto"/>
              </w:rPr>
            </w:pPr>
            <w:r>
              <w:rPr>
                <w:rFonts w:ascii="Arial" w:cs="Arial" w:eastAsia="Arial" w:hAnsi="Arial"/>
                <w:sz w:val="18"/>
                <w:szCs w:val="18"/>
                <w:color w:val="auto"/>
                <w:w w:val="97"/>
              </w:rPr>
              <w:t>1.4%</w:t>
            </w:r>
          </w:p>
        </w:tc>
        <w:tc>
          <w:tcPr>
            <w:tcW w:w="1440" w:type="dxa"/>
            <w:vAlign w:val="bottom"/>
            <w:tcBorders>
              <w:bottom w:val="single" w:sz="8" w:color="225CAB"/>
            </w:tcBorders>
          </w:tcPr>
          <w:p>
            <w:pPr>
              <w:jc w:val="center"/>
              <w:ind w:left="259"/>
              <w:spacing w:after="0" w:line="202" w:lineRule="exact"/>
              <w:rPr>
                <w:sz w:val="20"/>
                <w:szCs w:val="20"/>
                <w:color w:val="auto"/>
              </w:rPr>
            </w:pPr>
            <w:r>
              <w:rPr>
                <w:rFonts w:ascii="Arial" w:cs="Arial" w:eastAsia="Arial" w:hAnsi="Arial"/>
                <w:sz w:val="18"/>
                <w:szCs w:val="18"/>
                <w:b w:val="1"/>
                <w:bCs w:val="1"/>
                <w:color w:val="auto"/>
                <w:w w:val="97"/>
              </w:rPr>
              <w:t>22.1%</w:t>
            </w:r>
          </w:p>
        </w:tc>
        <w:tc>
          <w:tcPr>
            <w:tcW w:w="1960" w:type="dxa"/>
            <w:vAlign w:val="bottom"/>
            <w:tcBorders>
              <w:bottom w:val="single" w:sz="8" w:color="225CAB"/>
            </w:tcBorders>
          </w:tcPr>
          <w:p>
            <w:pPr>
              <w:jc w:val="center"/>
              <w:ind w:left="639"/>
              <w:spacing w:after="0" w:line="202" w:lineRule="exact"/>
              <w:rPr>
                <w:sz w:val="20"/>
                <w:szCs w:val="20"/>
                <w:color w:val="auto"/>
              </w:rPr>
            </w:pPr>
            <w:r>
              <w:rPr>
                <w:rFonts w:ascii="Arial" w:cs="Arial" w:eastAsia="Arial" w:hAnsi="Arial"/>
                <w:sz w:val="18"/>
                <w:szCs w:val="18"/>
                <w:color w:val="auto"/>
                <w:w w:val="97"/>
              </w:rPr>
              <w:t>1.4%</w:t>
            </w:r>
          </w:p>
        </w:tc>
      </w:tr>
      <w:tr>
        <w:trPr>
          <w:trHeight w:val="196"/>
        </w:trPr>
        <w:tc>
          <w:tcPr>
            <w:tcW w:w="140" w:type="dxa"/>
            <w:vAlign w:val="bottom"/>
            <w:tcBorders>
              <w:bottom w:val="single" w:sz="8" w:color="225CAB"/>
            </w:tcBorders>
          </w:tcPr>
          <w:p>
            <w:pPr>
              <w:spacing w:after="0" w:line="196" w:lineRule="exact"/>
              <w:rPr>
                <w:sz w:val="20"/>
                <w:szCs w:val="20"/>
                <w:color w:val="auto"/>
              </w:rPr>
            </w:pPr>
            <w:r>
              <w:rPr>
                <w:rFonts w:ascii="Arial" w:cs="Arial" w:eastAsia="Arial" w:hAnsi="Arial"/>
                <w:sz w:val="18"/>
                <w:szCs w:val="18"/>
                <w:color w:val="auto"/>
              </w:rPr>
              <w:t>3</w:t>
            </w:r>
          </w:p>
        </w:tc>
        <w:tc>
          <w:tcPr>
            <w:tcW w:w="4540" w:type="dxa"/>
            <w:vAlign w:val="bottom"/>
            <w:tcBorders>
              <w:bottom w:val="single" w:sz="8" w:color="225CAB"/>
            </w:tcBorders>
          </w:tcPr>
          <w:p>
            <w:pPr>
              <w:ind w:left="20"/>
              <w:spacing w:after="0" w:line="196" w:lineRule="exact"/>
              <w:rPr>
                <w:sz w:val="20"/>
                <w:szCs w:val="20"/>
                <w:color w:val="auto"/>
              </w:rPr>
            </w:pPr>
            <w:r>
              <w:rPr>
                <w:rFonts w:ascii="Arial" w:cs="Arial" w:eastAsia="Arial" w:hAnsi="Arial"/>
                <w:sz w:val="18"/>
                <w:szCs w:val="18"/>
                <w:color w:val="auto"/>
              </w:rPr>
              <w:t>Years</w:t>
            </w:r>
          </w:p>
        </w:tc>
        <w:tc>
          <w:tcPr>
            <w:tcW w:w="1140" w:type="dxa"/>
            <w:vAlign w:val="bottom"/>
            <w:tcBorders>
              <w:bottom w:val="single" w:sz="8" w:color="225CAB"/>
            </w:tcBorders>
          </w:tcPr>
          <w:p>
            <w:pPr>
              <w:jc w:val="center"/>
              <w:ind w:left="559"/>
              <w:spacing w:after="0" w:line="196" w:lineRule="exact"/>
              <w:rPr>
                <w:sz w:val="20"/>
                <w:szCs w:val="20"/>
                <w:color w:val="auto"/>
              </w:rPr>
            </w:pPr>
            <w:r>
              <w:rPr>
                <w:rFonts w:ascii="Arial" w:cs="Arial" w:eastAsia="Arial" w:hAnsi="Arial"/>
                <w:sz w:val="18"/>
                <w:szCs w:val="18"/>
                <w:b w:val="1"/>
                <w:bCs w:val="1"/>
                <w:color w:val="auto"/>
                <w:w w:val="97"/>
              </w:rPr>
              <w:t>20.0%</w:t>
            </w:r>
          </w:p>
        </w:tc>
        <w:tc>
          <w:tcPr>
            <w:tcW w:w="2200" w:type="dxa"/>
            <w:vAlign w:val="bottom"/>
            <w:tcBorders>
              <w:bottom w:val="single" w:sz="8" w:color="225CAB"/>
            </w:tcBorders>
          </w:tcPr>
          <w:p>
            <w:pPr>
              <w:jc w:val="center"/>
              <w:ind w:left="419"/>
              <w:spacing w:after="0" w:line="196" w:lineRule="exact"/>
              <w:rPr>
                <w:sz w:val="20"/>
                <w:szCs w:val="20"/>
                <w:color w:val="auto"/>
              </w:rPr>
            </w:pPr>
            <w:r>
              <w:rPr>
                <w:rFonts w:ascii="Arial" w:cs="Arial" w:eastAsia="Arial" w:hAnsi="Arial"/>
                <w:sz w:val="18"/>
                <w:szCs w:val="18"/>
                <w:color w:val="auto"/>
                <w:w w:val="97"/>
              </w:rPr>
              <w:t>15.1%</w:t>
            </w:r>
          </w:p>
        </w:tc>
        <w:tc>
          <w:tcPr>
            <w:tcW w:w="1440" w:type="dxa"/>
            <w:vAlign w:val="bottom"/>
            <w:tcBorders>
              <w:bottom w:val="single" w:sz="8" w:color="225CAB"/>
            </w:tcBorders>
          </w:tcPr>
          <w:p>
            <w:pPr>
              <w:jc w:val="center"/>
              <w:ind w:left="259"/>
              <w:spacing w:after="0" w:line="196" w:lineRule="exact"/>
              <w:rPr>
                <w:sz w:val="20"/>
                <w:szCs w:val="20"/>
                <w:color w:val="auto"/>
              </w:rPr>
            </w:pPr>
            <w:r>
              <w:rPr>
                <w:rFonts w:ascii="Arial" w:cs="Arial" w:eastAsia="Arial" w:hAnsi="Arial"/>
                <w:sz w:val="18"/>
                <w:szCs w:val="18"/>
                <w:b w:val="1"/>
                <w:bCs w:val="1"/>
                <w:color w:val="auto"/>
                <w:w w:val="97"/>
              </w:rPr>
              <w:t>72.9%</w:t>
            </w:r>
          </w:p>
        </w:tc>
        <w:tc>
          <w:tcPr>
            <w:tcW w:w="1960" w:type="dxa"/>
            <w:vAlign w:val="bottom"/>
            <w:tcBorders>
              <w:bottom w:val="single" w:sz="8" w:color="225CAB"/>
            </w:tcBorders>
          </w:tcPr>
          <w:p>
            <w:pPr>
              <w:jc w:val="center"/>
              <w:ind w:left="619"/>
              <w:spacing w:after="0" w:line="196" w:lineRule="exact"/>
              <w:rPr>
                <w:sz w:val="20"/>
                <w:szCs w:val="20"/>
                <w:color w:val="auto"/>
              </w:rPr>
            </w:pPr>
            <w:r>
              <w:rPr>
                <w:rFonts w:ascii="Arial" w:cs="Arial" w:eastAsia="Arial" w:hAnsi="Arial"/>
                <w:sz w:val="18"/>
                <w:szCs w:val="18"/>
                <w:color w:val="auto"/>
                <w:w w:val="97"/>
              </w:rPr>
              <w:t>52.6%</w:t>
            </w:r>
          </w:p>
        </w:tc>
      </w:tr>
      <w:tr>
        <w:trPr>
          <w:trHeight w:val="196"/>
        </w:trPr>
        <w:tc>
          <w:tcPr>
            <w:tcW w:w="140" w:type="dxa"/>
            <w:vAlign w:val="bottom"/>
            <w:tcBorders>
              <w:bottom w:val="single" w:sz="8" w:color="225CAB"/>
            </w:tcBorders>
          </w:tcPr>
          <w:p>
            <w:pPr>
              <w:spacing w:after="0" w:line="196" w:lineRule="exact"/>
              <w:rPr>
                <w:sz w:val="20"/>
                <w:szCs w:val="20"/>
                <w:color w:val="auto"/>
              </w:rPr>
            </w:pPr>
            <w:r>
              <w:rPr>
                <w:rFonts w:ascii="Arial" w:cs="Arial" w:eastAsia="Arial" w:hAnsi="Arial"/>
                <w:sz w:val="18"/>
                <w:szCs w:val="18"/>
                <w:color w:val="auto"/>
              </w:rPr>
              <w:t>5</w:t>
            </w:r>
          </w:p>
        </w:tc>
        <w:tc>
          <w:tcPr>
            <w:tcW w:w="4540" w:type="dxa"/>
            <w:vAlign w:val="bottom"/>
            <w:tcBorders>
              <w:bottom w:val="single" w:sz="8" w:color="225CAB"/>
            </w:tcBorders>
          </w:tcPr>
          <w:p>
            <w:pPr>
              <w:ind w:left="20"/>
              <w:spacing w:after="0" w:line="196" w:lineRule="exact"/>
              <w:rPr>
                <w:sz w:val="20"/>
                <w:szCs w:val="20"/>
                <w:color w:val="auto"/>
              </w:rPr>
            </w:pPr>
            <w:r>
              <w:rPr>
                <w:rFonts w:ascii="Arial" w:cs="Arial" w:eastAsia="Arial" w:hAnsi="Arial"/>
                <w:sz w:val="18"/>
                <w:szCs w:val="18"/>
                <w:color w:val="auto"/>
              </w:rPr>
              <w:t>Years</w:t>
            </w:r>
          </w:p>
        </w:tc>
        <w:tc>
          <w:tcPr>
            <w:tcW w:w="1140" w:type="dxa"/>
            <w:vAlign w:val="bottom"/>
            <w:tcBorders>
              <w:bottom w:val="single" w:sz="8" w:color="225CAB"/>
            </w:tcBorders>
          </w:tcPr>
          <w:p>
            <w:pPr>
              <w:jc w:val="center"/>
              <w:ind w:left="559"/>
              <w:spacing w:after="0" w:line="196" w:lineRule="exact"/>
              <w:rPr>
                <w:sz w:val="20"/>
                <w:szCs w:val="20"/>
                <w:color w:val="auto"/>
              </w:rPr>
            </w:pPr>
            <w:r>
              <w:rPr>
                <w:rFonts w:ascii="Arial" w:cs="Arial" w:eastAsia="Arial" w:hAnsi="Arial"/>
                <w:sz w:val="18"/>
                <w:szCs w:val="18"/>
                <w:b w:val="1"/>
                <w:bCs w:val="1"/>
                <w:color w:val="auto"/>
                <w:w w:val="97"/>
              </w:rPr>
              <w:t>20.6%</w:t>
            </w:r>
          </w:p>
        </w:tc>
        <w:tc>
          <w:tcPr>
            <w:tcW w:w="2200" w:type="dxa"/>
            <w:vAlign w:val="bottom"/>
            <w:tcBorders>
              <w:bottom w:val="single" w:sz="8" w:color="225CAB"/>
            </w:tcBorders>
          </w:tcPr>
          <w:p>
            <w:pPr>
              <w:jc w:val="center"/>
              <w:ind w:left="419"/>
              <w:spacing w:after="0" w:line="196" w:lineRule="exact"/>
              <w:rPr>
                <w:sz w:val="20"/>
                <w:szCs w:val="20"/>
                <w:color w:val="auto"/>
              </w:rPr>
            </w:pPr>
            <w:r>
              <w:rPr>
                <w:rFonts w:ascii="Arial" w:cs="Arial" w:eastAsia="Arial" w:hAnsi="Arial"/>
                <w:sz w:val="18"/>
                <w:szCs w:val="18"/>
                <w:color w:val="auto"/>
                <w:w w:val="97"/>
              </w:rPr>
              <w:t>12.6%</w:t>
            </w:r>
          </w:p>
        </w:tc>
        <w:tc>
          <w:tcPr>
            <w:tcW w:w="1440" w:type="dxa"/>
            <w:vAlign w:val="bottom"/>
            <w:tcBorders>
              <w:bottom w:val="single" w:sz="8" w:color="225CAB"/>
            </w:tcBorders>
          </w:tcPr>
          <w:p>
            <w:pPr>
              <w:jc w:val="center"/>
              <w:ind w:left="279"/>
              <w:spacing w:after="0" w:line="196" w:lineRule="exact"/>
              <w:rPr>
                <w:sz w:val="20"/>
                <w:szCs w:val="20"/>
                <w:color w:val="auto"/>
              </w:rPr>
            </w:pPr>
            <w:r>
              <w:rPr>
                <w:rFonts w:ascii="Arial" w:cs="Arial" w:eastAsia="Arial" w:hAnsi="Arial"/>
                <w:sz w:val="18"/>
                <w:szCs w:val="18"/>
                <w:b w:val="1"/>
                <w:bCs w:val="1"/>
                <w:color w:val="auto"/>
                <w:w w:val="98"/>
              </w:rPr>
              <w:t>155.5%</w:t>
            </w:r>
          </w:p>
        </w:tc>
        <w:tc>
          <w:tcPr>
            <w:tcW w:w="1960" w:type="dxa"/>
            <w:vAlign w:val="bottom"/>
            <w:tcBorders>
              <w:bottom w:val="single" w:sz="8" w:color="225CAB"/>
            </w:tcBorders>
          </w:tcPr>
          <w:p>
            <w:pPr>
              <w:jc w:val="center"/>
              <w:ind w:left="619"/>
              <w:spacing w:after="0" w:line="196" w:lineRule="exact"/>
              <w:rPr>
                <w:sz w:val="20"/>
                <w:szCs w:val="20"/>
                <w:color w:val="auto"/>
              </w:rPr>
            </w:pPr>
            <w:r>
              <w:rPr>
                <w:rFonts w:ascii="Arial" w:cs="Arial" w:eastAsia="Arial" w:hAnsi="Arial"/>
                <w:sz w:val="18"/>
                <w:szCs w:val="18"/>
                <w:color w:val="auto"/>
                <w:w w:val="97"/>
              </w:rPr>
              <w:t>80.8%</w:t>
            </w:r>
          </w:p>
        </w:tc>
      </w:tr>
      <w:tr>
        <w:trPr>
          <w:trHeight w:val="196"/>
        </w:trPr>
        <w:tc>
          <w:tcPr>
            <w:tcW w:w="4680" w:type="dxa"/>
            <w:vAlign w:val="bottom"/>
            <w:tcBorders>
              <w:bottom w:val="single" w:sz="8" w:color="225CAB"/>
            </w:tcBorders>
            <w:gridSpan w:val="2"/>
          </w:tcPr>
          <w:p>
            <w:pPr>
              <w:spacing w:after="0" w:line="196" w:lineRule="exact"/>
              <w:rPr>
                <w:sz w:val="20"/>
                <w:szCs w:val="20"/>
                <w:color w:val="auto"/>
              </w:rPr>
            </w:pPr>
            <w:r>
              <w:rPr>
                <w:rFonts w:ascii="Arial" w:cs="Arial" w:eastAsia="Arial" w:hAnsi="Arial"/>
                <w:sz w:val="18"/>
                <w:szCs w:val="18"/>
                <w:color w:val="auto"/>
              </w:rPr>
              <w:t>10 Years</w:t>
            </w:r>
          </w:p>
        </w:tc>
        <w:tc>
          <w:tcPr>
            <w:tcW w:w="1140" w:type="dxa"/>
            <w:vAlign w:val="bottom"/>
            <w:tcBorders>
              <w:bottom w:val="single" w:sz="8" w:color="225CAB"/>
            </w:tcBorders>
          </w:tcPr>
          <w:p>
            <w:pPr>
              <w:jc w:val="center"/>
              <w:ind w:left="559"/>
              <w:spacing w:after="0" w:line="196" w:lineRule="exact"/>
              <w:rPr>
                <w:sz w:val="20"/>
                <w:szCs w:val="20"/>
                <w:color w:val="auto"/>
              </w:rPr>
            </w:pPr>
            <w:r>
              <w:rPr>
                <w:rFonts w:ascii="Arial" w:cs="Arial" w:eastAsia="Arial" w:hAnsi="Arial"/>
                <w:sz w:val="18"/>
                <w:szCs w:val="18"/>
                <w:b w:val="1"/>
                <w:bCs w:val="1"/>
                <w:color w:val="auto"/>
                <w:w w:val="97"/>
              </w:rPr>
              <w:t>17.7%</w:t>
            </w:r>
          </w:p>
        </w:tc>
        <w:tc>
          <w:tcPr>
            <w:tcW w:w="2200" w:type="dxa"/>
            <w:vAlign w:val="bottom"/>
            <w:tcBorders>
              <w:bottom w:val="single" w:sz="8" w:color="225CAB"/>
            </w:tcBorders>
          </w:tcPr>
          <w:p>
            <w:pPr>
              <w:jc w:val="center"/>
              <w:ind w:left="439"/>
              <w:spacing w:after="0" w:line="196" w:lineRule="exact"/>
              <w:rPr>
                <w:sz w:val="20"/>
                <w:szCs w:val="20"/>
                <w:color w:val="auto"/>
              </w:rPr>
            </w:pPr>
            <w:r>
              <w:rPr>
                <w:rFonts w:ascii="Arial" w:cs="Arial" w:eastAsia="Arial" w:hAnsi="Arial"/>
                <w:sz w:val="18"/>
                <w:szCs w:val="18"/>
                <w:color w:val="auto"/>
                <w:w w:val="97"/>
              </w:rPr>
              <w:t>7.3%</w:t>
            </w:r>
          </w:p>
        </w:tc>
        <w:tc>
          <w:tcPr>
            <w:tcW w:w="1440" w:type="dxa"/>
            <w:vAlign w:val="bottom"/>
            <w:tcBorders>
              <w:bottom w:val="single" w:sz="8" w:color="225CAB"/>
            </w:tcBorders>
          </w:tcPr>
          <w:p>
            <w:pPr>
              <w:jc w:val="center"/>
              <w:ind w:left="279"/>
              <w:spacing w:after="0" w:line="196" w:lineRule="exact"/>
              <w:rPr>
                <w:sz w:val="20"/>
                <w:szCs w:val="20"/>
                <w:color w:val="auto"/>
              </w:rPr>
            </w:pPr>
            <w:r>
              <w:rPr>
                <w:rFonts w:ascii="Arial" w:cs="Arial" w:eastAsia="Arial" w:hAnsi="Arial"/>
                <w:sz w:val="18"/>
                <w:szCs w:val="18"/>
                <w:b w:val="1"/>
                <w:bCs w:val="1"/>
                <w:color w:val="auto"/>
                <w:w w:val="98"/>
              </w:rPr>
              <w:t>408.8%</w:t>
            </w:r>
          </w:p>
        </w:tc>
        <w:tc>
          <w:tcPr>
            <w:tcW w:w="1960" w:type="dxa"/>
            <w:vAlign w:val="bottom"/>
            <w:tcBorders>
              <w:bottom w:val="single" w:sz="8" w:color="225CAB"/>
            </w:tcBorders>
          </w:tcPr>
          <w:p>
            <w:pPr>
              <w:jc w:val="center"/>
              <w:ind w:left="639"/>
              <w:spacing w:after="0" w:line="196" w:lineRule="exact"/>
              <w:rPr>
                <w:sz w:val="20"/>
                <w:szCs w:val="20"/>
                <w:color w:val="auto"/>
              </w:rPr>
            </w:pPr>
            <w:r>
              <w:rPr>
                <w:rFonts w:ascii="Arial" w:cs="Arial" w:eastAsia="Arial" w:hAnsi="Arial"/>
                <w:sz w:val="18"/>
                <w:szCs w:val="18"/>
                <w:color w:val="auto"/>
                <w:w w:val="98"/>
              </w:rPr>
              <w:t>102.4%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6033770</wp:posOffset>
            </wp:positionH>
            <wp:positionV relativeFrom="paragraph">
              <wp:posOffset>-642620</wp:posOffset>
            </wp:positionV>
            <wp:extent cx="8890" cy="946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890" cy="94615"/>
                    </a:xfrm>
                    <a:prstGeom prst="rect">
                      <a:avLst/>
                    </a:prstGeom>
                    <a:noFill/>
                  </pic:spPr>
                </pic:pic>
              </a:graphicData>
            </a:graphic>
          </wp:anchor>
        </w:drawing>
        <w:drawing>
          <wp:anchor simplePos="0" relativeHeight="251657728" behindDoc="1" locked="0" layoutInCell="0" allowOverlap="1">
            <wp:simplePos x="0" y="0"/>
            <wp:positionH relativeFrom="column">
              <wp:posOffset>4859020</wp:posOffset>
            </wp:positionH>
            <wp:positionV relativeFrom="paragraph">
              <wp:posOffset>-642620</wp:posOffset>
            </wp:positionV>
            <wp:extent cx="8890" cy="946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890" cy="94615"/>
                    </a:xfrm>
                    <a:prstGeom prst="rect">
                      <a:avLst/>
                    </a:prstGeom>
                    <a:noFill/>
                  </pic:spPr>
                </pic:pic>
              </a:graphicData>
            </a:graphic>
          </wp:anchor>
        </w:drawing>
        <w:drawing>
          <wp:anchor simplePos="0" relativeHeight="251657728" behindDoc="1" locked="0" layoutInCell="0" allowOverlap="1">
            <wp:simplePos x="0" y="0"/>
            <wp:positionH relativeFrom="column">
              <wp:posOffset>3821430</wp:posOffset>
            </wp:positionH>
            <wp:positionV relativeFrom="paragraph">
              <wp:posOffset>-642620</wp:posOffset>
            </wp:positionV>
            <wp:extent cx="8890" cy="946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890" cy="94615"/>
                    </a:xfrm>
                    <a:prstGeom prst="rect">
                      <a:avLst/>
                    </a:prstGeom>
                    <a:noFill/>
                  </pic:spPr>
                </pic:pic>
              </a:graphicData>
            </a:graphic>
          </wp:anchor>
        </w:drawing>
        <w:drawing>
          <wp:anchor simplePos="0" relativeHeight="251657728" behindDoc="1" locked="0" layoutInCell="0" allowOverlap="1">
            <wp:simplePos x="0" y="0"/>
            <wp:positionH relativeFrom="column">
              <wp:posOffset>2972435</wp:posOffset>
            </wp:positionH>
            <wp:positionV relativeFrom="paragraph">
              <wp:posOffset>-642620</wp:posOffset>
            </wp:positionV>
            <wp:extent cx="8890" cy="946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890" cy="9461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225CAB"/>
        </w:rPr>
        <w:t>Record 2015 Performance Despite Macro Challenges</w:t>
      </w:r>
      <w:r>
        <w:rPr>
          <w:rFonts w:ascii="Arial" w:cs="Arial" w:eastAsia="Arial" w:hAnsi="Arial"/>
          <w:sz w:val="11"/>
          <w:szCs w:val="11"/>
          <w:b w:val="1"/>
          <w:bCs w:val="1"/>
          <w:color w:val="225CAB"/>
        </w:rPr>
        <w:t>(1)</w:t>
      </w:r>
    </w:p>
    <w:p>
      <w:pPr>
        <w:spacing w:after="0" w:line="99" w:lineRule="exact"/>
        <w:rPr>
          <w:sz w:val="20"/>
          <w:szCs w:val="20"/>
          <w:color w:val="auto"/>
        </w:rPr>
      </w:pPr>
    </w:p>
    <w:p>
      <w:pPr>
        <w:ind w:right="220"/>
        <w:spacing w:after="0" w:line="275" w:lineRule="auto"/>
        <w:rPr>
          <w:sz w:val="20"/>
          <w:szCs w:val="20"/>
          <w:color w:val="auto"/>
        </w:rPr>
      </w:pPr>
      <w:r>
        <w:rPr>
          <w:rFonts w:ascii="Arial" w:cs="Arial" w:eastAsia="Arial" w:hAnsi="Arial"/>
          <w:sz w:val="16"/>
          <w:szCs w:val="16"/>
          <w:color w:val="auto"/>
        </w:rPr>
        <w:t>Record financial results were achieved in 2015 despite strong headwinds in foreign exchange and weakness in oil &amp; gas end markets. Although these two challenges reduced revenue by nearly $200 million in 2015, we were still able to grow revenue, expand margins, and produce an 11% increase in free cash flow. We deployed $1.8 billion in acquisitions with a continued focus on software, SaaS and niche product applications consistent with our strategy of disciplined capital deployment to enhance our ability to generate and compound future free cash flow.</w:t>
      </w:r>
    </w:p>
    <w:p>
      <w:pPr>
        <w:sectPr>
          <w:pgSz w:w="11900" w:h="16838" w:orient="portrait"/>
          <w:cols w:equalWidth="0" w:num="1">
            <w:col w:w="11420"/>
          </w:cols>
          <w:pgMar w:left="240" w:top="459" w:right="239" w:bottom="1440" w:gutter="0" w:footer="0" w:header="0"/>
        </w:sectPr>
      </w:pPr>
    </w:p>
    <w:p>
      <w:pPr>
        <w:spacing w:after="0" w:line="102" w:lineRule="exact"/>
        <w:rPr>
          <w:sz w:val="20"/>
          <w:szCs w:val="20"/>
          <w:color w:val="auto"/>
        </w:rPr>
      </w:pPr>
    </w:p>
    <w:p>
      <w:pPr>
        <w:ind w:left="200" w:hanging="192"/>
        <w:spacing w:after="0"/>
        <w:tabs>
          <w:tab w:leader="none" w:pos="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Operating income grew 4%, to above $1.0 billion</w:t>
      </w:r>
    </w:p>
    <w:p>
      <w:pPr>
        <w:spacing w:after="0" w:line="76" w:lineRule="exact"/>
        <w:rPr>
          <w:rFonts w:ascii="Arial" w:cs="Arial" w:eastAsia="Arial" w:hAnsi="Arial"/>
          <w:sz w:val="18"/>
          <w:szCs w:val="18"/>
          <w:color w:val="auto"/>
        </w:rPr>
      </w:pPr>
    </w:p>
    <w:p>
      <w:pPr>
        <w:ind w:left="200" w:hanging="192"/>
        <w:spacing w:after="0"/>
        <w:tabs>
          <w:tab w:leader="none" w:pos="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Operating margin increased 80 basis points to 29.0%</w:t>
      </w:r>
    </w:p>
    <w:p>
      <w:pPr>
        <w:spacing w:after="0" w:line="76" w:lineRule="exact"/>
        <w:rPr>
          <w:rFonts w:ascii="Arial" w:cs="Arial" w:eastAsia="Arial" w:hAnsi="Arial"/>
          <w:sz w:val="18"/>
          <w:szCs w:val="18"/>
          <w:color w:val="auto"/>
        </w:rPr>
      </w:pPr>
    </w:p>
    <w:p>
      <w:pPr>
        <w:ind w:left="200" w:hanging="192"/>
        <w:spacing w:after="0"/>
        <w:tabs>
          <w:tab w:leader="none" w:pos="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EBITDA margin continued to expand, reaching 34.6%</w:t>
      </w:r>
    </w:p>
    <w:p>
      <w:pPr>
        <w:spacing w:after="0" w:line="76" w:lineRule="exact"/>
        <w:rPr>
          <w:rFonts w:ascii="Arial" w:cs="Arial" w:eastAsia="Arial" w:hAnsi="Arial"/>
          <w:sz w:val="18"/>
          <w:szCs w:val="18"/>
          <w:color w:val="auto"/>
        </w:rPr>
      </w:pPr>
    </w:p>
    <w:p>
      <w:pPr>
        <w:ind w:left="200" w:right="169" w:hanging="192"/>
        <w:spacing w:after="0" w:line="239" w:lineRule="auto"/>
        <w:tabs>
          <w:tab w:leader="none" w:pos="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Free cash flow increased 11% to $893 million, representing a record 25% of revenue</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ind w:left="191" w:right="920" w:hanging="191"/>
        <w:spacing w:after="0" w:line="239" w:lineRule="auto"/>
        <w:tabs>
          <w:tab w:leader="none" w:pos="191"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Annual dividend increased by 20%, increasing for the 23</w:t>
      </w:r>
      <w:r>
        <w:rPr>
          <w:rFonts w:ascii="Arial" w:cs="Arial" w:eastAsia="Arial" w:hAnsi="Arial"/>
          <w:sz w:val="11"/>
          <w:szCs w:val="11"/>
          <w:color w:val="auto"/>
        </w:rPr>
        <w:t>rd</w:t>
      </w:r>
      <w:r>
        <w:rPr>
          <w:rFonts w:ascii="Arial" w:cs="Arial" w:eastAsia="Arial" w:hAnsi="Arial"/>
          <w:sz w:val="18"/>
          <w:szCs w:val="18"/>
          <w:color w:val="auto"/>
        </w:rPr>
        <w:t xml:space="preserve"> consecutive year</w:t>
      </w:r>
    </w:p>
    <w:p>
      <w:pPr>
        <w:spacing w:after="0" w:line="73" w:lineRule="exact"/>
        <w:rPr>
          <w:rFonts w:ascii="Arial" w:cs="Arial" w:eastAsia="Arial" w:hAnsi="Arial"/>
          <w:sz w:val="18"/>
          <w:szCs w:val="18"/>
          <w:color w:val="auto"/>
        </w:rPr>
      </w:pPr>
    </w:p>
    <w:p>
      <w:pPr>
        <w:ind w:left="191" w:right="300" w:hanging="191"/>
        <w:spacing w:after="0" w:line="239" w:lineRule="auto"/>
        <w:tabs>
          <w:tab w:leader="none" w:pos="191" w:val="left"/>
        </w:tabs>
        <w:numPr>
          <w:ilvl w:val="0"/>
          <w:numId w:val="24"/>
        </w:numPr>
        <w:rPr>
          <w:rFonts w:ascii="Arial" w:cs="Arial" w:eastAsia="Arial" w:hAnsi="Arial"/>
          <w:sz w:val="18"/>
          <w:szCs w:val="18"/>
          <w:color w:val="auto"/>
        </w:rPr>
      </w:pPr>
      <w:r>
        <w:rPr>
          <w:rFonts w:ascii="Arial" w:cs="Arial" w:eastAsia="Arial" w:hAnsi="Arial"/>
          <w:sz w:val="18"/>
          <w:szCs w:val="18"/>
          <w:color w:val="auto"/>
        </w:rPr>
        <w:t>Generated double-digit shareholder returns for the 12</w:t>
      </w:r>
      <w:r>
        <w:rPr>
          <w:rFonts w:ascii="Arial" w:cs="Arial" w:eastAsia="Arial" w:hAnsi="Arial"/>
          <w:sz w:val="11"/>
          <w:szCs w:val="11"/>
          <w:color w:val="auto"/>
        </w:rPr>
        <w:t>th</w:t>
      </w:r>
      <w:r>
        <w:rPr>
          <w:rFonts w:ascii="Arial" w:cs="Arial" w:eastAsia="Arial" w:hAnsi="Arial"/>
          <w:sz w:val="18"/>
          <w:szCs w:val="18"/>
          <w:color w:val="auto"/>
        </w:rPr>
        <w:t xml:space="preserve"> time in the last 13 years</w:t>
      </w:r>
    </w:p>
    <w:p>
      <w:pPr>
        <w:spacing w:after="0" w:line="73" w:lineRule="exact"/>
        <w:rPr>
          <w:rFonts w:ascii="Arial" w:cs="Arial" w:eastAsia="Arial" w:hAnsi="Arial"/>
          <w:sz w:val="18"/>
          <w:szCs w:val="18"/>
          <w:color w:val="auto"/>
        </w:rPr>
      </w:pPr>
    </w:p>
    <w:p>
      <w:pPr>
        <w:ind w:left="191" w:right="120" w:hanging="191"/>
        <w:spacing w:after="0" w:line="239" w:lineRule="auto"/>
        <w:tabs>
          <w:tab w:leader="none" w:pos="191" w:val="left"/>
        </w:tabs>
        <w:numPr>
          <w:ilvl w:val="0"/>
          <w:numId w:val="24"/>
        </w:numPr>
        <w:rPr>
          <w:rFonts w:ascii="Arial" w:cs="Arial" w:eastAsia="Arial" w:hAnsi="Arial"/>
          <w:sz w:val="18"/>
          <w:szCs w:val="18"/>
          <w:color w:val="auto"/>
        </w:rPr>
      </w:pPr>
      <w:r>
        <w:rPr>
          <w:rFonts w:ascii="Arial" w:cs="Arial" w:eastAsia="Arial" w:hAnsi="Arial"/>
          <w:sz w:val="18"/>
          <w:szCs w:val="18"/>
          <w:color w:val="auto"/>
        </w:rPr>
        <w:t>Greater than 20% annual compound return to shareholders over the past five years</w:t>
      </w:r>
    </w:p>
    <w:p>
      <w:pPr>
        <w:spacing w:after="0" w:line="73" w:lineRule="exact"/>
        <w:rPr>
          <w:rFonts w:ascii="Arial" w:cs="Arial" w:eastAsia="Arial" w:hAnsi="Arial"/>
          <w:sz w:val="18"/>
          <w:szCs w:val="18"/>
          <w:color w:val="auto"/>
        </w:rPr>
      </w:pPr>
    </w:p>
    <w:p>
      <w:pPr>
        <w:ind w:left="191" w:hanging="191"/>
        <w:spacing w:after="0"/>
        <w:tabs>
          <w:tab w:leader="none" w:pos="191"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Deployed an all-time high $1.8 billion of capital in acquisitions</w:t>
      </w:r>
    </w:p>
    <w:p>
      <w:pPr>
        <w:spacing w:after="0" w:line="200" w:lineRule="exact"/>
        <w:rPr>
          <w:sz w:val="20"/>
          <w:szCs w:val="20"/>
          <w:color w:val="auto"/>
        </w:rPr>
      </w:pPr>
    </w:p>
    <w:p>
      <w:pPr>
        <w:sectPr>
          <w:pgSz w:w="11900" w:h="16838" w:orient="portrait"/>
          <w:cols w:equalWidth="0" w:num="2">
            <w:col w:w="5109" w:space="720"/>
            <w:col w:w="5591"/>
          </w:cols>
          <w:pgMar w:left="240" w:top="459" w:right="239" w:bottom="1440" w:gutter="0" w:footer="0" w:header="0"/>
          <w:type w:val="continuous"/>
        </w:sectPr>
      </w:pPr>
    </w:p>
    <w:p>
      <w:pPr>
        <w:spacing w:after="0" w:line="127" w:lineRule="exact"/>
        <w:rPr>
          <w:sz w:val="20"/>
          <w:szCs w:val="20"/>
          <w:color w:val="auto"/>
        </w:rPr>
      </w:pPr>
    </w:p>
    <w:p>
      <w:pPr>
        <w:ind w:right="1620"/>
        <w:spacing w:after="0" w:line="325" w:lineRule="auto"/>
        <w:rPr>
          <w:sz w:val="20"/>
          <w:szCs w:val="20"/>
          <w:color w:val="auto"/>
        </w:rPr>
      </w:pPr>
      <w:r>
        <w:rPr>
          <w:rFonts w:ascii="Arial" w:cs="Arial" w:eastAsia="Arial" w:hAnsi="Arial"/>
          <w:sz w:val="16"/>
          <w:szCs w:val="16"/>
          <w:b w:val="1"/>
          <w:bCs w:val="1"/>
          <w:i w:val="1"/>
          <w:iCs w:val="1"/>
          <w:color w:val="225CAB"/>
        </w:rPr>
        <w:t xml:space="preserve">Diluted Earnings Per Share (DEPS) </w:t>
      </w:r>
      <w:r>
        <w:rPr>
          <w:rFonts w:ascii="Arial" w:cs="Arial" w:eastAsia="Arial" w:hAnsi="Arial"/>
          <w:sz w:val="16"/>
          <w:szCs w:val="16"/>
          <w:color w:val="000000"/>
        </w:rPr>
        <w:t>increased</w:t>
      </w:r>
      <w:r>
        <w:rPr>
          <w:rFonts w:ascii="Arial" w:cs="Arial" w:eastAsia="Arial" w:hAnsi="Arial"/>
          <w:sz w:val="16"/>
          <w:szCs w:val="16"/>
          <w:b w:val="1"/>
          <w:bCs w:val="1"/>
          <w:i w:val="1"/>
          <w:iCs w:val="1"/>
          <w:color w:val="225CAB"/>
        </w:rPr>
        <w:t xml:space="preserve"> </w:t>
      </w:r>
      <w:r>
        <w:rPr>
          <w:rFonts w:ascii="Arial" w:cs="Arial" w:eastAsia="Arial" w:hAnsi="Arial"/>
          <w:sz w:val="16"/>
          <w:szCs w:val="16"/>
          <w:color w:val="000000"/>
        </w:rPr>
        <w:t>4% from $6.42 in 2014 to $6.68 in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1068705</wp:posOffset>
            </wp:positionH>
            <wp:positionV relativeFrom="paragraph">
              <wp:posOffset>54610</wp:posOffset>
            </wp:positionV>
            <wp:extent cx="1569085" cy="11404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569085" cy="11404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ind w:right="1460"/>
        <w:spacing w:after="0" w:line="262" w:lineRule="auto"/>
        <w:rPr>
          <w:sz w:val="20"/>
          <w:szCs w:val="20"/>
          <w:color w:val="auto"/>
        </w:rPr>
      </w:pPr>
      <w:r>
        <w:rPr>
          <w:rFonts w:ascii="Arial" w:cs="Arial" w:eastAsia="Arial" w:hAnsi="Arial"/>
          <w:sz w:val="18"/>
          <w:szCs w:val="18"/>
          <w:b w:val="1"/>
          <w:bCs w:val="1"/>
          <w:i w:val="1"/>
          <w:iCs w:val="1"/>
          <w:color w:val="225CAB"/>
        </w:rPr>
        <w:t xml:space="preserve">Free Cash Flow </w:t>
      </w:r>
      <w:r>
        <w:rPr>
          <w:rFonts w:ascii="Arial" w:cs="Arial" w:eastAsia="Arial" w:hAnsi="Arial"/>
          <w:sz w:val="18"/>
          <w:szCs w:val="18"/>
          <w:color w:val="000000"/>
        </w:rPr>
        <w:t>increased 11% from $803 million</w:t>
      </w:r>
      <w:r>
        <w:rPr>
          <w:rFonts w:ascii="Arial" w:cs="Arial" w:eastAsia="Arial" w:hAnsi="Arial"/>
          <w:sz w:val="18"/>
          <w:szCs w:val="18"/>
          <w:b w:val="1"/>
          <w:bCs w:val="1"/>
          <w:i w:val="1"/>
          <w:iCs w:val="1"/>
          <w:color w:val="225CAB"/>
        </w:rPr>
        <w:t xml:space="preserve"> </w:t>
      </w:r>
      <w:r>
        <w:rPr>
          <w:rFonts w:ascii="Arial" w:cs="Arial" w:eastAsia="Arial" w:hAnsi="Arial"/>
          <w:sz w:val="18"/>
          <w:szCs w:val="18"/>
          <w:color w:val="000000"/>
        </w:rPr>
        <w:t>in 2014 to $893 million in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916305</wp:posOffset>
            </wp:positionH>
            <wp:positionV relativeFrom="paragraph">
              <wp:posOffset>92710</wp:posOffset>
            </wp:positionV>
            <wp:extent cx="1569085" cy="11322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569085" cy="1132205"/>
                    </a:xfrm>
                    <a:prstGeom prst="rect">
                      <a:avLst/>
                    </a:prstGeom>
                    <a:noFill/>
                  </pic:spPr>
                </pic:pic>
              </a:graphicData>
            </a:graphic>
          </wp:anchor>
        </w:drawing>
      </w:r>
    </w:p>
    <w:p>
      <w:pPr>
        <w:spacing w:after="0" w:line="246" w:lineRule="exact"/>
        <w:rPr>
          <w:sz w:val="20"/>
          <w:szCs w:val="20"/>
          <w:color w:val="auto"/>
        </w:rPr>
      </w:pPr>
    </w:p>
    <w:p>
      <w:pPr>
        <w:sectPr>
          <w:pgSz w:w="11900" w:h="16838" w:orient="portrait"/>
          <w:cols w:equalWidth="0" w:num="2">
            <w:col w:w="5340" w:space="720"/>
            <w:col w:w="5360"/>
          </w:cols>
          <w:pgMar w:left="240" w:top="459"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21"/>
          <w:szCs w:val="21"/>
          <w:color w:val="auto"/>
          <w:vertAlign w:val="superscript"/>
        </w:rPr>
      </w:pPr>
      <w:r>
        <w:rPr>
          <w:rFonts w:ascii="Arial" w:cs="Arial" w:eastAsia="Arial" w:hAnsi="Arial"/>
          <w:sz w:val="13"/>
          <w:szCs w:val="13"/>
          <w:color w:val="auto"/>
        </w:rPr>
        <w:t>Financial items above are adjusted except for Free Cash Flow. Please see Appendix A for reconciliation from GAAP to adjusted results.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336"/>
        </w:trPr>
        <w:tc>
          <w:tcPr>
            <w:tcW w:w="340" w:type="dxa"/>
            <w:vAlign w:val="bottom"/>
            <w:tcBorders>
              <w:right w:val="single" w:sz="8" w:color="225CAB"/>
            </w:tcBorders>
          </w:tcPr>
          <w:p>
            <w:pPr>
              <w:jc w:val="right"/>
              <w:ind w:right="52"/>
              <w:spacing w:after="0"/>
              <w:rPr>
                <w:sz w:val="20"/>
                <w:szCs w:val="20"/>
                <w:color w:val="auto"/>
              </w:rPr>
            </w:pPr>
            <w:r>
              <w:rPr>
                <w:rFonts w:ascii="Arial" w:cs="Arial" w:eastAsia="Arial" w:hAnsi="Arial"/>
                <w:sz w:val="18"/>
                <w:szCs w:val="18"/>
                <w:b w:val="1"/>
                <w:bCs w:val="1"/>
                <w:color w:val="225CAB"/>
                <w:w w:val="89"/>
              </w:rPr>
              <w:t>18</w:t>
            </w:r>
          </w:p>
        </w:tc>
        <w:tc>
          <w:tcPr>
            <w:tcW w:w="5180" w:type="dxa"/>
            <w:vAlign w:val="bottom"/>
          </w:tcPr>
          <w:p>
            <w:pPr>
              <w:ind w:left="1240"/>
              <w:spacing w:after="0"/>
              <w:rPr>
                <w:sz w:val="20"/>
                <w:szCs w:val="20"/>
                <w:color w:val="auto"/>
              </w:rPr>
            </w:pPr>
            <w:r>
              <w:rPr>
                <w:rFonts w:ascii="Arial" w:cs="Arial" w:eastAsia="Arial" w:hAnsi="Arial"/>
                <w:sz w:val="18"/>
                <w:szCs w:val="18"/>
                <w:b w:val="1"/>
                <w:bCs w:val="1"/>
                <w:color w:val="225CAB"/>
                <w:w w:val="96"/>
              </w:rPr>
              <w:t>Roper Technologies, Inc. 2016 Proxy Statement</w:t>
            </w:r>
          </w:p>
        </w:tc>
      </w:tr>
      <w:tr>
        <w:trPr>
          <w:trHeight w:val="110"/>
        </w:trPr>
        <w:tc>
          <w:tcPr>
            <w:tcW w:w="340" w:type="dxa"/>
            <w:vAlign w:val="bottom"/>
            <w:tcBorders>
              <w:right w:val="single" w:sz="8" w:color="225CAB"/>
            </w:tcBorders>
          </w:tcPr>
          <w:p>
            <w:pPr>
              <w:spacing w:after="0"/>
              <w:rPr>
                <w:sz w:val="9"/>
                <w:szCs w:val="9"/>
                <w:color w:val="auto"/>
              </w:rPr>
            </w:pPr>
          </w:p>
        </w:tc>
        <w:tc>
          <w:tcPr>
            <w:tcW w:w="518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-248285</wp:posOffset>
            </wp:positionV>
            <wp:extent cx="420370" cy="2057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225CAB"/>
        </w:rPr>
        <w:t xml:space="preserve">COMPENSATION DISCUSSION AND ANALYSIS </w:t>
      </w:r>
      <w:r>
        <w:rPr>
          <w:rFonts w:ascii="Arial" w:cs="Arial" w:eastAsia="Arial" w:hAnsi="Arial"/>
          <w:sz w:val="18"/>
          <w:szCs w:val="18"/>
          <w:i w:val="1"/>
          <w:iCs w:val="1"/>
          <w:color w:val="225CA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278765</wp:posOffset>
            </wp:positionV>
            <wp:extent cx="7276465" cy="43180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76465" cy="431800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225CAB"/>
        </w:rPr>
        <w:t>Compensation Summary and Consideration of Say-on-Pay Vote</w:t>
      </w:r>
    </w:p>
    <w:p>
      <w:pPr>
        <w:spacing w:after="0" w:line="99" w:lineRule="exact"/>
        <w:rPr>
          <w:sz w:val="20"/>
          <w:szCs w:val="20"/>
          <w:color w:val="auto"/>
        </w:rPr>
      </w:pPr>
    </w:p>
    <w:p>
      <w:pPr>
        <w:ind w:left="140" w:right="180"/>
        <w:spacing w:after="0" w:line="237" w:lineRule="auto"/>
        <w:rPr>
          <w:sz w:val="20"/>
          <w:szCs w:val="20"/>
          <w:color w:val="auto"/>
        </w:rPr>
      </w:pPr>
      <w:r>
        <w:rPr>
          <w:rFonts w:ascii="Arial" w:cs="Arial" w:eastAsia="Arial" w:hAnsi="Arial"/>
          <w:sz w:val="18"/>
          <w:szCs w:val="18"/>
          <w:color w:val="auto"/>
        </w:rPr>
        <w:t>At the 2015 Annual Meeting of Shareholders, 97% of the votes cast were in favor of the advisory vote to approve executive compensation, high by peer and general industry standards and up from 2014. The Compensation Committee believes the vote reflects the strong support of shareholders for recent changes to our executive compensation program as well as for our long-standing pay-for-performance philosophy and approach of integrating executive compensation with our value creation model.</w:t>
      </w:r>
    </w:p>
    <w:p>
      <w:pPr>
        <w:spacing w:after="0" w:line="74" w:lineRule="exact"/>
        <w:rPr>
          <w:sz w:val="20"/>
          <w:szCs w:val="20"/>
          <w:color w:val="auto"/>
        </w:rPr>
      </w:pPr>
    </w:p>
    <w:p>
      <w:pPr>
        <w:ind w:left="140" w:right="540"/>
        <w:spacing w:after="0" w:line="239" w:lineRule="auto"/>
        <w:rPr>
          <w:sz w:val="20"/>
          <w:szCs w:val="20"/>
          <w:color w:val="auto"/>
        </w:rPr>
      </w:pPr>
      <w:r>
        <w:rPr>
          <w:rFonts w:ascii="Arial" w:cs="Arial" w:eastAsia="Arial" w:hAnsi="Arial"/>
          <w:sz w:val="18"/>
          <w:szCs w:val="18"/>
          <w:color w:val="auto"/>
        </w:rPr>
        <w:t>The creation of shareholder value is the foundation and driver of our executive compensation program. The compensation of our executive officers is closely aligned with the long-term interests of our investors.</w:t>
      </w:r>
    </w:p>
    <w:p>
      <w:pPr>
        <w:spacing w:after="0" w:line="74" w:lineRule="exact"/>
        <w:rPr>
          <w:sz w:val="20"/>
          <w:szCs w:val="20"/>
          <w:color w:val="auto"/>
        </w:rPr>
      </w:pPr>
    </w:p>
    <w:p>
      <w:pPr>
        <w:ind w:left="360" w:hanging="226"/>
        <w:spacing w:after="0"/>
        <w:tabs>
          <w:tab w:leader="none" w:pos="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Despite record financials and $3.5 billion in market value creation in 2015, compensation was flat to down from 2014.</w:t>
      </w:r>
    </w:p>
    <w:p>
      <w:pPr>
        <w:spacing w:after="0" w:line="76" w:lineRule="exact"/>
        <w:rPr>
          <w:rFonts w:ascii="Arial" w:cs="Arial" w:eastAsia="Arial" w:hAnsi="Arial"/>
          <w:sz w:val="18"/>
          <w:szCs w:val="18"/>
          <w:color w:val="auto"/>
        </w:rPr>
      </w:pPr>
    </w:p>
    <w:p>
      <w:pPr>
        <w:ind w:left="360" w:hanging="226"/>
        <w:spacing w:after="0"/>
        <w:tabs>
          <w:tab w:leader="none" w:pos="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Salaries have remained the same for three years (2014-16).</w:t>
      </w:r>
    </w:p>
    <w:p>
      <w:pPr>
        <w:spacing w:after="0" w:line="76" w:lineRule="exact"/>
        <w:rPr>
          <w:rFonts w:ascii="Arial" w:cs="Arial" w:eastAsia="Arial" w:hAnsi="Arial"/>
          <w:sz w:val="18"/>
          <w:szCs w:val="18"/>
          <w:color w:val="auto"/>
        </w:rPr>
      </w:pPr>
    </w:p>
    <w:p>
      <w:pPr>
        <w:ind w:left="360" w:hanging="226"/>
        <w:spacing w:after="0"/>
        <w:tabs>
          <w:tab w:leader="none" w:pos="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Annual cash bonuses paid out at 52% of target for 2015, down from approximately 100% of target for the prior five years.</w:t>
      </w:r>
    </w:p>
    <w:p>
      <w:pPr>
        <w:spacing w:after="0" w:line="76" w:lineRule="exact"/>
        <w:rPr>
          <w:rFonts w:ascii="Arial" w:cs="Arial" w:eastAsia="Arial" w:hAnsi="Arial"/>
          <w:sz w:val="18"/>
          <w:szCs w:val="18"/>
          <w:color w:val="auto"/>
        </w:rPr>
      </w:pPr>
    </w:p>
    <w:p>
      <w:pPr>
        <w:ind w:left="360" w:right="860" w:hanging="226"/>
        <w:spacing w:after="0" w:line="239" w:lineRule="auto"/>
        <w:tabs>
          <w:tab w:leader="none" w:pos="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equity awards are performance-based with vesting of 100% of restricted shares contingent upon meeting multi-year EBITDA and operating cash flow margin performance requirements.</w:t>
      </w:r>
    </w:p>
    <w:p>
      <w:pPr>
        <w:spacing w:after="0" w:line="73" w:lineRule="exact"/>
        <w:rPr>
          <w:rFonts w:ascii="Arial" w:cs="Arial" w:eastAsia="Arial" w:hAnsi="Arial"/>
          <w:sz w:val="18"/>
          <w:szCs w:val="18"/>
          <w:color w:val="auto"/>
        </w:rPr>
      </w:pPr>
    </w:p>
    <w:p>
      <w:pPr>
        <w:ind w:left="360" w:right="220" w:hanging="226"/>
        <w:spacing w:after="0" w:line="238" w:lineRule="auto"/>
        <w:tabs>
          <w:tab w:leader="none" w:pos="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95% of our Chief Executive Officer’s compensation is subject to performance risk and tied to long-term financial results and stock price, with all incentive compensation tied to achievement of pre-set performance objectives over three years, and none tied solely to a single annual measurement period.</w:t>
      </w:r>
    </w:p>
    <w:p>
      <w:pPr>
        <w:spacing w:after="0" w:line="73" w:lineRule="exact"/>
        <w:rPr>
          <w:sz w:val="20"/>
          <w:szCs w:val="20"/>
          <w:color w:val="auto"/>
        </w:rPr>
      </w:pPr>
    </w:p>
    <w:p>
      <w:pPr>
        <w:ind w:left="140" w:right="640"/>
        <w:spacing w:after="0" w:line="239" w:lineRule="auto"/>
        <w:rPr>
          <w:sz w:val="20"/>
          <w:szCs w:val="20"/>
          <w:color w:val="auto"/>
        </w:rPr>
      </w:pPr>
      <w:r>
        <w:rPr>
          <w:rFonts w:ascii="Arial" w:cs="Arial" w:eastAsia="Arial" w:hAnsi="Arial"/>
          <w:sz w:val="18"/>
          <w:szCs w:val="18"/>
          <w:color w:val="auto"/>
        </w:rPr>
        <w:t>Taking into consideration input from investors, the 2014 Say on Pay vote, external developments, and internal considerations, Roper took numerous actions related to its executive compensation program over the last two years:</w:t>
      </w:r>
    </w:p>
    <w:p>
      <w:pPr>
        <w:spacing w:after="0" w:line="74" w:lineRule="exact"/>
        <w:rPr>
          <w:sz w:val="20"/>
          <w:szCs w:val="20"/>
          <w:color w:val="auto"/>
        </w:rPr>
      </w:pPr>
    </w:p>
    <w:p>
      <w:pPr>
        <w:ind w:left="360" w:hanging="226"/>
        <w:spacing w:after="0"/>
        <w:tabs>
          <w:tab w:leader="none" w:pos="3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CEO annual cash bonus was replaced with a three-year long-term cash incentive award.</w:t>
      </w:r>
    </w:p>
    <w:p>
      <w:pPr>
        <w:spacing w:after="0" w:line="76" w:lineRule="exact"/>
        <w:rPr>
          <w:rFonts w:ascii="Arial" w:cs="Arial" w:eastAsia="Arial" w:hAnsi="Arial"/>
          <w:sz w:val="18"/>
          <w:szCs w:val="18"/>
          <w:color w:val="auto"/>
        </w:rPr>
      </w:pPr>
    </w:p>
    <w:p>
      <w:pPr>
        <w:ind w:left="360" w:hanging="226"/>
        <w:spacing w:after="0"/>
        <w:tabs>
          <w:tab w:leader="none" w:pos="3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Dividends on restricted shares will not be paid until the shares are earned, and will be forfeited if not earned.</w:t>
      </w:r>
    </w:p>
    <w:p>
      <w:pPr>
        <w:spacing w:after="0" w:line="76" w:lineRule="exact"/>
        <w:rPr>
          <w:rFonts w:ascii="Arial" w:cs="Arial" w:eastAsia="Arial" w:hAnsi="Arial"/>
          <w:sz w:val="18"/>
          <w:szCs w:val="18"/>
          <w:color w:val="auto"/>
        </w:rPr>
      </w:pPr>
    </w:p>
    <w:p>
      <w:pPr>
        <w:ind w:left="360" w:hanging="226"/>
        <w:spacing w:after="0"/>
        <w:tabs>
          <w:tab w:leader="none" w:pos="3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Vesting for equity awards was lengthened to 50% after years 2 and 3 (from one-third per year previously).</w:t>
      </w:r>
    </w:p>
    <w:p>
      <w:pPr>
        <w:spacing w:after="0" w:line="76" w:lineRule="exact"/>
        <w:rPr>
          <w:rFonts w:ascii="Arial" w:cs="Arial" w:eastAsia="Arial" w:hAnsi="Arial"/>
          <w:sz w:val="18"/>
          <w:szCs w:val="18"/>
          <w:color w:val="auto"/>
        </w:rPr>
      </w:pPr>
    </w:p>
    <w:p>
      <w:pPr>
        <w:ind w:left="360" w:right="380" w:hanging="226"/>
        <w:spacing w:after="0" w:line="239" w:lineRule="auto"/>
        <w:tabs>
          <w:tab w:leader="none" w:pos="3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Achievement of three-year cumulative performance goal required for full vesting of restricted shares (versus a one-year goal for each year previously).</w:t>
      </w:r>
    </w:p>
    <w:p>
      <w:pPr>
        <w:spacing w:after="0" w:line="73" w:lineRule="exact"/>
        <w:rPr>
          <w:rFonts w:ascii="Arial" w:cs="Arial" w:eastAsia="Arial" w:hAnsi="Arial"/>
          <w:sz w:val="18"/>
          <w:szCs w:val="18"/>
          <w:color w:val="auto"/>
        </w:rPr>
      </w:pPr>
    </w:p>
    <w:p>
      <w:pPr>
        <w:ind w:left="360" w:right="160" w:hanging="226"/>
        <w:spacing w:after="0" w:line="239" w:lineRule="auto"/>
        <w:tabs>
          <w:tab w:leader="none" w:pos="3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Performance standards for full vesting of restricted shares were increased in 2016 to EBITDA of $3.45 billion and operating cash flow of 21% of revenue.</w:t>
      </w:r>
    </w:p>
    <w:p>
      <w:pPr>
        <w:spacing w:after="0" w:line="73" w:lineRule="exact"/>
        <w:rPr>
          <w:rFonts w:ascii="Arial" w:cs="Arial" w:eastAsia="Arial" w:hAnsi="Arial"/>
          <w:sz w:val="18"/>
          <w:szCs w:val="18"/>
          <w:color w:val="auto"/>
        </w:rPr>
      </w:pPr>
    </w:p>
    <w:p>
      <w:pPr>
        <w:ind w:left="360" w:hanging="226"/>
        <w:spacing w:after="0"/>
        <w:tabs>
          <w:tab w:leader="none" w:pos="3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Eliminated the Medical Reimbursement Plan for executives effective for 2015.</w:t>
      </w:r>
    </w:p>
    <w:p>
      <w:pPr>
        <w:spacing w:after="0" w:line="76" w:lineRule="exact"/>
        <w:rPr>
          <w:rFonts w:ascii="Arial" w:cs="Arial" w:eastAsia="Arial" w:hAnsi="Arial"/>
          <w:sz w:val="18"/>
          <w:szCs w:val="18"/>
          <w:color w:val="auto"/>
        </w:rPr>
      </w:pPr>
    </w:p>
    <w:p>
      <w:pPr>
        <w:ind w:left="360" w:right="300" w:hanging="226"/>
        <w:spacing w:after="0" w:line="239" w:lineRule="auto"/>
        <w:tabs>
          <w:tab w:leader="none" w:pos="3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Global Industry Classification System (GICS) was reviewed with Standard &amp; Poor’s who changed our assignment in 2014 to reflect the transformation of our business mix.</w:t>
      </w:r>
    </w:p>
    <w:p>
      <w:pPr>
        <w:spacing w:after="0" w:line="192" w:lineRule="exact"/>
        <w:rPr>
          <w:sz w:val="20"/>
          <w:szCs w:val="20"/>
          <w:color w:val="auto"/>
        </w:rPr>
      </w:pPr>
    </w:p>
    <w:tbl>
      <w:tblPr>
        <w:tblLayout w:type="fixed"/>
        <w:tblInd w:w="6900" w:type="dxa"/>
        <w:tblCellMar>
          <w:top w:w="0" w:type="dxa"/>
          <w:left w:w="0" w:type="dxa"/>
          <w:bottom w:w="0" w:type="dxa"/>
          <w:right w:w="0" w:type="dxa"/>
        </w:tblCellMar>
      </w:tblPr>
      <w:tr>
        <w:trPr>
          <w:trHeight w:val="309"/>
        </w:trPr>
        <w:tc>
          <w:tcPr>
            <w:tcW w:w="4080" w:type="dxa"/>
            <w:vAlign w:val="bottom"/>
            <w:tcBorders>
              <w:right w:val="single" w:sz="8" w:color="225CAB"/>
            </w:tcBorders>
          </w:tcPr>
          <w:p>
            <w:pPr>
              <w:spacing w:after="0"/>
              <w:rPr>
                <w:sz w:val="20"/>
                <w:szCs w:val="20"/>
                <w:color w:val="auto"/>
              </w:rPr>
            </w:pPr>
            <w:r>
              <w:rPr>
                <w:rFonts w:ascii="Arial" w:cs="Arial" w:eastAsia="Arial" w:hAnsi="Arial"/>
                <w:sz w:val="18"/>
                <w:szCs w:val="18"/>
                <w:b w:val="1"/>
                <w:bCs w:val="1"/>
                <w:color w:val="225CAB"/>
                <w:w w:val="99"/>
              </w:rPr>
              <w:t>Roper Technologies, Inc. 2016 Proxy Statement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225CAB"/>
              </w:rPr>
              <w:t>19</w:t>
            </w:r>
          </w:p>
        </w:tc>
      </w:tr>
      <w:tr>
        <w:trPr>
          <w:trHeight w:val="83"/>
        </w:trPr>
        <w:tc>
          <w:tcPr>
            <w:tcW w:w="4080" w:type="dxa"/>
            <w:vAlign w:val="bottom"/>
            <w:tcBorders>
              <w:right w:val="single" w:sz="8" w:color="225CAB"/>
            </w:tcBorders>
          </w:tcPr>
          <w:p>
            <w:pPr>
              <w:spacing w:after="0"/>
              <w:rPr>
                <w:sz w:val="7"/>
                <w:szCs w:val="7"/>
                <w:color w:val="auto"/>
              </w:rPr>
            </w:pPr>
          </w:p>
        </w:tc>
        <w:tc>
          <w:tcPr>
            <w:tcW w:w="44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-213995</wp:posOffset>
            </wp:positionV>
            <wp:extent cx="420370" cy="2057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225CAB"/>
        </w:rPr>
        <w:t xml:space="preserve">COMPENSATION DISCUSSION AND ANALYSIS </w:t>
      </w:r>
      <w:r>
        <w:rPr>
          <w:rFonts w:ascii="Arial" w:cs="Arial" w:eastAsia="Arial" w:hAnsi="Arial"/>
          <w:sz w:val="18"/>
          <w:szCs w:val="18"/>
          <w:i w:val="1"/>
          <w:iCs w:val="1"/>
          <w:color w:val="225CAB"/>
        </w:rPr>
        <w:t>(CONTINUED)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225CAB"/>
        </w:rPr>
        <w:t>Checklist of Compensation Practices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Consistent with investor interests and market best practices, positive features of our executive compensation program include the following:</w:t>
      </w:r>
    </w:p>
    <w:p>
      <w:pPr>
        <w:sectPr>
          <w:pgSz w:w="11900" w:h="16838" w:orient="portrait"/>
          <w:cols w:equalWidth="0" w:num="1">
            <w:col w:w="11180"/>
          </w:cols>
          <w:pgMar w:left="240" w:top="459" w:right="479" w:bottom="1440" w:gutter="0" w:footer="0" w:header="0"/>
        </w:sectPr>
      </w:pPr>
    </w:p>
    <w:p>
      <w:pPr>
        <w:spacing w:after="0" w:line="253"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225CAB"/>
        </w:rPr>
        <w:t>WHAT WE DO</w:t>
      </w:r>
    </w:p>
    <w:p>
      <w:pPr>
        <w:spacing w:after="0" w:line="18" w:lineRule="exact"/>
        <w:rPr>
          <w:sz w:val="20"/>
          <w:szCs w:val="20"/>
          <w:color w:val="auto"/>
        </w:rPr>
      </w:pPr>
    </w:p>
    <w:p>
      <w:pPr>
        <w:ind w:left="400" w:hanging="385"/>
        <w:spacing w:after="0"/>
        <w:tabs>
          <w:tab w:leader="none" w:pos="4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Virtually all compensation for executives is tied to performance.</w:t>
      </w:r>
    </w:p>
    <w:p>
      <w:pPr>
        <w:spacing w:after="0" w:line="18" w:lineRule="exact"/>
        <w:rPr>
          <w:rFonts w:ascii="Arial" w:cs="Arial" w:eastAsia="Arial" w:hAnsi="Arial"/>
          <w:sz w:val="16"/>
          <w:szCs w:val="16"/>
          <w:color w:val="auto"/>
        </w:rPr>
      </w:pPr>
    </w:p>
    <w:p>
      <w:pPr>
        <w:ind w:left="400" w:right="200" w:hanging="385"/>
        <w:spacing w:after="0" w:line="234" w:lineRule="auto"/>
        <w:tabs>
          <w:tab w:leader="none" w:pos="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Performance vesting requirements apply to 100% of restricted stock awards.</w:t>
      </w:r>
    </w:p>
    <w:p>
      <w:pPr>
        <w:spacing w:after="0" w:line="1" w:lineRule="exact"/>
        <w:rPr>
          <w:rFonts w:ascii="Arial" w:cs="Arial" w:eastAsia="Arial" w:hAnsi="Arial"/>
          <w:sz w:val="18"/>
          <w:szCs w:val="18"/>
          <w:color w:val="auto"/>
        </w:rPr>
      </w:pPr>
    </w:p>
    <w:p>
      <w:pPr>
        <w:ind w:left="400" w:hanging="385"/>
        <w:spacing w:after="0" w:line="234" w:lineRule="auto"/>
        <w:tabs>
          <w:tab w:leader="none" w:pos="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CEO’s cash bonus based on three-year results to reinforce long-term planning horizon.</w:t>
      </w:r>
    </w:p>
    <w:p>
      <w:pPr>
        <w:spacing w:after="0" w:line="1" w:lineRule="exact"/>
        <w:rPr>
          <w:rFonts w:ascii="Arial" w:cs="Arial" w:eastAsia="Arial" w:hAnsi="Arial"/>
          <w:sz w:val="18"/>
          <w:szCs w:val="18"/>
          <w:color w:val="auto"/>
        </w:rPr>
      </w:pPr>
    </w:p>
    <w:p>
      <w:pPr>
        <w:ind w:left="400" w:right="80" w:hanging="385"/>
        <w:spacing w:after="0" w:line="264" w:lineRule="auto"/>
        <w:tabs>
          <w:tab w:leader="none" w:pos="4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Cash bonuses are capped and performance-based restricted stock awards limited to 100% of target (risk mitigation features).</w:t>
      </w:r>
    </w:p>
    <w:p>
      <w:pPr>
        <w:ind w:left="400" w:right="140" w:hanging="385"/>
        <w:spacing w:after="0" w:line="234" w:lineRule="auto"/>
        <w:tabs>
          <w:tab w:leader="none" w:pos="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Robust share ownership and retention guidelines, much higher than typical practice.</w:t>
      </w:r>
    </w:p>
    <w:p>
      <w:pPr>
        <w:spacing w:after="0" w:line="1" w:lineRule="exact"/>
        <w:rPr>
          <w:rFonts w:ascii="Arial" w:cs="Arial" w:eastAsia="Arial" w:hAnsi="Arial"/>
          <w:sz w:val="18"/>
          <w:szCs w:val="18"/>
          <w:color w:val="auto"/>
        </w:rPr>
      </w:pPr>
    </w:p>
    <w:p>
      <w:pPr>
        <w:ind w:left="400" w:hanging="385"/>
        <w:spacing w:after="0" w:line="234" w:lineRule="auto"/>
        <w:tabs>
          <w:tab w:leader="none" w:pos="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“Clawback” policy to recoup erroneously paid compensation.</w:t>
      </w:r>
    </w:p>
    <w:p>
      <w:pPr>
        <w:ind w:left="400" w:hanging="385"/>
        <w:spacing w:after="0" w:line="234" w:lineRule="auto"/>
        <w:tabs>
          <w:tab w:leader="none" w:pos="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Risk assessment review as part of risk mitigation process.</w:t>
      </w:r>
    </w:p>
    <w:p>
      <w:pPr>
        <w:ind w:left="400" w:right="840" w:hanging="385"/>
        <w:spacing w:after="0" w:line="234" w:lineRule="auto"/>
        <w:tabs>
          <w:tab w:leader="none" w:pos="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Independent compensation consultant retained by the Compensation Committee.</w:t>
      </w:r>
    </w:p>
    <w:p>
      <w:pPr>
        <w:spacing w:after="0" w:line="1" w:lineRule="exact"/>
        <w:rPr>
          <w:rFonts w:ascii="Arial" w:cs="Arial" w:eastAsia="Arial" w:hAnsi="Arial"/>
          <w:sz w:val="18"/>
          <w:szCs w:val="18"/>
          <w:color w:val="auto"/>
        </w:rPr>
      </w:pPr>
    </w:p>
    <w:p>
      <w:pPr>
        <w:ind w:left="400" w:hanging="385"/>
        <w:spacing w:after="0"/>
        <w:tabs>
          <w:tab w:leader="none" w:pos="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Limited perquisites and other benefits.</w:t>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1865"/>
        <w:spacing w:after="0"/>
        <w:rPr>
          <w:sz w:val="20"/>
          <w:szCs w:val="20"/>
          <w:color w:val="auto"/>
        </w:rPr>
      </w:pPr>
      <w:r>
        <w:rPr>
          <w:rFonts w:ascii="Arial" w:cs="Arial" w:eastAsia="Arial" w:hAnsi="Arial"/>
          <w:sz w:val="18"/>
          <w:szCs w:val="18"/>
          <w:b w:val="1"/>
          <w:bCs w:val="1"/>
          <w:color w:val="225CAB"/>
        </w:rPr>
        <w:t>WHAT WE DON’T DO</w:t>
      </w:r>
    </w:p>
    <w:p>
      <w:pPr>
        <w:spacing w:after="0" w:line="13" w:lineRule="exact"/>
        <w:rPr>
          <w:sz w:val="20"/>
          <w:szCs w:val="20"/>
          <w:color w:val="auto"/>
        </w:rPr>
      </w:pPr>
    </w:p>
    <w:p>
      <w:pPr>
        <w:ind w:left="365" w:hanging="365"/>
        <w:spacing w:after="0"/>
        <w:tabs>
          <w:tab w:leader="none" w:pos="365"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 re-pricing of underwater stock options or cash buy-outs.</w:t>
      </w:r>
    </w:p>
    <w:p>
      <w:pPr>
        <w:ind w:left="365" w:right="20" w:hanging="365"/>
        <w:spacing w:after="0" w:line="234" w:lineRule="auto"/>
        <w:tabs>
          <w:tab w:leader="none" w:pos="365"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 granting of stock options with an exercise price less than fair market value at grant.</w:t>
      </w:r>
    </w:p>
    <w:p>
      <w:pPr>
        <w:spacing w:after="0" w:line="1" w:lineRule="exact"/>
        <w:rPr>
          <w:rFonts w:ascii="Arial" w:cs="Arial" w:eastAsia="Arial" w:hAnsi="Arial"/>
          <w:sz w:val="18"/>
          <w:szCs w:val="18"/>
          <w:color w:val="auto"/>
        </w:rPr>
      </w:pPr>
    </w:p>
    <w:p>
      <w:pPr>
        <w:ind w:left="365" w:hanging="365"/>
        <w:spacing w:after="0" w:line="234" w:lineRule="auto"/>
        <w:tabs>
          <w:tab w:leader="none" w:pos="365"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 payment of dividends on performance-based restricted stock awards until earned.</w:t>
      </w:r>
    </w:p>
    <w:p>
      <w:pPr>
        <w:spacing w:after="0" w:line="1" w:lineRule="exact"/>
        <w:rPr>
          <w:rFonts w:ascii="Arial" w:cs="Arial" w:eastAsia="Arial" w:hAnsi="Arial"/>
          <w:sz w:val="18"/>
          <w:szCs w:val="18"/>
          <w:color w:val="auto"/>
        </w:rPr>
      </w:pPr>
    </w:p>
    <w:p>
      <w:pPr>
        <w:jc w:val="both"/>
        <w:ind w:left="365" w:right="60" w:hanging="365"/>
        <w:spacing w:after="0" w:line="234" w:lineRule="auto"/>
        <w:tabs>
          <w:tab w:leader="none" w:pos="365"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 defined-benefit pension plan or SERPs for executives (only 401(k) Plan on the same terms as other eligible employees and voluntary deferral of cash compensation).</w:t>
      </w:r>
    </w:p>
    <w:p>
      <w:pPr>
        <w:spacing w:after="0" w:line="2" w:lineRule="exact"/>
        <w:rPr>
          <w:rFonts w:ascii="Arial" w:cs="Arial" w:eastAsia="Arial" w:hAnsi="Arial"/>
          <w:sz w:val="18"/>
          <w:szCs w:val="18"/>
          <w:color w:val="auto"/>
        </w:rPr>
      </w:pPr>
    </w:p>
    <w:p>
      <w:pPr>
        <w:ind w:left="365" w:hanging="365"/>
        <w:spacing w:after="0" w:line="234" w:lineRule="auto"/>
        <w:tabs>
          <w:tab w:leader="none" w:pos="365"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 “single trigger” equity vesting upon change-in-control.</w:t>
      </w:r>
    </w:p>
    <w:p>
      <w:pPr>
        <w:ind w:left="365" w:right="400" w:hanging="365"/>
        <w:spacing w:after="0" w:line="234" w:lineRule="auto"/>
        <w:tabs>
          <w:tab w:leader="none" w:pos="365"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Severance pay is very limited, as is the use of employment agreements.</w:t>
      </w:r>
    </w:p>
    <w:p>
      <w:pPr>
        <w:spacing w:after="0" w:line="1" w:lineRule="exact"/>
        <w:rPr>
          <w:rFonts w:ascii="Arial" w:cs="Arial" w:eastAsia="Arial" w:hAnsi="Arial"/>
          <w:sz w:val="18"/>
          <w:szCs w:val="18"/>
          <w:color w:val="auto"/>
        </w:rPr>
      </w:pPr>
    </w:p>
    <w:p>
      <w:pPr>
        <w:ind w:left="365" w:hanging="365"/>
        <w:spacing w:after="0" w:line="234" w:lineRule="auto"/>
        <w:tabs>
          <w:tab w:leader="none" w:pos="365"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 hedging or pledging of Company stock is permitted.</w:t>
      </w:r>
    </w:p>
    <w:p>
      <w:pPr>
        <w:ind w:left="365" w:hanging="365"/>
        <w:spacing w:after="0"/>
        <w:tabs>
          <w:tab w:leader="none" w:pos="365"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 excise tax gross-ups on change-in-control payments.</w:t>
      </w:r>
    </w:p>
    <w:p>
      <w:pPr>
        <w:spacing w:after="0" w:line="402" w:lineRule="exact"/>
        <w:rPr>
          <w:sz w:val="20"/>
          <w:szCs w:val="20"/>
          <w:color w:val="auto"/>
        </w:rPr>
      </w:pPr>
    </w:p>
    <w:p>
      <w:pPr>
        <w:sectPr>
          <w:pgSz w:w="11900" w:h="16838" w:orient="portrait"/>
          <w:cols w:equalWidth="0" w:num="2">
            <w:col w:w="5400" w:space="435"/>
            <w:col w:w="5345"/>
          </w:cols>
          <w:pgMar w:left="240" w:top="459" w:right="479" w:bottom="1440" w:gutter="0" w:footer="0" w:header="0"/>
          <w:type w:val="continuous"/>
        </w:sectPr>
      </w:pP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336"/>
        </w:trPr>
        <w:tc>
          <w:tcPr>
            <w:tcW w:w="340" w:type="dxa"/>
            <w:vAlign w:val="bottom"/>
            <w:tcBorders>
              <w:right w:val="single" w:sz="8" w:color="225CAB"/>
            </w:tcBorders>
          </w:tcPr>
          <w:p>
            <w:pPr>
              <w:jc w:val="right"/>
              <w:ind w:right="52"/>
              <w:spacing w:after="0"/>
              <w:rPr>
                <w:sz w:val="20"/>
                <w:szCs w:val="20"/>
                <w:color w:val="auto"/>
              </w:rPr>
            </w:pPr>
            <w:r>
              <w:rPr>
                <w:rFonts w:ascii="Arial" w:cs="Arial" w:eastAsia="Arial" w:hAnsi="Arial"/>
                <w:sz w:val="18"/>
                <w:szCs w:val="18"/>
                <w:b w:val="1"/>
                <w:bCs w:val="1"/>
                <w:color w:val="225CAB"/>
                <w:w w:val="89"/>
              </w:rPr>
              <w:t>20</w:t>
            </w:r>
          </w:p>
        </w:tc>
        <w:tc>
          <w:tcPr>
            <w:tcW w:w="5180" w:type="dxa"/>
            <w:vAlign w:val="bottom"/>
          </w:tcPr>
          <w:p>
            <w:pPr>
              <w:ind w:left="1240"/>
              <w:spacing w:after="0"/>
              <w:rPr>
                <w:sz w:val="20"/>
                <w:szCs w:val="20"/>
                <w:color w:val="auto"/>
              </w:rPr>
            </w:pPr>
            <w:r>
              <w:rPr>
                <w:rFonts w:ascii="Arial" w:cs="Arial" w:eastAsia="Arial" w:hAnsi="Arial"/>
                <w:sz w:val="18"/>
                <w:szCs w:val="18"/>
                <w:b w:val="1"/>
                <w:bCs w:val="1"/>
                <w:color w:val="225CAB"/>
                <w:w w:val="96"/>
              </w:rPr>
              <w:t>Roper Technologies, Inc. 2016 Proxy Statement</w:t>
            </w:r>
          </w:p>
        </w:tc>
      </w:tr>
      <w:tr>
        <w:trPr>
          <w:trHeight w:val="110"/>
        </w:trPr>
        <w:tc>
          <w:tcPr>
            <w:tcW w:w="340" w:type="dxa"/>
            <w:vAlign w:val="bottom"/>
            <w:tcBorders>
              <w:right w:val="single" w:sz="8" w:color="225CAB"/>
            </w:tcBorders>
          </w:tcPr>
          <w:p>
            <w:pPr>
              <w:spacing w:after="0"/>
              <w:rPr>
                <w:sz w:val="9"/>
                <w:szCs w:val="9"/>
                <w:color w:val="auto"/>
              </w:rPr>
            </w:pPr>
          </w:p>
        </w:tc>
        <w:tc>
          <w:tcPr>
            <w:tcW w:w="518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-248285</wp:posOffset>
            </wp:positionV>
            <wp:extent cx="420370" cy="2057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ectPr>
          <w:pgSz w:w="11900" w:h="16838" w:orient="portrait"/>
          <w:cols w:equalWidth="0" w:num="1">
            <w:col w:w="11180"/>
          </w:cols>
          <w:pgMar w:left="240" w:top="459" w:right="47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225CAB"/>
        </w:rPr>
        <w:t xml:space="preserve">COMPENSATION DISCUSSION AND ANALYSIS </w:t>
      </w:r>
      <w:r>
        <w:rPr>
          <w:rFonts w:ascii="Arial" w:cs="Arial" w:eastAsia="Arial" w:hAnsi="Arial"/>
          <w:sz w:val="18"/>
          <w:szCs w:val="18"/>
          <w:i w:val="1"/>
          <w:iCs w:val="1"/>
          <w:color w:val="225CAB"/>
        </w:rPr>
        <w:t>(CONTINUED)</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CREATING SHAREHOLDER VALUE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225CAB"/>
        </w:rPr>
        <w:t>Simple Strategy Focused on Value Creation</w:t>
      </w:r>
    </w:p>
    <w:p>
      <w:pPr>
        <w:spacing w:after="0" w:line="9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Roper has a simple and successful business model that we believe is unique among multi-industry diversified companies. We operate high-margin, high-cash generating, asset-light businesses across a wide range of diverse end-markets. Our high-performing businesses generate excess free cash flow that our executive team deploys to acquire more high-performing businesses. This creates a “compounding effect” on cash flow that drives long-term value creation. Our free cash flow has increased from $257 million in 2005 to $893 million in 2015, driven by this combination of outstanding business performance and value-creating capital deployment.</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Roper Annual Free Cash Flow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94615</wp:posOffset>
            </wp:positionV>
            <wp:extent cx="4133850" cy="24872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133850" cy="2487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380"/>
        <w:spacing w:after="0"/>
        <w:rPr>
          <w:sz w:val="20"/>
          <w:szCs w:val="20"/>
          <w:color w:val="auto"/>
        </w:rPr>
      </w:pPr>
      <w:r>
        <w:rPr>
          <w:rFonts w:ascii="Arial" w:cs="Arial" w:eastAsia="Arial" w:hAnsi="Arial"/>
          <w:sz w:val="14"/>
          <w:szCs w:val="14"/>
          <w:color w:val="auto"/>
        </w:rPr>
        <w:t>Note: Free Cash Flow = Cash from Operations less Capital Expenditures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225CAB"/>
        </w:rPr>
        <w:t>Key Metric: Cash Return on Investment</w:t>
      </w:r>
    </w:p>
    <w:p>
      <w:pPr>
        <w:spacing w:after="0" w:line="99" w:lineRule="exact"/>
        <w:rPr>
          <w:sz w:val="20"/>
          <w:szCs w:val="20"/>
          <w:color w:val="auto"/>
        </w:rPr>
      </w:pPr>
    </w:p>
    <w:p>
      <w:pPr>
        <w:ind w:right="260"/>
        <w:spacing w:after="0" w:line="299" w:lineRule="auto"/>
        <w:rPr>
          <w:sz w:val="20"/>
          <w:szCs w:val="20"/>
          <w:color w:val="auto"/>
        </w:rPr>
      </w:pPr>
      <w:r>
        <w:rPr>
          <w:rFonts w:ascii="Arial" w:cs="Arial" w:eastAsia="Arial" w:hAnsi="Arial"/>
          <w:sz w:val="16"/>
          <w:szCs w:val="16"/>
          <w:color w:val="auto"/>
        </w:rPr>
        <w:t>Cash Return on Investment (“CRI”) is a key operating metric Roper uses to measure the performance and value of its operating businesses and potential acquisitions, and to focus our business leaders and corporate executive leadership on cash flow growth and disciplined investment.</w:t>
      </w:r>
    </w:p>
    <w:p>
      <w:pPr>
        <w:spacing w:after="0" w:line="28" w:lineRule="exact"/>
        <w:rPr>
          <w:sz w:val="20"/>
          <w:szCs w:val="20"/>
          <w:color w:val="auto"/>
        </w:rPr>
      </w:pPr>
    </w:p>
    <w:p>
      <w:pPr>
        <w:ind w:left="220" w:hanging="212"/>
        <w:spacing w:after="0"/>
        <w:tabs>
          <w:tab w:leader="none" w:pos="2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CRI is highly correlated to value creation and we believe our strategy of improving CRI has been a key driver to our long term performance.</w:t>
      </w:r>
    </w:p>
    <w:p>
      <w:pPr>
        <w:spacing w:after="0" w:line="76" w:lineRule="exact"/>
        <w:rPr>
          <w:rFonts w:ascii="Arial" w:cs="Arial" w:eastAsia="Arial" w:hAnsi="Arial"/>
          <w:sz w:val="18"/>
          <w:szCs w:val="18"/>
          <w:color w:val="auto"/>
        </w:rPr>
      </w:pPr>
    </w:p>
    <w:p>
      <w:pPr>
        <w:ind w:left="220" w:right="20" w:hanging="212"/>
        <w:spacing w:after="0" w:line="239" w:lineRule="auto"/>
        <w:tabs>
          <w:tab w:leader="none" w:pos="2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CRI discipline, as applied throughout the organization, allows us to focus our investment on areas that will increase shareholder value, drive cash flow growth, and minimize physical assets.</w:t>
      </w:r>
    </w:p>
    <w:p>
      <w:pPr>
        <w:spacing w:after="0" w:line="73" w:lineRule="exact"/>
        <w:rPr>
          <w:rFonts w:ascii="Arial" w:cs="Arial" w:eastAsia="Arial" w:hAnsi="Arial"/>
          <w:sz w:val="18"/>
          <w:szCs w:val="18"/>
          <w:color w:val="auto"/>
        </w:rPr>
      </w:pPr>
    </w:p>
    <w:p>
      <w:pPr>
        <w:ind w:left="220" w:right="60" w:hanging="212"/>
        <w:spacing w:after="0" w:line="239" w:lineRule="auto"/>
        <w:tabs>
          <w:tab w:leader="none" w:pos="2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Through a combination of internal improvements and disciplined capital deployment, Roper has increased CRI dramatically since 2005, and our shareholders have enjoyed a total shareholder return of 409% during that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1857375</wp:posOffset>
            </wp:positionH>
            <wp:positionV relativeFrom="paragraph">
              <wp:posOffset>45085</wp:posOffset>
            </wp:positionV>
            <wp:extent cx="3550285" cy="8832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550285" cy="883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6900" w:type="dxa"/>
        <w:tblCellMar>
          <w:top w:w="0" w:type="dxa"/>
          <w:left w:w="0" w:type="dxa"/>
          <w:bottom w:w="0" w:type="dxa"/>
          <w:right w:w="0" w:type="dxa"/>
        </w:tblCellMar>
      </w:tblPr>
      <w:tr>
        <w:trPr>
          <w:trHeight w:val="309"/>
        </w:trPr>
        <w:tc>
          <w:tcPr>
            <w:tcW w:w="4080" w:type="dxa"/>
            <w:vAlign w:val="bottom"/>
            <w:tcBorders>
              <w:right w:val="single" w:sz="8" w:color="225CAB"/>
            </w:tcBorders>
          </w:tcPr>
          <w:p>
            <w:pPr>
              <w:spacing w:after="0"/>
              <w:rPr>
                <w:sz w:val="20"/>
                <w:szCs w:val="20"/>
                <w:color w:val="auto"/>
              </w:rPr>
            </w:pPr>
            <w:r>
              <w:rPr>
                <w:rFonts w:ascii="Arial" w:cs="Arial" w:eastAsia="Arial" w:hAnsi="Arial"/>
                <w:sz w:val="18"/>
                <w:szCs w:val="18"/>
                <w:b w:val="1"/>
                <w:bCs w:val="1"/>
                <w:color w:val="225CAB"/>
                <w:w w:val="99"/>
              </w:rPr>
              <w:t>Roper Technologies, Inc. 2016 Proxy Statement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225CAB"/>
              </w:rPr>
              <w:t>21</w:t>
            </w:r>
          </w:p>
        </w:tc>
      </w:tr>
      <w:tr>
        <w:trPr>
          <w:trHeight w:val="83"/>
        </w:trPr>
        <w:tc>
          <w:tcPr>
            <w:tcW w:w="4080" w:type="dxa"/>
            <w:vAlign w:val="bottom"/>
            <w:tcBorders>
              <w:right w:val="single" w:sz="8" w:color="225CAB"/>
            </w:tcBorders>
          </w:tcPr>
          <w:p>
            <w:pPr>
              <w:spacing w:after="0"/>
              <w:rPr>
                <w:sz w:val="7"/>
                <w:szCs w:val="7"/>
                <w:color w:val="auto"/>
              </w:rPr>
            </w:pPr>
          </w:p>
        </w:tc>
        <w:tc>
          <w:tcPr>
            <w:tcW w:w="44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-213995</wp:posOffset>
            </wp:positionV>
            <wp:extent cx="420370" cy="2057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225CAB"/>
        </w:rPr>
        <w:t xml:space="preserve">COMPENSATION DISCUSSION AND ANALYSIS </w:t>
      </w:r>
      <w:r>
        <w:rPr>
          <w:rFonts w:ascii="Arial" w:cs="Arial" w:eastAsia="Arial" w:hAnsi="Arial"/>
          <w:sz w:val="18"/>
          <w:szCs w:val="18"/>
          <w:i w:val="1"/>
          <w:iCs w:val="1"/>
          <w:color w:val="225CAB"/>
        </w:rPr>
        <w:t>(CONTINUED)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225CAB"/>
        </w:rPr>
        <w:t>Acquisition-Focused Capital Deployment</w:t>
      </w:r>
    </w:p>
    <w:p>
      <w:pPr>
        <w:spacing w:after="0" w:line="9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deploy most of our free cash flow in acquisitions to generate long-term growth and create long-term shareholder value. Unlike most other large corporations, we do not have a separate corporate development or merger-and-acquisition team, with our Chief Executive Officer, Chief Financial Officer, and other top executives responsible for the disciplined deployment of capital through acquisitions.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225CAB"/>
        </w:rPr>
        <w:t>Market Capitalization Growth (2004-2015)</w:t>
      </w:r>
    </w:p>
    <w:p>
      <w:pPr>
        <w:spacing w:after="0" w:line="99"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In 2015, Roper’s market capitalization increased by $3.5 billion, the biggest single-year increase in our history. Over the last six years, Roper’s market capitalization has almost quadrupled, climbing by more than $14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1557020</wp:posOffset>
            </wp:positionH>
            <wp:positionV relativeFrom="paragraph">
              <wp:posOffset>121920</wp:posOffset>
            </wp:positionV>
            <wp:extent cx="4142105" cy="309562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142105" cy="3095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OBJECTIVES OF OUR COMPENSATION PROGRAM</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Our compensation program for executives reflects our business needs and challenges in creating shareholder value and is designed to:</w:t>
      </w:r>
    </w:p>
    <w:p>
      <w:pPr>
        <w:sectPr>
          <w:pgSz w:w="11900" w:h="16838" w:orient="portrait"/>
          <w:cols w:equalWidth="0" w:num="1">
            <w:col w:w="11360"/>
          </w:cols>
          <w:pgMar w:left="240" w:top="459" w:right="299" w:bottom="1440" w:gutter="0" w:footer="0" w:header="0"/>
        </w:sectPr>
      </w:pPr>
    </w:p>
    <w:p>
      <w:pPr>
        <w:spacing w:after="0" w:line="131" w:lineRule="exact"/>
        <w:rPr>
          <w:sz w:val="20"/>
          <w:szCs w:val="20"/>
          <w:color w:val="auto"/>
        </w:rPr>
      </w:pPr>
    </w:p>
    <w:p>
      <w:pPr>
        <w:ind w:left="200" w:hanging="192"/>
        <w:spacing w:after="0"/>
        <w:tabs>
          <w:tab w:leader="none" w:pos="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Drive performance for the benefit of shareholders.</w:t>
      </w:r>
    </w:p>
    <w:p>
      <w:pPr>
        <w:spacing w:after="0" w:line="76" w:lineRule="exact"/>
        <w:rPr>
          <w:rFonts w:ascii="Arial" w:cs="Arial" w:eastAsia="Arial" w:hAnsi="Arial"/>
          <w:sz w:val="18"/>
          <w:szCs w:val="18"/>
          <w:color w:val="auto"/>
        </w:rPr>
      </w:pPr>
    </w:p>
    <w:p>
      <w:pPr>
        <w:ind w:left="200" w:right="540" w:hanging="192"/>
        <w:spacing w:after="0" w:line="239" w:lineRule="auto"/>
        <w:tabs>
          <w:tab w:leader="none" w:pos="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Emphasize equity compensation to align executives’ financial interests with those of shareholders.</w:t>
      </w:r>
    </w:p>
    <w:p>
      <w:pPr>
        <w:spacing w:after="0" w:line="73" w:lineRule="exact"/>
        <w:rPr>
          <w:rFonts w:ascii="Arial" w:cs="Arial" w:eastAsia="Arial" w:hAnsi="Arial"/>
          <w:sz w:val="18"/>
          <w:szCs w:val="18"/>
          <w:color w:val="auto"/>
        </w:rPr>
      </w:pPr>
    </w:p>
    <w:p>
      <w:pPr>
        <w:ind w:left="200" w:hanging="192"/>
        <w:spacing w:after="0" w:line="237" w:lineRule="auto"/>
        <w:tabs>
          <w:tab w:leader="none" w:pos="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Provide compensation levels competitive with publicly traded and privately held enterprises enabling us to recruit and retain seasoned leadership capable of driving and managing a diversified technology company.</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left="192" w:right="300" w:hanging="192"/>
        <w:spacing w:after="0" w:line="239" w:lineRule="auto"/>
        <w:tabs>
          <w:tab w:leader="none" w:pos="192"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Maintain flexibility to adjust to changing business needs in a fast-paced business environment.</w:t>
      </w:r>
    </w:p>
    <w:p>
      <w:pPr>
        <w:spacing w:after="0" w:line="73" w:lineRule="exact"/>
        <w:rPr>
          <w:rFonts w:ascii="Arial" w:cs="Arial" w:eastAsia="Arial" w:hAnsi="Arial"/>
          <w:sz w:val="18"/>
          <w:szCs w:val="18"/>
          <w:color w:val="auto"/>
        </w:rPr>
      </w:pPr>
    </w:p>
    <w:p>
      <w:pPr>
        <w:ind w:left="192" w:right="720" w:hanging="192"/>
        <w:spacing w:after="0" w:line="239" w:lineRule="auto"/>
        <w:tabs>
          <w:tab w:leader="none" w:pos="192" w:val="left"/>
        </w:tabs>
        <w:numPr>
          <w:ilvl w:val="0"/>
          <w:numId w:val="32"/>
        </w:numPr>
        <w:rPr>
          <w:rFonts w:ascii="Arial" w:cs="Arial" w:eastAsia="Arial" w:hAnsi="Arial"/>
          <w:sz w:val="18"/>
          <w:szCs w:val="18"/>
          <w:color w:val="auto"/>
        </w:rPr>
      </w:pPr>
      <w:r>
        <w:rPr>
          <w:rFonts w:ascii="Arial" w:cs="Arial" w:eastAsia="Arial" w:hAnsi="Arial"/>
          <w:sz w:val="18"/>
          <w:szCs w:val="18"/>
          <w:color w:val="auto"/>
        </w:rPr>
        <w:t>Simplify compensation design to promote transparency and facilitate ease of administration and communication.</w:t>
      </w:r>
    </w:p>
    <w:p>
      <w:pPr>
        <w:spacing w:after="0" w:line="73" w:lineRule="exact"/>
        <w:rPr>
          <w:rFonts w:ascii="Arial" w:cs="Arial" w:eastAsia="Arial" w:hAnsi="Arial"/>
          <w:sz w:val="18"/>
          <w:szCs w:val="18"/>
          <w:color w:val="auto"/>
        </w:rPr>
      </w:pPr>
    </w:p>
    <w:p>
      <w:pPr>
        <w:ind w:left="192" w:hanging="192"/>
        <w:spacing w:after="0"/>
        <w:tabs>
          <w:tab w:leader="none" w:pos="192" w:val="left"/>
        </w:tabs>
        <w:numPr>
          <w:ilvl w:val="0"/>
          <w:numId w:val="32"/>
        </w:numPr>
        <w:rPr>
          <w:rFonts w:ascii="Arial" w:cs="Arial" w:eastAsia="Arial" w:hAnsi="Arial"/>
          <w:sz w:val="18"/>
          <w:szCs w:val="18"/>
          <w:color w:val="auto"/>
        </w:rPr>
      </w:pPr>
      <w:r>
        <w:rPr>
          <w:rFonts w:ascii="Arial" w:cs="Arial" w:eastAsia="Arial" w:hAnsi="Arial"/>
          <w:sz w:val="18"/>
          <w:szCs w:val="18"/>
          <w:color w:val="auto"/>
        </w:rPr>
        <w:t>Solicit and consider the views of our investors.</w:t>
      </w:r>
    </w:p>
    <w:p>
      <w:pPr>
        <w:spacing w:after="0" w:line="76" w:lineRule="exact"/>
        <w:rPr>
          <w:rFonts w:ascii="Arial" w:cs="Arial" w:eastAsia="Arial" w:hAnsi="Arial"/>
          <w:sz w:val="18"/>
          <w:szCs w:val="18"/>
          <w:color w:val="auto"/>
        </w:rPr>
      </w:pPr>
    </w:p>
    <w:p>
      <w:pPr>
        <w:ind w:left="192" w:hanging="192"/>
        <w:spacing w:after="0"/>
        <w:tabs>
          <w:tab w:leader="none" w:pos="192" w:val="left"/>
        </w:tabs>
        <w:numPr>
          <w:ilvl w:val="0"/>
          <w:numId w:val="32"/>
        </w:numPr>
        <w:rPr>
          <w:rFonts w:ascii="Arial" w:cs="Arial" w:eastAsia="Arial" w:hAnsi="Arial"/>
          <w:sz w:val="16"/>
          <w:szCs w:val="16"/>
          <w:color w:val="auto"/>
        </w:rPr>
      </w:pPr>
      <w:r>
        <w:rPr>
          <w:rFonts w:ascii="Arial" w:cs="Arial" w:eastAsia="Arial" w:hAnsi="Arial"/>
          <w:sz w:val="16"/>
          <w:szCs w:val="16"/>
          <w:color w:val="auto"/>
        </w:rPr>
        <w:t>Adhere to the highest legal, governance, and ethical standards.</w:t>
      </w:r>
    </w:p>
    <w:p>
      <w:pPr>
        <w:spacing w:after="0" w:line="347" w:lineRule="exact"/>
        <w:rPr>
          <w:sz w:val="20"/>
          <w:szCs w:val="20"/>
          <w:color w:val="auto"/>
        </w:rPr>
      </w:pPr>
    </w:p>
    <w:p>
      <w:pPr>
        <w:sectPr>
          <w:pgSz w:w="11900" w:h="16838" w:orient="portrait"/>
          <w:cols w:equalWidth="0" w:num="2">
            <w:col w:w="5480" w:space="348"/>
            <w:col w:w="5532"/>
          </w:cols>
          <w:pgMar w:left="240" w:top="459" w:right="299" w:bottom="1440" w:gutter="0" w:footer="0" w:header="0"/>
          <w:type w:val="continuous"/>
        </w:sectPr>
      </w:pP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336"/>
        </w:trPr>
        <w:tc>
          <w:tcPr>
            <w:tcW w:w="340" w:type="dxa"/>
            <w:vAlign w:val="bottom"/>
            <w:tcBorders>
              <w:right w:val="single" w:sz="8" w:color="225CAB"/>
            </w:tcBorders>
          </w:tcPr>
          <w:p>
            <w:pPr>
              <w:jc w:val="right"/>
              <w:ind w:right="52"/>
              <w:spacing w:after="0"/>
              <w:rPr>
                <w:sz w:val="20"/>
                <w:szCs w:val="20"/>
                <w:color w:val="auto"/>
              </w:rPr>
            </w:pPr>
            <w:r>
              <w:rPr>
                <w:rFonts w:ascii="Arial" w:cs="Arial" w:eastAsia="Arial" w:hAnsi="Arial"/>
                <w:sz w:val="18"/>
                <w:szCs w:val="18"/>
                <w:b w:val="1"/>
                <w:bCs w:val="1"/>
                <w:color w:val="225CAB"/>
                <w:w w:val="89"/>
              </w:rPr>
              <w:t>22</w:t>
            </w:r>
          </w:p>
        </w:tc>
        <w:tc>
          <w:tcPr>
            <w:tcW w:w="5180" w:type="dxa"/>
            <w:vAlign w:val="bottom"/>
          </w:tcPr>
          <w:p>
            <w:pPr>
              <w:ind w:left="1240"/>
              <w:spacing w:after="0"/>
              <w:rPr>
                <w:sz w:val="20"/>
                <w:szCs w:val="20"/>
                <w:color w:val="auto"/>
              </w:rPr>
            </w:pPr>
            <w:r>
              <w:rPr>
                <w:rFonts w:ascii="Arial" w:cs="Arial" w:eastAsia="Arial" w:hAnsi="Arial"/>
                <w:sz w:val="18"/>
                <w:szCs w:val="18"/>
                <w:b w:val="1"/>
                <w:bCs w:val="1"/>
                <w:color w:val="225CAB"/>
                <w:w w:val="96"/>
              </w:rPr>
              <w:t>Roper Technologies, Inc. 2016 Proxy Statement</w:t>
            </w:r>
          </w:p>
        </w:tc>
      </w:tr>
      <w:tr>
        <w:trPr>
          <w:trHeight w:val="110"/>
        </w:trPr>
        <w:tc>
          <w:tcPr>
            <w:tcW w:w="340" w:type="dxa"/>
            <w:vAlign w:val="bottom"/>
            <w:tcBorders>
              <w:right w:val="single" w:sz="8" w:color="225CAB"/>
            </w:tcBorders>
          </w:tcPr>
          <w:p>
            <w:pPr>
              <w:spacing w:after="0"/>
              <w:rPr>
                <w:sz w:val="9"/>
                <w:szCs w:val="9"/>
                <w:color w:val="auto"/>
              </w:rPr>
            </w:pPr>
          </w:p>
        </w:tc>
        <w:tc>
          <w:tcPr>
            <w:tcW w:w="518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-248285</wp:posOffset>
            </wp:positionV>
            <wp:extent cx="420370" cy="2057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ectPr>
          <w:pgSz w:w="11900" w:h="16838" w:orient="portrait"/>
          <w:cols w:equalWidth="0" w:num="1">
            <w:col w:w="11360"/>
          </w:cols>
          <w:pgMar w:left="240" w:top="459" w:right="29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225CAB"/>
        </w:rPr>
        <w:t xml:space="preserve">COMPENSATION DISCUSSION AND ANALYSIS </w:t>
      </w:r>
      <w:r>
        <w:rPr>
          <w:rFonts w:ascii="Arial" w:cs="Arial" w:eastAsia="Arial" w:hAnsi="Arial"/>
          <w:sz w:val="18"/>
          <w:szCs w:val="18"/>
          <w:i w:val="1"/>
          <w:iCs w:val="1"/>
          <w:color w:val="225CAB"/>
        </w:rPr>
        <w:t>(CONTINUED)</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ELEMENTS OF COMPENSATION</w:t>
      </w:r>
    </w:p>
    <w:p>
      <w:pPr>
        <w:spacing w:after="0" w:line="107" w:lineRule="exact"/>
        <w:rPr>
          <w:sz w:val="20"/>
          <w:szCs w:val="20"/>
          <w:color w:val="auto"/>
        </w:rPr>
      </w:pPr>
    </w:p>
    <w:p>
      <w:pPr>
        <w:ind w:right="820"/>
        <w:spacing w:after="0" w:line="239" w:lineRule="auto"/>
        <w:rPr>
          <w:sz w:val="20"/>
          <w:szCs w:val="20"/>
          <w:color w:val="auto"/>
        </w:rPr>
      </w:pPr>
      <w:r>
        <w:rPr>
          <w:rFonts w:ascii="Arial" w:cs="Arial" w:eastAsia="Arial" w:hAnsi="Arial"/>
          <w:sz w:val="18"/>
          <w:szCs w:val="18"/>
          <w:color w:val="auto"/>
        </w:rPr>
        <w:t>Our executive compensation program consists of several elements, each with an objective that fits into our overall program to provide an integrated and competitive total pay package.</w:t>
      </w:r>
    </w:p>
    <w:p>
      <w:pPr>
        <w:sectPr>
          <w:pgSz w:w="11900" w:h="16838" w:orient="portrait"/>
          <w:cols w:equalWidth="0" w:num="1">
            <w:col w:w="11420"/>
          </w:cols>
          <w:pgMar w:left="240" w:top="459" w:right="239" w:bottom="1440" w:gutter="0" w:footer="0" w:header="0"/>
        </w:sect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225CAB"/>
        </w:rPr>
        <w:t>Long-Term Stock Incentives</w:t>
      </w:r>
    </w:p>
    <w:p>
      <w:pPr>
        <w:spacing w:after="0" w:line="99"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Equity compensation is the biggest and most important form of pay for our executive officers as it achieves many of our key compensation objectives:</w:t>
      </w:r>
    </w:p>
    <w:p>
      <w:pPr>
        <w:spacing w:after="0" w:line="73" w:lineRule="exact"/>
        <w:rPr>
          <w:sz w:val="20"/>
          <w:szCs w:val="20"/>
          <w:color w:val="auto"/>
        </w:rPr>
      </w:pPr>
    </w:p>
    <w:p>
      <w:pPr>
        <w:ind w:left="200" w:right="280" w:hanging="192"/>
        <w:spacing w:after="0" w:line="238" w:lineRule="auto"/>
        <w:tabs>
          <w:tab w:leader="none" w:pos="2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Tie pay to performance by linking compensation to shareholder value creation and achievement of pre-determined and objective performance criteria.</w:t>
      </w:r>
    </w:p>
    <w:p>
      <w:pPr>
        <w:spacing w:after="0" w:line="72" w:lineRule="exact"/>
        <w:rPr>
          <w:rFonts w:ascii="Arial" w:cs="Arial" w:eastAsia="Arial" w:hAnsi="Arial"/>
          <w:sz w:val="18"/>
          <w:szCs w:val="18"/>
          <w:color w:val="auto"/>
        </w:rPr>
      </w:pPr>
    </w:p>
    <w:p>
      <w:pPr>
        <w:ind w:left="200" w:right="720" w:hanging="192"/>
        <w:spacing w:after="0" w:line="239" w:lineRule="auto"/>
        <w:tabs>
          <w:tab w:leader="none" w:pos="2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Align executives’ interests with those of shareholders while reinforcing a long-term planning horizon.</w:t>
      </w:r>
    </w:p>
    <w:p>
      <w:pPr>
        <w:spacing w:after="0" w:line="73" w:lineRule="exact"/>
        <w:rPr>
          <w:rFonts w:ascii="Arial" w:cs="Arial" w:eastAsia="Arial" w:hAnsi="Arial"/>
          <w:sz w:val="18"/>
          <w:szCs w:val="18"/>
          <w:color w:val="auto"/>
        </w:rPr>
      </w:pPr>
    </w:p>
    <w:p>
      <w:pPr>
        <w:ind w:left="200" w:right="20" w:hanging="192"/>
        <w:spacing w:after="0" w:line="238" w:lineRule="auto"/>
        <w:tabs>
          <w:tab w:leader="none" w:pos="2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Attract executives, particularly those interested in building long-term value for shareholders, as equity compensation is the key element of competitive pay packages for executives.</w:t>
      </w:r>
    </w:p>
    <w:p>
      <w:pPr>
        <w:spacing w:after="0" w:line="72" w:lineRule="exact"/>
        <w:rPr>
          <w:rFonts w:ascii="Arial" w:cs="Arial" w:eastAsia="Arial" w:hAnsi="Arial"/>
          <w:sz w:val="18"/>
          <w:szCs w:val="18"/>
          <w:color w:val="auto"/>
        </w:rPr>
      </w:pPr>
    </w:p>
    <w:p>
      <w:pPr>
        <w:ind w:left="200" w:right="560" w:hanging="192"/>
        <w:spacing w:after="0" w:line="238" w:lineRule="auto"/>
        <w:tabs>
          <w:tab w:leader="none" w:pos="2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Retain executives and reward future service, by providing for forfeiture of awards prior to satisfaction of multi-year service requirements.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We use two types of equity awards: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Stock Options</w:t>
      </w:r>
    </w:p>
    <w:p>
      <w:pPr>
        <w:spacing w:after="0" w:line="97" w:lineRule="exact"/>
        <w:rPr>
          <w:sz w:val="20"/>
          <w:szCs w:val="20"/>
          <w:color w:val="auto"/>
        </w:rPr>
      </w:pPr>
    </w:p>
    <w:p>
      <w:pPr>
        <w:ind w:left="200" w:right="20" w:hanging="192"/>
        <w:spacing w:after="0" w:line="237" w:lineRule="auto"/>
        <w:tabs>
          <w:tab w:leader="none" w:pos="2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exercise price of stock options is set at the market closing price of our stock on the date of grant which provides an incentive to grow shareholder value and requires continued service over multiple years to realize any gains.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Performance-Based Restricted Stock</w:t>
      </w:r>
    </w:p>
    <w:p>
      <w:pPr>
        <w:spacing w:after="0" w:line="97" w:lineRule="exact"/>
        <w:rPr>
          <w:sz w:val="20"/>
          <w:szCs w:val="20"/>
          <w:color w:val="auto"/>
        </w:rPr>
      </w:pPr>
    </w:p>
    <w:p>
      <w:pPr>
        <w:ind w:left="200" w:hanging="192"/>
        <w:spacing w:after="0" w:line="238" w:lineRule="auto"/>
        <w:tabs>
          <w:tab w:leader="none" w:pos="2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addition to continued service, the vesting of restricted shares is 100% contingent on the Company attaining specific, pre-determined and objective performance goals, as certified by the</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ind w:left="200" w:right="160"/>
        <w:spacing w:after="0" w:line="236" w:lineRule="auto"/>
        <w:rPr>
          <w:sz w:val="20"/>
          <w:szCs w:val="20"/>
          <w:color w:val="auto"/>
        </w:rPr>
      </w:pPr>
      <w:r>
        <w:rPr>
          <w:rFonts w:ascii="Arial" w:cs="Arial" w:eastAsia="Arial" w:hAnsi="Arial"/>
          <w:sz w:val="18"/>
          <w:szCs w:val="18"/>
          <w:color w:val="auto"/>
        </w:rPr>
        <w:t>Compensation Committee. Effective for the awards made in January 2015, dividends will be withheld and paid only to the extent the shares are actually earned by performance, rather than currently as under prior awards. Performance-based restricted stock is intended to encourage the retention of executives, provide a continuing incentive to increase shareholder value, and further align executives’ interests with investors.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We use two types of cash payments: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225CAB"/>
        </w:rPr>
        <w:t>Cash Incentives</w:t>
      </w:r>
    </w:p>
    <w:p>
      <w:pPr>
        <w:spacing w:after="0" w:line="99"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Cash incentives support the achievement of our business strategies by tying a portion of compensation to the achievement of established financial objectives and assist in attracting executives due to their market prevalence. Cash incentives are capped to avoid an excessive short-term focus and potentially adverse risk-taking. Cash incentives for executive officers are tied to annual performance, except for our Chief Executive Officer. Effective for 2014, the Chief Executive Officer’s annual incentive was changed to a long-term incentive covering three years to reinforce the importance of sustained performance.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225CAB"/>
        </w:rPr>
        <w:t>Base Salary</w:t>
      </w:r>
    </w:p>
    <w:p>
      <w:pPr>
        <w:spacing w:after="0" w:line="99"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Base salary is fixed cash compensation that reflects level and scope of responsibility, experience and skills, and market practices. The Compensation Committee reviews each executive officer’s base salary annually as well as in connection with a promotion or other change in responsibility. Salary adjustments are usually effective as of January 1.</w:t>
      </w:r>
    </w:p>
    <w:p>
      <w:pPr>
        <w:spacing w:after="0" w:line="404" w:lineRule="exact"/>
        <w:rPr>
          <w:sz w:val="20"/>
          <w:szCs w:val="20"/>
          <w:color w:val="auto"/>
        </w:rPr>
      </w:pPr>
    </w:p>
    <w:p>
      <w:pPr>
        <w:sectPr>
          <w:pgSz w:w="11900" w:h="16838" w:orient="portrait"/>
          <w:cols w:equalWidth="0" w:num="2">
            <w:col w:w="5480" w:space="340"/>
            <w:col w:w="5600"/>
          </w:cols>
          <w:pgMar w:left="240" w:top="459" w:right="239" w:bottom="1440" w:gutter="0" w:footer="0" w:header="0"/>
          <w:type w:val="continuous"/>
        </w:sectPr>
      </w:pPr>
    </w:p>
    <w:p>
      <w:pPr>
        <w:spacing w:after="0" w:line="86" w:lineRule="exact"/>
        <w:rPr>
          <w:sz w:val="20"/>
          <w:szCs w:val="20"/>
          <w:color w:val="auto"/>
        </w:rPr>
      </w:pPr>
    </w:p>
    <w:tbl>
      <w:tblPr>
        <w:tblLayout w:type="fixed"/>
        <w:tblInd w:w="6900" w:type="dxa"/>
        <w:tblCellMar>
          <w:top w:w="0" w:type="dxa"/>
          <w:left w:w="0" w:type="dxa"/>
          <w:bottom w:w="0" w:type="dxa"/>
          <w:right w:w="0" w:type="dxa"/>
        </w:tblCellMar>
      </w:tblPr>
      <w:tr>
        <w:trPr>
          <w:trHeight w:val="309"/>
        </w:trPr>
        <w:tc>
          <w:tcPr>
            <w:tcW w:w="4080" w:type="dxa"/>
            <w:vAlign w:val="bottom"/>
            <w:tcBorders>
              <w:right w:val="single" w:sz="8" w:color="225CAB"/>
            </w:tcBorders>
          </w:tcPr>
          <w:p>
            <w:pPr>
              <w:spacing w:after="0"/>
              <w:rPr>
                <w:sz w:val="20"/>
                <w:szCs w:val="20"/>
                <w:color w:val="auto"/>
              </w:rPr>
            </w:pPr>
            <w:r>
              <w:rPr>
                <w:rFonts w:ascii="Arial" w:cs="Arial" w:eastAsia="Arial" w:hAnsi="Arial"/>
                <w:sz w:val="18"/>
                <w:szCs w:val="18"/>
                <w:b w:val="1"/>
                <w:bCs w:val="1"/>
                <w:color w:val="225CAB"/>
                <w:w w:val="99"/>
              </w:rPr>
              <w:t>Roper Technologies, Inc. 2016 Proxy Statement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225CAB"/>
              </w:rPr>
              <w:t>23</w:t>
            </w:r>
          </w:p>
        </w:tc>
      </w:tr>
      <w:tr>
        <w:trPr>
          <w:trHeight w:val="83"/>
        </w:trPr>
        <w:tc>
          <w:tcPr>
            <w:tcW w:w="4080" w:type="dxa"/>
            <w:vAlign w:val="bottom"/>
            <w:tcBorders>
              <w:right w:val="single" w:sz="8" w:color="225CAB"/>
            </w:tcBorders>
          </w:tcPr>
          <w:p>
            <w:pPr>
              <w:spacing w:after="0"/>
              <w:rPr>
                <w:sz w:val="7"/>
                <w:szCs w:val="7"/>
                <w:color w:val="auto"/>
              </w:rPr>
            </w:pPr>
          </w:p>
        </w:tc>
        <w:tc>
          <w:tcPr>
            <w:tcW w:w="44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-213995</wp:posOffset>
            </wp:positionV>
            <wp:extent cx="420370" cy="2057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225CAB"/>
        </w:rPr>
        <w:t xml:space="preserve">COMPENSATION DISCUSSION AND ANALYSIS </w:t>
      </w:r>
      <w:r>
        <w:rPr>
          <w:rFonts w:ascii="Arial" w:cs="Arial" w:eastAsia="Arial" w:hAnsi="Arial"/>
          <w:sz w:val="18"/>
          <w:szCs w:val="18"/>
          <w:i w:val="1"/>
          <w:iCs w:val="1"/>
          <w:color w:val="225CAB"/>
        </w:rPr>
        <w:t>(CONTINUED)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225CAB"/>
        </w:rPr>
        <w:t>Other Pay Elements</w:t>
      </w:r>
    </w:p>
    <w:p>
      <w:pPr>
        <w:spacing w:after="0" w:line="99"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As Roper has largely avoided perquisites, supplemental pensions, and other compensation not tied to performance, the other items summarized below represent only a small portion of executives’ total compensation.</w:t>
      </w:r>
    </w:p>
    <w:p>
      <w:pPr>
        <w:sectPr>
          <w:pgSz w:w="11900" w:h="16838" w:orient="portrait"/>
          <w:cols w:equalWidth="0" w:num="1">
            <w:col w:w="11220"/>
          </w:cols>
          <w:pgMar w:left="240" w:top="459" w:right="439" w:bottom="1440" w:gutter="0" w:footer="0" w:header="0"/>
        </w:sect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Retirement Benefits</w:t>
      </w:r>
    </w:p>
    <w:p>
      <w:pPr>
        <w:spacing w:after="0" w:line="97" w:lineRule="exact"/>
        <w:rPr>
          <w:sz w:val="20"/>
          <w:szCs w:val="20"/>
          <w:color w:val="auto"/>
        </w:rPr>
      </w:pPr>
    </w:p>
    <w:p>
      <w:pPr>
        <w:ind w:left="200" w:right="100" w:hanging="192"/>
        <w:spacing w:after="0" w:line="237" w:lineRule="auto"/>
        <w:tabs>
          <w:tab w:leader="none" w:pos="2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Executives may participate under the same terms as other eligible employees in a 401(k) program that provides matching contributions capped at 7.5% of base salary, subject to limitations imposed by the Code.</w:t>
      </w:r>
    </w:p>
    <w:p>
      <w:pPr>
        <w:spacing w:after="0" w:line="195" w:lineRule="exact"/>
        <w:rPr>
          <w:rFonts w:ascii="Arial" w:cs="Arial" w:eastAsia="Arial" w:hAnsi="Arial"/>
          <w:sz w:val="18"/>
          <w:szCs w:val="18"/>
          <w:color w:val="auto"/>
        </w:rPr>
      </w:pPr>
    </w:p>
    <w:p>
      <w:pPr>
        <w:ind w:left="200" w:hanging="192"/>
        <w:spacing w:after="0" w:line="236" w:lineRule="auto"/>
        <w:tabs>
          <w:tab w:leader="none" w:pos="2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provide financial planning flexibility, we maintain a Non-Qualified Deferred Compensation Plan, pursuant to which executive officers may elect to defer cash compensation. This plan is intended to provide deferred compensation benefits that would have been earned under the tax-qualified 401(k) program but for certain limitations imposed by the Code. For more information on this plan, see the “Executive Compensation—2015 Non-Qualified Deferred Compensation” section below.</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Perquisites and Other Benefits</w:t>
      </w:r>
    </w:p>
    <w:p>
      <w:pPr>
        <w:spacing w:after="0" w:line="97"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Perquisites and other non-cash benefits offered to executive officers are limited to the following:</w:t>
      </w:r>
    </w:p>
    <w:p>
      <w:pPr>
        <w:spacing w:after="0" w:line="74" w:lineRule="exact"/>
        <w:rPr>
          <w:sz w:val="20"/>
          <w:szCs w:val="20"/>
          <w:color w:val="auto"/>
        </w:rPr>
      </w:pPr>
    </w:p>
    <w:p>
      <w:pPr>
        <w:ind w:left="200" w:right="120" w:hanging="192"/>
        <w:spacing w:after="0" w:line="239" w:lineRule="auto"/>
        <w:tabs>
          <w:tab w:leader="none" w:pos="2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automobile allowance and club membership when they have a business purpose.</w:t>
      </w:r>
    </w:p>
    <w:p>
      <w:pPr>
        <w:spacing w:after="0" w:line="73" w:lineRule="exact"/>
        <w:rPr>
          <w:rFonts w:ascii="Arial" w:cs="Arial" w:eastAsia="Arial" w:hAnsi="Arial"/>
          <w:sz w:val="18"/>
          <w:szCs w:val="18"/>
          <w:color w:val="auto"/>
        </w:rPr>
      </w:pPr>
    </w:p>
    <w:p>
      <w:pPr>
        <w:ind w:left="200" w:hanging="192"/>
        <w:spacing w:after="0"/>
        <w:tabs>
          <w:tab w:leader="none" w:pos="2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Reimbursement for financial planning expenses.</w:t>
      </w:r>
    </w:p>
    <w:p>
      <w:pPr>
        <w:spacing w:after="0" w:line="76" w:lineRule="exact"/>
        <w:rPr>
          <w:rFonts w:ascii="Arial" w:cs="Arial" w:eastAsia="Arial" w:hAnsi="Arial"/>
          <w:sz w:val="18"/>
          <w:szCs w:val="18"/>
          <w:color w:val="auto"/>
        </w:rPr>
      </w:pPr>
    </w:p>
    <w:p>
      <w:pPr>
        <w:ind w:left="200" w:right="320" w:hanging="192"/>
        <w:spacing w:after="0" w:line="239" w:lineRule="auto"/>
        <w:tabs>
          <w:tab w:leader="none" w:pos="2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Medical Reimbursement Plan covering certain expenses was eliminated effective for 2015.</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Severance and Change-in-Control Provisions</w:t>
      </w:r>
    </w:p>
    <w:p>
      <w:pPr>
        <w:spacing w:after="0" w:line="97"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We have an employment agreement only with Mr. Jellison and letter agreements only with Messrs. Humphrey and Liner. These arrangements provide severance benefits in the event of termination of employment under certain circumstances, including a change-in-control. For a description of these agreements and payments under various termination scenarios, see the “Potential Payments upon Termination or Change in Control” section below.</w:t>
      </w:r>
    </w:p>
    <w:p>
      <w:pPr>
        <w:spacing w:after="0" w:line="74"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In regard to equity awards, we use a “double trigger” approach to vesting upon a change in control, rather than providing for vesting solely upon a change in control (“single trigger”), because we believe it provides adequate protection and reduces potential costs for a possible acquirer of the Company. See the “Potential Payments upon Termination or Change in Control” section below for additional detail.</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No Tax Gross-Ups</w:t>
      </w:r>
    </w:p>
    <w:p>
      <w:pPr>
        <w:spacing w:after="0" w:line="9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An executive may be subject to excise taxes on benefits received in relation to a change in control of the Company. We do not provide excise-tax gross-ups to executives to place the executive in the same tax position as if the excise tax did not apply.</w:t>
      </w:r>
    </w:p>
    <w:p>
      <w:pPr>
        <w:spacing w:after="0" w:line="969" w:lineRule="exact"/>
        <w:rPr>
          <w:sz w:val="20"/>
          <w:szCs w:val="20"/>
          <w:color w:val="auto"/>
        </w:rPr>
      </w:pPr>
    </w:p>
    <w:p>
      <w:pPr>
        <w:sectPr>
          <w:pgSz w:w="11900" w:h="16838" w:orient="portrait"/>
          <w:cols w:equalWidth="0" w:num="2">
            <w:col w:w="5420" w:space="400"/>
            <w:col w:w="5400"/>
          </w:cols>
          <w:pgMar w:left="240" w:top="459" w:right="439" w:bottom="1440" w:gutter="0" w:footer="0" w:header="0"/>
          <w:type w:val="continuous"/>
        </w:sectPr>
      </w:pP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336"/>
        </w:trPr>
        <w:tc>
          <w:tcPr>
            <w:tcW w:w="340" w:type="dxa"/>
            <w:vAlign w:val="bottom"/>
            <w:tcBorders>
              <w:right w:val="single" w:sz="8" w:color="225CAB"/>
            </w:tcBorders>
          </w:tcPr>
          <w:p>
            <w:pPr>
              <w:jc w:val="right"/>
              <w:ind w:right="52"/>
              <w:spacing w:after="0"/>
              <w:rPr>
                <w:sz w:val="20"/>
                <w:szCs w:val="20"/>
                <w:color w:val="auto"/>
              </w:rPr>
            </w:pPr>
            <w:r>
              <w:rPr>
                <w:rFonts w:ascii="Arial" w:cs="Arial" w:eastAsia="Arial" w:hAnsi="Arial"/>
                <w:sz w:val="18"/>
                <w:szCs w:val="18"/>
                <w:b w:val="1"/>
                <w:bCs w:val="1"/>
                <w:color w:val="225CAB"/>
                <w:w w:val="89"/>
              </w:rPr>
              <w:t>24</w:t>
            </w:r>
          </w:p>
        </w:tc>
        <w:tc>
          <w:tcPr>
            <w:tcW w:w="5180" w:type="dxa"/>
            <w:vAlign w:val="bottom"/>
          </w:tcPr>
          <w:p>
            <w:pPr>
              <w:ind w:left="1240"/>
              <w:spacing w:after="0"/>
              <w:rPr>
                <w:sz w:val="20"/>
                <w:szCs w:val="20"/>
                <w:color w:val="auto"/>
              </w:rPr>
            </w:pPr>
            <w:r>
              <w:rPr>
                <w:rFonts w:ascii="Arial" w:cs="Arial" w:eastAsia="Arial" w:hAnsi="Arial"/>
                <w:sz w:val="18"/>
                <w:szCs w:val="18"/>
                <w:b w:val="1"/>
                <w:bCs w:val="1"/>
                <w:color w:val="225CAB"/>
                <w:w w:val="96"/>
              </w:rPr>
              <w:t>Roper Technologies, Inc. 2016 Proxy Statement</w:t>
            </w:r>
          </w:p>
        </w:tc>
      </w:tr>
      <w:tr>
        <w:trPr>
          <w:trHeight w:val="110"/>
        </w:trPr>
        <w:tc>
          <w:tcPr>
            <w:tcW w:w="340" w:type="dxa"/>
            <w:vAlign w:val="bottom"/>
            <w:tcBorders>
              <w:right w:val="single" w:sz="8" w:color="225CAB"/>
            </w:tcBorders>
          </w:tcPr>
          <w:p>
            <w:pPr>
              <w:spacing w:after="0"/>
              <w:rPr>
                <w:sz w:val="9"/>
                <w:szCs w:val="9"/>
                <w:color w:val="auto"/>
              </w:rPr>
            </w:pPr>
          </w:p>
        </w:tc>
        <w:tc>
          <w:tcPr>
            <w:tcW w:w="518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-248285</wp:posOffset>
            </wp:positionV>
            <wp:extent cx="420370" cy="2057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225CAB"/>
        </w:rPr>
        <w:t xml:space="preserve">COMPENSATION DISCUSSION AND ANALYSIS </w:t>
      </w:r>
      <w:r>
        <w:rPr>
          <w:rFonts w:ascii="Arial" w:cs="Arial" w:eastAsia="Arial" w:hAnsi="Arial"/>
          <w:sz w:val="18"/>
          <w:szCs w:val="18"/>
          <w:i w:val="1"/>
          <w:iCs w:val="1"/>
          <w:color w:val="225CAB"/>
        </w:rPr>
        <w:t>(CONTINUED)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225CAB"/>
        </w:rPr>
        <w:t>Mix of Total Compensation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Compensation for our executive officers encourages a long-term focus and closely aligns with shareholder interests.</w:t>
      </w:r>
    </w:p>
    <w:p>
      <w:pPr>
        <w:spacing w:after="0" w:line="77" w:lineRule="exact"/>
        <w:rPr>
          <w:sz w:val="20"/>
          <w:szCs w:val="20"/>
          <w:color w:val="auto"/>
        </w:rPr>
      </w:pPr>
    </w:p>
    <w:p>
      <w:pPr>
        <w:ind w:left="220" w:hanging="212"/>
        <w:spacing w:after="0"/>
        <w:tabs>
          <w:tab w:leader="none" w:pos="2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For 2015, 95% of CEO total direct compensation at target was at risk and tied to stock price and multi-year performance objectives</w:t>
      </w:r>
    </w:p>
    <w:p>
      <w:pPr>
        <w:spacing w:after="0" w:line="135" w:lineRule="exact"/>
        <w:rPr>
          <w:rFonts w:ascii="Arial" w:cs="Arial" w:eastAsia="Arial" w:hAnsi="Arial"/>
          <w:sz w:val="18"/>
          <w:szCs w:val="18"/>
          <w:color w:val="auto"/>
        </w:rPr>
      </w:pPr>
    </w:p>
    <w:p>
      <w:pPr>
        <w:ind w:left="4220"/>
        <w:spacing w:after="0"/>
        <w:rPr>
          <w:rFonts w:ascii="Arial" w:cs="Arial" w:eastAsia="Arial" w:hAnsi="Arial"/>
          <w:sz w:val="18"/>
          <w:szCs w:val="18"/>
          <w:color w:val="auto"/>
        </w:rPr>
      </w:pPr>
      <w:r>
        <w:rPr>
          <w:rFonts w:ascii="Arial" w:cs="Arial" w:eastAsia="Arial" w:hAnsi="Arial"/>
          <w:sz w:val="18"/>
          <w:szCs w:val="18"/>
          <w:b w:val="1"/>
          <w:bCs w:val="1"/>
          <w:color w:val="auto"/>
        </w:rPr>
        <w:t>2015 Total Direct Compensation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4516120</wp:posOffset>
            </wp:positionH>
            <wp:positionV relativeFrom="paragraph">
              <wp:posOffset>60325</wp:posOffset>
            </wp:positionV>
            <wp:extent cx="2066925" cy="206692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066925" cy="206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PROCESS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225CAB"/>
        </w:rPr>
        <w:t>Compensation Committee Oversight</w:t>
      </w:r>
    </w:p>
    <w:p>
      <w:pPr>
        <w:spacing w:after="0" w:line="99"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The Compensation Committee oversees our executive compensation programs to appropriately compensate executives, to motivate executives to achieve our business objectives, and to align our executives’ interests with long-term interests of our shareholders. It reviews each element of compensation for each executive officer and determines any adjustments to compensation structure and levels in light of various considerations including:</w:t>
      </w:r>
    </w:p>
    <w:p>
      <w:pPr>
        <w:spacing w:after="0" w:line="74" w:lineRule="exact"/>
        <w:rPr>
          <w:sz w:val="20"/>
          <w:szCs w:val="20"/>
          <w:color w:val="auto"/>
        </w:rPr>
      </w:pPr>
    </w:p>
    <w:p>
      <w:pPr>
        <w:ind w:left="440" w:hanging="216"/>
        <w:spacing w:after="0"/>
        <w:tabs>
          <w:tab w:leader="none" w:pos="4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scope of the executive officer’s responsibilities, performance and experience as well as competitive compensation levels;</w:t>
      </w:r>
    </w:p>
    <w:p>
      <w:pPr>
        <w:spacing w:after="0" w:line="76" w:lineRule="exact"/>
        <w:rPr>
          <w:rFonts w:ascii="Arial" w:cs="Arial" w:eastAsia="Arial" w:hAnsi="Arial"/>
          <w:sz w:val="18"/>
          <w:szCs w:val="18"/>
          <w:color w:val="auto"/>
        </w:rPr>
      </w:pPr>
    </w:p>
    <w:p>
      <w:pPr>
        <w:ind w:left="440" w:hanging="216"/>
        <w:spacing w:after="0"/>
        <w:tabs>
          <w:tab w:leader="none" w:pos="4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financial results against prior periods;</w:t>
      </w:r>
    </w:p>
    <w:p>
      <w:pPr>
        <w:spacing w:after="0" w:line="76" w:lineRule="exact"/>
        <w:rPr>
          <w:rFonts w:ascii="Arial" w:cs="Arial" w:eastAsia="Arial" w:hAnsi="Arial"/>
          <w:sz w:val="18"/>
          <w:szCs w:val="18"/>
          <w:color w:val="auto"/>
        </w:rPr>
      </w:pPr>
    </w:p>
    <w:p>
      <w:pPr>
        <w:ind w:left="440" w:hanging="216"/>
        <w:spacing w:after="0"/>
        <w:tabs>
          <w:tab w:leader="none" w:pos="4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structure of our compensation programs relative to sound risk management, as discussed with management;</w:t>
      </w:r>
    </w:p>
    <w:p>
      <w:pPr>
        <w:spacing w:after="0" w:line="76" w:lineRule="exact"/>
        <w:rPr>
          <w:rFonts w:ascii="Arial" w:cs="Arial" w:eastAsia="Arial" w:hAnsi="Arial"/>
          <w:sz w:val="18"/>
          <w:szCs w:val="18"/>
          <w:color w:val="auto"/>
        </w:rPr>
      </w:pPr>
    </w:p>
    <w:p>
      <w:pPr>
        <w:ind w:left="440" w:hanging="216"/>
        <w:spacing w:after="0"/>
        <w:tabs>
          <w:tab w:leader="none" w:pos="4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results of the advisory shareholder vote on the compensation of our executive officers and input from investors; and</w:t>
      </w:r>
    </w:p>
    <w:p>
      <w:pPr>
        <w:spacing w:after="0" w:line="76" w:lineRule="exact"/>
        <w:rPr>
          <w:rFonts w:ascii="Arial" w:cs="Arial" w:eastAsia="Arial" w:hAnsi="Arial"/>
          <w:sz w:val="18"/>
          <w:szCs w:val="18"/>
          <w:color w:val="auto"/>
        </w:rPr>
      </w:pPr>
    </w:p>
    <w:p>
      <w:pPr>
        <w:ind w:left="440" w:right="620" w:hanging="216"/>
        <w:spacing w:after="0" w:line="239" w:lineRule="auto"/>
        <w:tabs>
          <w:tab w:leader="none" w:pos="4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Competitive pressures from private equity and capital deployment companies, as well as market practices and external developments generally.</w:t>
      </w:r>
    </w:p>
    <w:p>
      <w:pPr>
        <w:spacing w:after="0" w:line="74"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The Compensation Committee has maintained a simple program that drives long-term performance and superior value creation for shareholders and believes it has enabled Roper to attract, retain, and motivate a world-class management team.</w:t>
      </w:r>
    </w:p>
    <w:p>
      <w:pPr>
        <w:spacing w:after="0" w:line="138" w:lineRule="exact"/>
        <w:rPr>
          <w:sz w:val="20"/>
          <w:szCs w:val="20"/>
          <w:color w:val="auto"/>
        </w:rPr>
      </w:pPr>
    </w:p>
    <w:tbl>
      <w:tblPr>
        <w:tblLayout w:type="fixed"/>
        <w:tblInd w:w="6900" w:type="dxa"/>
        <w:tblCellMar>
          <w:top w:w="0" w:type="dxa"/>
          <w:left w:w="0" w:type="dxa"/>
          <w:bottom w:w="0" w:type="dxa"/>
          <w:right w:w="0" w:type="dxa"/>
        </w:tblCellMar>
      </w:tblPr>
      <w:tr>
        <w:trPr>
          <w:trHeight w:val="309"/>
        </w:trPr>
        <w:tc>
          <w:tcPr>
            <w:tcW w:w="4080" w:type="dxa"/>
            <w:vAlign w:val="bottom"/>
            <w:tcBorders>
              <w:right w:val="single" w:sz="8" w:color="225CAB"/>
            </w:tcBorders>
          </w:tcPr>
          <w:p>
            <w:pPr>
              <w:spacing w:after="0"/>
              <w:rPr>
                <w:sz w:val="20"/>
                <w:szCs w:val="20"/>
                <w:color w:val="auto"/>
              </w:rPr>
            </w:pPr>
            <w:r>
              <w:rPr>
                <w:rFonts w:ascii="Arial" w:cs="Arial" w:eastAsia="Arial" w:hAnsi="Arial"/>
                <w:sz w:val="18"/>
                <w:szCs w:val="18"/>
                <w:b w:val="1"/>
                <w:bCs w:val="1"/>
                <w:color w:val="225CAB"/>
                <w:w w:val="99"/>
              </w:rPr>
              <w:t>Roper Technologies, Inc. 2016 Proxy Statement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225CAB"/>
              </w:rPr>
              <w:t>25</w:t>
            </w:r>
          </w:p>
        </w:tc>
      </w:tr>
      <w:tr>
        <w:trPr>
          <w:trHeight w:val="83"/>
        </w:trPr>
        <w:tc>
          <w:tcPr>
            <w:tcW w:w="4080" w:type="dxa"/>
            <w:vAlign w:val="bottom"/>
            <w:tcBorders>
              <w:right w:val="single" w:sz="8" w:color="225CAB"/>
            </w:tcBorders>
          </w:tcPr>
          <w:p>
            <w:pPr>
              <w:spacing w:after="0"/>
              <w:rPr>
                <w:sz w:val="7"/>
                <w:szCs w:val="7"/>
                <w:color w:val="auto"/>
              </w:rPr>
            </w:pPr>
          </w:p>
        </w:tc>
        <w:tc>
          <w:tcPr>
            <w:tcW w:w="44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-213995</wp:posOffset>
            </wp:positionV>
            <wp:extent cx="420370" cy="2057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225CAB"/>
        </w:rPr>
        <w:t xml:space="preserve">COMPENSATION DISCUSSION AND ANALYSIS </w:t>
      </w:r>
      <w:r>
        <w:rPr>
          <w:rFonts w:ascii="Arial" w:cs="Arial" w:eastAsia="Arial" w:hAnsi="Arial"/>
          <w:sz w:val="18"/>
          <w:szCs w:val="18"/>
          <w:i w:val="1"/>
          <w:iCs w:val="1"/>
          <w:color w:val="225CAB"/>
        </w:rPr>
        <w:t>(CONTINUED)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225CAB"/>
        </w:rPr>
        <w:t>Consulting Assistance</w:t>
      </w:r>
    </w:p>
    <w:p>
      <w:pPr>
        <w:spacing w:after="0" w:line="99" w:lineRule="exact"/>
        <w:rPr>
          <w:sz w:val="20"/>
          <w:szCs w:val="20"/>
          <w:color w:val="auto"/>
        </w:rPr>
      </w:pPr>
    </w:p>
    <w:p>
      <w:pPr>
        <w:ind w:right="480"/>
        <w:spacing w:after="0" w:line="239" w:lineRule="auto"/>
        <w:rPr>
          <w:sz w:val="20"/>
          <w:szCs w:val="20"/>
          <w:color w:val="auto"/>
        </w:rPr>
      </w:pPr>
      <w:r>
        <w:rPr>
          <w:rFonts w:ascii="Arial" w:cs="Arial" w:eastAsia="Arial" w:hAnsi="Arial"/>
          <w:sz w:val="18"/>
          <w:szCs w:val="18"/>
          <w:color w:val="auto"/>
        </w:rPr>
        <w:t>For 2015, the Compensation Committee retained Frederic W. Cook &amp; Co., Inc. (the “Consultant”) to provide the Committee with independent, objective analysis and professional opinions on executive compensation.</w:t>
      </w:r>
    </w:p>
    <w:p>
      <w:pPr>
        <w:spacing w:after="0" w:line="74" w:lineRule="exact"/>
        <w:rPr>
          <w:sz w:val="20"/>
          <w:szCs w:val="20"/>
          <w:color w:val="auto"/>
        </w:rPr>
      </w:pPr>
    </w:p>
    <w:p>
      <w:pPr>
        <w:ind w:left="440" w:right="400" w:hanging="216"/>
        <w:spacing w:after="0" w:line="239" w:lineRule="auto"/>
        <w:tabs>
          <w:tab w:leader="none" w:pos="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Consultant is independent, reports directly to the Chair of the Compensation Committee and has never performed other work for the Company. The Committee determined that its engagement of the Consultant did not raise any conflicts of interest.</w:t>
      </w:r>
    </w:p>
    <w:p>
      <w:pPr>
        <w:spacing w:after="0" w:line="73" w:lineRule="exact"/>
        <w:rPr>
          <w:rFonts w:ascii="Arial" w:cs="Arial" w:eastAsia="Arial" w:hAnsi="Arial"/>
          <w:sz w:val="18"/>
          <w:szCs w:val="18"/>
          <w:color w:val="auto"/>
        </w:rPr>
      </w:pPr>
    </w:p>
    <w:p>
      <w:pPr>
        <w:ind w:left="440" w:right="280" w:hanging="216"/>
        <w:spacing w:after="0" w:line="239" w:lineRule="auto"/>
        <w:tabs>
          <w:tab w:leader="none" w:pos="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Consultant generally attends all meetings of the Compensation Committee where evaluations of the effectiveness of overall executive compensation programs are conducted or where compensation for executive officers is analyzed or approved.</w:t>
      </w:r>
    </w:p>
    <w:p>
      <w:pPr>
        <w:spacing w:after="0" w:line="73" w:lineRule="exact"/>
        <w:rPr>
          <w:rFonts w:ascii="Arial" w:cs="Arial" w:eastAsia="Arial" w:hAnsi="Arial"/>
          <w:sz w:val="18"/>
          <w:szCs w:val="18"/>
          <w:color w:val="auto"/>
        </w:rPr>
      </w:pPr>
    </w:p>
    <w:p>
      <w:pPr>
        <w:ind w:left="440" w:right="600" w:hanging="216"/>
        <w:spacing w:after="0" w:line="239" w:lineRule="auto"/>
        <w:tabs>
          <w:tab w:leader="none" w:pos="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Compensation Committee Chair meets with the Consultant in advance of Committee meetings and confers via telephone with the Consultant between meetings.</w:t>
      </w:r>
    </w:p>
    <w:p>
      <w:pPr>
        <w:spacing w:after="0" w:line="73" w:lineRule="exact"/>
        <w:rPr>
          <w:rFonts w:ascii="Arial" w:cs="Arial" w:eastAsia="Arial" w:hAnsi="Arial"/>
          <w:sz w:val="18"/>
          <w:szCs w:val="18"/>
          <w:color w:val="auto"/>
        </w:rPr>
      </w:pPr>
    </w:p>
    <w:p>
      <w:pPr>
        <w:ind w:left="440" w:right="520" w:hanging="216"/>
        <w:spacing w:after="0" w:line="299" w:lineRule="auto"/>
        <w:tabs>
          <w:tab w:leader="none" w:pos="4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Consultant assists in gathering and analyzing market data on compensation levels, and provides expert knowledge of marketplace trends and best practices relating to competitive pay levels as well as developments in regulatory and technical matters.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225CAB"/>
        </w:rPr>
        <w:t>Role of Our Executive Officers</w:t>
      </w:r>
    </w:p>
    <w:p>
      <w:pPr>
        <w:spacing w:after="0" w:line="99"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While the Compensation Committee is ultimately responsible for making all compensation decisions affecting our executive officers, our Chief Executive Officer participates in the process because of his close day-to-day association with the other executive officers and his knowledge of the Company’s diverse business operations.</w:t>
      </w:r>
    </w:p>
    <w:p>
      <w:pPr>
        <w:spacing w:after="0" w:line="73" w:lineRule="exact"/>
        <w:rPr>
          <w:sz w:val="20"/>
          <w:szCs w:val="20"/>
          <w:color w:val="auto"/>
        </w:rPr>
      </w:pPr>
    </w:p>
    <w:p>
      <w:pPr>
        <w:ind w:left="440" w:hanging="216"/>
        <w:spacing w:after="0" w:line="238" w:lineRule="auto"/>
        <w:tabs>
          <w:tab w:leader="none" w:pos="4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Chief Executive Officer periodically discusses with the Compensation Committee the performance of the Company and of each executive officer, including himself. The Chief Executive Officer also discusses with the Committee the performance of key executives reporting to his direct reports.</w:t>
      </w:r>
    </w:p>
    <w:p>
      <w:pPr>
        <w:spacing w:after="0" w:line="72" w:lineRule="exact"/>
        <w:rPr>
          <w:rFonts w:ascii="Arial" w:cs="Arial" w:eastAsia="Arial" w:hAnsi="Arial"/>
          <w:sz w:val="18"/>
          <w:szCs w:val="18"/>
          <w:color w:val="auto"/>
        </w:rPr>
      </w:pPr>
    </w:p>
    <w:p>
      <w:pPr>
        <w:ind w:left="440" w:right="120" w:hanging="216"/>
        <w:spacing w:after="0" w:line="238" w:lineRule="auto"/>
        <w:tabs>
          <w:tab w:leader="none" w:pos="4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Chief Executive Officer makes recommendations on the components of compensation for the executive officers, other than himself, and does not participate in the portion of the Committee meeting regarding the review of his own performance or the determination of the actual amounts of his compensation.</w:t>
      </w:r>
    </w:p>
    <w:p>
      <w:pPr>
        <w:spacing w:after="0" w:line="73"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The other executive officers provide support to the Committee, as needed, in regard to their respective technical areas. Our Chief Financial Officer also assists the Compensation Committee as an information resource in regard to metrics related to incentive compensation.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225CAB"/>
        </w:rPr>
        <w:t>Market Benchmarking</w:t>
      </w:r>
    </w:p>
    <w:p>
      <w:pPr>
        <w:spacing w:after="0" w:line="99"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Market pay levels and practices, including those of a self-selected peer group, are one of many factors the Compensation Committee considers in making compensation decisions.</w:t>
      </w:r>
    </w:p>
    <w:p>
      <w:pPr>
        <w:sectPr>
          <w:pgSz w:w="11900" w:h="16838" w:orient="portrait"/>
          <w:cols w:equalWidth="0" w:num="1">
            <w:col w:w="11420"/>
          </w:cols>
          <w:pgMar w:left="240" w:top="459" w:right="239" w:bottom="1440" w:gutter="0" w:footer="0" w:header="0"/>
        </w:sect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Purpose</w:t>
      </w:r>
    </w:p>
    <w:p>
      <w:pPr>
        <w:spacing w:after="0" w:line="97" w:lineRule="exact"/>
        <w:rPr>
          <w:sz w:val="20"/>
          <w:szCs w:val="20"/>
          <w:color w:val="auto"/>
        </w:rPr>
      </w:pPr>
    </w:p>
    <w:p>
      <w:pPr>
        <w:ind w:left="200" w:hanging="192"/>
        <w:spacing w:after="0" w:line="237" w:lineRule="auto"/>
        <w:tabs>
          <w:tab w:leader="none" w:pos="2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benchmark to provide an external frame of reference on range and reasonableness of compensation levels and practices. Market information is used as a data point in decision-making, and not as a primary factor.</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Challenges</w:t>
      </w:r>
    </w:p>
    <w:p>
      <w:pPr>
        <w:spacing w:after="0" w:line="97" w:lineRule="exact"/>
        <w:rPr>
          <w:sz w:val="20"/>
          <w:szCs w:val="20"/>
          <w:color w:val="auto"/>
        </w:rPr>
      </w:pPr>
    </w:p>
    <w:p>
      <w:pPr>
        <w:ind w:left="200" w:right="40" w:hanging="192"/>
        <w:spacing w:after="0" w:line="236" w:lineRule="auto"/>
        <w:tabs>
          <w:tab w:leader="none" w:pos="2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high-margin, asset-light model and diversified end-markets make it challenging to select peers using traditional criteria such as revenue, industry codes or competitors. Roper’s operating businesses have peers that can be assigned by industry, but at the enterprise level Roper has no peers that match our diverse set of businesses and unique operating</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jc w:val="both"/>
        <w:ind w:left="200" w:right="260"/>
        <w:spacing w:after="0" w:line="238" w:lineRule="auto"/>
        <w:rPr>
          <w:sz w:val="20"/>
          <w:szCs w:val="20"/>
          <w:color w:val="auto"/>
        </w:rPr>
      </w:pPr>
      <w:r>
        <w:rPr>
          <w:rFonts w:ascii="Arial" w:cs="Arial" w:eastAsia="Arial" w:hAnsi="Arial"/>
          <w:sz w:val="18"/>
          <w:szCs w:val="18"/>
          <w:color w:val="auto"/>
        </w:rPr>
        <w:t>model. Given our valuation relative to revenue, using only revenue in measuring size understates Roper’s overall value and is a poor indicator of Roper’s relative value.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Private Equity</w:t>
      </w:r>
    </w:p>
    <w:p>
      <w:pPr>
        <w:spacing w:after="0" w:line="97" w:lineRule="exact"/>
        <w:rPr>
          <w:sz w:val="20"/>
          <w:szCs w:val="20"/>
          <w:color w:val="auto"/>
        </w:rPr>
      </w:pPr>
    </w:p>
    <w:p>
      <w:pPr>
        <w:ind w:left="200" w:right="180" w:hanging="192"/>
        <w:spacing w:after="0" w:line="270" w:lineRule="auto"/>
        <w:tabs>
          <w:tab w:leader="none" w:pos="2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Given the capital deployment responsibilities of our executive officers and the private equity-like nature of our business, we consider the compensation levels and practices used by private equity companies that offer comprehensive programs, which often include co-investment and leveraged carried-interest opportunities. We do not allow our executives to co-invest in Company investments, nor do they benefit from carried-interest tax treatment.</w:t>
      </w:r>
    </w:p>
    <w:p>
      <w:pPr>
        <w:spacing w:after="0" w:line="458" w:lineRule="exact"/>
        <w:rPr>
          <w:sz w:val="20"/>
          <w:szCs w:val="20"/>
          <w:color w:val="auto"/>
        </w:rPr>
      </w:pPr>
    </w:p>
    <w:p>
      <w:pPr>
        <w:sectPr>
          <w:pgSz w:w="11900" w:h="16838" w:orient="portrait"/>
          <w:cols w:equalWidth="0" w:num="2">
            <w:col w:w="5440" w:space="380"/>
            <w:col w:w="5600"/>
          </w:cols>
          <w:pgMar w:left="240" w:top="459" w:right="239" w:bottom="1440" w:gutter="0" w:footer="0" w:header="0"/>
          <w:type w:val="continuous"/>
        </w:sectPr>
      </w:pP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336"/>
        </w:trPr>
        <w:tc>
          <w:tcPr>
            <w:tcW w:w="340" w:type="dxa"/>
            <w:vAlign w:val="bottom"/>
            <w:tcBorders>
              <w:right w:val="single" w:sz="8" w:color="225CAB"/>
            </w:tcBorders>
          </w:tcPr>
          <w:p>
            <w:pPr>
              <w:jc w:val="right"/>
              <w:ind w:right="52"/>
              <w:spacing w:after="0"/>
              <w:rPr>
                <w:sz w:val="20"/>
                <w:szCs w:val="20"/>
                <w:color w:val="auto"/>
              </w:rPr>
            </w:pPr>
            <w:r>
              <w:rPr>
                <w:rFonts w:ascii="Arial" w:cs="Arial" w:eastAsia="Arial" w:hAnsi="Arial"/>
                <w:sz w:val="18"/>
                <w:szCs w:val="18"/>
                <w:b w:val="1"/>
                <w:bCs w:val="1"/>
                <w:color w:val="225CAB"/>
                <w:w w:val="89"/>
              </w:rPr>
              <w:t>26</w:t>
            </w:r>
          </w:p>
        </w:tc>
        <w:tc>
          <w:tcPr>
            <w:tcW w:w="5180" w:type="dxa"/>
            <w:vAlign w:val="bottom"/>
          </w:tcPr>
          <w:p>
            <w:pPr>
              <w:ind w:left="1240"/>
              <w:spacing w:after="0"/>
              <w:rPr>
                <w:sz w:val="20"/>
                <w:szCs w:val="20"/>
                <w:color w:val="auto"/>
              </w:rPr>
            </w:pPr>
            <w:r>
              <w:rPr>
                <w:rFonts w:ascii="Arial" w:cs="Arial" w:eastAsia="Arial" w:hAnsi="Arial"/>
                <w:sz w:val="18"/>
                <w:szCs w:val="18"/>
                <w:b w:val="1"/>
                <w:bCs w:val="1"/>
                <w:color w:val="225CAB"/>
                <w:w w:val="96"/>
              </w:rPr>
              <w:t>Roper Technologies, Inc. 2016 Proxy Statement</w:t>
            </w:r>
          </w:p>
        </w:tc>
      </w:tr>
      <w:tr>
        <w:trPr>
          <w:trHeight w:val="110"/>
        </w:trPr>
        <w:tc>
          <w:tcPr>
            <w:tcW w:w="340" w:type="dxa"/>
            <w:vAlign w:val="bottom"/>
            <w:tcBorders>
              <w:right w:val="single" w:sz="8" w:color="225CAB"/>
            </w:tcBorders>
          </w:tcPr>
          <w:p>
            <w:pPr>
              <w:spacing w:after="0"/>
              <w:rPr>
                <w:sz w:val="9"/>
                <w:szCs w:val="9"/>
                <w:color w:val="auto"/>
              </w:rPr>
            </w:pPr>
          </w:p>
        </w:tc>
        <w:tc>
          <w:tcPr>
            <w:tcW w:w="518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-248285</wp:posOffset>
            </wp:positionV>
            <wp:extent cx="420370" cy="2057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225CAB"/>
        </w:rPr>
        <w:t xml:space="preserve">COMPENSATION DISCUSSION AND ANALYSIS </w:t>
      </w:r>
      <w:r>
        <w:rPr>
          <w:rFonts w:ascii="Arial" w:cs="Arial" w:eastAsia="Arial" w:hAnsi="Arial"/>
          <w:sz w:val="18"/>
          <w:szCs w:val="18"/>
          <w:i w:val="1"/>
          <w:iCs w:val="1"/>
          <w:color w:val="225CAB"/>
        </w:rPr>
        <w:t>(CONTINUED)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2015 Peer Group</w:t>
      </w:r>
    </w:p>
    <w:p>
      <w:pPr>
        <w:spacing w:after="0" w:line="97" w:lineRule="exact"/>
        <w:rPr>
          <w:sz w:val="20"/>
          <w:szCs w:val="20"/>
          <w:color w:val="auto"/>
        </w:rPr>
      </w:pPr>
    </w:p>
    <w:p>
      <w:pPr>
        <w:ind w:left="220" w:right="20" w:hanging="212"/>
        <w:spacing w:after="0" w:line="236" w:lineRule="auto"/>
        <w:tabs>
          <w:tab w:leader="none" w:pos="2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were made to our self-selected peer group for 2015 to reflect our continued strong growth and sustained value creation, our continuing expansion into medical, software, and technology-driven businesses, and market valuation relative to revenues and gross investment. In light of the transformation of our business portfolio, Standard &amp; Poor’s changed our GICS assignment in 2014. The peer companies are listed below along with various size indicators. Danaher, the largest company and the only industrial conglomerate in the group, is included as many of our investors have told us they see Danaher as our closest peer.</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20" w:type="dxa"/>
            <w:vAlign w:val="bottom"/>
            <w:shd w:val="clear" w:color="auto" w:fill="225CAB"/>
          </w:tcPr>
          <w:p>
            <w:pPr>
              <w:spacing w:after="0"/>
              <w:rPr>
                <w:sz w:val="14"/>
                <w:szCs w:val="14"/>
                <w:color w:val="auto"/>
              </w:rPr>
            </w:pPr>
          </w:p>
        </w:tc>
        <w:tc>
          <w:tcPr>
            <w:tcW w:w="1500" w:type="dxa"/>
            <w:vAlign w:val="bottom"/>
            <w:shd w:val="clear" w:color="auto" w:fill="225CAB"/>
          </w:tcPr>
          <w:p>
            <w:pPr>
              <w:spacing w:after="0"/>
              <w:rPr>
                <w:sz w:val="14"/>
                <w:szCs w:val="14"/>
                <w:color w:val="auto"/>
              </w:rPr>
            </w:pPr>
          </w:p>
        </w:tc>
        <w:tc>
          <w:tcPr>
            <w:tcW w:w="1120" w:type="dxa"/>
            <w:vAlign w:val="bottom"/>
            <w:gridSpan w:val="2"/>
            <w:shd w:val="clear" w:color="auto" w:fill="225CAB"/>
          </w:tcPr>
          <w:p>
            <w:pPr>
              <w:jc w:val="center"/>
              <w:spacing w:after="0"/>
              <w:rPr>
                <w:sz w:val="20"/>
                <w:szCs w:val="20"/>
                <w:color w:val="auto"/>
              </w:rPr>
            </w:pPr>
            <w:r>
              <w:rPr>
                <w:rFonts w:ascii="Arial" w:cs="Arial" w:eastAsia="Arial" w:hAnsi="Arial"/>
                <w:sz w:val="14"/>
                <w:szCs w:val="14"/>
                <w:color w:val="FFFFFF"/>
                <w:w w:val="97"/>
              </w:rPr>
              <w:t>Enterprise</w:t>
            </w:r>
          </w:p>
        </w:tc>
        <w:tc>
          <w:tcPr>
            <w:tcW w:w="520" w:type="dxa"/>
            <w:vAlign w:val="bottom"/>
            <w:shd w:val="clear" w:color="auto" w:fill="225CAB"/>
          </w:tcPr>
          <w:p>
            <w:pPr>
              <w:spacing w:after="0"/>
              <w:rPr>
                <w:sz w:val="14"/>
                <w:szCs w:val="14"/>
                <w:color w:val="auto"/>
              </w:rPr>
            </w:pPr>
          </w:p>
        </w:tc>
        <w:tc>
          <w:tcPr>
            <w:tcW w:w="940" w:type="dxa"/>
            <w:vAlign w:val="bottom"/>
            <w:shd w:val="clear" w:color="auto" w:fill="225CAB"/>
          </w:tcPr>
          <w:p>
            <w:pPr>
              <w:jc w:val="right"/>
              <w:ind w:right="452"/>
              <w:spacing w:after="0"/>
              <w:rPr>
                <w:sz w:val="20"/>
                <w:szCs w:val="20"/>
                <w:color w:val="auto"/>
              </w:rPr>
            </w:pPr>
            <w:r>
              <w:rPr>
                <w:rFonts w:ascii="Arial" w:cs="Arial" w:eastAsia="Arial" w:hAnsi="Arial"/>
                <w:sz w:val="14"/>
                <w:szCs w:val="14"/>
                <w:color w:val="FFFFFF"/>
                <w:w w:val="93"/>
              </w:rPr>
              <w:t>Market</w:t>
            </w:r>
          </w:p>
        </w:tc>
        <w:tc>
          <w:tcPr>
            <w:tcW w:w="400" w:type="dxa"/>
            <w:vAlign w:val="bottom"/>
            <w:shd w:val="clear" w:color="auto" w:fill="225CAB"/>
          </w:tcPr>
          <w:p>
            <w:pPr>
              <w:spacing w:after="0"/>
              <w:rPr>
                <w:sz w:val="14"/>
                <w:szCs w:val="14"/>
                <w:color w:val="auto"/>
              </w:rPr>
            </w:pPr>
          </w:p>
        </w:tc>
        <w:tc>
          <w:tcPr>
            <w:tcW w:w="740" w:type="dxa"/>
            <w:vAlign w:val="bottom"/>
            <w:shd w:val="clear" w:color="auto" w:fill="225CAB"/>
          </w:tcPr>
          <w:p>
            <w:pPr>
              <w:spacing w:after="0"/>
              <w:rPr>
                <w:sz w:val="14"/>
                <w:szCs w:val="14"/>
                <w:color w:val="auto"/>
              </w:rPr>
            </w:pPr>
          </w:p>
        </w:tc>
        <w:tc>
          <w:tcPr>
            <w:tcW w:w="400" w:type="dxa"/>
            <w:vAlign w:val="bottom"/>
            <w:shd w:val="clear" w:color="auto" w:fill="225CAB"/>
          </w:tcPr>
          <w:p>
            <w:pPr>
              <w:spacing w:after="0"/>
              <w:rPr>
                <w:sz w:val="14"/>
                <w:szCs w:val="14"/>
                <w:color w:val="auto"/>
              </w:rPr>
            </w:pPr>
          </w:p>
        </w:tc>
        <w:tc>
          <w:tcPr>
            <w:tcW w:w="760" w:type="dxa"/>
            <w:vAlign w:val="bottom"/>
            <w:shd w:val="clear" w:color="auto" w:fill="225CAB"/>
          </w:tcPr>
          <w:p>
            <w:pPr>
              <w:jc w:val="center"/>
              <w:ind w:right="352"/>
              <w:spacing w:after="0"/>
              <w:rPr>
                <w:sz w:val="20"/>
                <w:szCs w:val="20"/>
                <w:color w:val="auto"/>
              </w:rPr>
            </w:pPr>
            <w:r>
              <w:rPr>
                <w:rFonts w:ascii="Arial" w:cs="Arial" w:eastAsia="Arial" w:hAnsi="Arial"/>
                <w:sz w:val="14"/>
                <w:szCs w:val="14"/>
                <w:color w:val="FFFFFF"/>
              </w:rPr>
              <w:t>Net</w:t>
            </w:r>
          </w:p>
        </w:tc>
        <w:tc>
          <w:tcPr>
            <w:tcW w:w="2820" w:type="dxa"/>
            <w:vAlign w:val="bottom"/>
            <w:shd w:val="clear" w:color="auto" w:fill="225CAB"/>
          </w:tcPr>
          <w:p>
            <w:pPr>
              <w:spacing w:after="0"/>
              <w:rPr>
                <w:sz w:val="14"/>
                <w:szCs w:val="14"/>
                <w:color w:val="auto"/>
              </w:rPr>
            </w:pPr>
          </w:p>
        </w:tc>
      </w:tr>
      <w:tr>
        <w:trPr>
          <w:trHeight w:val="161"/>
        </w:trPr>
        <w:tc>
          <w:tcPr>
            <w:tcW w:w="2220" w:type="dxa"/>
            <w:vAlign w:val="bottom"/>
            <w:shd w:val="clear" w:color="auto" w:fill="225CAB"/>
          </w:tcPr>
          <w:p>
            <w:pPr>
              <w:spacing w:after="0"/>
              <w:rPr>
                <w:sz w:val="14"/>
                <w:szCs w:val="14"/>
                <w:color w:val="auto"/>
              </w:rPr>
            </w:pPr>
          </w:p>
        </w:tc>
        <w:tc>
          <w:tcPr>
            <w:tcW w:w="1500" w:type="dxa"/>
            <w:vAlign w:val="bottom"/>
            <w:shd w:val="clear" w:color="auto" w:fill="225CAB"/>
          </w:tcPr>
          <w:p>
            <w:pPr>
              <w:spacing w:after="0"/>
              <w:rPr>
                <w:sz w:val="14"/>
                <w:szCs w:val="14"/>
                <w:color w:val="auto"/>
              </w:rPr>
            </w:pPr>
          </w:p>
        </w:tc>
        <w:tc>
          <w:tcPr>
            <w:tcW w:w="320" w:type="dxa"/>
            <w:vAlign w:val="bottom"/>
            <w:shd w:val="clear" w:color="auto" w:fill="225CAB"/>
          </w:tcPr>
          <w:p>
            <w:pPr>
              <w:spacing w:after="0"/>
              <w:rPr>
                <w:sz w:val="14"/>
                <w:szCs w:val="14"/>
                <w:color w:val="auto"/>
              </w:rPr>
            </w:pPr>
          </w:p>
        </w:tc>
        <w:tc>
          <w:tcPr>
            <w:tcW w:w="800" w:type="dxa"/>
            <w:vAlign w:val="bottom"/>
            <w:shd w:val="clear" w:color="auto" w:fill="225CAB"/>
          </w:tcPr>
          <w:p>
            <w:pPr>
              <w:jc w:val="center"/>
              <w:ind w:right="233"/>
              <w:spacing w:after="0" w:line="162" w:lineRule="exact"/>
              <w:rPr>
                <w:sz w:val="20"/>
                <w:szCs w:val="20"/>
                <w:color w:val="auto"/>
              </w:rPr>
            </w:pPr>
            <w:r>
              <w:rPr>
                <w:rFonts w:ascii="Arial" w:cs="Arial" w:eastAsia="Arial" w:hAnsi="Arial"/>
                <w:sz w:val="12"/>
                <w:szCs w:val="12"/>
                <w:color w:val="FFFFFF"/>
              </w:rPr>
              <w:t>Value</w:t>
            </w:r>
            <w:r>
              <w:rPr>
                <w:rFonts w:ascii="Arial" w:cs="Arial" w:eastAsia="Arial" w:hAnsi="Arial"/>
                <w:sz w:val="18"/>
                <w:szCs w:val="18"/>
                <w:color w:val="FFFFFF"/>
                <w:vertAlign w:val="superscript"/>
              </w:rPr>
              <w:t>(1)</w:t>
            </w:r>
          </w:p>
        </w:tc>
        <w:tc>
          <w:tcPr>
            <w:tcW w:w="1460" w:type="dxa"/>
            <w:vAlign w:val="bottom"/>
            <w:gridSpan w:val="2"/>
            <w:shd w:val="clear" w:color="auto" w:fill="225CAB"/>
          </w:tcPr>
          <w:p>
            <w:pPr>
              <w:jc w:val="right"/>
              <w:ind w:right="192"/>
              <w:spacing w:after="0" w:line="162" w:lineRule="exact"/>
              <w:rPr>
                <w:sz w:val="20"/>
                <w:szCs w:val="20"/>
                <w:color w:val="auto"/>
              </w:rPr>
            </w:pPr>
            <w:r>
              <w:rPr>
                <w:rFonts w:ascii="Arial" w:cs="Arial" w:eastAsia="Arial" w:hAnsi="Arial"/>
                <w:sz w:val="12"/>
                <w:szCs w:val="12"/>
                <w:color w:val="FFFFFF"/>
              </w:rPr>
              <w:t>Capitalization</w:t>
            </w:r>
            <w:r>
              <w:rPr>
                <w:rFonts w:ascii="Arial" w:cs="Arial" w:eastAsia="Arial" w:hAnsi="Arial"/>
                <w:sz w:val="18"/>
                <w:szCs w:val="18"/>
                <w:color w:val="FFFFFF"/>
                <w:vertAlign w:val="superscript"/>
              </w:rPr>
              <w:t>(1)</w:t>
            </w:r>
          </w:p>
        </w:tc>
        <w:tc>
          <w:tcPr>
            <w:tcW w:w="1140" w:type="dxa"/>
            <w:vAlign w:val="bottom"/>
            <w:gridSpan w:val="2"/>
            <w:shd w:val="clear" w:color="auto" w:fill="225CAB"/>
          </w:tcPr>
          <w:p>
            <w:pPr>
              <w:jc w:val="right"/>
              <w:ind w:right="172"/>
              <w:spacing w:after="0" w:line="162" w:lineRule="exact"/>
              <w:rPr>
                <w:sz w:val="20"/>
                <w:szCs w:val="20"/>
                <w:color w:val="auto"/>
              </w:rPr>
            </w:pPr>
            <w:r>
              <w:rPr>
                <w:rFonts w:ascii="Arial" w:cs="Arial" w:eastAsia="Arial" w:hAnsi="Arial"/>
                <w:sz w:val="12"/>
                <w:szCs w:val="12"/>
                <w:color w:val="FFFFFF"/>
              </w:rPr>
              <w:t>Revenue</w:t>
            </w:r>
            <w:r>
              <w:rPr>
                <w:rFonts w:ascii="Arial" w:cs="Arial" w:eastAsia="Arial" w:hAnsi="Arial"/>
                <w:sz w:val="18"/>
                <w:szCs w:val="18"/>
                <w:color w:val="FFFFFF"/>
                <w:vertAlign w:val="superscript"/>
              </w:rPr>
              <w:t>(2)</w:t>
            </w:r>
          </w:p>
        </w:tc>
        <w:tc>
          <w:tcPr>
            <w:tcW w:w="1160" w:type="dxa"/>
            <w:vAlign w:val="bottom"/>
            <w:gridSpan w:val="2"/>
            <w:shd w:val="clear" w:color="auto" w:fill="225CAB"/>
          </w:tcPr>
          <w:p>
            <w:pPr>
              <w:jc w:val="center"/>
              <w:spacing w:after="0" w:line="162" w:lineRule="exact"/>
              <w:rPr>
                <w:sz w:val="20"/>
                <w:szCs w:val="20"/>
                <w:color w:val="auto"/>
              </w:rPr>
            </w:pPr>
            <w:r>
              <w:rPr>
                <w:rFonts w:ascii="Arial" w:cs="Arial" w:eastAsia="Arial" w:hAnsi="Arial"/>
                <w:sz w:val="12"/>
                <w:szCs w:val="12"/>
                <w:color w:val="FFFFFF"/>
              </w:rPr>
              <w:t xml:space="preserve">Income </w:t>
            </w:r>
            <w:r>
              <w:rPr>
                <w:rFonts w:ascii="Arial" w:cs="Arial" w:eastAsia="Arial" w:hAnsi="Arial"/>
                <w:sz w:val="18"/>
                <w:szCs w:val="18"/>
                <w:color w:val="FFFFFF"/>
                <w:vertAlign w:val="superscript"/>
              </w:rPr>
              <w:t>(2)</w:t>
            </w:r>
          </w:p>
        </w:tc>
        <w:tc>
          <w:tcPr>
            <w:tcW w:w="2820" w:type="dxa"/>
            <w:vAlign w:val="bottom"/>
            <w:shd w:val="clear" w:color="auto" w:fill="225CAB"/>
          </w:tcPr>
          <w:p>
            <w:pPr>
              <w:ind w:left="640"/>
              <w:spacing w:after="0"/>
              <w:rPr>
                <w:sz w:val="20"/>
                <w:szCs w:val="20"/>
                <w:color w:val="auto"/>
              </w:rPr>
            </w:pPr>
            <w:r>
              <w:rPr>
                <w:rFonts w:ascii="Arial" w:cs="Arial" w:eastAsia="Arial" w:hAnsi="Arial"/>
                <w:sz w:val="14"/>
                <w:szCs w:val="14"/>
                <w:color w:val="FFFFFF"/>
              </w:rPr>
              <w:t>Global Industry Classification</w:t>
            </w:r>
          </w:p>
        </w:tc>
      </w:tr>
      <w:tr>
        <w:trPr>
          <w:trHeight w:val="163"/>
        </w:trPr>
        <w:tc>
          <w:tcPr>
            <w:tcW w:w="2220" w:type="dxa"/>
            <w:vAlign w:val="bottom"/>
            <w:shd w:val="clear" w:color="auto" w:fill="225CAB"/>
          </w:tcPr>
          <w:p>
            <w:pPr>
              <w:ind w:left="460"/>
              <w:spacing w:after="0"/>
              <w:rPr>
                <w:sz w:val="20"/>
                <w:szCs w:val="20"/>
                <w:color w:val="auto"/>
              </w:rPr>
            </w:pPr>
            <w:r>
              <w:rPr>
                <w:rFonts w:ascii="Arial" w:cs="Arial" w:eastAsia="Arial" w:hAnsi="Arial"/>
                <w:sz w:val="14"/>
                <w:szCs w:val="14"/>
                <w:color w:val="FFFFFF"/>
              </w:rPr>
              <w:t>Company</w:t>
            </w:r>
          </w:p>
        </w:tc>
        <w:tc>
          <w:tcPr>
            <w:tcW w:w="1500" w:type="dxa"/>
            <w:vAlign w:val="bottom"/>
            <w:shd w:val="clear" w:color="auto" w:fill="225CAB"/>
          </w:tcPr>
          <w:p>
            <w:pPr>
              <w:jc w:val="right"/>
              <w:ind w:right="172"/>
              <w:spacing w:after="0"/>
              <w:rPr>
                <w:sz w:val="20"/>
                <w:szCs w:val="20"/>
                <w:color w:val="auto"/>
              </w:rPr>
            </w:pPr>
            <w:r>
              <w:rPr>
                <w:rFonts w:ascii="Arial" w:cs="Arial" w:eastAsia="Arial" w:hAnsi="Arial"/>
                <w:sz w:val="14"/>
                <w:szCs w:val="14"/>
                <w:color w:val="FFFFFF"/>
              </w:rPr>
              <w:t>Ticker</w:t>
            </w:r>
          </w:p>
        </w:tc>
        <w:tc>
          <w:tcPr>
            <w:tcW w:w="1120" w:type="dxa"/>
            <w:vAlign w:val="bottom"/>
            <w:gridSpan w:val="2"/>
            <w:shd w:val="clear" w:color="auto" w:fill="225CAB"/>
          </w:tcPr>
          <w:p>
            <w:pPr>
              <w:jc w:val="center"/>
              <w:spacing w:after="0"/>
              <w:rPr>
                <w:sz w:val="20"/>
                <w:szCs w:val="20"/>
                <w:color w:val="auto"/>
              </w:rPr>
            </w:pPr>
            <w:r>
              <w:rPr>
                <w:rFonts w:ascii="Arial" w:cs="Arial" w:eastAsia="Arial" w:hAnsi="Arial"/>
                <w:sz w:val="14"/>
                <w:szCs w:val="14"/>
                <w:color w:val="FFFFFF"/>
                <w:w w:val="97"/>
              </w:rPr>
              <w:t>($ millions)</w:t>
            </w:r>
          </w:p>
        </w:tc>
        <w:tc>
          <w:tcPr>
            <w:tcW w:w="520" w:type="dxa"/>
            <w:vAlign w:val="bottom"/>
            <w:shd w:val="clear" w:color="auto" w:fill="225CAB"/>
          </w:tcPr>
          <w:p>
            <w:pPr>
              <w:jc w:val="right"/>
              <w:spacing w:after="0"/>
              <w:rPr>
                <w:sz w:val="20"/>
                <w:szCs w:val="20"/>
                <w:color w:val="auto"/>
              </w:rPr>
            </w:pPr>
            <w:r>
              <w:rPr>
                <w:rFonts w:ascii="Arial" w:cs="Arial" w:eastAsia="Arial" w:hAnsi="Arial"/>
                <w:sz w:val="14"/>
                <w:szCs w:val="14"/>
                <w:color w:val="FFFFFF"/>
              </w:rPr>
              <w:t>($</w:t>
            </w:r>
          </w:p>
        </w:tc>
        <w:tc>
          <w:tcPr>
            <w:tcW w:w="940" w:type="dxa"/>
            <w:vAlign w:val="bottom"/>
            <w:shd w:val="clear" w:color="auto" w:fill="225CAB"/>
          </w:tcPr>
          <w:p>
            <w:pPr>
              <w:jc w:val="right"/>
              <w:ind w:right="332"/>
              <w:spacing w:after="0"/>
              <w:rPr>
                <w:sz w:val="20"/>
                <w:szCs w:val="20"/>
                <w:color w:val="auto"/>
              </w:rPr>
            </w:pPr>
            <w:r>
              <w:rPr>
                <w:rFonts w:ascii="Arial" w:cs="Arial" w:eastAsia="Arial" w:hAnsi="Arial"/>
                <w:sz w:val="14"/>
                <w:szCs w:val="14"/>
                <w:color w:val="FFFFFF"/>
              </w:rPr>
              <w:t>millions)</w:t>
            </w:r>
          </w:p>
        </w:tc>
        <w:tc>
          <w:tcPr>
            <w:tcW w:w="1140" w:type="dxa"/>
            <w:vAlign w:val="bottom"/>
            <w:gridSpan w:val="2"/>
            <w:shd w:val="clear" w:color="auto" w:fill="225CAB"/>
          </w:tcPr>
          <w:p>
            <w:pPr>
              <w:jc w:val="right"/>
              <w:ind w:right="172"/>
              <w:spacing w:after="0"/>
              <w:rPr>
                <w:sz w:val="20"/>
                <w:szCs w:val="20"/>
                <w:color w:val="auto"/>
              </w:rPr>
            </w:pPr>
            <w:r>
              <w:rPr>
                <w:rFonts w:ascii="Arial" w:cs="Arial" w:eastAsia="Arial" w:hAnsi="Arial"/>
                <w:sz w:val="14"/>
                <w:szCs w:val="14"/>
                <w:color w:val="FFFFFF"/>
              </w:rPr>
              <w:t>($ millions)</w:t>
            </w:r>
          </w:p>
        </w:tc>
        <w:tc>
          <w:tcPr>
            <w:tcW w:w="1160" w:type="dxa"/>
            <w:vAlign w:val="bottom"/>
            <w:gridSpan w:val="2"/>
            <w:shd w:val="clear" w:color="auto" w:fill="225CAB"/>
          </w:tcPr>
          <w:p>
            <w:pPr>
              <w:jc w:val="center"/>
              <w:spacing w:after="0"/>
              <w:rPr>
                <w:sz w:val="20"/>
                <w:szCs w:val="20"/>
                <w:color w:val="auto"/>
              </w:rPr>
            </w:pPr>
            <w:r>
              <w:rPr>
                <w:rFonts w:ascii="Arial" w:cs="Arial" w:eastAsia="Arial" w:hAnsi="Arial"/>
                <w:sz w:val="14"/>
                <w:szCs w:val="14"/>
                <w:color w:val="FFFFFF"/>
                <w:w w:val="97"/>
              </w:rPr>
              <w:t>($ millions)</w:t>
            </w:r>
          </w:p>
        </w:tc>
        <w:tc>
          <w:tcPr>
            <w:tcW w:w="2820" w:type="dxa"/>
            <w:vAlign w:val="bottom"/>
            <w:shd w:val="clear" w:color="auto" w:fill="225CAB"/>
          </w:tcPr>
          <w:p>
            <w:pPr>
              <w:ind w:left="600"/>
              <w:spacing w:after="0"/>
              <w:rPr>
                <w:sz w:val="20"/>
                <w:szCs w:val="20"/>
                <w:color w:val="auto"/>
              </w:rPr>
            </w:pPr>
            <w:r>
              <w:rPr>
                <w:rFonts w:ascii="Arial" w:cs="Arial" w:eastAsia="Arial" w:hAnsi="Arial"/>
                <w:sz w:val="14"/>
                <w:szCs w:val="14"/>
                <w:color w:val="FFFFFF"/>
              </w:rPr>
              <w:t>Standard (GICS) Sub-Industry</w:t>
            </w:r>
          </w:p>
        </w:tc>
      </w:tr>
      <w:tr>
        <w:trPr>
          <w:trHeight w:val="149"/>
        </w:trPr>
        <w:tc>
          <w:tcPr>
            <w:tcW w:w="2220" w:type="dxa"/>
            <w:vAlign w:val="bottom"/>
            <w:tcBorders>
              <w:bottom w:val="single" w:sz="8" w:color="225CAB"/>
            </w:tcBorders>
          </w:tcPr>
          <w:p>
            <w:pPr>
              <w:spacing w:after="0" w:line="149" w:lineRule="exact"/>
              <w:rPr>
                <w:sz w:val="20"/>
                <w:szCs w:val="20"/>
                <w:color w:val="auto"/>
              </w:rPr>
            </w:pPr>
            <w:r>
              <w:rPr>
                <w:rFonts w:ascii="Arial" w:cs="Arial" w:eastAsia="Arial" w:hAnsi="Arial"/>
                <w:sz w:val="14"/>
                <w:szCs w:val="14"/>
                <w:color w:val="auto"/>
              </w:rPr>
              <w:t>Danaher</w:t>
            </w:r>
          </w:p>
        </w:tc>
        <w:tc>
          <w:tcPr>
            <w:tcW w:w="1500" w:type="dxa"/>
            <w:vAlign w:val="bottom"/>
            <w:tcBorders>
              <w:bottom w:val="single" w:sz="8" w:color="225CAB"/>
            </w:tcBorders>
          </w:tcPr>
          <w:p>
            <w:pPr>
              <w:jc w:val="right"/>
              <w:ind w:right="132"/>
              <w:spacing w:after="0" w:line="149" w:lineRule="exact"/>
              <w:rPr>
                <w:sz w:val="20"/>
                <w:szCs w:val="20"/>
                <w:color w:val="auto"/>
              </w:rPr>
            </w:pPr>
            <w:r>
              <w:rPr>
                <w:rFonts w:ascii="Arial" w:cs="Arial" w:eastAsia="Arial" w:hAnsi="Arial"/>
                <w:sz w:val="14"/>
                <w:szCs w:val="14"/>
                <w:color w:val="auto"/>
              </w:rPr>
              <w:t>DHR</w:t>
            </w:r>
          </w:p>
        </w:tc>
        <w:tc>
          <w:tcPr>
            <w:tcW w:w="320" w:type="dxa"/>
            <w:vAlign w:val="bottom"/>
            <w:tcBorders>
              <w:bottom w:val="single" w:sz="8" w:color="225CAB"/>
            </w:tcBorders>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225CAB"/>
            </w:tcBorders>
          </w:tcPr>
          <w:p>
            <w:pPr>
              <w:jc w:val="right"/>
              <w:ind w:right="133"/>
              <w:spacing w:after="0" w:line="149" w:lineRule="exact"/>
              <w:rPr>
                <w:sz w:val="20"/>
                <w:szCs w:val="20"/>
                <w:color w:val="auto"/>
              </w:rPr>
            </w:pPr>
            <w:r>
              <w:rPr>
                <w:rFonts w:ascii="Arial" w:cs="Arial" w:eastAsia="Arial" w:hAnsi="Arial"/>
                <w:sz w:val="14"/>
                <w:szCs w:val="14"/>
                <w:color w:val="auto"/>
              </w:rPr>
              <w:t>76,899</w:t>
            </w:r>
          </w:p>
        </w:tc>
        <w:tc>
          <w:tcPr>
            <w:tcW w:w="520" w:type="dxa"/>
            <w:vAlign w:val="bottom"/>
            <w:tcBorders>
              <w:bottom w:val="single" w:sz="8" w:color="225CAB"/>
            </w:tcBorders>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225CAB"/>
            </w:tcBorders>
          </w:tcPr>
          <w:p>
            <w:pPr>
              <w:jc w:val="right"/>
              <w:ind w:right="152"/>
              <w:spacing w:after="0" w:line="149" w:lineRule="exact"/>
              <w:rPr>
                <w:sz w:val="20"/>
                <w:szCs w:val="20"/>
                <w:color w:val="auto"/>
              </w:rPr>
            </w:pPr>
            <w:r>
              <w:rPr>
                <w:rFonts w:ascii="Arial" w:cs="Arial" w:eastAsia="Arial" w:hAnsi="Arial"/>
                <w:sz w:val="14"/>
                <w:szCs w:val="14"/>
                <w:color w:val="auto"/>
              </w:rPr>
              <w:t>63,649</w:t>
            </w:r>
          </w:p>
        </w:tc>
        <w:tc>
          <w:tcPr>
            <w:tcW w:w="400" w:type="dxa"/>
            <w:vAlign w:val="bottom"/>
            <w:tcBorders>
              <w:bottom w:val="single" w:sz="8" w:color="225CAB"/>
            </w:tcBorders>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225CAB"/>
            </w:tcBorders>
          </w:tcPr>
          <w:p>
            <w:pPr>
              <w:jc w:val="right"/>
              <w:ind w:right="132"/>
              <w:spacing w:after="0" w:line="149" w:lineRule="exact"/>
              <w:rPr>
                <w:sz w:val="20"/>
                <w:szCs w:val="20"/>
                <w:color w:val="auto"/>
              </w:rPr>
            </w:pPr>
            <w:r>
              <w:rPr>
                <w:rFonts w:ascii="Arial" w:cs="Arial" w:eastAsia="Arial" w:hAnsi="Arial"/>
                <w:sz w:val="14"/>
                <w:szCs w:val="14"/>
                <w:color w:val="auto"/>
              </w:rPr>
              <w:t>20,563</w:t>
            </w:r>
          </w:p>
        </w:tc>
        <w:tc>
          <w:tcPr>
            <w:tcW w:w="400" w:type="dxa"/>
            <w:vAlign w:val="bottom"/>
            <w:tcBorders>
              <w:bottom w:val="single" w:sz="8" w:color="225CAB"/>
            </w:tcBorders>
          </w:tcPr>
          <w:p>
            <w:pPr>
              <w:ind w:left="220"/>
              <w:spacing w:after="0" w:line="149"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225CAB"/>
            </w:tcBorders>
          </w:tcPr>
          <w:p>
            <w:pPr>
              <w:jc w:val="right"/>
              <w:ind w:right="172"/>
              <w:spacing w:after="0" w:line="149" w:lineRule="exact"/>
              <w:rPr>
                <w:sz w:val="20"/>
                <w:szCs w:val="20"/>
                <w:color w:val="auto"/>
              </w:rPr>
            </w:pPr>
            <w:r>
              <w:rPr>
                <w:rFonts w:ascii="Arial" w:cs="Arial" w:eastAsia="Arial" w:hAnsi="Arial"/>
                <w:sz w:val="14"/>
                <w:szCs w:val="14"/>
                <w:color w:val="auto"/>
              </w:rPr>
              <w:t>3,357</w:t>
            </w:r>
          </w:p>
        </w:tc>
        <w:tc>
          <w:tcPr>
            <w:tcW w:w="2820" w:type="dxa"/>
            <w:vAlign w:val="bottom"/>
            <w:tcBorders>
              <w:bottom w:val="single" w:sz="8" w:color="225CAB"/>
            </w:tcBorders>
          </w:tcPr>
          <w:p>
            <w:pPr>
              <w:ind w:left="200"/>
              <w:spacing w:after="0" w:line="149" w:lineRule="exact"/>
              <w:rPr>
                <w:sz w:val="20"/>
                <w:szCs w:val="20"/>
                <w:color w:val="auto"/>
              </w:rPr>
            </w:pPr>
            <w:r>
              <w:rPr>
                <w:rFonts w:ascii="Arial" w:cs="Arial" w:eastAsia="Arial" w:hAnsi="Arial"/>
                <w:sz w:val="14"/>
                <w:szCs w:val="14"/>
                <w:color w:val="auto"/>
              </w:rPr>
              <w:t>Industrial Conglomerates</w:t>
            </w:r>
          </w:p>
        </w:tc>
      </w:tr>
      <w:tr>
        <w:trPr>
          <w:trHeight w:val="141"/>
        </w:trPr>
        <w:tc>
          <w:tcPr>
            <w:tcW w:w="2220" w:type="dxa"/>
            <w:vAlign w:val="bottom"/>
          </w:tcPr>
          <w:p>
            <w:pPr>
              <w:spacing w:after="0" w:line="141" w:lineRule="exact"/>
              <w:rPr>
                <w:sz w:val="20"/>
                <w:szCs w:val="20"/>
                <w:color w:val="auto"/>
              </w:rPr>
            </w:pPr>
            <w:r>
              <w:rPr>
                <w:rFonts w:ascii="Arial" w:cs="Arial" w:eastAsia="Arial" w:hAnsi="Arial"/>
                <w:sz w:val="14"/>
                <w:szCs w:val="14"/>
                <w:color w:val="auto"/>
              </w:rPr>
              <w:t>salesforce.com</w:t>
            </w:r>
          </w:p>
        </w:tc>
        <w:tc>
          <w:tcPr>
            <w:tcW w:w="1500" w:type="dxa"/>
            <w:vAlign w:val="bottom"/>
          </w:tcPr>
          <w:p>
            <w:pPr>
              <w:jc w:val="right"/>
              <w:ind w:right="132"/>
              <w:spacing w:after="0" w:line="141" w:lineRule="exact"/>
              <w:rPr>
                <w:sz w:val="20"/>
                <w:szCs w:val="20"/>
                <w:color w:val="auto"/>
              </w:rPr>
            </w:pPr>
            <w:r>
              <w:rPr>
                <w:rFonts w:ascii="Arial" w:cs="Arial" w:eastAsia="Arial" w:hAnsi="Arial"/>
                <w:sz w:val="14"/>
                <w:szCs w:val="14"/>
                <w:color w:val="auto"/>
              </w:rPr>
              <w:t>CRM</w:t>
            </w:r>
          </w:p>
        </w:tc>
        <w:tc>
          <w:tcPr>
            <w:tcW w:w="320" w:type="dxa"/>
            <w:vAlign w:val="bottom"/>
          </w:tcPr>
          <w:p>
            <w:pPr>
              <w:jc w:val="right"/>
              <w:spacing w:after="0" w:line="141"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33"/>
              <w:spacing w:after="0" w:line="141" w:lineRule="exact"/>
              <w:rPr>
                <w:sz w:val="20"/>
                <w:szCs w:val="20"/>
                <w:color w:val="auto"/>
              </w:rPr>
            </w:pPr>
            <w:r>
              <w:rPr>
                <w:rFonts w:ascii="Arial" w:cs="Arial" w:eastAsia="Arial" w:hAnsi="Arial"/>
                <w:sz w:val="14"/>
                <w:szCs w:val="14"/>
                <w:color w:val="auto"/>
              </w:rPr>
              <w:t>52,763</w:t>
            </w:r>
          </w:p>
        </w:tc>
        <w:tc>
          <w:tcPr>
            <w:tcW w:w="520" w:type="dxa"/>
            <w:vAlign w:val="bottom"/>
          </w:tcPr>
          <w:p>
            <w:pPr>
              <w:jc w:val="right"/>
              <w:ind w:right="153"/>
              <w:spacing w:after="0" w:line="141"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152"/>
              <w:spacing w:after="0" w:line="141" w:lineRule="exact"/>
              <w:rPr>
                <w:sz w:val="20"/>
                <w:szCs w:val="20"/>
                <w:color w:val="auto"/>
              </w:rPr>
            </w:pPr>
            <w:r>
              <w:rPr>
                <w:rFonts w:ascii="Arial" w:cs="Arial" w:eastAsia="Arial" w:hAnsi="Arial"/>
                <w:sz w:val="14"/>
                <w:szCs w:val="14"/>
                <w:color w:val="auto"/>
              </w:rPr>
              <w:t>52,058</w:t>
            </w:r>
          </w:p>
        </w:tc>
        <w:tc>
          <w:tcPr>
            <w:tcW w:w="400" w:type="dxa"/>
            <w:vAlign w:val="bottom"/>
          </w:tcPr>
          <w:p>
            <w:pPr>
              <w:jc w:val="right"/>
              <w:ind w:right="53"/>
              <w:spacing w:after="0" w:line="141"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132"/>
              <w:spacing w:after="0" w:line="141" w:lineRule="exact"/>
              <w:rPr>
                <w:sz w:val="20"/>
                <w:szCs w:val="20"/>
                <w:color w:val="auto"/>
              </w:rPr>
            </w:pPr>
            <w:r>
              <w:rPr>
                <w:rFonts w:ascii="Arial" w:cs="Arial" w:eastAsia="Arial" w:hAnsi="Arial"/>
                <w:sz w:val="14"/>
                <w:szCs w:val="14"/>
                <w:color w:val="auto"/>
              </w:rPr>
              <w:t>6,302</w:t>
            </w:r>
          </w:p>
        </w:tc>
        <w:tc>
          <w:tcPr>
            <w:tcW w:w="400" w:type="dxa"/>
            <w:vAlign w:val="bottom"/>
          </w:tcPr>
          <w:p>
            <w:pPr>
              <w:ind w:left="220"/>
              <w:spacing w:after="0" w:line="141"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112"/>
              <w:spacing w:after="0" w:line="141" w:lineRule="exact"/>
              <w:rPr>
                <w:sz w:val="20"/>
                <w:szCs w:val="20"/>
                <w:color w:val="auto"/>
              </w:rPr>
            </w:pPr>
            <w:r>
              <w:rPr>
                <w:rFonts w:ascii="Arial" w:cs="Arial" w:eastAsia="Arial" w:hAnsi="Arial"/>
                <w:sz w:val="14"/>
                <w:szCs w:val="14"/>
                <w:color w:val="auto"/>
              </w:rPr>
              <w:t>88)</w:t>
            </w:r>
          </w:p>
        </w:tc>
        <w:tc>
          <w:tcPr>
            <w:tcW w:w="2820" w:type="dxa"/>
            <w:vAlign w:val="bottom"/>
          </w:tcPr>
          <w:p>
            <w:pPr>
              <w:ind w:left="200"/>
              <w:spacing w:after="0" w:line="141" w:lineRule="exact"/>
              <w:rPr>
                <w:sz w:val="20"/>
                <w:szCs w:val="20"/>
                <w:color w:val="auto"/>
              </w:rPr>
            </w:pPr>
            <w:r>
              <w:rPr>
                <w:rFonts w:ascii="Arial" w:cs="Arial" w:eastAsia="Arial" w:hAnsi="Arial"/>
                <w:sz w:val="14"/>
                <w:szCs w:val="14"/>
                <w:color w:val="auto"/>
              </w:rPr>
              <w:t>Application Software</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Adobe Systems</w:t>
            </w:r>
          </w:p>
        </w:tc>
        <w:tc>
          <w:tcPr>
            <w:tcW w:w="15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ADBE</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44,776</w:t>
            </w:r>
          </w:p>
        </w:tc>
        <w:tc>
          <w:tcPr>
            <w:tcW w:w="52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46,857</w:t>
            </w:r>
          </w:p>
        </w:tc>
        <w:tc>
          <w:tcPr>
            <w:tcW w:w="400" w:type="dxa"/>
            <w:vAlign w:val="bottom"/>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4,796</w:t>
            </w:r>
          </w:p>
        </w:tc>
        <w:tc>
          <w:tcPr>
            <w:tcW w:w="40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630</w:t>
            </w:r>
          </w:p>
        </w:tc>
        <w:tc>
          <w:tcPr>
            <w:tcW w:w="2820" w:type="dxa"/>
            <w:vAlign w:val="bottom"/>
          </w:tcPr>
          <w:p>
            <w:pPr>
              <w:ind w:left="200"/>
              <w:spacing w:after="0" w:line="149" w:lineRule="exact"/>
              <w:rPr>
                <w:sz w:val="20"/>
                <w:szCs w:val="20"/>
                <w:color w:val="auto"/>
              </w:rPr>
            </w:pPr>
            <w:r>
              <w:rPr>
                <w:rFonts w:ascii="Arial" w:cs="Arial" w:eastAsia="Arial" w:hAnsi="Arial"/>
                <w:sz w:val="14"/>
                <w:szCs w:val="14"/>
                <w:color w:val="auto"/>
              </w:rPr>
              <w:t>Application Software</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Intuit</w:t>
            </w:r>
          </w:p>
        </w:tc>
        <w:tc>
          <w:tcPr>
            <w:tcW w:w="15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INTU</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25,852</w:t>
            </w:r>
          </w:p>
        </w:tc>
        <w:tc>
          <w:tcPr>
            <w:tcW w:w="52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25,476</w:t>
            </w:r>
          </w:p>
        </w:tc>
        <w:tc>
          <w:tcPr>
            <w:tcW w:w="400" w:type="dxa"/>
            <w:vAlign w:val="bottom"/>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4,293</w:t>
            </w:r>
          </w:p>
        </w:tc>
        <w:tc>
          <w:tcPr>
            <w:tcW w:w="40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418</w:t>
            </w:r>
          </w:p>
        </w:tc>
        <w:tc>
          <w:tcPr>
            <w:tcW w:w="2820" w:type="dxa"/>
            <w:vAlign w:val="bottom"/>
          </w:tcPr>
          <w:p>
            <w:pPr>
              <w:ind w:left="200"/>
              <w:spacing w:after="0" w:line="149" w:lineRule="exact"/>
              <w:rPr>
                <w:sz w:val="20"/>
                <w:szCs w:val="20"/>
                <w:color w:val="auto"/>
              </w:rPr>
            </w:pPr>
            <w:r>
              <w:rPr>
                <w:rFonts w:ascii="Arial" w:cs="Arial" w:eastAsia="Arial" w:hAnsi="Arial"/>
                <w:sz w:val="14"/>
                <w:szCs w:val="14"/>
                <w:color w:val="auto"/>
              </w:rPr>
              <w:t>Application Software</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Citrix Systems</w:t>
            </w:r>
          </w:p>
        </w:tc>
        <w:tc>
          <w:tcPr>
            <w:tcW w:w="15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CTXS</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11,881</w:t>
            </w:r>
          </w:p>
        </w:tc>
        <w:tc>
          <w:tcPr>
            <w:tcW w:w="52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11,637</w:t>
            </w:r>
          </w:p>
        </w:tc>
        <w:tc>
          <w:tcPr>
            <w:tcW w:w="400" w:type="dxa"/>
            <w:vAlign w:val="bottom"/>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3,276</w:t>
            </w:r>
          </w:p>
        </w:tc>
        <w:tc>
          <w:tcPr>
            <w:tcW w:w="40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319</w:t>
            </w:r>
          </w:p>
        </w:tc>
        <w:tc>
          <w:tcPr>
            <w:tcW w:w="2820" w:type="dxa"/>
            <w:vAlign w:val="bottom"/>
          </w:tcPr>
          <w:p>
            <w:pPr>
              <w:ind w:left="200"/>
              <w:spacing w:after="0" w:line="149" w:lineRule="exact"/>
              <w:rPr>
                <w:sz w:val="20"/>
                <w:szCs w:val="20"/>
                <w:color w:val="auto"/>
              </w:rPr>
            </w:pPr>
            <w:r>
              <w:rPr>
                <w:rFonts w:ascii="Arial" w:cs="Arial" w:eastAsia="Arial" w:hAnsi="Arial"/>
                <w:sz w:val="14"/>
                <w:szCs w:val="14"/>
                <w:color w:val="auto"/>
              </w:rPr>
              <w:t>Application Software</w:t>
            </w:r>
          </w:p>
        </w:tc>
      </w:tr>
      <w:tr>
        <w:trPr>
          <w:trHeight w:val="149"/>
        </w:trPr>
        <w:tc>
          <w:tcPr>
            <w:tcW w:w="2220" w:type="dxa"/>
            <w:vAlign w:val="bottom"/>
            <w:tcBorders>
              <w:bottom w:val="single" w:sz="8" w:color="225CAB"/>
            </w:tcBorders>
          </w:tcPr>
          <w:p>
            <w:pPr>
              <w:spacing w:after="0" w:line="149" w:lineRule="exact"/>
              <w:rPr>
                <w:sz w:val="20"/>
                <w:szCs w:val="20"/>
                <w:color w:val="auto"/>
              </w:rPr>
            </w:pPr>
            <w:r>
              <w:rPr>
                <w:rFonts w:ascii="Arial" w:cs="Arial" w:eastAsia="Arial" w:hAnsi="Arial"/>
                <w:sz w:val="14"/>
                <w:szCs w:val="14"/>
                <w:color w:val="auto"/>
              </w:rPr>
              <w:t>Autodesk</w:t>
            </w:r>
          </w:p>
        </w:tc>
        <w:tc>
          <w:tcPr>
            <w:tcW w:w="1500" w:type="dxa"/>
            <w:vAlign w:val="bottom"/>
            <w:tcBorders>
              <w:bottom w:val="single" w:sz="8" w:color="225CAB"/>
            </w:tcBorders>
          </w:tcPr>
          <w:p>
            <w:pPr>
              <w:jc w:val="right"/>
              <w:ind w:right="132"/>
              <w:spacing w:after="0" w:line="149" w:lineRule="exact"/>
              <w:rPr>
                <w:sz w:val="20"/>
                <w:szCs w:val="20"/>
                <w:color w:val="auto"/>
              </w:rPr>
            </w:pPr>
            <w:r>
              <w:rPr>
                <w:rFonts w:ascii="Arial" w:cs="Arial" w:eastAsia="Arial" w:hAnsi="Arial"/>
                <w:sz w:val="14"/>
                <w:szCs w:val="14"/>
                <w:color w:val="auto"/>
              </w:rPr>
              <w:t>ADSK</w:t>
            </w:r>
          </w:p>
        </w:tc>
        <w:tc>
          <w:tcPr>
            <w:tcW w:w="320" w:type="dxa"/>
            <w:vAlign w:val="bottom"/>
            <w:tcBorders>
              <w:bottom w:val="single" w:sz="8" w:color="225CAB"/>
            </w:tcBorders>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225CAB"/>
            </w:tcBorders>
          </w:tcPr>
          <w:p>
            <w:pPr>
              <w:jc w:val="right"/>
              <w:ind w:right="133"/>
              <w:spacing w:after="0" w:line="149" w:lineRule="exact"/>
              <w:rPr>
                <w:sz w:val="20"/>
                <w:szCs w:val="20"/>
                <w:color w:val="auto"/>
              </w:rPr>
            </w:pPr>
            <w:r>
              <w:rPr>
                <w:rFonts w:ascii="Arial" w:cs="Arial" w:eastAsia="Arial" w:hAnsi="Arial"/>
                <w:sz w:val="14"/>
                <w:szCs w:val="14"/>
                <w:color w:val="auto"/>
              </w:rPr>
              <w:t>12,932</w:t>
            </w:r>
          </w:p>
        </w:tc>
        <w:tc>
          <w:tcPr>
            <w:tcW w:w="520" w:type="dxa"/>
            <w:vAlign w:val="bottom"/>
            <w:tcBorders>
              <w:bottom w:val="single" w:sz="8" w:color="225CAB"/>
            </w:tcBorders>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225CAB"/>
            </w:tcBorders>
          </w:tcPr>
          <w:p>
            <w:pPr>
              <w:jc w:val="right"/>
              <w:ind w:right="152"/>
              <w:spacing w:after="0" w:line="149" w:lineRule="exact"/>
              <w:rPr>
                <w:sz w:val="20"/>
                <w:szCs w:val="20"/>
                <w:color w:val="auto"/>
              </w:rPr>
            </w:pPr>
            <w:r>
              <w:rPr>
                <w:rFonts w:ascii="Arial" w:cs="Arial" w:eastAsia="Arial" w:hAnsi="Arial"/>
                <w:sz w:val="14"/>
                <w:szCs w:val="14"/>
                <w:color w:val="auto"/>
              </w:rPr>
              <w:t>13,729</w:t>
            </w:r>
          </w:p>
        </w:tc>
        <w:tc>
          <w:tcPr>
            <w:tcW w:w="400" w:type="dxa"/>
            <w:vAlign w:val="bottom"/>
            <w:tcBorders>
              <w:bottom w:val="single" w:sz="8" w:color="225CAB"/>
            </w:tcBorders>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225CAB"/>
            </w:tcBorders>
          </w:tcPr>
          <w:p>
            <w:pPr>
              <w:jc w:val="right"/>
              <w:ind w:right="132"/>
              <w:spacing w:after="0" w:line="149" w:lineRule="exact"/>
              <w:rPr>
                <w:sz w:val="20"/>
                <w:szCs w:val="20"/>
                <w:color w:val="auto"/>
              </w:rPr>
            </w:pPr>
            <w:r>
              <w:rPr>
                <w:rFonts w:ascii="Arial" w:cs="Arial" w:eastAsia="Arial" w:hAnsi="Arial"/>
                <w:sz w:val="14"/>
                <w:szCs w:val="14"/>
                <w:color w:val="auto"/>
              </w:rPr>
              <w:t>2,520</w:t>
            </w:r>
          </w:p>
        </w:tc>
        <w:tc>
          <w:tcPr>
            <w:tcW w:w="400" w:type="dxa"/>
            <w:vAlign w:val="bottom"/>
            <w:tcBorders>
              <w:bottom w:val="single" w:sz="8" w:color="225CAB"/>
            </w:tcBorders>
          </w:tcPr>
          <w:p>
            <w:pPr>
              <w:ind w:left="220"/>
              <w:spacing w:after="0" w:line="149"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225CAB"/>
            </w:tcBorders>
          </w:tcPr>
          <w:p>
            <w:pPr>
              <w:jc w:val="right"/>
              <w:ind w:right="112"/>
              <w:spacing w:after="0" w:line="149" w:lineRule="exact"/>
              <w:rPr>
                <w:sz w:val="20"/>
                <w:szCs w:val="20"/>
                <w:color w:val="auto"/>
              </w:rPr>
            </w:pPr>
            <w:r>
              <w:rPr>
                <w:rFonts w:ascii="Arial" w:cs="Arial" w:eastAsia="Arial" w:hAnsi="Arial"/>
                <w:sz w:val="14"/>
                <w:szCs w:val="14"/>
                <w:color w:val="auto"/>
              </w:rPr>
              <w:t>282)</w:t>
            </w:r>
          </w:p>
        </w:tc>
        <w:tc>
          <w:tcPr>
            <w:tcW w:w="2820" w:type="dxa"/>
            <w:vAlign w:val="bottom"/>
            <w:tcBorders>
              <w:bottom w:val="single" w:sz="8" w:color="225CAB"/>
            </w:tcBorders>
          </w:tcPr>
          <w:p>
            <w:pPr>
              <w:ind w:left="200"/>
              <w:spacing w:after="0" w:line="149" w:lineRule="exact"/>
              <w:rPr>
                <w:sz w:val="20"/>
                <w:szCs w:val="20"/>
                <w:color w:val="auto"/>
              </w:rPr>
            </w:pPr>
            <w:r>
              <w:rPr>
                <w:rFonts w:ascii="Arial" w:cs="Arial" w:eastAsia="Arial" w:hAnsi="Arial"/>
                <w:sz w:val="14"/>
                <w:szCs w:val="14"/>
                <w:color w:val="auto"/>
              </w:rPr>
              <w:t>Application Software</w:t>
            </w:r>
          </w:p>
        </w:tc>
      </w:tr>
      <w:tr>
        <w:trPr>
          <w:trHeight w:val="142"/>
        </w:trPr>
        <w:tc>
          <w:tcPr>
            <w:tcW w:w="2220" w:type="dxa"/>
            <w:vAlign w:val="bottom"/>
            <w:tcBorders>
              <w:bottom w:val="single" w:sz="8" w:color="225CAB"/>
            </w:tcBorders>
          </w:tcPr>
          <w:p>
            <w:pPr>
              <w:spacing w:after="0" w:line="142" w:lineRule="exact"/>
              <w:rPr>
                <w:sz w:val="20"/>
                <w:szCs w:val="20"/>
                <w:color w:val="auto"/>
              </w:rPr>
            </w:pPr>
            <w:r>
              <w:rPr>
                <w:rFonts w:ascii="Arial" w:cs="Arial" w:eastAsia="Arial" w:hAnsi="Arial"/>
                <w:sz w:val="14"/>
                <w:szCs w:val="14"/>
                <w:color w:val="auto"/>
              </w:rPr>
              <w:t>American Capital</w:t>
            </w:r>
          </w:p>
        </w:tc>
        <w:tc>
          <w:tcPr>
            <w:tcW w:w="1500" w:type="dxa"/>
            <w:vAlign w:val="bottom"/>
            <w:tcBorders>
              <w:bottom w:val="single" w:sz="8" w:color="225CAB"/>
            </w:tcBorders>
          </w:tcPr>
          <w:p>
            <w:pPr>
              <w:jc w:val="right"/>
              <w:ind w:right="132"/>
              <w:spacing w:after="0" w:line="142" w:lineRule="exact"/>
              <w:rPr>
                <w:sz w:val="20"/>
                <w:szCs w:val="20"/>
                <w:color w:val="auto"/>
              </w:rPr>
            </w:pPr>
            <w:r>
              <w:rPr>
                <w:rFonts w:ascii="Arial" w:cs="Arial" w:eastAsia="Arial" w:hAnsi="Arial"/>
                <w:sz w:val="14"/>
                <w:szCs w:val="14"/>
                <w:color w:val="auto"/>
              </w:rPr>
              <w:t>ACAS</w:t>
            </w:r>
          </w:p>
        </w:tc>
        <w:tc>
          <w:tcPr>
            <w:tcW w:w="320" w:type="dxa"/>
            <w:vAlign w:val="bottom"/>
            <w:tcBorders>
              <w:bottom w:val="single" w:sz="8" w:color="225CAB"/>
            </w:tcBorders>
          </w:tcPr>
          <w:p>
            <w:pPr>
              <w:jc w:val="right"/>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225CAB"/>
            </w:tcBorders>
          </w:tcPr>
          <w:p>
            <w:pPr>
              <w:jc w:val="right"/>
              <w:ind w:right="133"/>
              <w:spacing w:after="0" w:line="142" w:lineRule="exact"/>
              <w:rPr>
                <w:sz w:val="20"/>
                <w:szCs w:val="20"/>
                <w:color w:val="auto"/>
              </w:rPr>
            </w:pPr>
            <w:r>
              <w:rPr>
                <w:rFonts w:ascii="Arial" w:cs="Arial" w:eastAsia="Arial" w:hAnsi="Arial"/>
                <w:sz w:val="14"/>
                <w:szCs w:val="14"/>
                <w:color w:val="auto"/>
              </w:rPr>
              <w:t>6,071</w:t>
            </w:r>
          </w:p>
        </w:tc>
        <w:tc>
          <w:tcPr>
            <w:tcW w:w="520" w:type="dxa"/>
            <w:vAlign w:val="bottom"/>
            <w:tcBorders>
              <w:bottom w:val="single" w:sz="8" w:color="225CAB"/>
            </w:tcBorders>
          </w:tcPr>
          <w:p>
            <w:pPr>
              <w:jc w:val="right"/>
              <w:ind w:right="153"/>
              <w:spacing w:after="0" w:line="142"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225CAB"/>
            </w:tcBorders>
          </w:tcPr>
          <w:p>
            <w:pPr>
              <w:jc w:val="right"/>
              <w:ind w:right="152"/>
              <w:spacing w:after="0" w:line="142" w:lineRule="exact"/>
              <w:rPr>
                <w:sz w:val="20"/>
                <w:szCs w:val="20"/>
                <w:color w:val="auto"/>
              </w:rPr>
            </w:pPr>
            <w:r>
              <w:rPr>
                <w:rFonts w:ascii="Arial" w:cs="Arial" w:eastAsia="Arial" w:hAnsi="Arial"/>
                <w:sz w:val="14"/>
                <w:szCs w:val="14"/>
                <w:color w:val="auto"/>
              </w:rPr>
              <w:t>3,636</w:t>
            </w:r>
          </w:p>
        </w:tc>
        <w:tc>
          <w:tcPr>
            <w:tcW w:w="400" w:type="dxa"/>
            <w:vAlign w:val="bottom"/>
            <w:tcBorders>
              <w:bottom w:val="single" w:sz="8" w:color="225CAB"/>
            </w:tcBorders>
          </w:tcPr>
          <w:p>
            <w:pPr>
              <w:jc w:val="right"/>
              <w:ind w:right="53"/>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225CAB"/>
            </w:tcBorders>
          </w:tcPr>
          <w:p>
            <w:pPr>
              <w:jc w:val="right"/>
              <w:ind w:right="132"/>
              <w:spacing w:after="0" w:line="142" w:lineRule="exact"/>
              <w:rPr>
                <w:sz w:val="20"/>
                <w:szCs w:val="20"/>
                <w:color w:val="auto"/>
              </w:rPr>
            </w:pPr>
            <w:r>
              <w:rPr>
                <w:rFonts w:ascii="Arial" w:cs="Arial" w:eastAsia="Arial" w:hAnsi="Arial"/>
                <w:sz w:val="14"/>
                <w:szCs w:val="14"/>
                <w:color w:val="auto"/>
              </w:rPr>
              <w:t>671</w:t>
            </w:r>
          </w:p>
        </w:tc>
        <w:tc>
          <w:tcPr>
            <w:tcW w:w="400" w:type="dxa"/>
            <w:vAlign w:val="bottom"/>
            <w:tcBorders>
              <w:bottom w:val="single" w:sz="8" w:color="225CAB"/>
            </w:tcBorders>
          </w:tcPr>
          <w:p>
            <w:pPr>
              <w:ind w:left="220"/>
              <w:spacing w:after="0" w:line="142"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225CAB"/>
            </w:tcBorders>
          </w:tcPr>
          <w:p>
            <w:pPr>
              <w:jc w:val="right"/>
              <w:ind w:right="112"/>
              <w:spacing w:after="0" w:line="142" w:lineRule="exact"/>
              <w:rPr>
                <w:sz w:val="20"/>
                <w:szCs w:val="20"/>
                <w:color w:val="auto"/>
              </w:rPr>
            </w:pPr>
            <w:r>
              <w:rPr>
                <w:rFonts w:ascii="Arial" w:cs="Arial" w:eastAsia="Arial" w:hAnsi="Arial"/>
                <w:sz w:val="14"/>
                <w:szCs w:val="14"/>
                <w:color w:val="auto"/>
              </w:rPr>
              <w:t>187)</w:t>
            </w:r>
          </w:p>
        </w:tc>
        <w:tc>
          <w:tcPr>
            <w:tcW w:w="2820" w:type="dxa"/>
            <w:vAlign w:val="bottom"/>
            <w:tcBorders>
              <w:bottom w:val="single" w:sz="8" w:color="225CAB"/>
            </w:tcBorders>
          </w:tcPr>
          <w:p>
            <w:pPr>
              <w:ind w:left="200"/>
              <w:spacing w:after="0" w:line="142" w:lineRule="exact"/>
              <w:rPr>
                <w:sz w:val="20"/>
                <w:szCs w:val="20"/>
                <w:color w:val="auto"/>
              </w:rPr>
            </w:pPr>
            <w:r>
              <w:rPr>
                <w:rFonts w:ascii="Arial" w:cs="Arial" w:eastAsia="Arial" w:hAnsi="Arial"/>
                <w:sz w:val="14"/>
                <w:szCs w:val="14"/>
                <w:color w:val="auto"/>
              </w:rPr>
              <w:t>Asset Management and Custody Banks</w:t>
            </w:r>
          </w:p>
        </w:tc>
      </w:tr>
      <w:tr>
        <w:trPr>
          <w:trHeight w:val="141"/>
        </w:trPr>
        <w:tc>
          <w:tcPr>
            <w:tcW w:w="2220" w:type="dxa"/>
            <w:vAlign w:val="bottom"/>
          </w:tcPr>
          <w:p>
            <w:pPr>
              <w:spacing w:after="0" w:line="141" w:lineRule="exact"/>
              <w:rPr>
                <w:sz w:val="20"/>
                <w:szCs w:val="20"/>
                <w:color w:val="auto"/>
              </w:rPr>
            </w:pPr>
            <w:r>
              <w:rPr>
                <w:rFonts w:ascii="Arial" w:cs="Arial" w:eastAsia="Arial" w:hAnsi="Arial"/>
                <w:sz w:val="14"/>
                <w:szCs w:val="14"/>
                <w:color w:val="auto"/>
              </w:rPr>
              <w:t>Edwards Lifesciences</w:t>
            </w:r>
          </w:p>
        </w:tc>
        <w:tc>
          <w:tcPr>
            <w:tcW w:w="1500" w:type="dxa"/>
            <w:vAlign w:val="bottom"/>
          </w:tcPr>
          <w:p>
            <w:pPr>
              <w:jc w:val="right"/>
              <w:ind w:right="132"/>
              <w:spacing w:after="0" w:line="141" w:lineRule="exact"/>
              <w:rPr>
                <w:sz w:val="20"/>
                <w:szCs w:val="20"/>
                <w:color w:val="auto"/>
              </w:rPr>
            </w:pPr>
            <w:r>
              <w:rPr>
                <w:rFonts w:ascii="Arial" w:cs="Arial" w:eastAsia="Arial" w:hAnsi="Arial"/>
                <w:sz w:val="14"/>
                <w:szCs w:val="14"/>
                <w:color w:val="auto"/>
              </w:rPr>
              <w:t>EW</w:t>
            </w:r>
          </w:p>
        </w:tc>
        <w:tc>
          <w:tcPr>
            <w:tcW w:w="320" w:type="dxa"/>
            <w:vAlign w:val="bottom"/>
          </w:tcPr>
          <w:p>
            <w:pPr>
              <w:jc w:val="right"/>
              <w:spacing w:after="0" w:line="141"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33"/>
              <w:spacing w:after="0" w:line="141" w:lineRule="exact"/>
              <w:rPr>
                <w:sz w:val="20"/>
                <w:szCs w:val="20"/>
                <w:color w:val="auto"/>
              </w:rPr>
            </w:pPr>
            <w:r>
              <w:rPr>
                <w:rFonts w:ascii="Arial" w:cs="Arial" w:eastAsia="Arial" w:hAnsi="Arial"/>
                <w:sz w:val="14"/>
                <w:szCs w:val="14"/>
                <w:color w:val="auto"/>
              </w:rPr>
              <w:t>16,391</w:t>
            </w:r>
          </w:p>
        </w:tc>
        <w:tc>
          <w:tcPr>
            <w:tcW w:w="520" w:type="dxa"/>
            <w:vAlign w:val="bottom"/>
          </w:tcPr>
          <w:p>
            <w:pPr>
              <w:jc w:val="right"/>
              <w:ind w:right="153"/>
              <w:spacing w:after="0" w:line="141"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152"/>
              <w:spacing w:after="0" w:line="141" w:lineRule="exact"/>
              <w:rPr>
                <w:sz w:val="20"/>
                <w:szCs w:val="20"/>
                <w:color w:val="auto"/>
              </w:rPr>
            </w:pPr>
            <w:r>
              <w:rPr>
                <w:rFonts w:ascii="Arial" w:cs="Arial" w:eastAsia="Arial" w:hAnsi="Arial"/>
                <w:sz w:val="14"/>
                <w:szCs w:val="14"/>
                <w:color w:val="auto"/>
              </w:rPr>
              <w:t>17,037</w:t>
            </w:r>
          </w:p>
        </w:tc>
        <w:tc>
          <w:tcPr>
            <w:tcW w:w="400" w:type="dxa"/>
            <w:vAlign w:val="bottom"/>
          </w:tcPr>
          <w:p>
            <w:pPr>
              <w:jc w:val="right"/>
              <w:ind w:right="53"/>
              <w:spacing w:after="0" w:line="141"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132"/>
              <w:spacing w:after="0" w:line="141" w:lineRule="exact"/>
              <w:rPr>
                <w:sz w:val="20"/>
                <w:szCs w:val="20"/>
                <w:color w:val="auto"/>
              </w:rPr>
            </w:pPr>
            <w:r>
              <w:rPr>
                <w:rFonts w:ascii="Arial" w:cs="Arial" w:eastAsia="Arial" w:hAnsi="Arial"/>
                <w:sz w:val="14"/>
                <w:szCs w:val="14"/>
                <w:color w:val="auto"/>
              </w:rPr>
              <w:t>2,494</w:t>
            </w:r>
          </w:p>
        </w:tc>
        <w:tc>
          <w:tcPr>
            <w:tcW w:w="400" w:type="dxa"/>
            <w:vAlign w:val="bottom"/>
          </w:tcPr>
          <w:p>
            <w:pPr>
              <w:ind w:left="220"/>
              <w:spacing w:after="0" w:line="141"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172"/>
              <w:spacing w:after="0" w:line="141" w:lineRule="exact"/>
              <w:rPr>
                <w:sz w:val="20"/>
                <w:szCs w:val="20"/>
                <w:color w:val="auto"/>
              </w:rPr>
            </w:pPr>
            <w:r>
              <w:rPr>
                <w:rFonts w:ascii="Arial" w:cs="Arial" w:eastAsia="Arial" w:hAnsi="Arial"/>
                <w:sz w:val="14"/>
                <w:szCs w:val="14"/>
                <w:color w:val="auto"/>
              </w:rPr>
              <w:t>495</w:t>
            </w:r>
          </w:p>
        </w:tc>
        <w:tc>
          <w:tcPr>
            <w:tcW w:w="2820" w:type="dxa"/>
            <w:vAlign w:val="bottom"/>
          </w:tcPr>
          <w:p>
            <w:pPr>
              <w:ind w:left="200"/>
              <w:spacing w:after="0" w:line="141" w:lineRule="exact"/>
              <w:rPr>
                <w:sz w:val="20"/>
                <w:szCs w:val="20"/>
                <w:color w:val="auto"/>
              </w:rPr>
            </w:pPr>
            <w:r>
              <w:rPr>
                <w:rFonts w:ascii="Arial" w:cs="Arial" w:eastAsia="Arial" w:hAnsi="Arial"/>
                <w:sz w:val="14"/>
                <w:szCs w:val="14"/>
                <w:color w:val="auto"/>
              </w:rPr>
              <w:t>Healthcare Equipment</w:t>
            </w:r>
          </w:p>
        </w:tc>
      </w:tr>
      <w:tr>
        <w:trPr>
          <w:trHeight w:val="149"/>
        </w:trPr>
        <w:tc>
          <w:tcPr>
            <w:tcW w:w="2220" w:type="dxa"/>
            <w:vAlign w:val="bottom"/>
            <w:tcBorders>
              <w:bottom w:val="single" w:sz="8" w:color="225CAB"/>
            </w:tcBorders>
          </w:tcPr>
          <w:p>
            <w:pPr>
              <w:spacing w:after="0" w:line="149" w:lineRule="exact"/>
              <w:rPr>
                <w:sz w:val="20"/>
                <w:szCs w:val="20"/>
                <w:color w:val="auto"/>
              </w:rPr>
            </w:pPr>
            <w:r>
              <w:rPr>
                <w:rFonts w:ascii="Arial" w:cs="Arial" w:eastAsia="Arial" w:hAnsi="Arial"/>
                <w:sz w:val="14"/>
                <w:szCs w:val="14"/>
                <w:color w:val="auto"/>
              </w:rPr>
              <w:t>Zimmer Biomet</w:t>
            </w:r>
          </w:p>
        </w:tc>
        <w:tc>
          <w:tcPr>
            <w:tcW w:w="1500" w:type="dxa"/>
            <w:vAlign w:val="bottom"/>
            <w:tcBorders>
              <w:bottom w:val="single" w:sz="8" w:color="225CAB"/>
            </w:tcBorders>
          </w:tcPr>
          <w:p>
            <w:pPr>
              <w:jc w:val="right"/>
              <w:ind w:right="132"/>
              <w:spacing w:after="0" w:line="149" w:lineRule="exact"/>
              <w:rPr>
                <w:sz w:val="20"/>
                <w:szCs w:val="20"/>
                <w:color w:val="auto"/>
              </w:rPr>
            </w:pPr>
            <w:r>
              <w:rPr>
                <w:rFonts w:ascii="Arial" w:cs="Arial" w:eastAsia="Arial" w:hAnsi="Arial"/>
                <w:sz w:val="14"/>
                <w:szCs w:val="14"/>
                <w:color w:val="auto"/>
              </w:rPr>
              <w:t>ZBH</w:t>
            </w:r>
          </w:p>
        </w:tc>
        <w:tc>
          <w:tcPr>
            <w:tcW w:w="320" w:type="dxa"/>
            <w:vAlign w:val="bottom"/>
            <w:tcBorders>
              <w:bottom w:val="single" w:sz="8" w:color="225CAB"/>
            </w:tcBorders>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225CAB"/>
            </w:tcBorders>
          </w:tcPr>
          <w:p>
            <w:pPr>
              <w:jc w:val="right"/>
              <w:ind w:right="133"/>
              <w:spacing w:after="0" w:line="149" w:lineRule="exact"/>
              <w:rPr>
                <w:sz w:val="20"/>
                <w:szCs w:val="20"/>
                <w:color w:val="auto"/>
              </w:rPr>
            </w:pPr>
            <w:r>
              <w:rPr>
                <w:rFonts w:ascii="Arial" w:cs="Arial" w:eastAsia="Arial" w:hAnsi="Arial"/>
                <w:sz w:val="14"/>
                <w:szCs w:val="14"/>
                <w:color w:val="auto"/>
              </w:rPr>
              <w:t>31,012</w:t>
            </w:r>
          </w:p>
        </w:tc>
        <w:tc>
          <w:tcPr>
            <w:tcW w:w="520" w:type="dxa"/>
            <w:vAlign w:val="bottom"/>
            <w:tcBorders>
              <w:bottom w:val="single" w:sz="8" w:color="225CAB"/>
            </w:tcBorders>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225CAB"/>
            </w:tcBorders>
          </w:tcPr>
          <w:p>
            <w:pPr>
              <w:jc w:val="right"/>
              <w:ind w:right="152"/>
              <w:spacing w:after="0" w:line="149" w:lineRule="exact"/>
              <w:rPr>
                <w:sz w:val="20"/>
                <w:szCs w:val="20"/>
                <w:color w:val="auto"/>
              </w:rPr>
            </w:pPr>
            <w:r>
              <w:rPr>
                <w:rFonts w:ascii="Arial" w:cs="Arial" w:eastAsia="Arial" w:hAnsi="Arial"/>
                <w:sz w:val="14"/>
                <w:szCs w:val="14"/>
                <w:color w:val="auto"/>
              </w:rPr>
              <w:t>20,906</w:t>
            </w:r>
          </w:p>
        </w:tc>
        <w:tc>
          <w:tcPr>
            <w:tcW w:w="400" w:type="dxa"/>
            <w:vAlign w:val="bottom"/>
            <w:tcBorders>
              <w:bottom w:val="single" w:sz="8" w:color="225CAB"/>
            </w:tcBorders>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225CAB"/>
            </w:tcBorders>
          </w:tcPr>
          <w:p>
            <w:pPr>
              <w:jc w:val="right"/>
              <w:ind w:right="132"/>
              <w:spacing w:after="0" w:line="149" w:lineRule="exact"/>
              <w:rPr>
                <w:sz w:val="20"/>
                <w:szCs w:val="20"/>
                <w:color w:val="auto"/>
              </w:rPr>
            </w:pPr>
            <w:r>
              <w:rPr>
                <w:rFonts w:ascii="Arial" w:cs="Arial" w:eastAsia="Arial" w:hAnsi="Arial"/>
                <w:sz w:val="14"/>
                <w:szCs w:val="14"/>
                <w:color w:val="auto"/>
              </w:rPr>
              <w:t>5,998</w:t>
            </w:r>
          </w:p>
        </w:tc>
        <w:tc>
          <w:tcPr>
            <w:tcW w:w="400" w:type="dxa"/>
            <w:vAlign w:val="bottom"/>
            <w:tcBorders>
              <w:bottom w:val="single" w:sz="8" w:color="225CAB"/>
            </w:tcBorders>
          </w:tcPr>
          <w:p>
            <w:pPr>
              <w:ind w:left="220"/>
              <w:spacing w:after="0" w:line="149"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225CAB"/>
            </w:tcBorders>
          </w:tcPr>
          <w:p>
            <w:pPr>
              <w:jc w:val="right"/>
              <w:ind w:right="172"/>
              <w:spacing w:after="0" w:line="149" w:lineRule="exact"/>
              <w:rPr>
                <w:sz w:val="20"/>
                <w:szCs w:val="20"/>
                <w:color w:val="auto"/>
              </w:rPr>
            </w:pPr>
            <w:r>
              <w:rPr>
                <w:rFonts w:ascii="Arial" w:cs="Arial" w:eastAsia="Arial" w:hAnsi="Arial"/>
                <w:sz w:val="14"/>
                <w:szCs w:val="14"/>
                <w:color w:val="auto"/>
              </w:rPr>
              <w:t>50</w:t>
            </w:r>
          </w:p>
        </w:tc>
        <w:tc>
          <w:tcPr>
            <w:tcW w:w="2820" w:type="dxa"/>
            <w:vAlign w:val="bottom"/>
            <w:tcBorders>
              <w:bottom w:val="single" w:sz="8" w:color="225CAB"/>
            </w:tcBorders>
          </w:tcPr>
          <w:p>
            <w:pPr>
              <w:ind w:left="200"/>
              <w:spacing w:after="0" w:line="149" w:lineRule="exact"/>
              <w:rPr>
                <w:sz w:val="20"/>
                <w:szCs w:val="20"/>
                <w:color w:val="auto"/>
              </w:rPr>
            </w:pPr>
            <w:r>
              <w:rPr>
                <w:rFonts w:ascii="Arial" w:cs="Arial" w:eastAsia="Arial" w:hAnsi="Arial"/>
                <w:sz w:val="14"/>
                <w:szCs w:val="14"/>
                <w:color w:val="auto"/>
              </w:rPr>
              <w:t>Healthcare Equipment</w:t>
            </w:r>
          </w:p>
        </w:tc>
      </w:tr>
      <w:tr>
        <w:trPr>
          <w:trHeight w:val="141"/>
        </w:trPr>
        <w:tc>
          <w:tcPr>
            <w:tcW w:w="2220" w:type="dxa"/>
            <w:vAlign w:val="bottom"/>
          </w:tcPr>
          <w:p>
            <w:pPr>
              <w:spacing w:after="0" w:line="141" w:lineRule="exact"/>
              <w:rPr>
                <w:sz w:val="20"/>
                <w:szCs w:val="20"/>
                <w:color w:val="auto"/>
              </w:rPr>
            </w:pPr>
            <w:r>
              <w:rPr>
                <w:rFonts w:ascii="Arial" w:cs="Arial" w:eastAsia="Arial" w:hAnsi="Arial"/>
                <w:sz w:val="14"/>
                <w:szCs w:val="14"/>
                <w:color w:val="auto"/>
              </w:rPr>
              <w:t>Waters Corporation</w:t>
            </w:r>
          </w:p>
        </w:tc>
        <w:tc>
          <w:tcPr>
            <w:tcW w:w="1500" w:type="dxa"/>
            <w:vAlign w:val="bottom"/>
          </w:tcPr>
          <w:p>
            <w:pPr>
              <w:jc w:val="right"/>
              <w:ind w:right="132"/>
              <w:spacing w:after="0" w:line="141" w:lineRule="exact"/>
              <w:rPr>
                <w:sz w:val="20"/>
                <w:szCs w:val="20"/>
                <w:color w:val="auto"/>
              </w:rPr>
            </w:pPr>
            <w:r>
              <w:rPr>
                <w:rFonts w:ascii="Arial" w:cs="Arial" w:eastAsia="Arial" w:hAnsi="Arial"/>
                <w:sz w:val="14"/>
                <w:szCs w:val="14"/>
                <w:color w:val="auto"/>
              </w:rPr>
              <w:t>WAT</w:t>
            </w:r>
          </w:p>
        </w:tc>
        <w:tc>
          <w:tcPr>
            <w:tcW w:w="320" w:type="dxa"/>
            <w:vAlign w:val="bottom"/>
          </w:tcPr>
          <w:p>
            <w:pPr>
              <w:jc w:val="right"/>
              <w:spacing w:after="0" w:line="141"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33"/>
              <w:spacing w:after="0" w:line="141" w:lineRule="exact"/>
              <w:rPr>
                <w:sz w:val="20"/>
                <w:szCs w:val="20"/>
                <w:color w:val="auto"/>
              </w:rPr>
            </w:pPr>
            <w:r>
              <w:rPr>
                <w:rFonts w:ascii="Arial" w:cs="Arial" w:eastAsia="Arial" w:hAnsi="Arial"/>
                <w:sz w:val="14"/>
                <w:szCs w:val="14"/>
                <w:color w:val="auto"/>
              </w:rPr>
              <w:t>10,310</w:t>
            </w:r>
          </w:p>
        </w:tc>
        <w:tc>
          <w:tcPr>
            <w:tcW w:w="520" w:type="dxa"/>
            <w:vAlign w:val="bottom"/>
          </w:tcPr>
          <w:p>
            <w:pPr>
              <w:jc w:val="right"/>
              <w:ind w:right="153"/>
              <w:spacing w:after="0" w:line="141"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152"/>
              <w:spacing w:after="0" w:line="141" w:lineRule="exact"/>
              <w:rPr>
                <w:sz w:val="20"/>
                <w:szCs w:val="20"/>
                <w:color w:val="auto"/>
              </w:rPr>
            </w:pPr>
            <w:r>
              <w:rPr>
                <w:rFonts w:ascii="Arial" w:cs="Arial" w:eastAsia="Arial" w:hAnsi="Arial"/>
                <w:sz w:val="14"/>
                <w:szCs w:val="14"/>
                <w:color w:val="auto"/>
              </w:rPr>
              <w:t>10,990</w:t>
            </w:r>
          </w:p>
        </w:tc>
        <w:tc>
          <w:tcPr>
            <w:tcW w:w="400" w:type="dxa"/>
            <w:vAlign w:val="bottom"/>
          </w:tcPr>
          <w:p>
            <w:pPr>
              <w:jc w:val="right"/>
              <w:ind w:right="53"/>
              <w:spacing w:after="0" w:line="141"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132"/>
              <w:spacing w:after="0" w:line="141" w:lineRule="exact"/>
              <w:rPr>
                <w:sz w:val="20"/>
                <w:szCs w:val="20"/>
                <w:color w:val="auto"/>
              </w:rPr>
            </w:pPr>
            <w:r>
              <w:rPr>
                <w:rFonts w:ascii="Arial" w:cs="Arial" w:eastAsia="Arial" w:hAnsi="Arial"/>
                <w:sz w:val="14"/>
                <w:szCs w:val="14"/>
                <w:color w:val="auto"/>
              </w:rPr>
              <w:t>2,042</w:t>
            </w:r>
          </w:p>
        </w:tc>
        <w:tc>
          <w:tcPr>
            <w:tcW w:w="400" w:type="dxa"/>
            <w:vAlign w:val="bottom"/>
          </w:tcPr>
          <w:p>
            <w:pPr>
              <w:ind w:left="220"/>
              <w:spacing w:after="0" w:line="141"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172"/>
              <w:spacing w:after="0" w:line="141" w:lineRule="exact"/>
              <w:rPr>
                <w:sz w:val="20"/>
                <w:szCs w:val="20"/>
                <w:color w:val="auto"/>
              </w:rPr>
            </w:pPr>
            <w:r>
              <w:rPr>
                <w:rFonts w:ascii="Arial" w:cs="Arial" w:eastAsia="Arial" w:hAnsi="Arial"/>
                <w:sz w:val="14"/>
                <w:szCs w:val="14"/>
                <w:color w:val="auto"/>
              </w:rPr>
              <w:t>469</w:t>
            </w:r>
          </w:p>
        </w:tc>
        <w:tc>
          <w:tcPr>
            <w:tcW w:w="2820" w:type="dxa"/>
            <w:vAlign w:val="bottom"/>
          </w:tcPr>
          <w:p>
            <w:pPr>
              <w:ind w:left="200"/>
              <w:spacing w:after="0" w:line="141" w:lineRule="exact"/>
              <w:rPr>
                <w:sz w:val="20"/>
                <w:szCs w:val="20"/>
                <w:color w:val="auto"/>
              </w:rPr>
            </w:pPr>
            <w:r>
              <w:rPr>
                <w:rFonts w:ascii="Arial" w:cs="Arial" w:eastAsia="Arial" w:hAnsi="Arial"/>
                <w:sz w:val="14"/>
                <w:szCs w:val="14"/>
                <w:color w:val="auto"/>
              </w:rPr>
              <w:t>Life Sciences Tools and Services</w:t>
            </w:r>
          </w:p>
        </w:tc>
      </w:tr>
      <w:tr>
        <w:trPr>
          <w:trHeight w:val="149"/>
        </w:trPr>
        <w:tc>
          <w:tcPr>
            <w:tcW w:w="2220" w:type="dxa"/>
            <w:vAlign w:val="bottom"/>
            <w:tcBorders>
              <w:bottom w:val="single" w:sz="8" w:color="225CAB"/>
            </w:tcBorders>
          </w:tcPr>
          <w:p>
            <w:pPr>
              <w:spacing w:after="0" w:line="149" w:lineRule="exact"/>
              <w:rPr>
                <w:sz w:val="20"/>
                <w:szCs w:val="20"/>
                <w:color w:val="auto"/>
              </w:rPr>
            </w:pPr>
            <w:r>
              <w:rPr>
                <w:rFonts w:ascii="Arial" w:cs="Arial" w:eastAsia="Arial" w:hAnsi="Arial"/>
                <w:sz w:val="14"/>
                <w:szCs w:val="14"/>
                <w:color w:val="auto"/>
              </w:rPr>
              <w:t>PerkinElmer</w:t>
            </w:r>
          </w:p>
        </w:tc>
        <w:tc>
          <w:tcPr>
            <w:tcW w:w="1500" w:type="dxa"/>
            <w:vAlign w:val="bottom"/>
            <w:tcBorders>
              <w:bottom w:val="single" w:sz="8" w:color="225CAB"/>
            </w:tcBorders>
          </w:tcPr>
          <w:p>
            <w:pPr>
              <w:jc w:val="right"/>
              <w:ind w:right="132"/>
              <w:spacing w:after="0" w:line="149" w:lineRule="exact"/>
              <w:rPr>
                <w:sz w:val="20"/>
                <w:szCs w:val="20"/>
                <w:color w:val="auto"/>
              </w:rPr>
            </w:pPr>
            <w:r>
              <w:rPr>
                <w:rFonts w:ascii="Arial" w:cs="Arial" w:eastAsia="Arial" w:hAnsi="Arial"/>
                <w:sz w:val="14"/>
                <w:szCs w:val="14"/>
                <w:color w:val="auto"/>
              </w:rPr>
              <w:t>PKI</w:t>
            </w:r>
          </w:p>
        </w:tc>
        <w:tc>
          <w:tcPr>
            <w:tcW w:w="320" w:type="dxa"/>
            <w:vAlign w:val="bottom"/>
            <w:tcBorders>
              <w:bottom w:val="single" w:sz="8" w:color="225CAB"/>
            </w:tcBorders>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225CAB"/>
            </w:tcBorders>
          </w:tcPr>
          <w:p>
            <w:pPr>
              <w:jc w:val="right"/>
              <w:ind w:right="133"/>
              <w:spacing w:after="0" w:line="149" w:lineRule="exact"/>
              <w:rPr>
                <w:sz w:val="20"/>
                <w:szCs w:val="20"/>
                <w:color w:val="auto"/>
              </w:rPr>
            </w:pPr>
            <w:r>
              <w:rPr>
                <w:rFonts w:ascii="Arial" w:cs="Arial" w:eastAsia="Arial" w:hAnsi="Arial"/>
                <w:sz w:val="14"/>
                <w:szCs w:val="14"/>
                <w:color w:val="auto"/>
              </w:rPr>
              <w:t>6,830</w:t>
            </w:r>
          </w:p>
        </w:tc>
        <w:tc>
          <w:tcPr>
            <w:tcW w:w="520" w:type="dxa"/>
            <w:vAlign w:val="bottom"/>
            <w:tcBorders>
              <w:bottom w:val="single" w:sz="8" w:color="225CAB"/>
            </w:tcBorders>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225CAB"/>
            </w:tcBorders>
          </w:tcPr>
          <w:p>
            <w:pPr>
              <w:jc w:val="right"/>
              <w:ind w:right="152"/>
              <w:spacing w:after="0" w:line="149" w:lineRule="exact"/>
              <w:rPr>
                <w:sz w:val="20"/>
                <w:szCs w:val="20"/>
                <w:color w:val="auto"/>
              </w:rPr>
            </w:pPr>
            <w:r>
              <w:rPr>
                <w:rFonts w:ascii="Arial" w:cs="Arial" w:eastAsia="Arial" w:hAnsi="Arial"/>
                <w:sz w:val="14"/>
                <w:szCs w:val="14"/>
                <w:color w:val="auto"/>
              </w:rPr>
              <w:t>5,996</w:t>
            </w:r>
          </w:p>
        </w:tc>
        <w:tc>
          <w:tcPr>
            <w:tcW w:w="400" w:type="dxa"/>
            <w:vAlign w:val="bottom"/>
            <w:tcBorders>
              <w:bottom w:val="single" w:sz="8" w:color="225CAB"/>
            </w:tcBorders>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225CAB"/>
            </w:tcBorders>
          </w:tcPr>
          <w:p>
            <w:pPr>
              <w:jc w:val="right"/>
              <w:ind w:right="132"/>
              <w:spacing w:after="0" w:line="149" w:lineRule="exact"/>
              <w:rPr>
                <w:sz w:val="20"/>
                <w:szCs w:val="20"/>
                <w:color w:val="auto"/>
              </w:rPr>
            </w:pPr>
            <w:r>
              <w:rPr>
                <w:rFonts w:ascii="Arial" w:cs="Arial" w:eastAsia="Arial" w:hAnsi="Arial"/>
                <w:sz w:val="14"/>
                <w:szCs w:val="14"/>
                <w:color w:val="auto"/>
              </w:rPr>
              <w:t>2,262</w:t>
            </w:r>
          </w:p>
        </w:tc>
        <w:tc>
          <w:tcPr>
            <w:tcW w:w="400" w:type="dxa"/>
            <w:vAlign w:val="bottom"/>
            <w:tcBorders>
              <w:bottom w:val="single" w:sz="8" w:color="225CAB"/>
            </w:tcBorders>
          </w:tcPr>
          <w:p>
            <w:pPr>
              <w:ind w:left="220"/>
              <w:spacing w:after="0" w:line="149"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225CAB"/>
            </w:tcBorders>
          </w:tcPr>
          <w:p>
            <w:pPr>
              <w:jc w:val="right"/>
              <w:ind w:right="172"/>
              <w:spacing w:after="0" w:line="149" w:lineRule="exact"/>
              <w:rPr>
                <w:sz w:val="20"/>
                <w:szCs w:val="20"/>
                <w:color w:val="auto"/>
              </w:rPr>
            </w:pPr>
            <w:r>
              <w:rPr>
                <w:rFonts w:ascii="Arial" w:cs="Arial" w:eastAsia="Arial" w:hAnsi="Arial"/>
                <w:sz w:val="14"/>
                <w:szCs w:val="14"/>
                <w:color w:val="auto"/>
              </w:rPr>
              <w:t>212</w:t>
            </w:r>
          </w:p>
        </w:tc>
        <w:tc>
          <w:tcPr>
            <w:tcW w:w="2820" w:type="dxa"/>
            <w:vAlign w:val="bottom"/>
            <w:tcBorders>
              <w:bottom w:val="single" w:sz="8" w:color="225CAB"/>
            </w:tcBorders>
          </w:tcPr>
          <w:p>
            <w:pPr>
              <w:ind w:left="200"/>
              <w:spacing w:after="0" w:line="149" w:lineRule="exact"/>
              <w:rPr>
                <w:sz w:val="20"/>
                <w:szCs w:val="20"/>
                <w:color w:val="auto"/>
              </w:rPr>
            </w:pPr>
            <w:r>
              <w:rPr>
                <w:rFonts w:ascii="Arial" w:cs="Arial" w:eastAsia="Arial" w:hAnsi="Arial"/>
                <w:sz w:val="14"/>
                <w:szCs w:val="14"/>
                <w:color w:val="auto"/>
              </w:rPr>
              <w:t>Life Sciences Tools and Services</w:t>
            </w:r>
          </w:p>
        </w:tc>
      </w:tr>
      <w:tr>
        <w:trPr>
          <w:trHeight w:val="142"/>
        </w:trPr>
        <w:tc>
          <w:tcPr>
            <w:tcW w:w="2220" w:type="dxa"/>
            <w:vAlign w:val="bottom"/>
            <w:tcBorders>
              <w:bottom w:val="single" w:sz="8" w:color="225CAB"/>
            </w:tcBorders>
          </w:tcPr>
          <w:p>
            <w:pPr>
              <w:spacing w:after="0" w:line="142" w:lineRule="exact"/>
              <w:rPr>
                <w:sz w:val="20"/>
                <w:szCs w:val="20"/>
                <w:color w:val="auto"/>
              </w:rPr>
            </w:pPr>
            <w:r>
              <w:rPr>
                <w:rFonts w:ascii="Arial" w:cs="Arial" w:eastAsia="Arial" w:hAnsi="Arial"/>
                <w:sz w:val="14"/>
                <w:szCs w:val="14"/>
                <w:color w:val="auto"/>
              </w:rPr>
              <w:t>TransDigm Group</w:t>
            </w:r>
          </w:p>
        </w:tc>
        <w:tc>
          <w:tcPr>
            <w:tcW w:w="1500" w:type="dxa"/>
            <w:vAlign w:val="bottom"/>
            <w:tcBorders>
              <w:bottom w:val="single" w:sz="8" w:color="225CAB"/>
            </w:tcBorders>
          </w:tcPr>
          <w:p>
            <w:pPr>
              <w:jc w:val="right"/>
              <w:ind w:right="132"/>
              <w:spacing w:after="0" w:line="142" w:lineRule="exact"/>
              <w:rPr>
                <w:sz w:val="20"/>
                <w:szCs w:val="20"/>
                <w:color w:val="auto"/>
              </w:rPr>
            </w:pPr>
            <w:r>
              <w:rPr>
                <w:rFonts w:ascii="Arial" w:cs="Arial" w:eastAsia="Arial" w:hAnsi="Arial"/>
                <w:sz w:val="14"/>
                <w:szCs w:val="14"/>
                <w:color w:val="auto"/>
              </w:rPr>
              <w:t>TDG</w:t>
            </w:r>
          </w:p>
        </w:tc>
        <w:tc>
          <w:tcPr>
            <w:tcW w:w="320" w:type="dxa"/>
            <w:vAlign w:val="bottom"/>
            <w:tcBorders>
              <w:bottom w:val="single" w:sz="8" w:color="225CAB"/>
            </w:tcBorders>
          </w:tcPr>
          <w:p>
            <w:pPr>
              <w:jc w:val="right"/>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225CAB"/>
            </w:tcBorders>
          </w:tcPr>
          <w:p>
            <w:pPr>
              <w:jc w:val="right"/>
              <w:ind w:right="133"/>
              <w:spacing w:after="0" w:line="142" w:lineRule="exact"/>
              <w:rPr>
                <w:sz w:val="20"/>
                <w:szCs w:val="20"/>
                <w:color w:val="auto"/>
              </w:rPr>
            </w:pPr>
            <w:r>
              <w:rPr>
                <w:rFonts w:ascii="Arial" w:cs="Arial" w:eastAsia="Arial" w:hAnsi="Arial"/>
                <w:sz w:val="14"/>
                <w:szCs w:val="14"/>
                <w:color w:val="auto"/>
              </w:rPr>
              <w:t>20,053</w:t>
            </w:r>
          </w:p>
        </w:tc>
        <w:tc>
          <w:tcPr>
            <w:tcW w:w="520" w:type="dxa"/>
            <w:vAlign w:val="bottom"/>
            <w:tcBorders>
              <w:bottom w:val="single" w:sz="8" w:color="225CAB"/>
            </w:tcBorders>
          </w:tcPr>
          <w:p>
            <w:pPr>
              <w:jc w:val="right"/>
              <w:ind w:right="153"/>
              <w:spacing w:after="0" w:line="142"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225CAB"/>
            </w:tcBorders>
          </w:tcPr>
          <w:p>
            <w:pPr>
              <w:jc w:val="right"/>
              <w:ind w:right="152"/>
              <w:spacing w:after="0" w:line="142" w:lineRule="exact"/>
              <w:rPr>
                <w:sz w:val="20"/>
                <w:szCs w:val="20"/>
                <w:color w:val="auto"/>
              </w:rPr>
            </w:pPr>
            <w:r>
              <w:rPr>
                <w:rFonts w:ascii="Arial" w:cs="Arial" w:eastAsia="Arial" w:hAnsi="Arial"/>
                <w:sz w:val="14"/>
                <w:szCs w:val="14"/>
                <w:color w:val="auto"/>
              </w:rPr>
              <w:t>12,265</w:t>
            </w:r>
          </w:p>
        </w:tc>
        <w:tc>
          <w:tcPr>
            <w:tcW w:w="400" w:type="dxa"/>
            <w:vAlign w:val="bottom"/>
            <w:tcBorders>
              <w:bottom w:val="single" w:sz="8" w:color="225CAB"/>
            </w:tcBorders>
          </w:tcPr>
          <w:p>
            <w:pPr>
              <w:jc w:val="right"/>
              <w:ind w:right="53"/>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225CAB"/>
            </w:tcBorders>
          </w:tcPr>
          <w:p>
            <w:pPr>
              <w:jc w:val="right"/>
              <w:ind w:right="132"/>
              <w:spacing w:after="0" w:line="142" w:lineRule="exact"/>
              <w:rPr>
                <w:sz w:val="20"/>
                <w:szCs w:val="20"/>
                <w:color w:val="auto"/>
              </w:rPr>
            </w:pPr>
            <w:r>
              <w:rPr>
                <w:rFonts w:ascii="Arial" w:cs="Arial" w:eastAsia="Arial" w:hAnsi="Arial"/>
                <w:sz w:val="14"/>
                <w:szCs w:val="14"/>
                <w:color w:val="auto"/>
              </w:rPr>
              <w:t>2,822</w:t>
            </w:r>
          </w:p>
        </w:tc>
        <w:tc>
          <w:tcPr>
            <w:tcW w:w="400" w:type="dxa"/>
            <w:vAlign w:val="bottom"/>
            <w:tcBorders>
              <w:bottom w:val="single" w:sz="8" w:color="225CAB"/>
            </w:tcBorders>
          </w:tcPr>
          <w:p>
            <w:pPr>
              <w:ind w:left="220"/>
              <w:spacing w:after="0" w:line="142"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225CAB"/>
            </w:tcBorders>
          </w:tcPr>
          <w:p>
            <w:pPr>
              <w:jc w:val="right"/>
              <w:ind w:right="172"/>
              <w:spacing w:after="0" w:line="142" w:lineRule="exact"/>
              <w:rPr>
                <w:sz w:val="20"/>
                <w:szCs w:val="20"/>
                <w:color w:val="auto"/>
              </w:rPr>
            </w:pPr>
            <w:r>
              <w:rPr>
                <w:rFonts w:ascii="Arial" w:cs="Arial" w:eastAsia="Arial" w:hAnsi="Arial"/>
                <w:sz w:val="14"/>
                <w:szCs w:val="14"/>
                <w:color w:val="auto"/>
              </w:rPr>
              <w:t>467</w:t>
            </w:r>
          </w:p>
        </w:tc>
        <w:tc>
          <w:tcPr>
            <w:tcW w:w="2820" w:type="dxa"/>
            <w:vAlign w:val="bottom"/>
            <w:tcBorders>
              <w:bottom w:val="single" w:sz="8" w:color="225CAB"/>
            </w:tcBorders>
          </w:tcPr>
          <w:p>
            <w:pPr>
              <w:ind w:left="200"/>
              <w:spacing w:after="0" w:line="142" w:lineRule="exact"/>
              <w:rPr>
                <w:sz w:val="20"/>
                <w:szCs w:val="20"/>
                <w:color w:val="auto"/>
              </w:rPr>
            </w:pPr>
            <w:r>
              <w:rPr>
                <w:rFonts w:ascii="Arial" w:cs="Arial" w:eastAsia="Arial" w:hAnsi="Arial"/>
                <w:sz w:val="14"/>
                <w:szCs w:val="14"/>
                <w:color w:val="auto"/>
              </w:rPr>
              <w:t>Aerospace and Defense</w:t>
            </w:r>
          </w:p>
        </w:tc>
      </w:tr>
      <w:tr>
        <w:trPr>
          <w:trHeight w:val="125"/>
        </w:trPr>
        <w:tc>
          <w:tcPr>
            <w:tcW w:w="2220" w:type="dxa"/>
            <w:vAlign w:val="bottom"/>
          </w:tcPr>
          <w:p>
            <w:pPr>
              <w:spacing w:after="0" w:line="125" w:lineRule="exact"/>
              <w:rPr>
                <w:sz w:val="20"/>
                <w:szCs w:val="20"/>
                <w:color w:val="auto"/>
              </w:rPr>
            </w:pPr>
            <w:r>
              <w:rPr>
                <w:rFonts w:ascii="Arial" w:cs="Arial" w:eastAsia="Arial" w:hAnsi="Arial"/>
                <w:sz w:val="14"/>
                <w:szCs w:val="14"/>
                <w:b w:val="1"/>
                <w:bCs w:val="1"/>
                <w:i w:val="1"/>
                <w:iCs w:val="1"/>
                <w:color w:val="auto"/>
              </w:rPr>
              <w:t>Median</w:t>
            </w:r>
          </w:p>
        </w:tc>
        <w:tc>
          <w:tcPr>
            <w:tcW w:w="1500" w:type="dxa"/>
            <w:vAlign w:val="bottom"/>
          </w:tcPr>
          <w:p>
            <w:pPr>
              <w:spacing w:after="0"/>
              <w:rPr>
                <w:sz w:val="10"/>
                <w:szCs w:val="10"/>
                <w:color w:val="auto"/>
              </w:rPr>
            </w:pPr>
          </w:p>
        </w:tc>
        <w:tc>
          <w:tcPr>
            <w:tcW w:w="320" w:type="dxa"/>
            <w:vAlign w:val="bottom"/>
          </w:tcPr>
          <w:p>
            <w:pPr>
              <w:jc w:val="right"/>
              <w:spacing w:after="0" w:line="125" w:lineRule="exact"/>
              <w:rPr>
                <w:sz w:val="20"/>
                <w:szCs w:val="20"/>
                <w:color w:val="auto"/>
              </w:rPr>
            </w:pPr>
            <w:r>
              <w:rPr>
                <w:rFonts w:ascii="Arial" w:cs="Arial" w:eastAsia="Arial" w:hAnsi="Arial"/>
                <w:sz w:val="14"/>
                <w:szCs w:val="14"/>
                <w:b w:val="1"/>
                <w:bCs w:val="1"/>
                <w:i w:val="1"/>
                <w:iCs w:val="1"/>
                <w:color w:val="auto"/>
              </w:rPr>
              <w:t>$</w:t>
            </w:r>
          </w:p>
        </w:tc>
        <w:tc>
          <w:tcPr>
            <w:tcW w:w="800" w:type="dxa"/>
            <w:vAlign w:val="bottom"/>
          </w:tcPr>
          <w:p>
            <w:pPr>
              <w:jc w:val="right"/>
              <w:ind w:right="133"/>
              <w:spacing w:after="0" w:line="125" w:lineRule="exact"/>
              <w:rPr>
                <w:sz w:val="20"/>
                <w:szCs w:val="20"/>
                <w:color w:val="auto"/>
              </w:rPr>
            </w:pPr>
            <w:r>
              <w:rPr>
                <w:rFonts w:ascii="Arial" w:cs="Arial" w:eastAsia="Arial" w:hAnsi="Arial"/>
                <w:sz w:val="14"/>
                <w:szCs w:val="14"/>
                <w:b w:val="1"/>
                <w:bCs w:val="1"/>
                <w:i w:val="1"/>
                <w:iCs w:val="1"/>
                <w:color w:val="auto"/>
              </w:rPr>
              <w:t>18,222</w:t>
            </w:r>
          </w:p>
        </w:tc>
        <w:tc>
          <w:tcPr>
            <w:tcW w:w="520" w:type="dxa"/>
            <w:vAlign w:val="bottom"/>
          </w:tcPr>
          <w:p>
            <w:pPr>
              <w:jc w:val="right"/>
              <w:ind w:right="153"/>
              <w:spacing w:after="0" w:line="125" w:lineRule="exact"/>
              <w:rPr>
                <w:sz w:val="20"/>
                <w:szCs w:val="20"/>
                <w:color w:val="auto"/>
              </w:rPr>
            </w:pPr>
            <w:r>
              <w:rPr>
                <w:rFonts w:ascii="Arial" w:cs="Arial" w:eastAsia="Arial" w:hAnsi="Arial"/>
                <w:sz w:val="14"/>
                <w:szCs w:val="14"/>
                <w:b w:val="1"/>
                <w:bCs w:val="1"/>
                <w:i w:val="1"/>
                <w:iCs w:val="1"/>
                <w:color w:val="auto"/>
              </w:rPr>
              <w:t>$</w:t>
            </w:r>
          </w:p>
        </w:tc>
        <w:tc>
          <w:tcPr>
            <w:tcW w:w="940" w:type="dxa"/>
            <w:vAlign w:val="bottom"/>
          </w:tcPr>
          <w:p>
            <w:pPr>
              <w:jc w:val="right"/>
              <w:ind w:right="152"/>
              <w:spacing w:after="0" w:line="125" w:lineRule="exact"/>
              <w:rPr>
                <w:sz w:val="20"/>
                <w:szCs w:val="20"/>
                <w:color w:val="auto"/>
              </w:rPr>
            </w:pPr>
            <w:r>
              <w:rPr>
                <w:rFonts w:ascii="Arial" w:cs="Arial" w:eastAsia="Arial" w:hAnsi="Arial"/>
                <w:sz w:val="14"/>
                <w:szCs w:val="14"/>
                <w:b w:val="1"/>
                <w:bCs w:val="1"/>
                <w:i w:val="1"/>
                <w:iCs w:val="1"/>
                <w:color w:val="auto"/>
              </w:rPr>
              <w:t>15,383</w:t>
            </w:r>
          </w:p>
        </w:tc>
        <w:tc>
          <w:tcPr>
            <w:tcW w:w="400" w:type="dxa"/>
            <w:vAlign w:val="bottom"/>
          </w:tcPr>
          <w:p>
            <w:pPr>
              <w:jc w:val="right"/>
              <w:ind w:right="53"/>
              <w:spacing w:after="0" w:line="125" w:lineRule="exact"/>
              <w:rPr>
                <w:sz w:val="20"/>
                <w:szCs w:val="20"/>
                <w:color w:val="auto"/>
              </w:rPr>
            </w:pPr>
            <w:r>
              <w:rPr>
                <w:rFonts w:ascii="Arial" w:cs="Arial" w:eastAsia="Arial" w:hAnsi="Arial"/>
                <w:sz w:val="14"/>
                <w:szCs w:val="14"/>
                <w:b w:val="1"/>
                <w:bCs w:val="1"/>
                <w:i w:val="1"/>
                <w:iCs w:val="1"/>
                <w:color w:val="auto"/>
              </w:rPr>
              <w:t>$</w:t>
            </w:r>
          </w:p>
        </w:tc>
        <w:tc>
          <w:tcPr>
            <w:tcW w:w="740" w:type="dxa"/>
            <w:vAlign w:val="bottom"/>
          </w:tcPr>
          <w:p>
            <w:pPr>
              <w:jc w:val="right"/>
              <w:ind w:right="132"/>
              <w:spacing w:after="0" w:line="125" w:lineRule="exact"/>
              <w:rPr>
                <w:sz w:val="20"/>
                <w:szCs w:val="20"/>
                <w:color w:val="auto"/>
              </w:rPr>
            </w:pPr>
            <w:r>
              <w:rPr>
                <w:rFonts w:ascii="Arial" w:cs="Arial" w:eastAsia="Arial" w:hAnsi="Arial"/>
                <w:sz w:val="14"/>
                <w:szCs w:val="14"/>
                <w:b w:val="1"/>
                <w:bCs w:val="1"/>
                <w:i w:val="1"/>
                <w:iCs w:val="1"/>
                <w:color w:val="auto"/>
              </w:rPr>
              <w:t>3,049</w:t>
            </w:r>
          </w:p>
        </w:tc>
        <w:tc>
          <w:tcPr>
            <w:tcW w:w="400" w:type="dxa"/>
            <w:vAlign w:val="bottom"/>
          </w:tcPr>
          <w:p>
            <w:pPr>
              <w:ind w:left="220"/>
              <w:spacing w:after="0" w:line="125" w:lineRule="exact"/>
              <w:rPr>
                <w:sz w:val="20"/>
                <w:szCs w:val="20"/>
                <w:color w:val="auto"/>
              </w:rPr>
            </w:pPr>
            <w:r>
              <w:rPr>
                <w:rFonts w:ascii="Arial" w:cs="Arial" w:eastAsia="Arial" w:hAnsi="Arial"/>
                <w:sz w:val="14"/>
                <w:szCs w:val="14"/>
                <w:b w:val="1"/>
                <w:bCs w:val="1"/>
                <w:i w:val="1"/>
                <w:iCs w:val="1"/>
                <w:color w:val="auto"/>
              </w:rPr>
              <w:t>$</w:t>
            </w:r>
          </w:p>
        </w:tc>
        <w:tc>
          <w:tcPr>
            <w:tcW w:w="760" w:type="dxa"/>
            <w:vAlign w:val="bottom"/>
          </w:tcPr>
          <w:p>
            <w:pPr>
              <w:jc w:val="right"/>
              <w:ind w:right="172"/>
              <w:spacing w:after="0" w:line="125" w:lineRule="exact"/>
              <w:rPr>
                <w:sz w:val="20"/>
                <w:szCs w:val="20"/>
                <w:color w:val="auto"/>
              </w:rPr>
            </w:pPr>
            <w:r>
              <w:rPr>
                <w:rFonts w:ascii="Arial" w:cs="Arial" w:eastAsia="Arial" w:hAnsi="Arial"/>
                <w:sz w:val="14"/>
                <w:szCs w:val="14"/>
                <w:b w:val="1"/>
                <w:bCs w:val="1"/>
                <w:i w:val="1"/>
                <w:iCs w:val="1"/>
                <w:color w:val="auto"/>
              </w:rPr>
              <w:t>369</w:t>
            </w:r>
          </w:p>
        </w:tc>
        <w:tc>
          <w:tcPr>
            <w:tcW w:w="2820" w:type="dxa"/>
            <w:vAlign w:val="bottom"/>
          </w:tcPr>
          <w:p>
            <w:pPr>
              <w:spacing w:after="0"/>
              <w:rPr>
                <w:sz w:val="10"/>
                <w:szCs w:val="10"/>
                <w:color w:val="auto"/>
              </w:rPr>
            </w:pPr>
          </w:p>
        </w:tc>
      </w:tr>
      <w:tr>
        <w:trPr>
          <w:trHeight w:val="165"/>
        </w:trPr>
        <w:tc>
          <w:tcPr>
            <w:tcW w:w="2220" w:type="dxa"/>
            <w:vAlign w:val="bottom"/>
            <w:tcBorders>
              <w:bottom w:val="single" w:sz="8" w:color="225CAB"/>
            </w:tcBorders>
          </w:tcPr>
          <w:p>
            <w:pPr>
              <w:spacing w:after="0"/>
              <w:rPr>
                <w:sz w:val="20"/>
                <w:szCs w:val="20"/>
                <w:color w:val="auto"/>
              </w:rPr>
            </w:pPr>
            <w:r>
              <w:rPr>
                <w:rFonts w:ascii="Arial" w:cs="Arial" w:eastAsia="Arial" w:hAnsi="Arial"/>
                <w:sz w:val="14"/>
                <w:szCs w:val="14"/>
                <w:b w:val="1"/>
                <w:bCs w:val="1"/>
                <w:color w:val="auto"/>
              </w:rPr>
              <w:t>Roper</w:t>
            </w:r>
          </w:p>
        </w:tc>
        <w:tc>
          <w:tcPr>
            <w:tcW w:w="1500" w:type="dxa"/>
            <w:vAlign w:val="bottom"/>
            <w:tcBorders>
              <w:bottom w:val="single" w:sz="8" w:color="225CAB"/>
            </w:tcBorders>
          </w:tcPr>
          <w:p>
            <w:pPr>
              <w:jc w:val="right"/>
              <w:ind w:right="132"/>
              <w:spacing w:after="0"/>
              <w:rPr>
                <w:sz w:val="20"/>
                <w:szCs w:val="20"/>
                <w:color w:val="auto"/>
              </w:rPr>
            </w:pPr>
            <w:r>
              <w:rPr>
                <w:rFonts w:ascii="Arial" w:cs="Arial" w:eastAsia="Arial" w:hAnsi="Arial"/>
                <w:sz w:val="14"/>
                <w:szCs w:val="14"/>
                <w:b w:val="1"/>
                <w:bCs w:val="1"/>
                <w:color w:val="auto"/>
              </w:rPr>
              <w:t>ROP</w:t>
            </w:r>
          </w:p>
        </w:tc>
        <w:tc>
          <w:tcPr>
            <w:tcW w:w="320" w:type="dxa"/>
            <w:vAlign w:val="bottom"/>
            <w:tcBorders>
              <w:bottom w:val="single" w:sz="8" w:color="225CAB"/>
            </w:tcBorders>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225CAB"/>
            </w:tcBorders>
          </w:tcPr>
          <w:p>
            <w:pPr>
              <w:jc w:val="right"/>
              <w:ind w:right="133"/>
              <w:spacing w:after="0"/>
              <w:rPr>
                <w:sz w:val="20"/>
                <w:szCs w:val="20"/>
                <w:color w:val="auto"/>
              </w:rPr>
            </w:pPr>
            <w:r>
              <w:rPr>
                <w:rFonts w:ascii="Arial" w:cs="Arial" w:eastAsia="Arial" w:hAnsi="Arial"/>
                <w:sz w:val="14"/>
                <w:szCs w:val="14"/>
                <w:b w:val="1"/>
                <w:bCs w:val="1"/>
                <w:color w:val="auto"/>
              </w:rPr>
              <w:t>21,230</w:t>
            </w:r>
          </w:p>
        </w:tc>
        <w:tc>
          <w:tcPr>
            <w:tcW w:w="520" w:type="dxa"/>
            <w:vAlign w:val="bottom"/>
            <w:tcBorders>
              <w:bottom w:val="single" w:sz="8" w:color="225CAB"/>
            </w:tcBorders>
          </w:tcPr>
          <w:p>
            <w:pPr>
              <w:jc w:val="right"/>
              <w:ind w:right="153"/>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225CAB"/>
            </w:tcBorders>
          </w:tcPr>
          <w:p>
            <w:pPr>
              <w:jc w:val="right"/>
              <w:ind w:right="152"/>
              <w:spacing w:after="0"/>
              <w:rPr>
                <w:sz w:val="20"/>
                <w:szCs w:val="20"/>
                <w:color w:val="auto"/>
              </w:rPr>
            </w:pPr>
            <w:r>
              <w:rPr>
                <w:rFonts w:ascii="Arial" w:cs="Arial" w:eastAsia="Arial" w:hAnsi="Arial"/>
                <w:sz w:val="14"/>
                <w:szCs w:val="14"/>
                <w:b w:val="1"/>
                <w:bCs w:val="1"/>
                <w:color w:val="auto"/>
              </w:rPr>
              <w:t>19,132</w:t>
            </w:r>
          </w:p>
        </w:tc>
        <w:tc>
          <w:tcPr>
            <w:tcW w:w="400" w:type="dxa"/>
            <w:vAlign w:val="bottom"/>
            <w:tcBorders>
              <w:bottom w:val="single" w:sz="8" w:color="225CAB"/>
            </w:tcBorders>
          </w:tcPr>
          <w:p>
            <w:pPr>
              <w:jc w:val="right"/>
              <w:ind w:right="53"/>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225CAB"/>
            </w:tcBorders>
          </w:tcPr>
          <w:p>
            <w:pPr>
              <w:jc w:val="right"/>
              <w:ind w:right="132"/>
              <w:spacing w:after="0"/>
              <w:rPr>
                <w:sz w:val="20"/>
                <w:szCs w:val="20"/>
                <w:color w:val="auto"/>
              </w:rPr>
            </w:pPr>
            <w:r>
              <w:rPr>
                <w:rFonts w:ascii="Arial" w:cs="Arial" w:eastAsia="Arial" w:hAnsi="Arial"/>
                <w:sz w:val="14"/>
                <w:szCs w:val="14"/>
                <w:b w:val="1"/>
                <w:bCs w:val="1"/>
                <w:color w:val="auto"/>
              </w:rPr>
              <w:t>3,582</w:t>
            </w:r>
          </w:p>
        </w:tc>
        <w:tc>
          <w:tcPr>
            <w:tcW w:w="400" w:type="dxa"/>
            <w:vAlign w:val="bottom"/>
            <w:tcBorders>
              <w:bottom w:val="single" w:sz="8" w:color="225CAB"/>
            </w:tcBorders>
          </w:tcPr>
          <w:p>
            <w:pPr>
              <w:ind w:left="220"/>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225CAB"/>
            </w:tcBorders>
          </w:tcPr>
          <w:p>
            <w:pPr>
              <w:jc w:val="right"/>
              <w:ind w:right="172"/>
              <w:spacing w:after="0"/>
              <w:rPr>
                <w:sz w:val="20"/>
                <w:szCs w:val="20"/>
                <w:color w:val="auto"/>
              </w:rPr>
            </w:pPr>
            <w:r>
              <w:rPr>
                <w:rFonts w:ascii="Arial" w:cs="Arial" w:eastAsia="Arial" w:hAnsi="Arial"/>
                <w:sz w:val="14"/>
                <w:szCs w:val="14"/>
                <w:b w:val="1"/>
                <w:bCs w:val="1"/>
                <w:color w:val="auto"/>
              </w:rPr>
              <w:t>696</w:t>
            </w:r>
          </w:p>
        </w:tc>
        <w:tc>
          <w:tcPr>
            <w:tcW w:w="2820" w:type="dxa"/>
            <w:vAlign w:val="bottom"/>
            <w:tcBorders>
              <w:bottom w:val="single" w:sz="8" w:color="225CAB"/>
            </w:tcBorders>
          </w:tcPr>
          <w:p>
            <w:pPr>
              <w:ind w:left="200"/>
              <w:spacing w:after="0"/>
              <w:rPr>
                <w:sz w:val="20"/>
                <w:szCs w:val="20"/>
                <w:color w:val="auto"/>
              </w:rPr>
            </w:pPr>
            <w:r>
              <w:rPr>
                <w:rFonts w:ascii="Arial" w:cs="Arial" w:eastAsia="Arial" w:hAnsi="Arial"/>
                <w:sz w:val="14"/>
                <w:szCs w:val="14"/>
                <w:b w:val="1"/>
                <w:bCs w:val="1"/>
                <w:color w:val="auto"/>
              </w:rPr>
              <w:t>Industrial Conglomerates</w:t>
            </w:r>
          </w:p>
        </w:tc>
      </w:tr>
    </w:tbl>
    <w:p>
      <w:pPr>
        <w:spacing w:after="0" w:line="68" w:lineRule="exact"/>
        <w:rPr>
          <w:sz w:val="20"/>
          <w:szCs w:val="20"/>
          <w:color w:val="auto"/>
        </w:rPr>
      </w:pPr>
    </w:p>
    <w:p>
      <w:pPr>
        <w:spacing w:after="0"/>
        <w:rPr>
          <w:sz w:val="20"/>
          <w:szCs w:val="20"/>
          <w:color w:val="auto"/>
        </w:rPr>
      </w:pPr>
      <w:r>
        <w:rPr>
          <w:rFonts w:ascii="Arial" w:cs="Arial" w:eastAsia="Arial" w:hAnsi="Arial"/>
          <w:sz w:val="14"/>
          <w:szCs w:val="14"/>
          <w:color w:val="auto"/>
        </w:rPr>
        <w:t>Source:S&amp;P Capital IQ</w:t>
      </w:r>
    </w:p>
    <w:p>
      <w:pPr>
        <w:ind w:left="340" w:hanging="332"/>
        <w:spacing w:after="0" w:line="221" w:lineRule="auto"/>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As of 12/31/15</w:t>
      </w:r>
    </w:p>
    <w:p>
      <w:pPr>
        <w:ind w:left="340" w:hanging="332"/>
        <w:spacing w:after="0"/>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Last four quarters available as of 12/31/15</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225CAB"/>
        </w:rPr>
        <w:t>Relative Performance Comparisons Caveat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Long-Term Measurement Period Needed</w:t>
      </w:r>
    </w:p>
    <w:p>
      <w:pPr>
        <w:spacing w:after="0" w:line="97"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Comparing other companies’ performance to Roper’s can generate misleading or distorted results due to our consistently strong performance, our business transformation and GICS change, and short term stock price movements. As a result, we believe a long-term performance period most accurately portrays relative performance for Roper</w:t>
      </w:r>
    </w:p>
    <w:p>
      <w:pPr>
        <w:spacing w:after="0" w:line="73" w:lineRule="exact"/>
        <w:rPr>
          <w:sz w:val="20"/>
          <w:szCs w:val="20"/>
          <w:color w:val="auto"/>
        </w:rPr>
      </w:pPr>
    </w:p>
    <w:p>
      <w:pPr>
        <w:ind w:left="220" w:right="420" w:hanging="212"/>
        <w:spacing w:after="0" w:line="239" w:lineRule="auto"/>
        <w:tabs>
          <w:tab w:leader="none" w:pos="2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Over shorter periods, performance comparisons can be skewed by the easier performance baselines of peer companies that, unlike Roper, have experienced periods of historical underperformance and benefit from a “bounce back” from a lower starting point.</w:t>
      </w:r>
    </w:p>
    <w:p>
      <w:pPr>
        <w:spacing w:after="0" w:line="138" w:lineRule="exact"/>
        <w:rPr>
          <w:sz w:val="20"/>
          <w:szCs w:val="20"/>
          <w:color w:val="auto"/>
        </w:rPr>
      </w:pPr>
    </w:p>
    <w:tbl>
      <w:tblPr>
        <w:tblLayout w:type="fixed"/>
        <w:tblInd w:w="6900" w:type="dxa"/>
        <w:tblCellMar>
          <w:top w:w="0" w:type="dxa"/>
          <w:left w:w="0" w:type="dxa"/>
          <w:bottom w:w="0" w:type="dxa"/>
          <w:right w:w="0" w:type="dxa"/>
        </w:tblCellMar>
      </w:tblPr>
      <w:tr>
        <w:trPr>
          <w:trHeight w:val="309"/>
        </w:trPr>
        <w:tc>
          <w:tcPr>
            <w:tcW w:w="4080" w:type="dxa"/>
            <w:vAlign w:val="bottom"/>
            <w:tcBorders>
              <w:right w:val="single" w:sz="8" w:color="225CAB"/>
            </w:tcBorders>
          </w:tcPr>
          <w:p>
            <w:pPr>
              <w:spacing w:after="0"/>
              <w:rPr>
                <w:sz w:val="20"/>
                <w:szCs w:val="20"/>
                <w:color w:val="auto"/>
              </w:rPr>
            </w:pPr>
            <w:r>
              <w:rPr>
                <w:rFonts w:ascii="Arial" w:cs="Arial" w:eastAsia="Arial" w:hAnsi="Arial"/>
                <w:sz w:val="18"/>
                <w:szCs w:val="18"/>
                <w:b w:val="1"/>
                <w:bCs w:val="1"/>
                <w:color w:val="225CAB"/>
                <w:w w:val="99"/>
              </w:rPr>
              <w:t>Roper Technologies, Inc. 2016 Proxy Statement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225CAB"/>
              </w:rPr>
              <w:t>27</w:t>
            </w:r>
          </w:p>
        </w:tc>
      </w:tr>
      <w:tr>
        <w:trPr>
          <w:trHeight w:val="83"/>
        </w:trPr>
        <w:tc>
          <w:tcPr>
            <w:tcW w:w="4080" w:type="dxa"/>
            <w:vAlign w:val="bottom"/>
            <w:tcBorders>
              <w:right w:val="single" w:sz="8" w:color="225CAB"/>
            </w:tcBorders>
          </w:tcPr>
          <w:p>
            <w:pPr>
              <w:spacing w:after="0"/>
              <w:rPr>
                <w:sz w:val="7"/>
                <w:szCs w:val="7"/>
                <w:color w:val="auto"/>
              </w:rPr>
            </w:pPr>
          </w:p>
        </w:tc>
        <w:tc>
          <w:tcPr>
            <w:tcW w:w="44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-213995</wp:posOffset>
            </wp:positionV>
            <wp:extent cx="420370" cy="2057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225CAB"/>
        </w:rPr>
        <w:t xml:space="preserve">COMPENSATION DISCUSSION AND ANALYSIS </w:t>
      </w:r>
      <w:r>
        <w:rPr>
          <w:rFonts w:ascii="Arial" w:cs="Arial" w:eastAsia="Arial" w:hAnsi="Arial"/>
          <w:sz w:val="18"/>
          <w:szCs w:val="18"/>
          <w:i w:val="1"/>
          <w:iCs w:val="1"/>
          <w:color w:val="225CAB"/>
        </w:rPr>
        <w:t>(CONTINUED)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225CAB"/>
        </w:rPr>
        <w:t>CEO Compensation</w:t>
      </w:r>
    </w:p>
    <w:p>
      <w:pPr>
        <w:spacing w:after="0" w:line="99"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The Compensation Committee considers many factors in determining the compensation of Roper’s Chief Executive Officer, Brian Jellison, and believes his compensation is reasonable, appropriate, and aligned with shareholders’ best interests.</w:t>
      </w:r>
    </w:p>
    <w:p>
      <w:pPr>
        <w:sectPr>
          <w:pgSz w:w="11900" w:h="16838" w:orient="portrait"/>
          <w:cols w:equalWidth="0" w:num="1">
            <w:col w:w="11300"/>
          </w:cols>
          <w:pgMar w:left="240" w:top="459" w:right="359" w:bottom="1440" w:gutter="0" w:footer="0" w:header="0"/>
        </w:sect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Broad Responsibilities and Effective Leadership</w:t>
      </w:r>
    </w:p>
    <w:p>
      <w:pPr>
        <w:spacing w:after="0" w:line="97" w:lineRule="exact"/>
        <w:rPr>
          <w:sz w:val="20"/>
          <w:szCs w:val="20"/>
          <w:color w:val="auto"/>
        </w:rPr>
      </w:pPr>
    </w:p>
    <w:p>
      <w:pPr>
        <w:ind w:left="200" w:right="20" w:hanging="192"/>
        <w:spacing w:after="0" w:line="269" w:lineRule="auto"/>
        <w:tabs>
          <w:tab w:leader="none" w:pos="2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Not only is Mr. Jellison the Chairman, Chief Executive Officer, and President of a unique, complex, global organization, but he is also the key architect of our highly successful business strategy and has been instrumental in building the sustainable high-performance and entrepreneurial culture at Roper. Mr. Jellison also leads the capital deployment process under which Roper has invested billions of dollars in acquisitions during his tenure that has successfully created sustained superior returns for investors.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Outstanding Performance and Value Creation</w:t>
      </w:r>
    </w:p>
    <w:p>
      <w:pPr>
        <w:spacing w:after="0" w:line="97" w:lineRule="exact"/>
        <w:rPr>
          <w:sz w:val="20"/>
          <w:szCs w:val="20"/>
          <w:color w:val="auto"/>
        </w:rPr>
      </w:pPr>
    </w:p>
    <w:p>
      <w:pPr>
        <w:ind w:left="200" w:hanging="192"/>
        <w:spacing w:after="0" w:line="264" w:lineRule="auto"/>
        <w:tabs>
          <w:tab w:leader="none" w:pos="2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Over the last five years, Roper’s value has tripled with shareholders receiving a 21% compound annual return. As guided by</w:t>
      </w:r>
    </w:p>
    <w:p>
      <w:pPr>
        <w:ind w:left="200" w:right="100"/>
        <w:spacing w:after="0" w:line="236" w:lineRule="auto"/>
        <w:rPr>
          <w:rFonts w:ascii="Arial" w:cs="Arial" w:eastAsia="Arial" w:hAnsi="Arial"/>
          <w:sz w:val="16"/>
          <w:szCs w:val="16"/>
          <w:color w:val="auto"/>
        </w:rPr>
      </w:pPr>
      <w:r>
        <w:rPr>
          <w:rFonts w:ascii="Arial" w:cs="Arial" w:eastAsia="Arial" w:hAnsi="Arial"/>
          <w:sz w:val="18"/>
          <w:szCs w:val="18"/>
          <w:color w:val="auto"/>
        </w:rPr>
        <w:t>Mr. Jellison, Roper has undergone a business transformation with increasing returns on cash investment and margins, providing a platform for continued growth and future value creation for investors. Roper ranked 4</w:t>
      </w:r>
      <w:r>
        <w:rPr>
          <w:rFonts w:ascii="Arial" w:cs="Arial" w:eastAsia="Arial" w:hAnsi="Arial"/>
          <w:sz w:val="11"/>
          <w:szCs w:val="11"/>
          <w:color w:val="auto"/>
        </w:rPr>
        <w:t>th</w:t>
      </w:r>
      <w:r>
        <w:rPr>
          <w:rFonts w:ascii="Arial" w:cs="Arial" w:eastAsia="Arial" w:hAnsi="Arial"/>
          <w:sz w:val="18"/>
          <w:szCs w:val="18"/>
          <w:color w:val="auto"/>
        </w:rPr>
        <w:t xml:space="preserve"> in the </w:t>
      </w:r>
      <w:r>
        <w:rPr>
          <w:rFonts w:ascii="Arial" w:cs="Arial" w:eastAsia="Arial" w:hAnsi="Arial"/>
          <w:sz w:val="18"/>
          <w:szCs w:val="18"/>
          <w:i w:val="1"/>
          <w:iCs w:val="1"/>
          <w:color w:val="auto"/>
        </w:rPr>
        <w:t>2015 Wealth Creation Index</w:t>
      </w:r>
      <w:r>
        <w:rPr>
          <w:rFonts w:ascii="Arial" w:cs="Arial" w:eastAsia="Arial" w:hAnsi="Arial"/>
          <w:sz w:val="18"/>
          <w:szCs w:val="18"/>
          <w:color w:val="auto"/>
        </w:rPr>
        <w:t xml:space="preserve"> among the S&amp;P 500 as compiled by Chief Executive magazine, up from 15</w:t>
      </w:r>
      <w:r>
        <w:rPr>
          <w:rFonts w:ascii="Arial" w:cs="Arial" w:eastAsia="Arial" w:hAnsi="Arial"/>
          <w:sz w:val="11"/>
          <w:szCs w:val="11"/>
          <w:color w:val="auto"/>
        </w:rPr>
        <w:t>th</w:t>
      </w:r>
      <w:r>
        <w:rPr>
          <w:rFonts w:ascii="Arial" w:cs="Arial" w:eastAsia="Arial" w:hAnsi="Arial"/>
          <w:sz w:val="18"/>
          <w:szCs w:val="18"/>
          <w:color w:val="auto"/>
        </w:rPr>
        <w:t xml:space="preserve"> in 2014. Among other honors, Mr. Jellison was recently recognized by The Harvard Business Review as one of “The 100 Best-Performing CEOs in the World.”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Alignment with Shareholder Value Creation</w:t>
      </w:r>
    </w:p>
    <w:p>
      <w:pPr>
        <w:spacing w:after="0" w:line="97" w:lineRule="exact"/>
        <w:rPr>
          <w:sz w:val="20"/>
          <w:szCs w:val="20"/>
          <w:color w:val="auto"/>
        </w:rPr>
      </w:pPr>
    </w:p>
    <w:p>
      <w:pPr>
        <w:ind w:left="200" w:right="40" w:hanging="192"/>
        <w:spacing w:after="0" w:line="236" w:lineRule="auto"/>
        <w:tabs>
          <w:tab w:leader="none" w:pos="2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By design, the Chief Executive Officer’s compensation has been closely tied to the value of Roper stock. The percentage increase in the value of Mr. Jellison’s equity awards over the last five years has exactly equaled the percentage increase in Roper’s stock price, as the number of shares awarded has remained the same. This tight alignment between compensation and share price creates a strong incentive to profitably grow the enterprise.</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External Comparisons</w:t>
      </w:r>
    </w:p>
    <w:p>
      <w:pPr>
        <w:spacing w:after="0" w:line="97" w:lineRule="exact"/>
        <w:rPr>
          <w:sz w:val="20"/>
          <w:szCs w:val="20"/>
          <w:color w:val="auto"/>
        </w:rPr>
      </w:pPr>
    </w:p>
    <w:p>
      <w:pPr>
        <w:ind w:left="200" w:right="160" w:hanging="192"/>
        <w:spacing w:after="0" w:line="267" w:lineRule="auto"/>
        <w:tabs>
          <w:tab w:leader="none" w:pos="2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Compensation for Roper’s Chief Executive Officer is within the range for Roper’s self-selected peers and high-performing, long-tenured Chief Executive Officers of publicly traded corporations. Among private equity firms, compensation for Roper’s Chief Executive Officer is below levels that would be expected for commensurate levels of performance. Compensation for our Chief Executive Officer has also been low relative to the incremental value created for investors as measured against Roper’s self-selected peers. Over the last five years for which information is available, Roper’s “sharing ratio” (Chief Executive Officer total compensation as a percentage of incremental shareholder value created) is at the lower end of the range among peers.</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Internal Pay Equity</w:t>
      </w:r>
    </w:p>
    <w:p>
      <w:pPr>
        <w:spacing w:after="0" w:line="97" w:lineRule="exact"/>
        <w:rPr>
          <w:sz w:val="20"/>
          <w:szCs w:val="20"/>
          <w:color w:val="auto"/>
        </w:rPr>
      </w:pPr>
    </w:p>
    <w:p>
      <w:pPr>
        <w:ind w:left="200" w:hanging="192"/>
        <w:spacing w:after="0" w:line="235" w:lineRule="auto"/>
        <w:tabs>
          <w:tab w:leader="none" w:pos="2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Compensation Committee considers the scope of responsibilities, experience, and performance of our executive officers and believes all are fairly compensated from an internal perspective. Specific considerations in regard to the Chief Executive Officer include the breadth of his responsibilities and his leadership role in developing and executing Roper’s business strategy. Consistent with Roper’s lean organization, we made a conscious decision to not have a Chief Operating Officer and traditional corporate staff levels. In addition to low corporate overhead, Roper’s decentralized model results in operating business leaders who are highly compensated but are not executive officers.</w:t>
      </w:r>
    </w:p>
    <w:p>
      <w:pPr>
        <w:spacing w:after="0" w:line="853" w:lineRule="exact"/>
        <w:rPr>
          <w:sz w:val="20"/>
          <w:szCs w:val="20"/>
          <w:color w:val="auto"/>
        </w:rPr>
      </w:pPr>
    </w:p>
    <w:p>
      <w:pPr>
        <w:sectPr>
          <w:pgSz w:w="11900" w:h="16838" w:orient="portrait"/>
          <w:cols w:equalWidth="0" w:num="2">
            <w:col w:w="5460" w:space="360"/>
            <w:col w:w="5480"/>
          </w:cols>
          <w:pgMar w:left="240" w:top="459" w:right="359" w:bottom="1440" w:gutter="0" w:footer="0" w:header="0"/>
          <w:type w:val="continuous"/>
        </w:sectPr>
      </w:pP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336"/>
        </w:trPr>
        <w:tc>
          <w:tcPr>
            <w:tcW w:w="340" w:type="dxa"/>
            <w:vAlign w:val="bottom"/>
            <w:tcBorders>
              <w:right w:val="single" w:sz="8" w:color="225CAB"/>
            </w:tcBorders>
          </w:tcPr>
          <w:p>
            <w:pPr>
              <w:jc w:val="right"/>
              <w:ind w:right="52"/>
              <w:spacing w:after="0"/>
              <w:rPr>
                <w:sz w:val="20"/>
                <w:szCs w:val="20"/>
                <w:color w:val="auto"/>
              </w:rPr>
            </w:pPr>
            <w:r>
              <w:rPr>
                <w:rFonts w:ascii="Arial" w:cs="Arial" w:eastAsia="Arial" w:hAnsi="Arial"/>
                <w:sz w:val="18"/>
                <w:szCs w:val="18"/>
                <w:b w:val="1"/>
                <w:bCs w:val="1"/>
                <w:color w:val="225CAB"/>
                <w:w w:val="89"/>
              </w:rPr>
              <w:t>28</w:t>
            </w:r>
          </w:p>
        </w:tc>
        <w:tc>
          <w:tcPr>
            <w:tcW w:w="5180" w:type="dxa"/>
            <w:vAlign w:val="bottom"/>
          </w:tcPr>
          <w:p>
            <w:pPr>
              <w:ind w:left="1240"/>
              <w:spacing w:after="0"/>
              <w:rPr>
                <w:sz w:val="20"/>
                <w:szCs w:val="20"/>
                <w:color w:val="auto"/>
              </w:rPr>
            </w:pPr>
            <w:r>
              <w:rPr>
                <w:rFonts w:ascii="Arial" w:cs="Arial" w:eastAsia="Arial" w:hAnsi="Arial"/>
                <w:sz w:val="18"/>
                <w:szCs w:val="18"/>
                <w:b w:val="1"/>
                <w:bCs w:val="1"/>
                <w:color w:val="225CAB"/>
                <w:w w:val="96"/>
              </w:rPr>
              <w:t>Roper Technologies, Inc. 2016 Proxy Statement</w:t>
            </w:r>
          </w:p>
        </w:tc>
      </w:tr>
      <w:tr>
        <w:trPr>
          <w:trHeight w:val="110"/>
        </w:trPr>
        <w:tc>
          <w:tcPr>
            <w:tcW w:w="340" w:type="dxa"/>
            <w:vAlign w:val="bottom"/>
            <w:tcBorders>
              <w:right w:val="single" w:sz="8" w:color="225CAB"/>
            </w:tcBorders>
          </w:tcPr>
          <w:p>
            <w:pPr>
              <w:spacing w:after="0"/>
              <w:rPr>
                <w:sz w:val="9"/>
                <w:szCs w:val="9"/>
                <w:color w:val="auto"/>
              </w:rPr>
            </w:pPr>
          </w:p>
        </w:tc>
        <w:tc>
          <w:tcPr>
            <w:tcW w:w="518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-248285</wp:posOffset>
            </wp:positionV>
            <wp:extent cx="420370" cy="2057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ectPr>
          <w:pgSz w:w="11900" w:h="16838" w:orient="portrait"/>
          <w:cols w:equalWidth="0" w:num="1">
            <w:col w:w="11300"/>
          </w:cols>
          <w:pgMar w:left="240" w:top="459" w:right="359"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225CAB"/>
        </w:rPr>
        <w:t xml:space="preserve">COMPENSATION DISCUSSION AND ANALYSIS </w:t>
      </w:r>
      <w:r>
        <w:rPr>
          <w:rFonts w:ascii="Arial" w:cs="Arial" w:eastAsia="Arial" w:hAnsi="Arial"/>
          <w:sz w:val="18"/>
          <w:szCs w:val="18"/>
          <w:i w:val="1"/>
          <w:iCs w:val="1"/>
          <w:color w:val="225CAB"/>
        </w:rPr>
        <w:t>(CONTINUED)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Equity Grants</w:t>
      </w:r>
    </w:p>
    <w:p>
      <w:pPr>
        <w:spacing w:after="0" w:line="83"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The Compensation Committee grants awards of performance-based restricted stock and stock options to executive officers under the Company’s 2006 Incentive Plan at the first regularly scheduled meeting each year. The exercise price for stock options is the closing price of Roper common stock on the date of grant. From time to time the Compensation Committee may grant additional awards in connection with promotions or increased responsibilities, but none were made to executive officers in 2015.</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Equity Award Determination</w:t>
      </w:r>
    </w:p>
    <w:p>
      <w:pPr>
        <w:spacing w:after="0" w:line="83"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Historically, the size of equity awards has been expressed as a constant number of shares, which fluctuates in value from year to year with changes in the stock price. We believe this approach strengthens the alignment with shareholders, provides additional incentive for increasing the value of our shares, exposes the executive to the risks of share ownership, and assists in attracting and retaining talented executives. Consistent with this “constant share” approach to equity award denomination, changes in total compensation for our executive officers align with our total shareholder return.</w:t>
      </w:r>
    </w:p>
    <w:p>
      <w:pPr>
        <w:spacing w:after="0" w:line="63"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The Compensation Committee continues to review the application of the share-based approach to ensure that it does not unduly reward executive officers for past performance. For 2015, the Committee retained the approach for the 2015 equity awards which were slightly lower in value than the 2014 awards for executive officers, other than the CEO’s whose award value was only slightly higher than the prior year. The Committee will continue to closely monitor the grant size methodology to ensure it is consistent with our overall executive compensation philosophy and program.</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ANALYSIS OF 2015 COMPENSATION</w:t>
      </w:r>
    </w:p>
    <w:p>
      <w:pPr>
        <w:spacing w:after="0" w:line="93"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This section discusses the compensation actions that were taken in 2015 for our executive officers, as reported in the “Executive Compensation” section below.</w:t>
      </w:r>
    </w:p>
    <w:p>
      <w:pPr>
        <w:sectPr>
          <w:pgSz w:w="11900" w:h="16838" w:orient="portrait"/>
          <w:cols w:equalWidth="0" w:num="1">
            <w:col w:w="11420"/>
          </w:cols>
          <w:pgMar w:left="240" w:top="459" w:right="239" w:bottom="1440" w:gutter="0" w:footer="0" w:header="0"/>
        </w:sect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225CAB"/>
        </w:rPr>
        <w:t>Base Salary</w:t>
      </w:r>
    </w:p>
    <w:p>
      <w:pPr>
        <w:spacing w:after="0" w:line="99" w:lineRule="exact"/>
        <w:rPr>
          <w:sz w:val="20"/>
          <w:szCs w:val="20"/>
          <w:color w:val="auto"/>
        </w:rPr>
      </w:pPr>
    </w:p>
    <w:p>
      <w:pPr>
        <w:ind w:right="280"/>
        <w:spacing w:after="0" w:line="237" w:lineRule="auto"/>
        <w:rPr>
          <w:sz w:val="20"/>
          <w:szCs w:val="20"/>
          <w:color w:val="auto"/>
        </w:rPr>
      </w:pPr>
      <w:r>
        <w:rPr>
          <w:rFonts w:ascii="Arial" w:cs="Arial" w:eastAsia="Arial" w:hAnsi="Arial"/>
          <w:sz w:val="18"/>
          <w:szCs w:val="18"/>
          <w:color w:val="auto"/>
        </w:rPr>
        <w:t>For 2015 and 2016, the Compensation Committee made no adjustments to salaries for executive officers, with the exception of Mr. Soni whose salary for 2016 was increased to reflect additional responsibility.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225CAB"/>
        </w:rPr>
        <w:t>Annual Cash Incentive</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Incentive Opportunities</w:t>
      </w:r>
    </w:p>
    <w:p>
      <w:pPr>
        <w:spacing w:after="0" w:line="8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Annual cash incentive opportunities for 2015 for participating executive officers, expressed as percentages of base salary reflective of market practice, were established at the start of the year as follows: Mr. Humphrey (150%), Mr. Liner (100%), and Mr. Soni (80%). Our annual incentive bonuses are capped at the foregoing respective percentages in the interest of risk mitigation and avoidance of a short-term focus to decision-making. The Chief Executive Officer no longer receives a one-year cash bonus award.</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Funding Schedule</w:t>
      </w:r>
    </w:p>
    <w:p>
      <w:pPr>
        <w:spacing w:after="0" w:line="83" w:lineRule="exact"/>
        <w:rPr>
          <w:sz w:val="20"/>
          <w:szCs w:val="20"/>
          <w:color w:val="auto"/>
        </w:rPr>
      </w:pPr>
    </w:p>
    <w:p>
      <w:pPr>
        <w:ind w:right="200"/>
        <w:spacing w:after="0" w:line="266" w:lineRule="auto"/>
        <w:rPr>
          <w:sz w:val="20"/>
          <w:szCs w:val="20"/>
          <w:color w:val="auto"/>
        </w:rPr>
      </w:pPr>
      <w:r>
        <w:rPr>
          <w:rFonts w:ascii="Arial" w:cs="Arial" w:eastAsia="Arial" w:hAnsi="Arial"/>
          <w:sz w:val="16"/>
          <w:szCs w:val="16"/>
          <w:color w:val="auto"/>
        </w:rPr>
        <w:t>The annual incentive approach was the same as in prior years. 2015 adjusted net earnings were required to reach at least $644 million (2014 adjusted net earnings) for any bonus to be earned. At $644 million of adjusted net earnings, 35% of the full bonus opportunity would be earned. If adjusted net earnings increased by 15% to $741 million, then 100% of the full bonus amount would be earned. If between $644 million and $741 million, the percentage of the bonus opportunity earned would be determined through straight-line interpolation, as shown in the chart below. For 2015 the adjusted net earnings for the Company were 103.9% of the base amount; accordingly, the Compensation Committee approved payment of 52% of the bonus opportunity. No adjustments were made to adjust for currency or other unexpected external factors negatively impacting 2015 financial results. The performance bonuses to our executive officers for 2015 are shown in the 2015 Summary Compensation Table below under the “Non-Equity Incentive Plan Compensation.”</w:t>
      </w:r>
    </w:p>
    <w:p>
      <w:pPr>
        <w:spacing w:after="0" w:line="282" w:lineRule="exact"/>
        <w:rPr>
          <w:sz w:val="20"/>
          <w:szCs w:val="20"/>
          <w:color w:val="auto"/>
        </w:rPr>
      </w:pPr>
    </w:p>
    <w:p>
      <w:pPr>
        <w:sectPr>
          <w:pgSz w:w="11900" w:h="16838" w:orient="portrait"/>
          <w:cols w:equalWidth="0" w:num="2">
            <w:col w:w="5440" w:space="380"/>
            <w:col w:w="5600"/>
          </w:cols>
          <w:pgMar w:left="240" w:top="459" w:right="239" w:bottom="1440" w:gutter="0" w:footer="0" w:header="0"/>
          <w:type w:val="continuous"/>
        </w:sectPr>
      </w:pPr>
    </w:p>
    <w:p>
      <w:pPr>
        <w:spacing w:after="0" w:line="194" w:lineRule="exact"/>
        <w:rPr>
          <w:sz w:val="20"/>
          <w:szCs w:val="20"/>
          <w:color w:val="auto"/>
        </w:rPr>
      </w:pPr>
    </w:p>
    <w:tbl>
      <w:tblPr>
        <w:tblLayout w:type="fixed"/>
        <w:tblInd w:w="6900" w:type="dxa"/>
        <w:tblCellMar>
          <w:top w:w="0" w:type="dxa"/>
          <w:left w:w="0" w:type="dxa"/>
          <w:bottom w:w="0" w:type="dxa"/>
          <w:right w:w="0" w:type="dxa"/>
        </w:tblCellMar>
      </w:tblPr>
      <w:tr>
        <w:trPr>
          <w:trHeight w:val="309"/>
        </w:trPr>
        <w:tc>
          <w:tcPr>
            <w:tcW w:w="4080" w:type="dxa"/>
            <w:vAlign w:val="bottom"/>
            <w:tcBorders>
              <w:right w:val="single" w:sz="8" w:color="225CAB"/>
            </w:tcBorders>
          </w:tcPr>
          <w:p>
            <w:pPr>
              <w:spacing w:after="0"/>
              <w:rPr>
                <w:sz w:val="20"/>
                <w:szCs w:val="20"/>
                <w:color w:val="auto"/>
              </w:rPr>
            </w:pPr>
            <w:r>
              <w:rPr>
                <w:rFonts w:ascii="Arial" w:cs="Arial" w:eastAsia="Arial" w:hAnsi="Arial"/>
                <w:sz w:val="18"/>
                <w:szCs w:val="18"/>
                <w:b w:val="1"/>
                <w:bCs w:val="1"/>
                <w:color w:val="225CAB"/>
                <w:w w:val="99"/>
              </w:rPr>
              <w:t>Roper Technologies, Inc. 2016 Proxy Statement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225CAB"/>
              </w:rPr>
              <w:t>29</w:t>
            </w:r>
          </w:p>
        </w:tc>
      </w:tr>
      <w:tr>
        <w:trPr>
          <w:trHeight w:val="83"/>
        </w:trPr>
        <w:tc>
          <w:tcPr>
            <w:tcW w:w="4080" w:type="dxa"/>
            <w:vAlign w:val="bottom"/>
            <w:tcBorders>
              <w:right w:val="single" w:sz="8" w:color="225CAB"/>
            </w:tcBorders>
          </w:tcPr>
          <w:p>
            <w:pPr>
              <w:spacing w:after="0"/>
              <w:rPr>
                <w:sz w:val="7"/>
                <w:szCs w:val="7"/>
                <w:color w:val="auto"/>
              </w:rPr>
            </w:pPr>
          </w:p>
        </w:tc>
        <w:tc>
          <w:tcPr>
            <w:tcW w:w="44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-213995</wp:posOffset>
            </wp:positionV>
            <wp:extent cx="420370" cy="2057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225CAB"/>
        </w:rPr>
        <w:t xml:space="preserve">COMPENSATION DISCUSSION AND ANALYSIS </w:t>
      </w:r>
      <w:r>
        <w:rPr>
          <w:rFonts w:ascii="Arial" w:cs="Arial" w:eastAsia="Arial" w:hAnsi="Arial"/>
          <w:sz w:val="18"/>
          <w:szCs w:val="18"/>
          <w:i w:val="1"/>
          <w:iCs w:val="1"/>
          <w:color w:val="225CA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2028825</wp:posOffset>
            </wp:positionH>
            <wp:positionV relativeFrom="paragraph">
              <wp:posOffset>203835</wp:posOffset>
            </wp:positionV>
            <wp:extent cx="3198495" cy="1689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198495" cy="168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800"/>
        <w:spacing w:after="0" w:line="226" w:lineRule="auto"/>
        <w:rPr>
          <w:sz w:val="20"/>
          <w:szCs w:val="20"/>
          <w:color w:val="auto"/>
        </w:rPr>
      </w:pPr>
      <w:r>
        <w:rPr>
          <w:rFonts w:ascii="Arial" w:cs="Arial" w:eastAsia="Arial" w:hAnsi="Arial"/>
          <w:sz w:val="14"/>
          <w:szCs w:val="14"/>
          <w:color w:val="auto"/>
        </w:rPr>
        <w:t>Adjusted net earnings is net earnings increased or reduced to eliminate the effects of extraordinary items, accounting and tax law changes, discontinued operations, restructuring of debt obligations, asset dispositions, asset write-downs or impairment charges, acquisition-related expenses, litigation expenses and settlements, reorganization and restructuring programs, and non-recurring or special items (as discussed in Management’s Discussion and Analysis of Financial Conditions and Results of Operations in the Company’s 10-K for that year).</w:t>
      </w:r>
    </w:p>
    <w:p>
      <w:pPr>
        <w:sectPr>
          <w:pgSz w:w="11900" w:h="16838" w:orient="portrait"/>
          <w:cols w:equalWidth="0" w:num="1">
            <w:col w:w="11380"/>
          </w:cols>
          <w:pgMar w:left="240" w:top="459" w:right="279" w:bottom="1440" w:gutter="0" w:footer="0" w:header="0"/>
        </w:sect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225CAB"/>
        </w:rPr>
        <w:t>CEO Long-Term Cash Incentive</w:t>
      </w:r>
    </w:p>
    <w:p>
      <w:pPr>
        <w:spacing w:after="0" w:line="9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For 2015, the annual cash incentive for the Chief Executive Officer was again converted to a long-term cash incentive to emphasize the importance of sustained earnings.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Incentive Opportunity</w:t>
      </w:r>
    </w:p>
    <w:p>
      <w:pPr>
        <w:spacing w:after="0" w:line="97"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The incentive opportunity was set at 225% of base salary, the same as for the prior year.</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Funding Schedule</w:t>
      </w:r>
    </w:p>
    <w:p>
      <w:pPr>
        <w:spacing w:after="0" w:line="97"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Adjusted net earnings for the period from 2015 to 2017 will be required to reach at least $1.95 billion for any cash incentive to be earned. At $1.95 billion of adjusted net earnings, 35% of the full bonus opportunity would be earned. If adjusted net earnings increase by 15% to $2.243 billion, then 100% of the full bonus amount will be earned. If between $1.95 billion and $2.243 billion, the percentage of the bonus opportunity earned will be determined through straight-line interpolation, as shown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-1666240</wp:posOffset>
            </wp:positionH>
            <wp:positionV relativeFrom="paragraph">
              <wp:posOffset>130175</wp:posOffset>
            </wp:positionV>
            <wp:extent cx="3198495" cy="1689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198495" cy="16897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00" w:space="520"/>
            <w:col w:w="5560"/>
          </w:cols>
          <w:pgMar w:left="240" w:top="459" w:right="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336"/>
        </w:trPr>
        <w:tc>
          <w:tcPr>
            <w:tcW w:w="340" w:type="dxa"/>
            <w:vAlign w:val="bottom"/>
            <w:tcBorders>
              <w:right w:val="single" w:sz="8" w:color="225CAB"/>
            </w:tcBorders>
          </w:tcPr>
          <w:p>
            <w:pPr>
              <w:jc w:val="right"/>
              <w:ind w:right="52"/>
              <w:spacing w:after="0"/>
              <w:rPr>
                <w:sz w:val="20"/>
                <w:szCs w:val="20"/>
                <w:color w:val="auto"/>
              </w:rPr>
            </w:pPr>
            <w:r>
              <w:rPr>
                <w:rFonts w:ascii="Arial" w:cs="Arial" w:eastAsia="Arial" w:hAnsi="Arial"/>
                <w:sz w:val="18"/>
                <w:szCs w:val="18"/>
                <w:b w:val="1"/>
                <w:bCs w:val="1"/>
                <w:color w:val="225CAB"/>
                <w:w w:val="89"/>
              </w:rPr>
              <w:t>30</w:t>
            </w:r>
          </w:p>
        </w:tc>
        <w:tc>
          <w:tcPr>
            <w:tcW w:w="5180" w:type="dxa"/>
            <w:vAlign w:val="bottom"/>
          </w:tcPr>
          <w:p>
            <w:pPr>
              <w:ind w:left="1240"/>
              <w:spacing w:after="0"/>
              <w:rPr>
                <w:sz w:val="20"/>
                <w:szCs w:val="20"/>
                <w:color w:val="auto"/>
              </w:rPr>
            </w:pPr>
            <w:r>
              <w:rPr>
                <w:rFonts w:ascii="Arial" w:cs="Arial" w:eastAsia="Arial" w:hAnsi="Arial"/>
                <w:sz w:val="18"/>
                <w:szCs w:val="18"/>
                <w:b w:val="1"/>
                <w:bCs w:val="1"/>
                <w:color w:val="225CAB"/>
                <w:w w:val="96"/>
              </w:rPr>
              <w:t>Roper Technologies, Inc. 2016 Proxy Statement</w:t>
            </w:r>
          </w:p>
        </w:tc>
      </w:tr>
      <w:tr>
        <w:trPr>
          <w:trHeight w:val="110"/>
        </w:trPr>
        <w:tc>
          <w:tcPr>
            <w:tcW w:w="340" w:type="dxa"/>
            <w:vAlign w:val="bottom"/>
            <w:tcBorders>
              <w:right w:val="single" w:sz="8" w:color="225CAB"/>
            </w:tcBorders>
          </w:tcPr>
          <w:p>
            <w:pPr>
              <w:spacing w:after="0"/>
              <w:rPr>
                <w:sz w:val="9"/>
                <w:szCs w:val="9"/>
                <w:color w:val="auto"/>
              </w:rPr>
            </w:pPr>
          </w:p>
        </w:tc>
        <w:tc>
          <w:tcPr>
            <w:tcW w:w="518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-248285</wp:posOffset>
            </wp:positionV>
            <wp:extent cx="420370" cy="2057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ectPr>
          <w:pgSz w:w="11900" w:h="16838" w:orient="portrait"/>
          <w:cols w:equalWidth="0" w:num="1">
            <w:col w:w="11380"/>
          </w:cols>
          <w:pgMar w:left="240" w:top="459" w:right="279" w:bottom="1440"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225CAB"/>
        </w:rPr>
        <w:t xml:space="preserve">COMPENSATION DISCUSSION AND ANALYSIS </w:t>
      </w:r>
      <w:r>
        <w:rPr>
          <w:rFonts w:ascii="Arial" w:cs="Arial" w:eastAsia="Arial" w:hAnsi="Arial"/>
          <w:sz w:val="18"/>
          <w:szCs w:val="18"/>
          <w:i w:val="1"/>
          <w:iCs w:val="1"/>
          <w:color w:val="225CAB"/>
        </w:rPr>
        <w:t>(CONTINUED)</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225CAB"/>
        </w:rPr>
        <w:t>Long-Term Stock Incentives</w:t>
      </w:r>
    </w:p>
    <w:p>
      <w:pPr>
        <w:spacing w:after="0" w:line="99"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In 2015, we awarded performance-based restricted stock to our Chief Executive Officer and we awarded stock options and performance-based restricted shares to our other executive officers. The number of shares awarded in 2015 to our CEO and other executive officers was the same as each received in the prior year. These awards are shown in the 2015 Grants of Plan-Based Awards Table below.</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Performance Vesting for 2015 Awards</w:t>
      </w:r>
    </w:p>
    <w:p>
      <w:pPr>
        <w:spacing w:after="0" w:line="97" w:lineRule="exact"/>
        <w:rPr>
          <w:sz w:val="20"/>
          <w:szCs w:val="20"/>
          <w:color w:val="auto"/>
        </w:rPr>
      </w:pPr>
    </w:p>
    <w:p>
      <w:pPr>
        <w:ind w:left="200" w:right="100" w:hanging="192"/>
        <w:spacing w:after="0" w:line="299" w:lineRule="auto"/>
        <w:tabs>
          <w:tab w:leader="none" w:pos="2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 2015, vesting for all equity awards was lengthened to 50% after year 2 and 50% after year 3 (from one-third annually previously).</w:t>
      </w:r>
    </w:p>
    <w:p>
      <w:pPr>
        <w:spacing w:after="0" w:line="27" w:lineRule="exact"/>
        <w:rPr>
          <w:rFonts w:ascii="Arial" w:cs="Arial" w:eastAsia="Arial" w:hAnsi="Arial"/>
          <w:sz w:val="16"/>
          <w:szCs w:val="16"/>
          <w:color w:val="auto"/>
        </w:rPr>
      </w:pPr>
    </w:p>
    <w:p>
      <w:pPr>
        <w:ind w:left="200" w:right="140" w:hanging="192"/>
        <w:spacing w:after="0" w:line="237" w:lineRule="auto"/>
        <w:tabs>
          <w:tab w:leader="none" w:pos="2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Achievement of three-year cumulative goals for both EBITDA and operating cash flow as a percentage of revenue were added in 2015 as a requirement for full vesting of restricted shares (from one-year goals previously).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00" w:right="280" w:hanging="192"/>
        <w:spacing w:after="0" w:line="236" w:lineRule="auto"/>
        <w:tabs>
          <w:tab w:leader="none" w:pos="2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For 50% of the 2015 restricted stock awards to vest, $3 billion in adjusted EBITDA (as defined above for adjusted net earnings with the exclusion of interest, taxes, depreciation, and amortization) must be achieved over the three-year measurement period, as certified by the Committee. Up to 50% of the EBITDA portion can be earned at the end of year 2.</w:t>
      </w:r>
    </w:p>
    <w:p>
      <w:pPr>
        <w:spacing w:after="0" w:line="75" w:lineRule="exact"/>
        <w:rPr>
          <w:rFonts w:ascii="Arial" w:cs="Arial" w:eastAsia="Arial" w:hAnsi="Arial"/>
          <w:sz w:val="18"/>
          <w:szCs w:val="18"/>
          <w:color w:val="auto"/>
        </w:rPr>
      </w:pPr>
    </w:p>
    <w:p>
      <w:pPr>
        <w:ind w:left="200" w:right="220" w:hanging="192"/>
        <w:spacing w:after="0" w:line="271" w:lineRule="auto"/>
        <w:tabs>
          <w:tab w:leader="none" w:pos="2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For the other 50% of the 2015 restricted stock awards to vest, a minimum of 20% operating cash flow as a percentage of revenue must be met; if operating cash flow is below 15% of revenue, none of the shares vest; at 15% of revenue 35% of the share vest; between 15% and 20% of revenue, vesting is pro-rated. Up to 50% of this portion of the award can be earned at the end of year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-2542540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Changes Effective for 2016 Awards</w:t>
      </w:r>
    </w:p>
    <w:p>
      <w:pPr>
        <w:spacing w:after="0" w:line="97" w:lineRule="exact"/>
        <w:rPr>
          <w:sz w:val="20"/>
          <w:szCs w:val="20"/>
          <w:color w:val="auto"/>
        </w:rPr>
      </w:pPr>
    </w:p>
    <w:p>
      <w:pPr>
        <w:ind w:left="200" w:right="140" w:hanging="192"/>
        <w:spacing w:after="0" w:line="234" w:lineRule="auto"/>
        <w:tabs>
          <w:tab w:leader="none" w:pos="2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EBITDA goal was increased by 15% to $3.45 billion and operating cash flow as a percentage of revenue was increased from an already high performance level of 20% up to an even</w:t>
      </w:r>
    </w:p>
    <w:p>
      <w:pPr>
        <w:spacing w:after="0" w:line="2" w:lineRule="exact"/>
        <w:rPr>
          <w:rFonts w:ascii="Arial" w:cs="Arial" w:eastAsia="Arial" w:hAnsi="Arial"/>
          <w:sz w:val="18"/>
          <w:szCs w:val="18"/>
          <w:color w:val="auto"/>
        </w:rPr>
      </w:pPr>
    </w:p>
    <w:p>
      <w:pPr>
        <w:ind w:left="200"/>
        <w:spacing w:after="0"/>
        <w:rPr>
          <w:rFonts w:ascii="Arial" w:cs="Arial" w:eastAsia="Arial" w:hAnsi="Arial"/>
          <w:sz w:val="18"/>
          <w:szCs w:val="18"/>
          <w:color w:val="auto"/>
        </w:rPr>
      </w:pPr>
      <w:r>
        <w:rPr>
          <w:rFonts w:ascii="Arial" w:cs="Arial" w:eastAsia="Arial" w:hAnsi="Arial"/>
          <w:sz w:val="18"/>
          <w:szCs w:val="18"/>
          <w:color w:val="auto"/>
        </w:rPr>
        <w:t>higher 21%.</w:t>
      </w:r>
    </w:p>
    <w:p>
      <w:pPr>
        <w:spacing w:after="0" w:line="200" w:lineRule="exact"/>
        <w:rPr>
          <w:sz w:val="20"/>
          <w:szCs w:val="20"/>
          <w:color w:val="auto"/>
        </w:rPr>
      </w:pPr>
    </w:p>
    <w:p>
      <w:pPr>
        <w:sectPr>
          <w:pgSz w:w="11900" w:h="16838" w:orient="portrait"/>
          <w:cols w:equalWidth="0" w:num="2">
            <w:col w:w="5420" w:space="400"/>
            <w:col w:w="5600"/>
          </w:cols>
          <w:pgMar w:left="240" w:top="459" w:right="239" w:bottom="1440" w:gutter="0" w:footer="0" w:header="0"/>
        </w:sectPr>
      </w:pP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ADDITIONAL INFORMATION ABOUT OUR PROGRAM</w:t>
      </w:r>
    </w:p>
    <w:p>
      <w:pPr>
        <w:spacing w:after="0" w:line="107"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Other arrangements and considerations that are important to a shareholder’s understanding of our overall executive compensation program are described below.</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Share Ownership and Retention Guidelines</w:t>
      </w:r>
    </w:p>
    <w:p>
      <w:pPr>
        <w:spacing w:after="0" w:line="97"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We believe our executives should have a significant equity interest in the Company. To promote equity ownership and further align the interests of our executives with our shareholders, we adopted share retention and ownership guidelines for our executive officers. The stock ownership requirements vary based upon the executive’s position and are expressed as a number of shares which, as shown below, result in ownership guidelines far higher than market norms. All our executive officers hold shares substantially above these guidelines.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shd w:val="clear" w:color="auto" w:fill="225CAB"/>
          </w:tcPr>
          <w:p>
            <w:pPr>
              <w:spacing w:after="0"/>
              <w:rPr>
                <w:sz w:val="14"/>
                <w:szCs w:val="14"/>
                <w:color w:val="auto"/>
              </w:rPr>
            </w:pPr>
          </w:p>
        </w:tc>
        <w:tc>
          <w:tcPr>
            <w:tcW w:w="2580" w:type="dxa"/>
            <w:vAlign w:val="bottom"/>
            <w:shd w:val="clear" w:color="auto" w:fill="225CAB"/>
          </w:tcPr>
          <w:p>
            <w:pPr>
              <w:jc w:val="center"/>
              <w:ind w:left="1386"/>
              <w:spacing w:after="0"/>
              <w:rPr>
                <w:sz w:val="20"/>
                <w:szCs w:val="20"/>
                <w:color w:val="auto"/>
              </w:rPr>
            </w:pPr>
            <w:r>
              <w:rPr>
                <w:rFonts w:ascii="Arial" w:cs="Arial" w:eastAsia="Arial" w:hAnsi="Arial"/>
                <w:sz w:val="14"/>
                <w:szCs w:val="14"/>
                <w:color w:val="FFFFFF"/>
                <w:w w:val="94"/>
              </w:rPr>
              <w:t>Guideline</w:t>
            </w:r>
          </w:p>
        </w:tc>
        <w:tc>
          <w:tcPr>
            <w:tcW w:w="340" w:type="dxa"/>
            <w:vAlign w:val="bottom"/>
            <w:shd w:val="clear" w:color="auto" w:fill="225CAB"/>
          </w:tcPr>
          <w:p>
            <w:pPr>
              <w:spacing w:after="0"/>
              <w:rPr>
                <w:sz w:val="14"/>
                <w:szCs w:val="14"/>
                <w:color w:val="auto"/>
              </w:rPr>
            </w:pPr>
          </w:p>
        </w:tc>
        <w:tc>
          <w:tcPr>
            <w:tcW w:w="1120" w:type="dxa"/>
            <w:vAlign w:val="bottom"/>
            <w:shd w:val="clear" w:color="auto" w:fill="225CAB"/>
          </w:tcPr>
          <w:p>
            <w:pPr>
              <w:spacing w:after="0"/>
              <w:rPr>
                <w:sz w:val="14"/>
                <w:szCs w:val="14"/>
                <w:color w:val="auto"/>
              </w:rPr>
            </w:pPr>
          </w:p>
        </w:tc>
        <w:tc>
          <w:tcPr>
            <w:tcW w:w="320" w:type="dxa"/>
            <w:vAlign w:val="bottom"/>
            <w:shd w:val="clear" w:color="auto" w:fill="225CAB"/>
          </w:tcPr>
          <w:p>
            <w:pPr>
              <w:spacing w:after="0"/>
              <w:rPr>
                <w:sz w:val="14"/>
                <w:szCs w:val="14"/>
                <w:color w:val="auto"/>
              </w:rPr>
            </w:pPr>
          </w:p>
        </w:tc>
        <w:tc>
          <w:tcPr>
            <w:tcW w:w="960" w:type="dxa"/>
            <w:vAlign w:val="bottom"/>
            <w:shd w:val="clear" w:color="auto" w:fill="225CAB"/>
          </w:tcPr>
          <w:p>
            <w:pPr>
              <w:spacing w:after="0"/>
              <w:rPr>
                <w:sz w:val="14"/>
                <w:szCs w:val="14"/>
                <w:color w:val="auto"/>
              </w:rPr>
            </w:pPr>
          </w:p>
        </w:tc>
        <w:tc>
          <w:tcPr>
            <w:tcW w:w="840" w:type="dxa"/>
            <w:vAlign w:val="bottom"/>
            <w:shd w:val="clear" w:color="auto" w:fill="225CAB"/>
          </w:tcPr>
          <w:p>
            <w:pPr>
              <w:spacing w:after="0"/>
              <w:rPr>
                <w:sz w:val="14"/>
                <w:szCs w:val="14"/>
                <w:color w:val="auto"/>
              </w:rPr>
            </w:pPr>
          </w:p>
        </w:tc>
      </w:tr>
      <w:tr>
        <w:trPr>
          <w:trHeight w:val="149"/>
        </w:trPr>
        <w:tc>
          <w:tcPr>
            <w:tcW w:w="5260" w:type="dxa"/>
            <w:vAlign w:val="bottom"/>
            <w:shd w:val="clear" w:color="auto" w:fill="225CAB"/>
          </w:tcPr>
          <w:p>
            <w:pPr>
              <w:spacing w:after="0"/>
              <w:rPr>
                <w:sz w:val="12"/>
                <w:szCs w:val="12"/>
                <w:color w:val="auto"/>
              </w:rPr>
            </w:pPr>
          </w:p>
        </w:tc>
        <w:tc>
          <w:tcPr>
            <w:tcW w:w="2580" w:type="dxa"/>
            <w:vAlign w:val="bottom"/>
            <w:shd w:val="clear" w:color="auto" w:fill="225CAB"/>
          </w:tcPr>
          <w:p>
            <w:pPr>
              <w:jc w:val="center"/>
              <w:ind w:left="1386"/>
              <w:spacing w:after="0" w:line="149" w:lineRule="exact"/>
              <w:rPr>
                <w:sz w:val="20"/>
                <w:szCs w:val="20"/>
                <w:color w:val="auto"/>
              </w:rPr>
            </w:pPr>
            <w:r>
              <w:rPr>
                <w:rFonts w:ascii="Arial" w:cs="Arial" w:eastAsia="Arial" w:hAnsi="Arial"/>
                <w:sz w:val="14"/>
                <w:szCs w:val="14"/>
                <w:color w:val="FFFFFF"/>
                <w:w w:val="96"/>
              </w:rPr>
              <w:t>Number</w:t>
            </w:r>
          </w:p>
        </w:tc>
        <w:tc>
          <w:tcPr>
            <w:tcW w:w="340" w:type="dxa"/>
            <w:vAlign w:val="bottom"/>
            <w:shd w:val="clear" w:color="auto" w:fill="225CAB"/>
          </w:tcPr>
          <w:p>
            <w:pPr>
              <w:spacing w:after="0"/>
              <w:rPr>
                <w:sz w:val="12"/>
                <w:szCs w:val="12"/>
                <w:color w:val="auto"/>
              </w:rPr>
            </w:pPr>
          </w:p>
        </w:tc>
        <w:tc>
          <w:tcPr>
            <w:tcW w:w="1120" w:type="dxa"/>
            <w:vAlign w:val="bottom"/>
            <w:shd w:val="clear" w:color="auto" w:fill="225CAB"/>
          </w:tcPr>
          <w:p>
            <w:pPr>
              <w:jc w:val="center"/>
              <w:ind w:right="264"/>
              <w:spacing w:after="0" w:line="149" w:lineRule="exact"/>
              <w:rPr>
                <w:sz w:val="20"/>
                <w:szCs w:val="20"/>
                <w:color w:val="auto"/>
              </w:rPr>
            </w:pPr>
            <w:r>
              <w:rPr>
                <w:rFonts w:ascii="Arial" w:cs="Arial" w:eastAsia="Arial" w:hAnsi="Arial"/>
                <w:sz w:val="14"/>
                <w:szCs w:val="14"/>
                <w:color w:val="FFFFFF"/>
                <w:w w:val="94"/>
              </w:rPr>
              <w:t>Market Value</w:t>
            </w:r>
          </w:p>
        </w:tc>
        <w:tc>
          <w:tcPr>
            <w:tcW w:w="320" w:type="dxa"/>
            <w:vAlign w:val="bottom"/>
            <w:shd w:val="clear" w:color="auto" w:fill="225CAB"/>
          </w:tcPr>
          <w:p>
            <w:pPr>
              <w:spacing w:after="0"/>
              <w:rPr>
                <w:sz w:val="12"/>
                <w:szCs w:val="12"/>
                <w:color w:val="auto"/>
              </w:rPr>
            </w:pPr>
          </w:p>
        </w:tc>
        <w:tc>
          <w:tcPr>
            <w:tcW w:w="960" w:type="dxa"/>
            <w:vAlign w:val="bottom"/>
            <w:shd w:val="clear" w:color="auto" w:fill="225CAB"/>
          </w:tcPr>
          <w:p>
            <w:pPr>
              <w:spacing w:after="0"/>
              <w:rPr>
                <w:sz w:val="12"/>
                <w:szCs w:val="12"/>
                <w:color w:val="auto"/>
              </w:rPr>
            </w:pPr>
          </w:p>
        </w:tc>
        <w:tc>
          <w:tcPr>
            <w:tcW w:w="84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color w:val="FFFFFF"/>
                <w:w w:val="94"/>
              </w:rPr>
              <w:t>Guideline</w:t>
            </w:r>
          </w:p>
        </w:tc>
      </w:tr>
      <w:tr>
        <w:trPr>
          <w:trHeight w:val="149"/>
        </w:trPr>
        <w:tc>
          <w:tcPr>
            <w:tcW w:w="5260" w:type="dxa"/>
            <w:vAlign w:val="bottom"/>
            <w:shd w:val="clear" w:color="auto" w:fill="225CAB"/>
          </w:tcPr>
          <w:p>
            <w:pPr>
              <w:spacing w:after="0"/>
              <w:rPr>
                <w:sz w:val="12"/>
                <w:szCs w:val="12"/>
                <w:color w:val="auto"/>
              </w:rPr>
            </w:pPr>
          </w:p>
        </w:tc>
        <w:tc>
          <w:tcPr>
            <w:tcW w:w="2580" w:type="dxa"/>
            <w:vAlign w:val="bottom"/>
            <w:shd w:val="clear" w:color="auto" w:fill="225CAB"/>
          </w:tcPr>
          <w:p>
            <w:pPr>
              <w:jc w:val="center"/>
              <w:ind w:left="1386"/>
              <w:spacing w:after="0" w:line="149" w:lineRule="exact"/>
              <w:rPr>
                <w:sz w:val="20"/>
                <w:szCs w:val="20"/>
                <w:color w:val="auto"/>
              </w:rPr>
            </w:pPr>
            <w:r>
              <w:rPr>
                <w:rFonts w:ascii="Arial" w:cs="Arial" w:eastAsia="Arial" w:hAnsi="Arial"/>
                <w:sz w:val="14"/>
                <w:szCs w:val="14"/>
                <w:color w:val="FFFFFF"/>
              </w:rPr>
              <w:t>of</w:t>
            </w:r>
          </w:p>
        </w:tc>
        <w:tc>
          <w:tcPr>
            <w:tcW w:w="340" w:type="dxa"/>
            <w:vAlign w:val="bottom"/>
            <w:shd w:val="clear" w:color="auto" w:fill="225CAB"/>
          </w:tcPr>
          <w:p>
            <w:pPr>
              <w:spacing w:after="0"/>
              <w:rPr>
                <w:sz w:val="12"/>
                <w:szCs w:val="12"/>
                <w:color w:val="auto"/>
              </w:rPr>
            </w:pPr>
          </w:p>
        </w:tc>
        <w:tc>
          <w:tcPr>
            <w:tcW w:w="1120" w:type="dxa"/>
            <w:vAlign w:val="bottom"/>
            <w:shd w:val="clear" w:color="auto" w:fill="225CAB"/>
          </w:tcPr>
          <w:p>
            <w:pPr>
              <w:jc w:val="center"/>
              <w:ind w:right="264"/>
              <w:spacing w:after="0" w:line="149" w:lineRule="exact"/>
              <w:rPr>
                <w:sz w:val="20"/>
                <w:szCs w:val="20"/>
                <w:color w:val="auto"/>
              </w:rPr>
            </w:pPr>
            <w:r>
              <w:rPr>
                <w:rFonts w:ascii="Arial" w:cs="Arial" w:eastAsia="Arial" w:hAnsi="Arial"/>
                <w:sz w:val="14"/>
                <w:szCs w:val="14"/>
                <w:color w:val="FFFFFF"/>
                <w:w w:val="93"/>
              </w:rPr>
              <w:t>at Year-End</w:t>
            </w:r>
          </w:p>
        </w:tc>
        <w:tc>
          <w:tcPr>
            <w:tcW w:w="320" w:type="dxa"/>
            <w:vAlign w:val="bottom"/>
            <w:shd w:val="clear" w:color="auto" w:fill="225CAB"/>
          </w:tcPr>
          <w:p>
            <w:pPr>
              <w:spacing w:after="0"/>
              <w:rPr>
                <w:sz w:val="12"/>
                <w:szCs w:val="12"/>
                <w:color w:val="auto"/>
              </w:rPr>
            </w:pPr>
          </w:p>
        </w:tc>
        <w:tc>
          <w:tcPr>
            <w:tcW w:w="960" w:type="dxa"/>
            <w:vAlign w:val="bottom"/>
            <w:shd w:val="clear" w:color="auto" w:fill="225CAB"/>
          </w:tcPr>
          <w:p>
            <w:pPr>
              <w:spacing w:after="0"/>
              <w:rPr>
                <w:sz w:val="12"/>
                <w:szCs w:val="12"/>
                <w:color w:val="auto"/>
              </w:rPr>
            </w:pPr>
          </w:p>
        </w:tc>
        <w:tc>
          <w:tcPr>
            <w:tcW w:w="84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color w:val="FFFFFF"/>
                <w:w w:val="99"/>
              </w:rPr>
              <w:t>Multiple</w:t>
            </w:r>
          </w:p>
        </w:tc>
      </w:tr>
      <w:tr>
        <w:trPr>
          <w:trHeight w:val="149"/>
        </w:trPr>
        <w:tc>
          <w:tcPr>
            <w:tcW w:w="5260" w:type="dxa"/>
            <w:vAlign w:val="bottom"/>
            <w:shd w:val="clear" w:color="auto" w:fill="225CAB"/>
          </w:tcPr>
          <w:p>
            <w:pPr>
              <w:ind w:left="3060"/>
              <w:spacing w:after="0" w:line="149" w:lineRule="exact"/>
              <w:rPr>
                <w:sz w:val="20"/>
                <w:szCs w:val="20"/>
                <w:color w:val="auto"/>
              </w:rPr>
            </w:pPr>
            <w:r>
              <w:rPr>
                <w:rFonts w:ascii="Arial" w:cs="Arial" w:eastAsia="Arial" w:hAnsi="Arial"/>
                <w:sz w:val="14"/>
                <w:szCs w:val="14"/>
                <w:color w:val="FFFFFF"/>
              </w:rPr>
              <w:t>Position</w:t>
            </w:r>
          </w:p>
        </w:tc>
        <w:tc>
          <w:tcPr>
            <w:tcW w:w="2580" w:type="dxa"/>
            <w:vAlign w:val="bottom"/>
            <w:shd w:val="clear" w:color="auto" w:fill="225CAB"/>
          </w:tcPr>
          <w:p>
            <w:pPr>
              <w:jc w:val="center"/>
              <w:ind w:left="1386"/>
              <w:spacing w:after="0" w:line="149" w:lineRule="exact"/>
              <w:rPr>
                <w:sz w:val="20"/>
                <w:szCs w:val="20"/>
                <w:color w:val="auto"/>
              </w:rPr>
            </w:pPr>
            <w:r>
              <w:rPr>
                <w:rFonts w:ascii="Arial" w:cs="Arial" w:eastAsia="Arial" w:hAnsi="Arial"/>
                <w:sz w:val="14"/>
                <w:szCs w:val="14"/>
                <w:color w:val="FFFFFF"/>
                <w:w w:val="99"/>
              </w:rPr>
              <w:t>Shares</w:t>
            </w:r>
          </w:p>
        </w:tc>
        <w:tc>
          <w:tcPr>
            <w:tcW w:w="340" w:type="dxa"/>
            <w:vAlign w:val="bottom"/>
            <w:shd w:val="clear" w:color="auto" w:fill="225CAB"/>
          </w:tcPr>
          <w:p>
            <w:pPr>
              <w:spacing w:after="0"/>
              <w:rPr>
                <w:sz w:val="12"/>
                <w:szCs w:val="12"/>
                <w:color w:val="auto"/>
              </w:rPr>
            </w:pPr>
          </w:p>
        </w:tc>
        <w:tc>
          <w:tcPr>
            <w:tcW w:w="1120" w:type="dxa"/>
            <w:vAlign w:val="bottom"/>
            <w:shd w:val="clear" w:color="auto" w:fill="225CAB"/>
          </w:tcPr>
          <w:p>
            <w:pPr>
              <w:jc w:val="center"/>
              <w:ind w:right="264"/>
              <w:spacing w:after="0" w:line="149" w:lineRule="exact"/>
              <w:rPr>
                <w:sz w:val="20"/>
                <w:szCs w:val="20"/>
                <w:color w:val="auto"/>
              </w:rPr>
            </w:pPr>
            <w:r>
              <w:rPr>
                <w:rFonts w:ascii="Arial" w:cs="Arial" w:eastAsia="Arial" w:hAnsi="Arial"/>
                <w:sz w:val="14"/>
                <w:szCs w:val="14"/>
                <w:color w:val="FFFFFF"/>
                <w:w w:val="92"/>
              </w:rPr>
              <w:t>Close*</w:t>
            </w:r>
          </w:p>
        </w:tc>
        <w:tc>
          <w:tcPr>
            <w:tcW w:w="320" w:type="dxa"/>
            <w:vAlign w:val="bottom"/>
            <w:shd w:val="clear" w:color="auto" w:fill="225CAB"/>
          </w:tcPr>
          <w:p>
            <w:pPr>
              <w:spacing w:after="0"/>
              <w:rPr>
                <w:sz w:val="12"/>
                <w:szCs w:val="12"/>
                <w:color w:val="auto"/>
              </w:rPr>
            </w:pPr>
          </w:p>
        </w:tc>
        <w:tc>
          <w:tcPr>
            <w:tcW w:w="960" w:type="dxa"/>
            <w:vAlign w:val="bottom"/>
            <w:shd w:val="clear" w:color="auto" w:fill="225CAB"/>
          </w:tcPr>
          <w:p>
            <w:pPr>
              <w:jc w:val="right"/>
              <w:ind w:right="339"/>
              <w:spacing w:after="0" w:line="149" w:lineRule="exact"/>
              <w:rPr>
                <w:sz w:val="20"/>
                <w:szCs w:val="20"/>
                <w:color w:val="auto"/>
              </w:rPr>
            </w:pPr>
            <w:r>
              <w:rPr>
                <w:rFonts w:ascii="Arial" w:cs="Arial" w:eastAsia="Arial" w:hAnsi="Arial"/>
                <w:sz w:val="14"/>
                <w:szCs w:val="14"/>
                <w:color w:val="FFFFFF"/>
              </w:rPr>
              <w:t>Salary</w:t>
            </w:r>
          </w:p>
        </w:tc>
        <w:tc>
          <w:tcPr>
            <w:tcW w:w="84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color w:val="FFFFFF"/>
                <w:w w:val="94"/>
              </w:rPr>
              <w:t>of Salary</w:t>
            </w:r>
          </w:p>
        </w:tc>
      </w:tr>
      <w:tr>
        <w:trPr>
          <w:trHeight w:val="203"/>
        </w:trPr>
        <w:tc>
          <w:tcPr>
            <w:tcW w:w="5260" w:type="dxa"/>
            <w:vAlign w:val="bottom"/>
            <w:tcBorders>
              <w:bottom w:val="single" w:sz="8" w:color="225CAB"/>
            </w:tcBorders>
          </w:tcPr>
          <w:p>
            <w:pPr>
              <w:spacing w:after="0" w:line="202" w:lineRule="exact"/>
              <w:rPr>
                <w:sz w:val="20"/>
                <w:szCs w:val="20"/>
                <w:color w:val="auto"/>
              </w:rPr>
            </w:pPr>
            <w:r>
              <w:rPr>
                <w:rFonts w:ascii="Arial" w:cs="Arial" w:eastAsia="Arial" w:hAnsi="Arial"/>
                <w:sz w:val="18"/>
                <w:szCs w:val="18"/>
                <w:color w:val="auto"/>
              </w:rPr>
              <w:t>CEO</w:t>
            </w:r>
          </w:p>
        </w:tc>
        <w:tc>
          <w:tcPr>
            <w:tcW w:w="2580" w:type="dxa"/>
            <w:vAlign w:val="bottom"/>
            <w:tcBorders>
              <w:bottom w:val="single" w:sz="8" w:color="225CAB"/>
            </w:tcBorders>
          </w:tcPr>
          <w:p>
            <w:pPr>
              <w:jc w:val="right"/>
              <w:ind w:right="146"/>
              <w:spacing w:after="0" w:line="202" w:lineRule="exact"/>
              <w:rPr>
                <w:sz w:val="20"/>
                <w:szCs w:val="20"/>
                <w:color w:val="auto"/>
              </w:rPr>
            </w:pPr>
            <w:r>
              <w:rPr>
                <w:rFonts w:ascii="Arial" w:cs="Arial" w:eastAsia="Arial" w:hAnsi="Arial"/>
                <w:sz w:val="18"/>
                <w:szCs w:val="18"/>
                <w:color w:val="auto"/>
              </w:rPr>
              <w:t>100,000</w:t>
            </w:r>
          </w:p>
        </w:tc>
        <w:tc>
          <w:tcPr>
            <w:tcW w:w="340" w:type="dxa"/>
            <w:vAlign w:val="bottom"/>
            <w:tcBorders>
              <w:bottom w:val="single" w:sz="8" w:color="225CAB"/>
            </w:tcBorders>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225CAB"/>
            </w:tcBorders>
          </w:tcPr>
          <w:p>
            <w:pPr>
              <w:jc w:val="right"/>
              <w:ind w:right="144"/>
              <w:spacing w:after="0" w:line="202" w:lineRule="exact"/>
              <w:rPr>
                <w:sz w:val="20"/>
                <w:szCs w:val="20"/>
                <w:color w:val="auto"/>
              </w:rPr>
            </w:pPr>
            <w:r>
              <w:rPr>
                <w:rFonts w:ascii="Arial" w:cs="Arial" w:eastAsia="Arial" w:hAnsi="Arial"/>
                <w:sz w:val="18"/>
                <w:szCs w:val="18"/>
                <w:color w:val="auto"/>
                <w:w w:val="97"/>
              </w:rPr>
              <w:t>18,979,000</w:t>
            </w:r>
          </w:p>
        </w:tc>
        <w:tc>
          <w:tcPr>
            <w:tcW w:w="320" w:type="dxa"/>
            <w:vAlign w:val="bottom"/>
            <w:tcBorders>
              <w:bottom w:val="single" w:sz="8" w:color="225CAB"/>
            </w:tcBorders>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225CAB"/>
            </w:tcBorders>
          </w:tcPr>
          <w:p>
            <w:pPr>
              <w:jc w:val="right"/>
              <w:ind w:right="99"/>
              <w:spacing w:after="0" w:line="202" w:lineRule="exact"/>
              <w:rPr>
                <w:sz w:val="20"/>
                <w:szCs w:val="20"/>
                <w:color w:val="auto"/>
              </w:rPr>
            </w:pPr>
            <w:r>
              <w:rPr>
                <w:rFonts w:ascii="Arial" w:cs="Arial" w:eastAsia="Arial" w:hAnsi="Arial"/>
                <w:sz w:val="18"/>
                <w:szCs w:val="18"/>
                <w:color w:val="auto"/>
                <w:w w:val="94"/>
              </w:rPr>
              <w:t>1,225,000</w:t>
            </w:r>
          </w:p>
        </w:tc>
        <w:tc>
          <w:tcPr>
            <w:tcW w:w="840" w:type="dxa"/>
            <w:vAlign w:val="bottom"/>
            <w:tcBorders>
              <w:bottom w:val="single" w:sz="8" w:color="225CAB"/>
            </w:tcBorders>
          </w:tcPr>
          <w:p>
            <w:pPr>
              <w:jc w:val="right"/>
              <w:ind w:right="24"/>
              <w:spacing w:after="0" w:line="202" w:lineRule="exact"/>
              <w:rPr>
                <w:sz w:val="20"/>
                <w:szCs w:val="20"/>
                <w:color w:val="auto"/>
              </w:rPr>
            </w:pPr>
            <w:r>
              <w:rPr>
                <w:rFonts w:ascii="Arial" w:cs="Arial" w:eastAsia="Arial" w:hAnsi="Arial"/>
                <w:sz w:val="18"/>
                <w:szCs w:val="18"/>
                <w:color w:val="auto"/>
              </w:rPr>
              <w:t>15.5x</w:t>
            </w:r>
          </w:p>
        </w:tc>
      </w:tr>
      <w:tr>
        <w:trPr>
          <w:trHeight w:val="208"/>
        </w:trPr>
        <w:tc>
          <w:tcPr>
            <w:tcW w:w="5260" w:type="dxa"/>
            <w:vAlign w:val="bottom"/>
          </w:tcPr>
          <w:p>
            <w:pPr>
              <w:spacing w:after="0"/>
              <w:rPr>
                <w:sz w:val="20"/>
                <w:szCs w:val="20"/>
                <w:color w:val="auto"/>
              </w:rPr>
            </w:pPr>
            <w:r>
              <w:rPr>
                <w:rFonts w:ascii="Arial" w:cs="Arial" w:eastAsia="Arial" w:hAnsi="Arial"/>
                <w:sz w:val="18"/>
                <w:szCs w:val="18"/>
                <w:color w:val="auto"/>
              </w:rPr>
              <w:t>Average Other Executive Officers</w:t>
            </w:r>
          </w:p>
        </w:tc>
        <w:tc>
          <w:tcPr>
            <w:tcW w:w="2580" w:type="dxa"/>
            <w:vAlign w:val="bottom"/>
          </w:tcPr>
          <w:p>
            <w:pPr>
              <w:jc w:val="right"/>
              <w:ind w:right="146"/>
              <w:spacing w:after="0"/>
              <w:rPr>
                <w:sz w:val="20"/>
                <w:szCs w:val="20"/>
                <w:color w:val="auto"/>
              </w:rPr>
            </w:pPr>
            <w:r>
              <w:rPr>
                <w:rFonts w:ascii="Arial" w:cs="Arial" w:eastAsia="Arial" w:hAnsi="Arial"/>
                <w:sz w:val="18"/>
                <w:szCs w:val="18"/>
                <w:color w:val="auto"/>
              </w:rPr>
              <w:t>18,333</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44"/>
              <w:spacing w:after="0"/>
              <w:rPr>
                <w:sz w:val="20"/>
                <w:szCs w:val="20"/>
                <w:color w:val="auto"/>
              </w:rPr>
            </w:pPr>
            <w:r>
              <w:rPr>
                <w:rFonts w:ascii="Arial" w:cs="Arial" w:eastAsia="Arial" w:hAnsi="Arial"/>
                <w:sz w:val="18"/>
                <w:szCs w:val="18"/>
                <w:color w:val="auto"/>
              </w:rPr>
              <w:t>3,479,000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9"/>
              <w:spacing w:after="0"/>
              <w:rPr>
                <w:sz w:val="20"/>
                <w:szCs w:val="20"/>
                <w:color w:val="auto"/>
              </w:rPr>
            </w:pPr>
            <w:r>
              <w:rPr>
                <w:rFonts w:ascii="Arial" w:cs="Arial" w:eastAsia="Arial" w:hAnsi="Arial"/>
                <w:sz w:val="18"/>
                <w:szCs w:val="18"/>
                <w:color w:val="auto"/>
              </w:rPr>
              <w:t>542,000</w:t>
            </w:r>
          </w:p>
        </w:tc>
        <w:tc>
          <w:tcPr>
            <w:tcW w:w="840" w:type="dxa"/>
            <w:vAlign w:val="bottom"/>
          </w:tcPr>
          <w:p>
            <w:pPr>
              <w:jc w:val="right"/>
              <w:ind w:right="24"/>
              <w:spacing w:after="0"/>
              <w:rPr>
                <w:sz w:val="20"/>
                <w:szCs w:val="20"/>
                <w:color w:val="auto"/>
              </w:rPr>
            </w:pPr>
            <w:r>
              <w:rPr>
                <w:rFonts w:ascii="Arial" w:cs="Arial" w:eastAsia="Arial" w:hAnsi="Arial"/>
                <w:sz w:val="18"/>
                <w:szCs w:val="18"/>
                <w:color w:val="auto"/>
              </w:rPr>
              <w:t>6.4x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340" w:hanging="332"/>
        <w:spacing w:after="0"/>
        <w:tabs>
          <w:tab w:leader="none" w:pos="3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Based on closing market price of our common stock on December 31, 2015 of $189.79</w:t>
      </w:r>
    </w:p>
    <w:p>
      <w:pPr>
        <w:spacing w:after="0" w:line="72"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Until the stock ownership guidelines are met, an executive is required to retain 100% of any applicable shares received (on a net after tax basis) under our equity compensation program.</w:t>
      </w:r>
    </w:p>
    <w:p>
      <w:pPr>
        <w:spacing w:after="0" w:line="138" w:lineRule="exact"/>
        <w:rPr>
          <w:sz w:val="20"/>
          <w:szCs w:val="20"/>
          <w:color w:val="auto"/>
        </w:rPr>
      </w:pPr>
    </w:p>
    <w:tbl>
      <w:tblPr>
        <w:tblLayout w:type="fixed"/>
        <w:tblInd w:w="6900" w:type="dxa"/>
        <w:tblCellMar>
          <w:top w:w="0" w:type="dxa"/>
          <w:left w:w="0" w:type="dxa"/>
          <w:bottom w:w="0" w:type="dxa"/>
          <w:right w:w="0" w:type="dxa"/>
        </w:tblCellMar>
      </w:tblPr>
      <w:tr>
        <w:trPr>
          <w:trHeight w:val="309"/>
        </w:trPr>
        <w:tc>
          <w:tcPr>
            <w:tcW w:w="4080" w:type="dxa"/>
            <w:vAlign w:val="bottom"/>
            <w:tcBorders>
              <w:right w:val="single" w:sz="8" w:color="225CAB"/>
            </w:tcBorders>
          </w:tcPr>
          <w:p>
            <w:pPr>
              <w:spacing w:after="0"/>
              <w:rPr>
                <w:sz w:val="20"/>
                <w:szCs w:val="20"/>
                <w:color w:val="auto"/>
              </w:rPr>
            </w:pPr>
            <w:r>
              <w:rPr>
                <w:rFonts w:ascii="Arial" w:cs="Arial" w:eastAsia="Arial" w:hAnsi="Arial"/>
                <w:sz w:val="18"/>
                <w:szCs w:val="18"/>
                <w:b w:val="1"/>
                <w:bCs w:val="1"/>
                <w:color w:val="225CAB"/>
                <w:w w:val="99"/>
              </w:rPr>
              <w:t>Roper Technologies, Inc. 2016 Proxy Statement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225CAB"/>
              </w:rPr>
              <w:t>31</w:t>
            </w:r>
          </w:p>
        </w:tc>
      </w:tr>
      <w:tr>
        <w:trPr>
          <w:trHeight w:val="83"/>
        </w:trPr>
        <w:tc>
          <w:tcPr>
            <w:tcW w:w="4080" w:type="dxa"/>
            <w:vAlign w:val="bottom"/>
            <w:tcBorders>
              <w:right w:val="single" w:sz="8" w:color="225CAB"/>
            </w:tcBorders>
          </w:tcPr>
          <w:p>
            <w:pPr>
              <w:spacing w:after="0"/>
              <w:rPr>
                <w:sz w:val="7"/>
                <w:szCs w:val="7"/>
                <w:color w:val="auto"/>
              </w:rPr>
            </w:pPr>
          </w:p>
        </w:tc>
        <w:tc>
          <w:tcPr>
            <w:tcW w:w="44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-213995</wp:posOffset>
            </wp:positionV>
            <wp:extent cx="420370" cy="2057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type w:val="continuous"/>
        </w:sectPr>
      </w:pPr>
    </w:p>
    <w:bookmarkStart w:id="40" w:name="page41"/>
    <w:bookmarkEnd w:id="4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225CAB"/>
        </w:rPr>
        <w:t xml:space="preserve">COMPENSATION DISCUSSION AND ANALYSIS </w:t>
      </w:r>
      <w:r>
        <w:rPr>
          <w:rFonts w:ascii="Arial" w:cs="Arial" w:eastAsia="Arial" w:hAnsi="Arial"/>
          <w:sz w:val="18"/>
          <w:szCs w:val="18"/>
          <w:i w:val="1"/>
          <w:iCs w:val="1"/>
          <w:color w:val="225CAB"/>
        </w:rPr>
        <w:t>(CONTINUED)</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Anti-Hedging and Anti-Pledging Policy</w:t>
      </w:r>
    </w:p>
    <w:p>
      <w:pPr>
        <w:spacing w:after="0" w:line="97"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We prohibit our executive officers and directors from engaging in transactions involving derivative instruments with respect to Company securities, and other securities that are immediately convertible or exchangeable into such securities and from pledging shares of Company common stock.</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“Clawback” Policy</w:t>
      </w:r>
    </w:p>
    <w:p>
      <w:pPr>
        <w:spacing w:after="0" w:line="97" w:lineRule="exact"/>
        <w:rPr>
          <w:sz w:val="20"/>
          <w:szCs w:val="20"/>
          <w:color w:val="auto"/>
        </w:rPr>
      </w:pPr>
    </w:p>
    <w:p>
      <w:pPr>
        <w:ind w:right="60"/>
        <w:spacing w:after="0" w:line="267" w:lineRule="auto"/>
        <w:rPr>
          <w:sz w:val="20"/>
          <w:szCs w:val="20"/>
          <w:color w:val="auto"/>
        </w:rPr>
      </w:pPr>
      <w:r>
        <w:rPr>
          <w:rFonts w:ascii="Arial" w:cs="Arial" w:eastAsia="Arial" w:hAnsi="Arial"/>
          <w:sz w:val="16"/>
          <w:szCs w:val="16"/>
          <w:color w:val="auto"/>
        </w:rPr>
        <w:t>In the event of a material restatement of the Company’s financial results, other than a restatement due to changes in accounting principles or applicable law or interpretations thereof, the Board will review the facts and circumstance that led to the requirement for the restatement and will take such actions, including clawback, as it deems necessary or appropriate. The Board will consider whether any executive officer received cash or equity compensation based on the original financial statements because it appeared he or she achieved financial performance targets which in fact were not achieved based on the restatement. The Board will also consider the accountability of any executive officer whose acts or omissions were responsible in whole or in part for the events that led to the restatement and whether such acts or omissions constituted misconduct.</w:t>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336"/>
        </w:trPr>
        <w:tc>
          <w:tcPr>
            <w:tcW w:w="340" w:type="dxa"/>
            <w:vAlign w:val="bottom"/>
            <w:tcBorders>
              <w:right w:val="single" w:sz="8" w:color="225CAB"/>
            </w:tcBorders>
          </w:tcPr>
          <w:p>
            <w:pPr>
              <w:jc w:val="right"/>
              <w:ind w:right="52"/>
              <w:spacing w:after="0"/>
              <w:rPr>
                <w:sz w:val="20"/>
                <w:szCs w:val="20"/>
                <w:color w:val="auto"/>
              </w:rPr>
            </w:pPr>
            <w:r>
              <w:rPr>
                <w:rFonts w:ascii="Arial" w:cs="Arial" w:eastAsia="Arial" w:hAnsi="Arial"/>
                <w:sz w:val="18"/>
                <w:szCs w:val="18"/>
                <w:b w:val="1"/>
                <w:bCs w:val="1"/>
                <w:color w:val="225CAB"/>
                <w:w w:val="89"/>
              </w:rPr>
              <w:t>32</w:t>
            </w:r>
          </w:p>
        </w:tc>
        <w:tc>
          <w:tcPr>
            <w:tcW w:w="5180" w:type="dxa"/>
            <w:vAlign w:val="bottom"/>
          </w:tcPr>
          <w:p>
            <w:pPr>
              <w:ind w:left="1240"/>
              <w:spacing w:after="0"/>
              <w:rPr>
                <w:sz w:val="20"/>
                <w:szCs w:val="20"/>
                <w:color w:val="auto"/>
              </w:rPr>
            </w:pPr>
            <w:r>
              <w:rPr>
                <w:rFonts w:ascii="Arial" w:cs="Arial" w:eastAsia="Arial" w:hAnsi="Arial"/>
                <w:sz w:val="18"/>
                <w:szCs w:val="18"/>
                <w:b w:val="1"/>
                <w:bCs w:val="1"/>
                <w:color w:val="225CAB"/>
                <w:w w:val="96"/>
              </w:rPr>
              <w:t>Roper Technologies, Inc. 2016 Proxy Statement</w:t>
            </w:r>
          </w:p>
        </w:tc>
      </w:tr>
      <w:tr>
        <w:trPr>
          <w:trHeight w:val="110"/>
        </w:trPr>
        <w:tc>
          <w:tcPr>
            <w:tcW w:w="340" w:type="dxa"/>
            <w:vAlign w:val="bottom"/>
            <w:tcBorders>
              <w:right w:val="single" w:sz="8" w:color="225CAB"/>
            </w:tcBorders>
          </w:tcPr>
          <w:p>
            <w:pPr>
              <w:spacing w:after="0"/>
              <w:rPr>
                <w:sz w:val="9"/>
                <w:szCs w:val="9"/>
                <w:color w:val="auto"/>
              </w:rPr>
            </w:pPr>
          </w:p>
        </w:tc>
        <w:tc>
          <w:tcPr>
            <w:tcW w:w="518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-248285</wp:posOffset>
            </wp:positionV>
            <wp:extent cx="420370" cy="2057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Regulatory Considerations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-1046480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77"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The Code contains a provision that limits the tax deductibility of certain compensation paid to our executive officers. This provision disallows the deductibility of certain compensation unless it is considered performance-based compensation under the Code. Our stock options and restricted stock awards are intended to be performance-based and fully deductible. We have adopted policies and practices intended to maximize the deductibility of our annual incentive bonuses. However, we may forgo any or all of the tax deduction if we believe it to be in the best long-term interests of our shareholders.</w:t>
      </w:r>
    </w:p>
    <w:p>
      <w:pPr>
        <w:spacing w:after="0" w:line="55"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In making decisions about executive compensation, we also consider the impact of other regulatory provisions, including the provisions of Section 409A of the Code regarding non-qualified deferred compensation and the change-in-control provisions of Section 280G of the Code. In making decisions about executive compensation, we also consider how various elements of compensation will impact our financial results. For example, ASC Topic 718, the accounting standard that determines the cost to be recognized for equity awards, is considered in reviewing the relative weighting between stock options and restricted shares.</w:t>
      </w:r>
    </w:p>
    <w:p>
      <w:pPr>
        <w:sectPr>
          <w:pgSz w:w="11900" w:h="16838" w:orient="portrait"/>
          <w:cols w:equalWidth="0" w:num="2">
            <w:col w:w="5520" w:space="300"/>
            <w:col w:w="5480"/>
          </w:cols>
          <w:pgMar w:left="240" w:top="459" w:right="3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spacing w:after="0"/>
        <w:rPr>
          <w:sz w:val="20"/>
          <w:szCs w:val="20"/>
          <w:color w:val="auto"/>
        </w:rPr>
      </w:pPr>
      <w:r>
        <w:rPr>
          <w:rFonts w:ascii="Arial" w:cs="Arial" w:eastAsia="Arial" w:hAnsi="Arial"/>
          <w:sz w:val="32"/>
          <w:szCs w:val="32"/>
          <w:color w:val="225CAB"/>
        </w:rPr>
        <w:t>COMPENSATION COMMITTEE REPORT</w:t>
      </w:r>
    </w:p>
    <w:p>
      <w:pPr>
        <w:spacing w:after="0" w:line="253"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color w:val="auto"/>
        </w:rPr>
        <w:t>We have reviewed and discussed the foregoing Compensation Discussion and Analysis with management. Based on our review and discussion with management, we have recommended to the Board of Directors that the Compensation Discussion and Analysis be included in this Proxy Statement.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Submitted by:</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Robert E. Knowling, Jr., Chairman</w:t>
      </w:r>
    </w:p>
    <w:p>
      <w:pPr>
        <w:ind w:left="460"/>
        <w:spacing w:after="0" w:line="234" w:lineRule="auto"/>
        <w:rPr>
          <w:sz w:val="20"/>
          <w:szCs w:val="20"/>
          <w:color w:val="auto"/>
        </w:rPr>
      </w:pPr>
      <w:r>
        <w:rPr>
          <w:rFonts w:ascii="Arial" w:cs="Arial" w:eastAsia="Arial" w:hAnsi="Arial"/>
          <w:sz w:val="18"/>
          <w:szCs w:val="18"/>
          <w:color w:val="auto"/>
        </w:rPr>
        <w:t>Robert D. Johnson</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Wilbur J. Prezzano</w:t>
      </w:r>
    </w:p>
    <w:p>
      <w:pPr>
        <w:spacing w:after="0" w:line="141" w:lineRule="exact"/>
        <w:rPr>
          <w:sz w:val="20"/>
          <w:szCs w:val="20"/>
          <w:color w:val="auto"/>
        </w:rPr>
      </w:pPr>
    </w:p>
    <w:tbl>
      <w:tblPr>
        <w:tblLayout w:type="fixed"/>
        <w:tblInd w:w="6900" w:type="dxa"/>
        <w:tblCellMar>
          <w:top w:w="0" w:type="dxa"/>
          <w:left w:w="0" w:type="dxa"/>
          <w:bottom w:w="0" w:type="dxa"/>
          <w:right w:w="0" w:type="dxa"/>
        </w:tblCellMar>
      </w:tblPr>
      <w:tr>
        <w:trPr>
          <w:trHeight w:val="309"/>
        </w:trPr>
        <w:tc>
          <w:tcPr>
            <w:tcW w:w="4080" w:type="dxa"/>
            <w:vAlign w:val="bottom"/>
            <w:tcBorders>
              <w:right w:val="single" w:sz="8" w:color="225CAB"/>
            </w:tcBorders>
          </w:tcPr>
          <w:p>
            <w:pPr>
              <w:spacing w:after="0"/>
              <w:rPr>
                <w:sz w:val="20"/>
                <w:szCs w:val="20"/>
                <w:color w:val="auto"/>
              </w:rPr>
            </w:pPr>
            <w:r>
              <w:rPr>
                <w:rFonts w:ascii="Arial" w:cs="Arial" w:eastAsia="Arial" w:hAnsi="Arial"/>
                <w:sz w:val="18"/>
                <w:szCs w:val="18"/>
                <w:b w:val="1"/>
                <w:bCs w:val="1"/>
                <w:color w:val="225CAB"/>
                <w:w w:val="99"/>
              </w:rPr>
              <w:t>Roper Technologies, Inc. 2016 Proxy Statement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225CAB"/>
              </w:rPr>
              <w:t>33</w:t>
            </w:r>
          </w:p>
        </w:tc>
      </w:tr>
      <w:tr>
        <w:trPr>
          <w:trHeight w:val="83"/>
        </w:trPr>
        <w:tc>
          <w:tcPr>
            <w:tcW w:w="4080" w:type="dxa"/>
            <w:vAlign w:val="bottom"/>
            <w:tcBorders>
              <w:right w:val="single" w:sz="8" w:color="225CAB"/>
            </w:tcBorders>
          </w:tcPr>
          <w:p>
            <w:pPr>
              <w:spacing w:after="0"/>
              <w:rPr>
                <w:sz w:val="7"/>
                <w:szCs w:val="7"/>
                <w:color w:val="auto"/>
              </w:rPr>
            </w:pPr>
          </w:p>
        </w:tc>
        <w:tc>
          <w:tcPr>
            <w:tcW w:w="44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-213995</wp:posOffset>
            </wp:positionV>
            <wp:extent cx="420370" cy="2057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spacing w:after="0"/>
        <w:rPr>
          <w:sz w:val="20"/>
          <w:szCs w:val="20"/>
          <w:color w:val="auto"/>
        </w:rPr>
      </w:pPr>
      <w:r>
        <w:rPr>
          <w:rFonts w:ascii="Arial" w:cs="Arial" w:eastAsia="Arial" w:hAnsi="Arial"/>
          <w:sz w:val="32"/>
          <w:szCs w:val="32"/>
          <w:color w:val="225CAB"/>
        </w:rPr>
        <w:t>EXECUTIVE COMPENSATION</w:t>
      </w:r>
    </w:p>
    <w:p>
      <w:pPr>
        <w:spacing w:after="0" w:line="253"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The following table sets forth certain information with respect to compensation paid to our principal executive officer, our principal financial officer, and our other executive officers for the fiscal year ended December 31, 2015. In this section, we refer to the individuals in the 2015 Summary Compensation Table as our “named executive officers.”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Summary Compensation Table</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shd w:val="clear" w:color="auto" w:fill="225CAB"/>
          </w:tcPr>
          <w:p>
            <w:pPr>
              <w:spacing w:after="0"/>
              <w:rPr>
                <w:sz w:val="14"/>
                <w:szCs w:val="14"/>
                <w:color w:val="auto"/>
              </w:rPr>
            </w:pPr>
          </w:p>
        </w:tc>
        <w:tc>
          <w:tcPr>
            <w:tcW w:w="580" w:type="dxa"/>
            <w:vAlign w:val="bottom"/>
            <w:shd w:val="clear" w:color="auto" w:fill="225CAB"/>
          </w:tcPr>
          <w:p>
            <w:pPr>
              <w:spacing w:after="0"/>
              <w:rPr>
                <w:sz w:val="14"/>
                <w:szCs w:val="14"/>
                <w:color w:val="auto"/>
              </w:rPr>
            </w:pPr>
          </w:p>
        </w:tc>
        <w:tc>
          <w:tcPr>
            <w:tcW w:w="860" w:type="dxa"/>
            <w:vAlign w:val="bottom"/>
            <w:shd w:val="clear" w:color="auto" w:fill="225CAB"/>
          </w:tcPr>
          <w:p>
            <w:pPr>
              <w:spacing w:after="0"/>
              <w:rPr>
                <w:sz w:val="14"/>
                <w:szCs w:val="14"/>
                <w:color w:val="auto"/>
              </w:rPr>
            </w:pPr>
          </w:p>
        </w:tc>
        <w:tc>
          <w:tcPr>
            <w:tcW w:w="640" w:type="dxa"/>
            <w:vAlign w:val="bottom"/>
            <w:shd w:val="clear" w:color="auto" w:fill="225CAB"/>
          </w:tcPr>
          <w:p>
            <w:pPr>
              <w:spacing w:after="0"/>
              <w:rPr>
                <w:sz w:val="14"/>
                <w:szCs w:val="14"/>
                <w:color w:val="auto"/>
              </w:rPr>
            </w:pPr>
          </w:p>
        </w:tc>
        <w:tc>
          <w:tcPr>
            <w:tcW w:w="960" w:type="dxa"/>
            <w:vAlign w:val="bottom"/>
            <w:shd w:val="clear" w:color="auto" w:fill="225CAB"/>
          </w:tcPr>
          <w:p>
            <w:pPr>
              <w:spacing w:after="0"/>
              <w:rPr>
                <w:sz w:val="14"/>
                <w:szCs w:val="14"/>
                <w:color w:val="auto"/>
              </w:rPr>
            </w:pPr>
          </w:p>
        </w:tc>
        <w:tc>
          <w:tcPr>
            <w:tcW w:w="860" w:type="dxa"/>
            <w:vAlign w:val="bottom"/>
            <w:shd w:val="clear" w:color="auto" w:fill="225CAB"/>
          </w:tcPr>
          <w:p>
            <w:pPr>
              <w:spacing w:after="0"/>
              <w:rPr>
                <w:sz w:val="14"/>
                <w:szCs w:val="14"/>
                <w:color w:val="auto"/>
              </w:rPr>
            </w:pPr>
          </w:p>
        </w:tc>
        <w:tc>
          <w:tcPr>
            <w:tcW w:w="1380" w:type="dxa"/>
            <w:vAlign w:val="bottom"/>
            <w:shd w:val="clear" w:color="auto" w:fill="225CAB"/>
          </w:tcPr>
          <w:p>
            <w:pPr>
              <w:spacing w:after="0"/>
              <w:rPr>
                <w:sz w:val="14"/>
                <w:szCs w:val="14"/>
                <w:color w:val="auto"/>
              </w:rPr>
            </w:pPr>
          </w:p>
        </w:tc>
        <w:tc>
          <w:tcPr>
            <w:tcW w:w="1080" w:type="dxa"/>
            <w:vAlign w:val="bottom"/>
            <w:shd w:val="clear" w:color="auto" w:fill="225CAB"/>
          </w:tcPr>
          <w:p>
            <w:pPr>
              <w:jc w:val="center"/>
              <w:spacing w:after="0"/>
              <w:rPr>
                <w:sz w:val="20"/>
                <w:szCs w:val="20"/>
                <w:color w:val="auto"/>
              </w:rPr>
            </w:pPr>
            <w:r>
              <w:rPr>
                <w:rFonts w:ascii="Arial" w:cs="Arial" w:eastAsia="Arial" w:hAnsi="Arial"/>
                <w:sz w:val="14"/>
                <w:szCs w:val="14"/>
                <w:color w:val="FFFFFF"/>
                <w:w w:val="97"/>
              </w:rPr>
              <w:t>Change in</w:t>
            </w:r>
          </w:p>
        </w:tc>
        <w:tc>
          <w:tcPr>
            <w:tcW w:w="1220" w:type="dxa"/>
            <w:vAlign w:val="bottom"/>
            <w:shd w:val="clear" w:color="auto" w:fill="225CAB"/>
          </w:tcPr>
          <w:p>
            <w:pPr>
              <w:spacing w:after="0"/>
              <w:rPr>
                <w:sz w:val="14"/>
                <w:szCs w:val="14"/>
                <w:color w:val="auto"/>
              </w:rPr>
            </w:pPr>
          </w:p>
        </w:tc>
        <w:tc>
          <w:tcPr>
            <w:tcW w:w="1080" w:type="dxa"/>
            <w:vAlign w:val="bottom"/>
            <w:shd w:val="clear" w:color="auto" w:fill="225CAB"/>
          </w:tcPr>
          <w:p>
            <w:pPr>
              <w:spacing w:after="0"/>
              <w:rPr>
                <w:sz w:val="14"/>
                <w:szCs w:val="14"/>
                <w:color w:val="auto"/>
              </w:rPr>
            </w:pPr>
          </w:p>
        </w:tc>
      </w:tr>
      <w:tr>
        <w:trPr>
          <w:trHeight w:val="149"/>
        </w:trPr>
        <w:tc>
          <w:tcPr>
            <w:tcW w:w="2760" w:type="dxa"/>
            <w:vAlign w:val="bottom"/>
            <w:shd w:val="clear" w:color="auto" w:fill="225CAB"/>
          </w:tcPr>
          <w:p>
            <w:pPr>
              <w:spacing w:after="0"/>
              <w:rPr>
                <w:sz w:val="12"/>
                <w:szCs w:val="12"/>
                <w:color w:val="auto"/>
              </w:rPr>
            </w:pPr>
          </w:p>
        </w:tc>
        <w:tc>
          <w:tcPr>
            <w:tcW w:w="580" w:type="dxa"/>
            <w:vAlign w:val="bottom"/>
            <w:shd w:val="clear" w:color="auto" w:fill="225CAB"/>
          </w:tcPr>
          <w:p>
            <w:pPr>
              <w:spacing w:after="0"/>
              <w:rPr>
                <w:sz w:val="12"/>
                <w:szCs w:val="12"/>
                <w:color w:val="auto"/>
              </w:rPr>
            </w:pPr>
          </w:p>
        </w:tc>
        <w:tc>
          <w:tcPr>
            <w:tcW w:w="860" w:type="dxa"/>
            <w:vAlign w:val="bottom"/>
            <w:shd w:val="clear" w:color="auto" w:fill="225CAB"/>
          </w:tcPr>
          <w:p>
            <w:pPr>
              <w:spacing w:after="0"/>
              <w:rPr>
                <w:sz w:val="12"/>
                <w:szCs w:val="12"/>
                <w:color w:val="auto"/>
              </w:rPr>
            </w:pPr>
          </w:p>
        </w:tc>
        <w:tc>
          <w:tcPr>
            <w:tcW w:w="640" w:type="dxa"/>
            <w:vAlign w:val="bottom"/>
            <w:shd w:val="clear" w:color="auto" w:fill="225CAB"/>
          </w:tcPr>
          <w:p>
            <w:pPr>
              <w:spacing w:after="0"/>
              <w:rPr>
                <w:sz w:val="12"/>
                <w:szCs w:val="12"/>
                <w:color w:val="auto"/>
              </w:rPr>
            </w:pPr>
          </w:p>
        </w:tc>
        <w:tc>
          <w:tcPr>
            <w:tcW w:w="960" w:type="dxa"/>
            <w:vAlign w:val="bottom"/>
            <w:shd w:val="clear" w:color="auto" w:fill="225CAB"/>
          </w:tcPr>
          <w:p>
            <w:pPr>
              <w:spacing w:after="0"/>
              <w:rPr>
                <w:sz w:val="12"/>
                <w:szCs w:val="12"/>
                <w:color w:val="auto"/>
              </w:rPr>
            </w:pPr>
          </w:p>
        </w:tc>
        <w:tc>
          <w:tcPr>
            <w:tcW w:w="860" w:type="dxa"/>
            <w:vAlign w:val="bottom"/>
            <w:shd w:val="clear" w:color="auto" w:fill="225CAB"/>
          </w:tcPr>
          <w:p>
            <w:pPr>
              <w:spacing w:after="0"/>
              <w:rPr>
                <w:sz w:val="12"/>
                <w:szCs w:val="12"/>
                <w:color w:val="auto"/>
              </w:rPr>
            </w:pPr>
          </w:p>
        </w:tc>
        <w:tc>
          <w:tcPr>
            <w:tcW w:w="1380" w:type="dxa"/>
            <w:vAlign w:val="bottom"/>
            <w:shd w:val="clear" w:color="auto" w:fill="225CAB"/>
          </w:tcPr>
          <w:p>
            <w:pPr>
              <w:spacing w:after="0"/>
              <w:rPr>
                <w:sz w:val="12"/>
                <w:szCs w:val="12"/>
                <w:color w:val="auto"/>
              </w:rPr>
            </w:pPr>
          </w:p>
        </w:tc>
        <w:tc>
          <w:tcPr>
            <w:tcW w:w="108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color w:val="FFFFFF"/>
                <w:w w:val="98"/>
              </w:rPr>
              <w:t>Pension</w:t>
            </w:r>
          </w:p>
        </w:tc>
        <w:tc>
          <w:tcPr>
            <w:tcW w:w="1220" w:type="dxa"/>
            <w:vAlign w:val="bottom"/>
            <w:shd w:val="clear" w:color="auto" w:fill="225CAB"/>
          </w:tcPr>
          <w:p>
            <w:pPr>
              <w:spacing w:after="0"/>
              <w:rPr>
                <w:sz w:val="12"/>
                <w:szCs w:val="12"/>
                <w:color w:val="auto"/>
              </w:rPr>
            </w:pPr>
          </w:p>
        </w:tc>
        <w:tc>
          <w:tcPr>
            <w:tcW w:w="1080" w:type="dxa"/>
            <w:vAlign w:val="bottom"/>
            <w:shd w:val="clear" w:color="auto" w:fill="225CAB"/>
          </w:tcPr>
          <w:p>
            <w:pPr>
              <w:spacing w:after="0"/>
              <w:rPr>
                <w:sz w:val="12"/>
                <w:szCs w:val="12"/>
                <w:color w:val="auto"/>
              </w:rPr>
            </w:pPr>
          </w:p>
        </w:tc>
      </w:tr>
      <w:tr>
        <w:trPr>
          <w:trHeight w:val="149"/>
        </w:trPr>
        <w:tc>
          <w:tcPr>
            <w:tcW w:w="2760" w:type="dxa"/>
            <w:vAlign w:val="bottom"/>
            <w:shd w:val="clear" w:color="auto" w:fill="225CAB"/>
          </w:tcPr>
          <w:p>
            <w:pPr>
              <w:spacing w:after="0"/>
              <w:rPr>
                <w:sz w:val="12"/>
                <w:szCs w:val="12"/>
                <w:color w:val="auto"/>
              </w:rPr>
            </w:pPr>
          </w:p>
        </w:tc>
        <w:tc>
          <w:tcPr>
            <w:tcW w:w="580" w:type="dxa"/>
            <w:vAlign w:val="bottom"/>
            <w:shd w:val="clear" w:color="auto" w:fill="225CAB"/>
          </w:tcPr>
          <w:p>
            <w:pPr>
              <w:spacing w:after="0"/>
              <w:rPr>
                <w:sz w:val="12"/>
                <w:szCs w:val="12"/>
                <w:color w:val="auto"/>
              </w:rPr>
            </w:pPr>
          </w:p>
        </w:tc>
        <w:tc>
          <w:tcPr>
            <w:tcW w:w="860" w:type="dxa"/>
            <w:vAlign w:val="bottom"/>
            <w:shd w:val="clear" w:color="auto" w:fill="225CAB"/>
          </w:tcPr>
          <w:p>
            <w:pPr>
              <w:spacing w:after="0"/>
              <w:rPr>
                <w:sz w:val="12"/>
                <w:szCs w:val="12"/>
                <w:color w:val="auto"/>
              </w:rPr>
            </w:pPr>
          </w:p>
        </w:tc>
        <w:tc>
          <w:tcPr>
            <w:tcW w:w="640" w:type="dxa"/>
            <w:vAlign w:val="bottom"/>
            <w:shd w:val="clear" w:color="auto" w:fill="225CAB"/>
          </w:tcPr>
          <w:p>
            <w:pPr>
              <w:spacing w:after="0"/>
              <w:rPr>
                <w:sz w:val="12"/>
                <w:szCs w:val="12"/>
                <w:color w:val="auto"/>
              </w:rPr>
            </w:pPr>
          </w:p>
        </w:tc>
        <w:tc>
          <w:tcPr>
            <w:tcW w:w="960" w:type="dxa"/>
            <w:vAlign w:val="bottom"/>
            <w:shd w:val="clear" w:color="auto" w:fill="225CAB"/>
          </w:tcPr>
          <w:p>
            <w:pPr>
              <w:spacing w:after="0"/>
              <w:rPr>
                <w:sz w:val="12"/>
                <w:szCs w:val="12"/>
                <w:color w:val="auto"/>
              </w:rPr>
            </w:pPr>
          </w:p>
        </w:tc>
        <w:tc>
          <w:tcPr>
            <w:tcW w:w="860" w:type="dxa"/>
            <w:vAlign w:val="bottom"/>
            <w:shd w:val="clear" w:color="auto" w:fill="225CAB"/>
          </w:tcPr>
          <w:p>
            <w:pPr>
              <w:spacing w:after="0"/>
              <w:rPr>
                <w:sz w:val="12"/>
                <w:szCs w:val="12"/>
                <w:color w:val="auto"/>
              </w:rPr>
            </w:pPr>
          </w:p>
        </w:tc>
        <w:tc>
          <w:tcPr>
            <w:tcW w:w="1380" w:type="dxa"/>
            <w:vAlign w:val="bottom"/>
            <w:shd w:val="clear" w:color="auto" w:fill="225CAB"/>
          </w:tcPr>
          <w:p>
            <w:pPr>
              <w:spacing w:after="0"/>
              <w:rPr>
                <w:sz w:val="12"/>
                <w:szCs w:val="12"/>
                <w:color w:val="auto"/>
              </w:rPr>
            </w:pPr>
          </w:p>
        </w:tc>
        <w:tc>
          <w:tcPr>
            <w:tcW w:w="108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color w:val="FFFFFF"/>
                <w:w w:val="93"/>
              </w:rPr>
              <w:t>Value &amp;</w:t>
            </w:r>
          </w:p>
        </w:tc>
        <w:tc>
          <w:tcPr>
            <w:tcW w:w="1220" w:type="dxa"/>
            <w:vAlign w:val="bottom"/>
            <w:shd w:val="clear" w:color="auto" w:fill="225CAB"/>
          </w:tcPr>
          <w:p>
            <w:pPr>
              <w:spacing w:after="0"/>
              <w:rPr>
                <w:sz w:val="12"/>
                <w:szCs w:val="12"/>
                <w:color w:val="auto"/>
              </w:rPr>
            </w:pPr>
          </w:p>
        </w:tc>
        <w:tc>
          <w:tcPr>
            <w:tcW w:w="1080" w:type="dxa"/>
            <w:vAlign w:val="bottom"/>
            <w:shd w:val="clear" w:color="auto" w:fill="225CAB"/>
          </w:tcPr>
          <w:p>
            <w:pPr>
              <w:spacing w:after="0"/>
              <w:rPr>
                <w:sz w:val="12"/>
                <w:szCs w:val="12"/>
                <w:color w:val="auto"/>
              </w:rPr>
            </w:pPr>
          </w:p>
        </w:tc>
      </w:tr>
      <w:tr>
        <w:trPr>
          <w:trHeight w:val="149"/>
        </w:trPr>
        <w:tc>
          <w:tcPr>
            <w:tcW w:w="2760" w:type="dxa"/>
            <w:vAlign w:val="bottom"/>
            <w:shd w:val="clear" w:color="auto" w:fill="225CAB"/>
          </w:tcPr>
          <w:p>
            <w:pPr>
              <w:spacing w:after="0"/>
              <w:rPr>
                <w:sz w:val="12"/>
                <w:szCs w:val="12"/>
                <w:color w:val="auto"/>
              </w:rPr>
            </w:pPr>
          </w:p>
        </w:tc>
        <w:tc>
          <w:tcPr>
            <w:tcW w:w="580" w:type="dxa"/>
            <w:vAlign w:val="bottom"/>
            <w:shd w:val="clear" w:color="auto" w:fill="225CAB"/>
          </w:tcPr>
          <w:p>
            <w:pPr>
              <w:spacing w:after="0"/>
              <w:rPr>
                <w:sz w:val="12"/>
                <w:szCs w:val="12"/>
                <w:color w:val="auto"/>
              </w:rPr>
            </w:pPr>
          </w:p>
        </w:tc>
        <w:tc>
          <w:tcPr>
            <w:tcW w:w="860" w:type="dxa"/>
            <w:vAlign w:val="bottom"/>
            <w:shd w:val="clear" w:color="auto" w:fill="225CAB"/>
          </w:tcPr>
          <w:p>
            <w:pPr>
              <w:spacing w:after="0"/>
              <w:rPr>
                <w:sz w:val="12"/>
                <w:szCs w:val="12"/>
                <w:color w:val="auto"/>
              </w:rPr>
            </w:pPr>
          </w:p>
        </w:tc>
        <w:tc>
          <w:tcPr>
            <w:tcW w:w="640" w:type="dxa"/>
            <w:vAlign w:val="bottom"/>
            <w:shd w:val="clear" w:color="auto" w:fill="225CAB"/>
          </w:tcPr>
          <w:p>
            <w:pPr>
              <w:spacing w:after="0"/>
              <w:rPr>
                <w:sz w:val="12"/>
                <w:szCs w:val="12"/>
                <w:color w:val="auto"/>
              </w:rPr>
            </w:pPr>
          </w:p>
        </w:tc>
        <w:tc>
          <w:tcPr>
            <w:tcW w:w="960" w:type="dxa"/>
            <w:vAlign w:val="bottom"/>
            <w:shd w:val="clear" w:color="auto" w:fill="225CAB"/>
          </w:tcPr>
          <w:p>
            <w:pPr>
              <w:spacing w:after="0"/>
              <w:rPr>
                <w:sz w:val="12"/>
                <w:szCs w:val="12"/>
                <w:color w:val="auto"/>
              </w:rPr>
            </w:pPr>
          </w:p>
        </w:tc>
        <w:tc>
          <w:tcPr>
            <w:tcW w:w="860" w:type="dxa"/>
            <w:vAlign w:val="bottom"/>
            <w:shd w:val="clear" w:color="auto" w:fill="225CAB"/>
          </w:tcPr>
          <w:p>
            <w:pPr>
              <w:spacing w:after="0"/>
              <w:rPr>
                <w:sz w:val="12"/>
                <w:szCs w:val="12"/>
                <w:color w:val="auto"/>
              </w:rPr>
            </w:pPr>
          </w:p>
        </w:tc>
        <w:tc>
          <w:tcPr>
            <w:tcW w:w="138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color w:val="FFFFFF"/>
                <w:w w:val="95"/>
              </w:rPr>
              <w:t>Non-Equity</w:t>
            </w:r>
          </w:p>
        </w:tc>
        <w:tc>
          <w:tcPr>
            <w:tcW w:w="108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color w:val="FFFFFF"/>
                <w:w w:val="95"/>
              </w:rPr>
              <w:t>Nonqualified</w:t>
            </w:r>
          </w:p>
        </w:tc>
        <w:tc>
          <w:tcPr>
            <w:tcW w:w="1220" w:type="dxa"/>
            <w:vAlign w:val="bottom"/>
            <w:shd w:val="clear" w:color="auto" w:fill="225CAB"/>
          </w:tcPr>
          <w:p>
            <w:pPr>
              <w:spacing w:after="0"/>
              <w:rPr>
                <w:sz w:val="12"/>
                <w:szCs w:val="12"/>
                <w:color w:val="auto"/>
              </w:rPr>
            </w:pPr>
          </w:p>
        </w:tc>
        <w:tc>
          <w:tcPr>
            <w:tcW w:w="1080" w:type="dxa"/>
            <w:vAlign w:val="bottom"/>
            <w:shd w:val="clear" w:color="auto" w:fill="225CAB"/>
          </w:tcPr>
          <w:p>
            <w:pPr>
              <w:spacing w:after="0"/>
              <w:rPr>
                <w:sz w:val="12"/>
                <w:szCs w:val="12"/>
                <w:color w:val="auto"/>
              </w:rPr>
            </w:pPr>
          </w:p>
        </w:tc>
      </w:tr>
      <w:tr>
        <w:trPr>
          <w:trHeight w:val="149"/>
        </w:trPr>
        <w:tc>
          <w:tcPr>
            <w:tcW w:w="2760" w:type="dxa"/>
            <w:vAlign w:val="bottom"/>
            <w:shd w:val="clear" w:color="auto" w:fill="225CAB"/>
          </w:tcPr>
          <w:p>
            <w:pPr>
              <w:spacing w:after="0"/>
              <w:rPr>
                <w:sz w:val="12"/>
                <w:szCs w:val="12"/>
                <w:color w:val="auto"/>
              </w:rPr>
            </w:pPr>
          </w:p>
        </w:tc>
        <w:tc>
          <w:tcPr>
            <w:tcW w:w="580" w:type="dxa"/>
            <w:vAlign w:val="bottom"/>
            <w:shd w:val="clear" w:color="auto" w:fill="225CAB"/>
          </w:tcPr>
          <w:p>
            <w:pPr>
              <w:spacing w:after="0"/>
              <w:rPr>
                <w:sz w:val="12"/>
                <w:szCs w:val="12"/>
                <w:color w:val="auto"/>
              </w:rPr>
            </w:pPr>
          </w:p>
        </w:tc>
        <w:tc>
          <w:tcPr>
            <w:tcW w:w="860" w:type="dxa"/>
            <w:vAlign w:val="bottom"/>
            <w:shd w:val="clear" w:color="auto" w:fill="225CAB"/>
          </w:tcPr>
          <w:p>
            <w:pPr>
              <w:spacing w:after="0"/>
              <w:rPr>
                <w:sz w:val="12"/>
                <w:szCs w:val="12"/>
                <w:color w:val="auto"/>
              </w:rPr>
            </w:pPr>
          </w:p>
        </w:tc>
        <w:tc>
          <w:tcPr>
            <w:tcW w:w="640" w:type="dxa"/>
            <w:vAlign w:val="bottom"/>
            <w:shd w:val="clear" w:color="auto" w:fill="225CAB"/>
          </w:tcPr>
          <w:p>
            <w:pPr>
              <w:spacing w:after="0"/>
              <w:rPr>
                <w:sz w:val="12"/>
                <w:szCs w:val="12"/>
                <w:color w:val="auto"/>
              </w:rPr>
            </w:pPr>
          </w:p>
        </w:tc>
        <w:tc>
          <w:tcPr>
            <w:tcW w:w="960" w:type="dxa"/>
            <w:vAlign w:val="bottom"/>
            <w:shd w:val="clear" w:color="auto" w:fill="225CAB"/>
          </w:tcPr>
          <w:p>
            <w:pPr>
              <w:spacing w:after="0"/>
              <w:rPr>
                <w:sz w:val="12"/>
                <w:szCs w:val="12"/>
                <w:color w:val="auto"/>
              </w:rPr>
            </w:pPr>
          </w:p>
        </w:tc>
        <w:tc>
          <w:tcPr>
            <w:tcW w:w="860" w:type="dxa"/>
            <w:vAlign w:val="bottom"/>
            <w:shd w:val="clear" w:color="auto" w:fill="225CAB"/>
          </w:tcPr>
          <w:p>
            <w:pPr>
              <w:spacing w:after="0"/>
              <w:rPr>
                <w:sz w:val="12"/>
                <w:szCs w:val="12"/>
                <w:color w:val="auto"/>
              </w:rPr>
            </w:pPr>
          </w:p>
        </w:tc>
        <w:tc>
          <w:tcPr>
            <w:tcW w:w="138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color w:val="FFFFFF"/>
                <w:w w:val="96"/>
              </w:rPr>
              <w:t>Incentive</w:t>
            </w:r>
          </w:p>
        </w:tc>
        <w:tc>
          <w:tcPr>
            <w:tcW w:w="108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color w:val="FFFFFF"/>
                <w:w w:val="99"/>
              </w:rPr>
              <w:t>Deferred</w:t>
            </w:r>
          </w:p>
        </w:tc>
        <w:tc>
          <w:tcPr>
            <w:tcW w:w="1220" w:type="dxa"/>
            <w:vAlign w:val="bottom"/>
            <w:shd w:val="clear" w:color="auto" w:fill="225CAB"/>
          </w:tcPr>
          <w:p>
            <w:pPr>
              <w:spacing w:after="0"/>
              <w:rPr>
                <w:sz w:val="12"/>
                <w:szCs w:val="12"/>
                <w:color w:val="auto"/>
              </w:rPr>
            </w:pPr>
          </w:p>
        </w:tc>
        <w:tc>
          <w:tcPr>
            <w:tcW w:w="1080" w:type="dxa"/>
            <w:vAlign w:val="bottom"/>
            <w:shd w:val="clear" w:color="auto" w:fill="225CAB"/>
          </w:tcPr>
          <w:p>
            <w:pPr>
              <w:spacing w:after="0"/>
              <w:rPr>
                <w:sz w:val="12"/>
                <w:szCs w:val="12"/>
                <w:color w:val="auto"/>
              </w:rPr>
            </w:pPr>
          </w:p>
        </w:tc>
      </w:tr>
      <w:tr>
        <w:trPr>
          <w:trHeight w:val="136"/>
        </w:trPr>
        <w:tc>
          <w:tcPr>
            <w:tcW w:w="2760" w:type="dxa"/>
            <w:vAlign w:val="bottom"/>
            <w:shd w:val="clear" w:color="auto" w:fill="225CAB"/>
          </w:tcPr>
          <w:p>
            <w:pPr>
              <w:spacing w:after="0"/>
              <w:rPr>
                <w:sz w:val="11"/>
                <w:szCs w:val="11"/>
                <w:color w:val="auto"/>
              </w:rPr>
            </w:pPr>
          </w:p>
        </w:tc>
        <w:tc>
          <w:tcPr>
            <w:tcW w:w="580" w:type="dxa"/>
            <w:vAlign w:val="bottom"/>
            <w:shd w:val="clear" w:color="auto" w:fill="225CAB"/>
          </w:tcPr>
          <w:p>
            <w:pPr>
              <w:spacing w:after="0"/>
              <w:rPr>
                <w:sz w:val="11"/>
                <w:szCs w:val="11"/>
                <w:color w:val="auto"/>
              </w:rPr>
            </w:pPr>
          </w:p>
        </w:tc>
        <w:tc>
          <w:tcPr>
            <w:tcW w:w="860" w:type="dxa"/>
            <w:vAlign w:val="bottom"/>
            <w:shd w:val="clear" w:color="auto" w:fill="225CAB"/>
          </w:tcPr>
          <w:p>
            <w:pPr>
              <w:spacing w:after="0"/>
              <w:rPr>
                <w:sz w:val="11"/>
                <w:szCs w:val="11"/>
                <w:color w:val="auto"/>
              </w:rPr>
            </w:pPr>
          </w:p>
        </w:tc>
        <w:tc>
          <w:tcPr>
            <w:tcW w:w="640" w:type="dxa"/>
            <w:vAlign w:val="bottom"/>
            <w:shd w:val="clear" w:color="auto" w:fill="225CAB"/>
          </w:tcPr>
          <w:p>
            <w:pPr>
              <w:spacing w:after="0"/>
              <w:rPr>
                <w:sz w:val="11"/>
                <w:szCs w:val="11"/>
                <w:color w:val="auto"/>
              </w:rPr>
            </w:pPr>
          </w:p>
        </w:tc>
        <w:tc>
          <w:tcPr>
            <w:tcW w:w="960" w:type="dxa"/>
            <w:vAlign w:val="bottom"/>
            <w:shd w:val="clear" w:color="auto" w:fill="225CAB"/>
          </w:tcPr>
          <w:p>
            <w:pPr>
              <w:jc w:val="center"/>
              <w:spacing w:after="0" w:line="136" w:lineRule="exact"/>
              <w:rPr>
                <w:sz w:val="20"/>
                <w:szCs w:val="20"/>
                <w:color w:val="auto"/>
              </w:rPr>
            </w:pPr>
            <w:r>
              <w:rPr>
                <w:rFonts w:ascii="Arial" w:cs="Arial" w:eastAsia="Arial" w:hAnsi="Arial"/>
                <w:sz w:val="14"/>
                <w:szCs w:val="14"/>
                <w:color w:val="FFFFFF"/>
                <w:w w:val="96"/>
              </w:rPr>
              <w:t>Stock</w:t>
            </w:r>
          </w:p>
        </w:tc>
        <w:tc>
          <w:tcPr>
            <w:tcW w:w="860" w:type="dxa"/>
            <w:vAlign w:val="bottom"/>
            <w:shd w:val="clear" w:color="auto" w:fill="225CAB"/>
          </w:tcPr>
          <w:p>
            <w:pPr>
              <w:jc w:val="center"/>
              <w:spacing w:after="0" w:line="136" w:lineRule="exact"/>
              <w:rPr>
                <w:sz w:val="20"/>
                <w:szCs w:val="20"/>
                <w:color w:val="auto"/>
              </w:rPr>
            </w:pPr>
            <w:r>
              <w:rPr>
                <w:rFonts w:ascii="Arial" w:cs="Arial" w:eastAsia="Arial" w:hAnsi="Arial"/>
                <w:sz w:val="14"/>
                <w:szCs w:val="14"/>
                <w:color w:val="FFFFFF"/>
                <w:w w:val="96"/>
              </w:rPr>
              <w:t>Option</w:t>
            </w:r>
          </w:p>
        </w:tc>
        <w:tc>
          <w:tcPr>
            <w:tcW w:w="1380" w:type="dxa"/>
            <w:vAlign w:val="bottom"/>
            <w:shd w:val="clear" w:color="auto" w:fill="225CAB"/>
          </w:tcPr>
          <w:p>
            <w:pPr>
              <w:jc w:val="center"/>
              <w:spacing w:after="0" w:line="136" w:lineRule="exact"/>
              <w:rPr>
                <w:sz w:val="20"/>
                <w:szCs w:val="20"/>
                <w:color w:val="auto"/>
              </w:rPr>
            </w:pPr>
            <w:r>
              <w:rPr>
                <w:rFonts w:ascii="Arial" w:cs="Arial" w:eastAsia="Arial" w:hAnsi="Arial"/>
                <w:sz w:val="14"/>
                <w:szCs w:val="14"/>
                <w:color w:val="FFFFFF"/>
                <w:w w:val="92"/>
              </w:rPr>
              <w:t>Plan</w:t>
            </w:r>
          </w:p>
        </w:tc>
        <w:tc>
          <w:tcPr>
            <w:tcW w:w="1080" w:type="dxa"/>
            <w:vAlign w:val="bottom"/>
            <w:shd w:val="clear" w:color="auto" w:fill="225CAB"/>
          </w:tcPr>
          <w:p>
            <w:pPr>
              <w:jc w:val="right"/>
              <w:ind w:right="33"/>
              <w:spacing w:after="0" w:line="136" w:lineRule="exact"/>
              <w:rPr>
                <w:sz w:val="20"/>
                <w:szCs w:val="20"/>
                <w:color w:val="auto"/>
              </w:rPr>
            </w:pPr>
            <w:r>
              <w:rPr>
                <w:rFonts w:ascii="Arial" w:cs="Arial" w:eastAsia="Arial" w:hAnsi="Arial"/>
                <w:sz w:val="14"/>
                <w:szCs w:val="14"/>
                <w:color w:val="FFFFFF"/>
              </w:rPr>
              <w:t>Compensation</w:t>
            </w:r>
          </w:p>
        </w:tc>
        <w:tc>
          <w:tcPr>
            <w:tcW w:w="1220" w:type="dxa"/>
            <w:vAlign w:val="bottom"/>
            <w:shd w:val="clear" w:color="auto" w:fill="225CAB"/>
          </w:tcPr>
          <w:p>
            <w:pPr>
              <w:jc w:val="center"/>
              <w:spacing w:after="0" w:line="136" w:lineRule="exact"/>
              <w:rPr>
                <w:sz w:val="20"/>
                <w:szCs w:val="20"/>
                <w:color w:val="auto"/>
              </w:rPr>
            </w:pPr>
            <w:r>
              <w:rPr>
                <w:rFonts w:ascii="Arial" w:cs="Arial" w:eastAsia="Arial" w:hAnsi="Arial"/>
                <w:sz w:val="14"/>
                <w:szCs w:val="14"/>
                <w:color w:val="FFFFFF"/>
                <w:w w:val="95"/>
              </w:rPr>
              <w:t>All Other</w:t>
            </w:r>
          </w:p>
        </w:tc>
        <w:tc>
          <w:tcPr>
            <w:tcW w:w="1080" w:type="dxa"/>
            <w:vAlign w:val="bottom"/>
            <w:shd w:val="clear" w:color="auto" w:fill="225CAB"/>
          </w:tcPr>
          <w:p>
            <w:pPr>
              <w:jc w:val="center"/>
              <w:spacing w:after="0" w:line="136" w:lineRule="exact"/>
              <w:rPr>
                <w:sz w:val="20"/>
                <w:szCs w:val="20"/>
                <w:color w:val="auto"/>
              </w:rPr>
            </w:pPr>
            <w:r>
              <w:rPr>
                <w:rFonts w:ascii="Arial" w:cs="Arial" w:eastAsia="Arial" w:hAnsi="Arial"/>
                <w:sz w:val="14"/>
                <w:szCs w:val="14"/>
                <w:color w:val="FFFFFF"/>
                <w:w w:val="89"/>
              </w:rPr>
              <w:t>Total</w:t>
            </w:r>
          </w:p>
        </w:tc>
      </w:tr>
      <w:tr>
        <w:trPr>
          <w:trHeight w:val="161"/>
        </w:trPr>
        <w:tc>
          <w:tcPr>
            <w:tcW w:w="2760" w:type="dxa"/>
            <w:vAlign w:val="bottom"/>
            <w:shd w:val="clear" w:color="auto" w:fill="225CAB"/>
          </w:tcPr>
          <w:p>
            <w:pPr>
              <w:ind w:left="1040"/>
              <w:spacing w:after="0"/>
              <w:rPr>
                <w:sz w:val="20"/>
                <w:szCs w:val="20"/>
                <w:color w:val="auto"/>
              </w:rPr>
            </w:pPr>
            <w:r>
              <w:rPr>
                <w:rFonts w:ascii="Arial" w:cs="Arial" w:eastAsia="Arial" w:hAnsi="Arial"/>
                <w:sz w:val="14"/>
                <w:szCs w:val="14"/>
                <w:color w:val="FFFFFF"/>
              </w:rPr>
              <w:t>Name and</w:t>
            </w:r>
          </w:p>
        </w:tc>
        <w:tc>
          <w:tcPr>
            <w:tcW w:w="580" w:type="dxa"/>
            <w:vAlign w:val="bottom"/>
            <w:shd w:val="clear" w:color="auto" w:fill="225CAB"/>
          </w:tcPr>
          <w:p>
            <w:pPr>
              <w:spacing w:after="0"/>
              <w:rPr>
                <w:sz w:val="14"/>
                <w:szCs w:val="14"/>
                <w:color w:val="auto"/>
              </w:rPr>
            </w:pPr>
          </w:p>
        </w:tc>
        <w:tc>
          <w:tcPr>
            <w:tcW w:w="860" w:type="dxa"/>
            <w:vAlign w:val="bottom"/>
            <w:shd w:val="clear" w:color="auto" w:fill="225CAB"/>
          </w:tcPr>
          <w:p>
            <w:pPr>
              <w:jc w:val="right"/>
              <w:ind w:right="113"/>
              <w:spacing w:after="0" w:line="162" w:lineRule="exact"/>
              <w:rPr>
                <w:sz w:val="20"/>
                <w:szCs w:val="20"/>
                <w:color w:val="auto"/>
              </w:rPr>
            </w:pPr>
            <w:r>
              <w:rPr>
                <w:rFonts w:ascii="Arial" w:cs="Arial" w:eastAsia="Arial" w:hAnsi="Arial"/>
                <w:sz w:val="12"/>
                <w:szCs w:val="12"/>
                <w:color w:val="FFFFFF"/>
              </w:rPr>
              <w:t>Salary</w:t>
            </w:r>
            <w:r>
              <w:rPr>
                <w:rFonts w:ascii="Arial" w:cs="Arial" w:eastAsia="Arial" w:hAnsi="Arial"/>
                <w:sz w:val="18"/>
                <w:szCs w:val="18"/>
                <w:color w:val="FFFFFF"/>
                <w:vertAlign w:val="superscript"/>
              </w:rPr>
              <w:t>(1)</w:t>
            </w:r>
          </w:p>
        </w:tc>
        <w:tc>
          <w:tcPr>
            <w:tcW w:w="640" w:type="dxa"/>
            <w:vAlign w:val="bottom"/>
            <w:shd w:val="clear" w:color="auto" w:fill="225CAB"/>
          </w:tcPr>
          <w:p>
            <w:pPr>
              <w:jc w:val="right"/>
              <w:ind w:right="72"/>
              <w:spacing w:after="0"/>
              <w:rPr>
                <w:sz w:val="20"/>
                <w:szCs w:val="20"/>
                <w:color w:val="auto"/>
              </w:rPr>
            </w:pPr>
            <w:r>
              <w:rPr>
                <w:rFonts w:ascii="Arial" w:cs="Arial" w:eastAsia="Arial" w:hAnsi="Arial"/>
                <w:sz w:val="14"/>
                <w:szCs w:val="14"/>
                <w:color w:val="FFFFFF"/>
              </w:rPr>
              <w:t>Bonus</w:t>
            </w:r>
          </w:p>
        </w:tc>
        <w:tc>
          <w:tcPr>
            <w:tcW w:w="960" w:type="dxa"/>
            <w:vAlign w:val="bottom"/>
            <w:shd w:val="clear" w:color="auto" w:fill="225CAB"/>
          </w:tcPr>
          <w:p>
            <w:pPr>
              <w:jc w:val="center"/>
              <w:spacing w:after="0" w:line="162" w:lineRule="exact"/>
              <w:rPr>
                <w:sz w:val="20"/>
                <w:szCs w:val="20"/>
                <w:color w:val="auto"/>
              </w:rPr>
            </w:pPr>
            <w:r>
              <w:rPr>
                <w:rFonts w:ascii="Arial" w:cs="Arial" w:eastAsia="Arial" w:hAnsi="Arial"/>
                <w:sz w:val="12"/>
                <w:szCs w:val="12"/>
                <w:color w:val="FFFFFF"/>
              </w:rPr>
              <w:t>Awards</w:t>
            </w:r>
            <w:r>
              <w:rPr>
                <w:rFonts w:ascii="Arial" w:cs="Arial" w:eastAsia="Arial" w:hAnsi="Arial"/>
                <w:sz w:val="18"/>
                <w:szCs w:val="18"/>
                <w:color w:val="FFFFFF"/>
                <w:vertAlign w:val="superscript"/>
              </w:rPr>
              <w:t>(2)</w:t>
            </w:r>
          </w:p>
        </w:tc>
        <w:tc>
          <w:tcPr>
            <w:tcW w:w="860" w:type="dxa"/>
            <w:vAlign w:val="bottom"/>
            <w:shd w:val="clear" w:color="auto" w:fill="225CAB"/>
          </w:tcPr>
          <w:p>
            <w:pPr>
              <w:jc w:val="center"/>
              <w:spacing w:after="0" w:line="162" w:lineRule="exact"/>
              <w:rPr>
                <w:sz w:val="20"/>
                <w:szCs w:val="20"/>
                <w:color w:val="auto"/>
              </w:rPr>
            </w:pPr>
            <w:r>
              <w:rPr>
                <w:rFonts w:ascii="Arial" w:cs="Arial" w:eastAsia="Arial" w:hAnsi="Arial"/>
                <w:sz w:val="12"/>
                <w:szCs w:val="12"/>
                <w:color w:val="FFFFFF"/>
              </w:rPr>
              <w:t>Awards</w:t>
            </w:r>
            <w:r>
              <w:rPr>
                <w:rFonts w:ascii="Arial" w:cs="Arial" w:eastAsia="Arial" w:hAnsi="Arial"/>
                <w:sz w:val="18"/>
                <w:szCs w:val="18"/>
                <w:color w:val="FFFFFF"/>
                <w:vertAlign w:val="superscript"/>
              </w:rPr>
              <w:t>(2)</w:t>
            </w:r>
          </w:p>
        </w:tc>
        <w:tc>
          <w:tcPr>
            <w:tcW w:w="1380" w:type="dxa"/>
            <w:vAlign w:val="bottom"/>
            <w:shd w:val="clear" w:color="auto" w:fill="225CAB"/>
          </w:tcPr>
          <w:p>
            <w:pPr>
              <w:jc w:val="center"/>
              <w:spacing w:after="0" w:line="162" w:lineRule="exact"/>
              <w:rPr>
                <w:sz w:val="20"/>
                <w:szCs w:val="20"/>
                <w:color w:val="auto"/>
              </w:rPr>
            </w:pPr>
            <w:r>
              <w:rPr>
                <w:rFonts w:ascii="Arial" w:cs="Arial" w:eastAsia="Arial" w:hAnsi="Arial"/>
                <w:sz w:val="12"/>
                <w:szCs w:val="12"/>
                <w:color w:val="FFFFFF"/>
              </w:rPr>
              <w:t>Compensation</w:t>
            </w:r>
            <w:r>
              <w:rPr>
                <w:rFonts w:ascii="Arial" w:cs="Arial" w:eastAsia="Arial" w:hAnsi="Arial"/>
                <w:sz w:val="18"/>
                <w:szCs w:val="18"/>
                <w:color w:val="FFFFFF"/>
                <w:vertAlign w:val="superscript"/>
              </w:rPr>
              <w:t>(1)(3)</w:t>
            </w:r>
          </w:p>
        </w:tc>
        <w:tc>
          <w:tcPr>
            <w:tcW w:w="1080" w:type="dxa"/>
            <w:vAlign w:val="bottom"/>
            <w:shd w:val="clear" w:color="auto" w:fill="225CAB"/>
          </w:tcPr>
          <w:p>
            <w:pPr>
              <w:jc w:val="center"/>
              <w:spacing w:after="0" w:line="162" w:lineRule="exact"/>
              <w:rPr>
                <w:sz w:val="20"/>
                <w:szCs w:val="20"/>
                <w:color w:val="auto"/>
              </w:rPr>
            </w:pPr>
            <w:r>
              <w:rPr>
                <w:rFonts w:ascii="Arial" w:cs="Arial" w:eastAsia="Arial" w:hAnsi="Arial"/>
                <w:sz w:val="12"/>
                <w:szCs w:val="12"/>
                <w:color w:val="FFFFFF"/>
              </w:rPr>
              <w:t>Earnings</w:t>
            </w:r>
            <w:r>
              <w:rPr>
                <w:rFonts w:ascii="Arial" w:cs="Arial" w:eastAsia="Arial" w:hAnsi="Arial"/>
                <w:sz w:val="18"/>
                <w:szCs w:val="18"/>
                <w:color w:val="FFFFFF"/>
                <w:vertAlign w:val="superscript"/>
              </w:rPr>
              <w:t>(4)</w:t>
            </w:r>
          </w:p>
        </w:tc>
        <w:tc>
          <w:tcPr>
            <w:tcW w:w="1220" w:type="dxa"/>
            <w:vAlign w:val="bottom"/>
            <w:shd w:val="clear" w:color="auto" w:fill="225CAB"/>
          </w:tcPr>
          <w:p>
            <w:pPr>
              <w:jc w:val="center"/>
              <w:spacing w:after="0" w:line="162" w:lineRule="exact"/>
              <w:rPr>
                <w:sz w:val="20"/>
                <w:szCs w:val="20"/>
                <w:color w:val="auto"/>
              </w:rPr>
            </w:pPr>
            <w:r>
              <w:rPr>
                <w:rFonts w:ascii="Arial" w:cs="Arial" w:eastAsia="Arial" w:hAnsi="Arial"/>
                <w:sz w:val="12"/>
                <w:szCs w:val="12"/>
                <w:color w:val="FFFFFF"/>
              </w:rPr>
              <w:t>Compensation</w:t>
            </w:r>
            <w:r>
              <w:rPr>
                <w:rFonts w:ascii="Arial" w:cs="Arial" w:eastAsia="Arial" w:hAnsi="Arial"/>
                <w:sz w:val="18"/>
                <w:szCs w:val="18"/>
                <w:color w:val="FFFFFF"/>
                <w:vertAlign w:val="superscript"/>
              </w:rPr>
              <w:t>(5)</w:t>
            </w:r>
          </w:p>
        </w:tc>
        <w:tc>
          <w:tcPr>
            <w:tcW w:w="1080" w:type="dxa"/>
            <w:vAlign w:val="bottom"/>
            <w:shd w:val="clear" w:color="auto" w:fill="225CAB"/>
          </w:tcPr>
          <w:p>
            <w:pPr>
              <w:jc w:val="center"/>
              <w:spacing w:after="0"/>
              <w:rPr>
                <w:sz w:val="20"/>
                <w:szCs w:val="20"/>
                <w:color w:val="auto"/>
              </w:rPr>
            </w:pPr>
            <w:r>
              <w:rPr>
                <w:rFonts w:ascii="Arial" w:cs="Arial" w:eastAsia="Arial" w:hAnsi="Arial"/>
                <w:sz w:val="14"/>
                <w:szCs w:val="14"/>
                <w:color w:val="FFFFFF"/>
                <w:w w:val="97"/>
              </w:rPr>
              <w:t>Compensation</w:t>
            </w:r>
          </w:p>
        </w:tc>
      </w:tr>
      <w:tr>
        <w:trPr>
          <w:trHeight w:val="163"/>
        </w:trPr>
        <w:tc>
          <w:tcPr>
            <w:tcW w:w="2760" w:type="dxa"/>
            <w:vAlign w:val="bottom"/>
            <w:shd w:val="clear" w:color="auto" w:fill="225CAB"/>
          </w:tcPr>
          <w:p>
            <w:pPr>
              <w:ind w:left="840"/>
              <w:spacing w:after="0"/>
              <w:rPr>
                <w:sz w:val="20"/>
                <w:szCs w:val="20"/>
                <w:color w:val="auto"/>
              </w:rPr>
            </w:pPr>
            <w:r>
              <w:rPr>
                <w:rFonts w:ascii="Arial" w:cs="Arial" w:eastAsia="Arial" w:hAnsi="Arial"/>
                <w:sz w:val="14"/>
                <w:szCs w:val="14"/>
                <w:color w:val="FFFFFF"/>
              </w:rPr>
              <w:t>Principal Position</w:t>
            </w:r>
          </w:p>
        </w:tc>
        <w:tc>
          <w:tcPr>
            <w:tcW w:w="580" w:type="dxa"/>
            <w:vAlign w:val="bottom"/>
            <w:shd w:val="clear" w:color="auto" w:fill="225CAB"/>
          </w:tcPr>
          <w:p>
            <w:pPr>
              <w:ind w:left="140"/>
              <w:spacing w:after="0"/>
              <w:rPr>
                <w:sz w:val="20"/>
                <w:szCs w:val="20"/>
                <w:color w:val="auto"/>
              </w:rPr>
            </w:pPr>
            <w:r>
              <w:rPr>
                <w:rFonts w:ascii="Arial" w:cs="Arial" w:eastAsia="Arial" w:hAnsi="Arial"/>
                <w:sz w:val="14"/>
                <w:szCs w:val="14"/>
                <w:color w:val="FFFFFF"/>
              </w:rPr>
              <w:t>Year</w:t>
            </w:r>
          </w:p>
        </w:tc>
        <w:tc>
          <w:tcPr>
            <w:tcW w:w="860" w:type="dxa"/>
            <w:vAlign w:val="bottom"/>
            <w:shd w:val="clear" w:color="auto" w:fill="225CAB"/>
          </w:tcPr>
          <w:p>
            <w:pPr>
              <w:jc w:val="right"/>
              <w:ind w:right="293"/>
              <w:spacing w:after="0"/>
              <w:rPr>
                <w:sz w:val="20"/>
                <w:szCs w:val="20"/>
                <w:color w:val="auto"/>
              </w:rPr>
            </w:pPr>
            <w:r>
              <w:rPr>
                <w:rFonts w:ascii="Arial" w:cs="Arial" w:eastAsia="Arial" w:hAnsi="Arial"/>
                <w:sz w:val="14"/>
                <w:szCs w:val="14"/>
                <w:color w:val="FFFFFF"/>
              </w:rPr>
              <w:t>($)</w:t>
            </w:r>
          </w:p>
        </w:tc>
        <w:tc>
          <w:tcPr>
            <w:tcW w:w="640" w:type="dxa"/>
            <w:vAlign w:val="bottom"/>
            <w:shd w:val="clear" w:color="auto" w:fill="225CAB"/>
          </w:tcPr>
          <w:p>
            <w:pPr>
              <w:jc w:val="right"/>
              <w:ind w:right="172"/>
              <w:spacing w:after="0"/>
              <w:rPr>
                <w:sz w:val="20"/>
                <w:szCs w:val="20"/>
                <w:color w:val="auto"/>
              </w:rPr>
            </w:pPr>
            <w:r>
              <w:rPr>
                <w:rFonts w:ascii="Arial" w:cs="Arial" w:eastAsia="Arial" w:hAnsi="Arial"/>
                <w:sz w:val="14"/>
                <w:szCs w:val="14"/>
                <w:color w:val="FFFFFF"/>
              </w:rPr>
              <w:t>($)</w:t>
            </w:r>
          </w:p>
        </w:tc>
        <w:tc>
          <w:tcPr>
            <w:tcW w:w="960" w:type="dxa"/>
            <w:vAlign w:val="bottom"/>
            <w:shd w:val="clear" w:color="auto" w:fill="225CAB"/>
          </w:tcPr>
          <w:p>
            <w:pPr>
              <w:jc w:val="center"/>
              <w:spacing w:after="0"/>
              <w:rPr>
                <w:sz w:val="20"/>
                <w:szCs w:val="20"/>
                <w:color w:val="auto"/>
              </w:rPr>
            </w:pPr>
            <w:r>
              <w:rPr>
                <w:rFonts w:ascii="Arial" w:cs="Arial" w:eastAsia="Arial" w:hAnsi="Arial"/>
                <w:sz w:val="14"/>
                <w:szCs w:val="14"/>
                <w:color w:val="FFFFFF"/>
                <w:w w:val="93"/>
              </w:rPr>
              <w:t>($)</w:t>
            </w:r>
          </w:p>
        </w:tc>
        <w:tc>
          <w:tcPr>
            <w:tcW w:w="860" w:type="dxa"/>
            <w:vAlign w:val="bottom"/>
            <w:shd w:val="clear" w:color="auto" w:fill="225CAB"/>
          </w:tcPr>
          <w:p>
            <w:pPr>
              <w:jc w:val="center"/>
              <w:spacing w:after="0"/>
              <w:rPr>
                <w:sz w:val="20"/>
                <w:szCs w:val="20"/>
                <w:color w:val="auto"/>
              </w:rPr>
            </w:pPr>
            <w:r>
              <w:rPr>
                <w:rFonts w:ascii="Arial" w:cs="Arial" w:eastAsia="Arial" w:hAnsi="Arial"/>
                <w:sz w:val="14"/>
                <w:szCs w:val="14"/>
                <w:color w:val="FFFFFF"/>
                <w:w w:val="93"/>
              </w:rPr>
              <w:t>($)</w:t>
            </w:r>
          </w:p>
        </w:tc>
        <w:tc>
          <w:tcPr>
            <w:tcW w:w="1380" w:type="dxa"/>
            <w:vAlign w:val="bottom"/>
            <w:shd w:val="clear" w:color="auto" w:fill="225CAB"/>
          </w:tcPr>
          <w:p>
            <w:pPr>
              <w:jc w:val="center"/>
              <w:spacing w:after="0"/>
              <w:rPr>
                <w:sz w:val="20"/>
                <w:szCs w:val="20"/>
                <w:color w:val="auto"/>
              </w:rPr>
            </w:pPr>
            <w:r>
              <w:rPr>
                <w:rFonts w:ascii="Arial" w:cs="Arial" w:eastAsia="Arial" w:hAnsi="Arial"/>
                <w:sz w:val="14"/>
                <w:szCs w:val="14"/>
                <w:color w:val="FFFFFF"/>
              </w:rPr>
              <w:t>($)</w:t>
            </w:r>
          </w:p>
        </w:tc>
        <w:tc>
          <w:tcPr>
            <w:tcW w:w="1080" w:type="dxa"/>
            <w:vAlign w:val="bottom"/>
            <w:shd w:val="clear" w:color="auto" w:fill="225CAB"/>
          </w:tcPr>
          <w:p>
            <w:pPr>
              <w:jc w:val="center"/>
              <w:spacing w:after="0"/>
              <w:rPr>
                <w:sz w:val="20"/>
                <w:szCs w:val="20"/>
                <w:color w:val="auto"/>
              </w:rPr>
            </w:pPr>
            <w:r>
              <w:rPr>
                <w:rFonts w:ascii="Arial" w:cs="Arial" w:eastAsia="Arial" w:hAnsi="Arial"/>
                <w:sz w:val="14"/>
                <w:szCs w:val="14"/>
                <w:color w:val="FFFFFF"/>
              </w:rPr>
              <w:t>($)</w:t>
            </w:r>
          </w:p>
        </w:tc>
        <w:tc>
          <w:tcPr>
            <w:tcW w:w="1220" w:type="dxa"/>
            <w:vAlign w:val="bottom"/>
            <w:shd w:val="clear" w:color="auto" w:fill="225CAB"/>
          </w:tcPr>
          <w:p>
            <w:pPr>
              <w:jc w:val="center"/>
              <w:spacing w:after="0"/>
              <w:rPr>
                <w:sz w:val="20"/>
                <w:szCs w:val="20"/>
                <w:color w:val="auto"/>
              </w:rPr>
            </w:pPr>
            <w:r>
              <w:rPr>
                <w:rFonts w:ascii="Arial" w:cs="Arial" w:eastAsia="Arial" w:hAnsi="Arial"/>
                <w:sz w:val="14"/>
                <w:szCs w:val="14"/>
                <w:color w:val="FFFFFF"/>
                <w:w w:val="93"/>
              </w:rPr>
              <w:t>($)</w:t>
            </w:r>
          </w:p>
        </w:tc>
        <w:tc>
          <w:tcPr>
            <w:tcW w:w="1080" w:type="dxa"/>
            <w:vAlign w:val="bottom"/>
            <w:shd w:val="clear" w:color="auto" w:fill="225CAB"/>
          </w:tcPr>
          <w:p>
            <w:pPr>
              <w:jc w:val="center"/>
              <w:spacing w:after="0"/>
              <w:rPr>
                <w:sz w:val="20"/>
                <w:szCs w:val="20"/>
                <w:color w:val="auto"/>
              </w:rPr>
            </w:pPr>
            <w:r>
              <w:rPr>
                <w:rFonts w:ascii="Arial" w:cs="Arial" w:eastAsia="Arial" w:hAnsi="Arial"/>
                <w:sz w:val="14"/>
                <w:szCs w:val="14"/>
                <w:color w:val="FFFFFF"/>
                <w:w w:val="93"/>
              </w:rPr>
              <w:t>($)</w:t>
            </w:r>
          </w:p>
        </w:tc>
      </w:tr>
      <w:tr>
        <w:trPr>
          <w:trHeight w:val="148"/>
        </w:trPr>
        <w:tc>
          <w:tcPr>
            <w:tcW w:w="2760" w:type="dxa"/>
            <w:vAlign w:val="bottom"/>
          </w:tcPr>
          <w:p>
            <w:pPr>
              <w:spacing w:after="0" w:line="148" w:lineRule="exact"/>
              <w:rPr>
                <w:sz w:val="20"/>
                <w:szCs w:val="20"/>
                <w:color w:val="auto"/>
              </w:rPr>
            </w:pPr>
            <w:r>
              <w:rPr>
                <w:rFonts w:ascii="Arial" w:cs="Arial" w:eastAsia="Arial" w:hAnsi="Arial"/>
                <w:sz w:val="14"/>
                <w:szCs w:val="14"/>
                <w:b w:val="1"/>
                <w:bCs w:val="1"/>
                <w:color w:val="225CAB"/>
              </w:rPr>
              <w:t>Brian D. Jellison</w:t>
            </w:r>
          </w:p>
        </w:tc>
        <w:tc>
          <w:tcPr>
            <w:tcW w:w="580" w:type="dxa"/>
            <w:vAlign w:val="bottom"/>
          </w:tcPr>
          <w:p>
            <w:pPr>
              <w:ind w:left="140"/>
              <w:spacing w:after="0" w:line="148" w:lineRule="exact"/>
              <w:rPr>
                <w:sz w:val="20"/>
                <w:szCs w:val="20"/>
                <w:color w:val="auto"/>
              </w:rPr>
            </w:pPr>
            <w:r>
              <w:rPr>
                <w:rFonts w:ascii="Arial" w:cs="Arial" w:eastAsia="Arial" w:hAnsi="Arial"/>
                <w:sz w:val="14"/>
                <w:szCs w:val="14"/>
                <w:color w:val="auto"/>
              </w:rPr>
              <w:t>2015</w:t>
            </w:r>
          </w:p>
        </w:tc>
        <w:tc>
          <w:tcPr>
            <w:tcW w:w="860" w:type="dxa"/>
            <w:vAlign w:val="bottom"/>
          </w:tcPr>
          <w:p>
            <w:pPr>
              <w:jc w:val="right"/>
              <w:ind w:right="53"/>
              <w:spacing w:after="0" w:line="148" w:lineRule="exact"/>
              <w:rPr>
                <w:sz w:val="20"/>
                <w:szCs w:val="20"/>
                <w:color w:val="auto"/>
              </w:rPr>
            </w:pPr>
            <w:r>
              <w:rPr>
                <w:rFonts w:ascii="Arial" w:cs="Arial" w:eastAsia="Arial" w:hAnsi="Arial"/>
                <w:sz w:val="14"/>
                <w:szCs w:val="14"/>
                <w:color w:val="auto"/>
              </w:rPr>
              <w:t>1,225,000</w:t>
            </w:r>
          </w:p>
        </w:tc>
        <w:tc>
          <w:tcPr>
            <w:tcW w:w="640" w:type="dxa"/>
            <w:vAlign w:val="bottom"/>
          </w:tcPr>
          <w:p>
            <w:pPr>
              <w:jc w:val="right"/>
              <w:ind w:right="132"/>
              <w:spacing w:after="0" w:line="148"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73"/>
              <w:spacing w:after="0" w:line="148" w:lineRule="exact"/>
              <w:rPr>
                <w:sz w:val="20"/>
                <w:szCs w:val="20"/>
                <w:color w:val="auto"/>
              </w:rPr>
            </w:pPr>
            <w:r>
              <w:rPr>
                <w:rFonts w:ascii="Arial" w:cs="Arial" w:eastAsia="Arial" w:hAnsi="Arial"/>
                <w:sz w:val="14"/>
                <w:szCs w:val="14"/>
                <w:color w:val="auto"/>
              </w:rPr>
              <w:t>21,862,500</w:t>
            </w:r>
          </w:p>
        </w:tc>
        <w:tc>
          <w:tcPr>
            <w:tcW w:w="860" w:type="dxa"/>
            <w:vAlign w:val="bottom"/>
          </w:tcPr>
          <w:p>
            <w:pPr>
              <w:jc w:val="right"/>
              <w:ind w:right="133"/>
              <w:spacing w:after="0" w:line="148" w:lineRule="exact"/>
              <w:rPr>
                <w:sz w:val="20"/>
                <w:szCs w:val="20"/>
                <w:color w:val="auto"/>
              </w:rPr>
            </w:pPr>
            <w:r>
              <w:rPr>
                <w:rFonts w:ascii="Arial" w:cs="Arial" w:eastAsia="Arial" w:hAnsi="Arial"/>
                <w:sz w:val="14"/>
                <w:szCs w:val="14"/>
                <w:color w:val="auto"/>
              </w:rPr>
              <w:t>-</w:t>
            </w:r>
          </w:p>
        </w:tc>
        <w:tc>
          <w:tcPr>
            <w:tcW w:w="1380" w:type="dxa"/>
            <w:vAlign w:val="bottom"/>
          </w:tcPr>
          <w:p>
            <w:pPr>
              <w:jc w:val="right"/>
              <w:ind w:right="133"/>
              <w:spacing w:after="0" w:line="148" w:lineRule="exact"/>
              <w:rPr>
                <w:sz w:val="20"/>
                <w:szCs w:val="20"/>
                <w:color w:val="auto"/>
              </w:rPr>
            </w:pPr>
            <w:r>
              <w:rPr>
                <w:rFonts w:ascii="Arial" w:cs="Arial" w:eastAsia="Arial" w:hAnsi="Arial"/>
                <w:sz w:val="14"/>
                <w:szCs w:val="14"/>
                <w:color w:val="auto"/>
              </w:rPr>
              <w:t>-</w:t>
            </w:r>
          </w:p>
        </w:tc>
        <w:tc>
          <w:tcPr>
            <w:tcW w:w="1080" w:type="dxa"/>
            <w:vAlign w:val="bottom"/>
          </w:tcPr>
          <w:p>
            <w:pPr>
              <w:jc w:val="right"/>
              <w:ind w:right="33"/>
              <w:spacing w:after="0" w:line="148" w:lineRule="exact"/>
              <w:rPr>
                <w:sz w:val="20"/>
                <w:szCs w:val="20"/>
                <w:color w:val="auto"/>
              </w:rPr>
            </w:pPr>
            <w:r>
              <w:rPr>
                <w:rFonts w:ascii="Arial" w:cs="Arial" w:eastAsia="Arial" w:hAnsi="Arial"/>
                <w:sz w:val="14"/>
                <w:szCs w:val="14"/>
                <w:color w:val="auto"/>
              </w:rPr>
              <w:t>-</w:t>
            </w:r>
          </w:p>
        </w:tc>
        <w:tc>
          <w:tcPr>
            <w:tcW w:w="1220" w:type="dxa"/>
            <w:vAlign w:val="bottom"/>
          </w:tcPr>
          <w:p>
            <w:pPr>
              <w:jc w:val="right"/>
              <w:ind w:right="33"/>
              <w:spacing w:after="0" w:line="148" w:lineRule="exact"/>
              <w:rPr>
                <w:sz w:val="20"/>
                <w:szCs w:val="20"/>
                <w:color w:val="auto"/>
              </w:rPr>
            </w:pPr>
            <w:r>
              <w:rPr>
                <w:rFonts w:ascii="Arial" w:cs="Arial" w:eastAsia="Arial" w:hAnsi="Arial"/>
                <w:sz w:val="14"/>
                <w:szCs w:val="14"/>
                <w:color w:val="auto"/>
              </w:rPr>
              <w:t>127,080</w:t>
            </w:r>
          </w:p>
        </w:tc>
        <w:tc>
          <w:tcPr>
            <w:tcW w:w="1080" w:type="dxa"/>
            <w:vAlign w:val="bottom"/>
          </w:tcPr>
          <w:p>
            <w:pPr>
              <w:jc w:val="right"/>
              <w:ind w:right="12"/>
              <w:spacing w:after="0" w:line="148" w:lineRule="exact"/>
              <w:rPr>
                <w:sz w:val="20"/>
                <w:szCs w:val="20"/>
                <w:color w:val="auto"/>
              </w:rPr>
            </w:pPr>
            <w:r>
              <w:rPr>
                <w:rFonts w:ascii="Arial" w:cs="Arial" w:eastAsia="Arial" w:hAnsi="Arial"/>
                <w:sz w:val="14"/>
                <w:szCs w:val="14"/>
                <w:color w:val="auto"/>
              </w:rPr>
              <w:t>23,214,580</w:t>
            </w:r>
          </w:p>
        </w:tc>
      </w:tr>
      <w:tr>
        <w:trPr>
          <w:trHeight w:val="149"/>
        </w:trPr>
        <w:tc>
          <w:tcPr>
            <w:tcW w:w="2760" w:type="dxa"/>
            <w:vAlign w:val="bottom"/>
          </w:tcPr>
          <w:p>
            <w:pPr>
              <w:spacing w:after="0" w:line="149" w:lineRule="exact"/>
              <w:rPr>
                <w:sz w:val="20"/>
                <w:szCs w:val="20"/>
                <w:color w:val="auto"/>
              </w:rPr>
            </w:pPr>
            <w:r>
              <w:rPr>
                <w:rFonts w:ascii="Arial" w:cs="Arial" w:eastAsia="Arial" w:hAnsi="Arial"/>
                <w:sz w:val="14"/>
                <w:szCs w:val="14"/>
                <w:color w:val="auto"/>
              </w:rPr>
              <w:t>Chairman of the Board, President and Chief</w:t>
            </w:r>
          </w:p>
        </w:tc>
        <w:tc>
          <w:tcPr>
            <w:tcW w:w="580" w:type="dxa"/>
            <w:vAlign w:val="bottom"/>
          </w:tcPr>
          <w:p>
            <w:pPr>
              <w:ind w:left="140"/>
              <w:spacing w:after="0" w:line="149" w:lineRule="exact"/>
              <w:rPr>
                <w:sz w:val="20"/>
                <w:szCs w:val="20"/>
                <w:color w:val="auto"/>
              </w:rPr>
            </w:pPr>
            <w:r>
              <w:rPr>
                <w:rFonts w:ascii="Arial" w:cs="Arial" w:eastAsia="Arial" w:hAnsi="Arial"/>
                <w:sz w:val="14"/>
                <w:szCs w:val="14"/>
                <w:color w:val="auto"/>
              </w:rPr>
              <w:t>2014</w:t>
            </w:r>
          </w:p>
        </w:tc>
        <w:tc>
          <w:tcPr>
            <w:tcW w:w="860" w:type="dxa"/>
            <w:vAlign w:val="bottom"/>
          </w:tcPr>
          <w:p>
            <w:pPr>
              <w:jc w:val="right"/>
              <w:ind w:right="53"/>
              <w:spacing w:after="0" w:line="149" w:lineRule="exact"/>
              <w:rPr>
                <w:sz w:val="20"/>
                <w:szCs w:val="20"/>
                <w:color w:val="auto"/>
              </w:rPr>
            </w:pPr>
            <w:r>
              <w:rPr>
                <w:rFonts w:ascii="Arial" w:cs="Arial" w:eastAsia="Arial" w:hAnsi="Arial"/>
                <w:sz w:val="14"/>
                <w:szCs w:val="14"/>
                <w:color w:val="auto"/>
              </w:rPr>
              <w:t>1,225,000</w:t>
            </w:r>
          </w:p>
        </w:tc>
        <w:tc>
          <w:tcPr>
            <w:tcW w:w="6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73"/>
              <w:spacing w:after="0" w:line="149" w:lineRule="exact"/>
              <w:rPr>
                <w:sz w:val="20"/>
                <w:szCs w:val="20"/>
                <w:color w:val="auto"/>
              </w:rPr>
            </w:pPr>
            <w:r>
              <w:rPr>
                <w:rFonts w:ascii="Arial" w:cs="Arial" w:eastAsia="Arial" w:hAnsi="Arial"/>
                <w:sz w:val="14"/>
                <w:szCs w:val="14"/>
                <w:color w:val="auto"/>
              </w:rPr>
              <w:t>21,129,000</w:t>
            </w:r>
          </w:p>
        </w:tc>
        <w:tc>
          <w:tcPr>
            <w:tcW w:w="86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w:t>
            </w:r>
          </w:p>
        </w:tc>
        <w:tc>
          <w:tcPr>
            <w:tcW w:w="138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w:t>
            </w:r>
          </w:p>
        </w:tc>
        <w:tc>
          <w:tcPr>
            <w:tcW w:w="1080" w:type="dxa"/>
            <w:vAlign w:val="bottom"/>
          </w:tcPr>
          <w:p>
            <w:pPr>
              <w:jc w:val="right"/>
              <w:ind w:right="33"/>
              <w:spacing w:after="0" w:line="149" w:lineRule="exact"/>
              <w:rPr>
                <w:sz w:val="20"/>
                <w:szCs w:val="20"/>
                <w:color w:val="auto"/>
              </w:rPr>
            </w:pPr>
            <w:r>
              <w:rPr>
                <w:rFonts w:ascii="Arial" w:cs="Arial" w:eastAsia="Arial" w:hAnsi="Arial"/>
                <w:sz w:val="14"/>
                <w:szCs w:val="14"/>
                <w:color w:val="auto"/>
              </w:rPr>
              <w:t>-</w:t>
            </w:r>
          </w:p>
        </w:tc>
        <w:tc>
          <w:tcPr>
            <w:tcW w:w="1220" w:type="dxa"/>
            <w:vAlign w:val="bottom"/>
          </w:tcPr>
          <w:p>
            <w:pPr>
              <w:jc w:val="right"/>
              <w:ind w:right="33"/>
              <w:spacing w:after="0" w:line="149" w:lineRule="exact"/>
              <w:rPr>
                <w:sz w:val="20"/>
                <w:szCs w:val="20"/>
                <w:color w:val="auto"/>
              </w:rPr>
            </w:pPr>
            <w:r>
              <w:rPr>
                <w:rFonts w:ascii="Arial" w:cs="Arial" w:eastAsia="Arial" w:hAnsi="Arial"/>
                <w:sz w:val="14"/>
                <w:szCs w:val="14"/>
                <w:color w:val="auto"/>
              </w:rPr>
              <w:t>335,220</w:t>
            </w:r>
          </w:p>
        </w:tc>
        <w:tc>
          <w:tcPr>
            <w:tcW w:w="10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22,689,220</w:t>
            </w:r>
          </w:p>
        </w:tc>
      </w:tr>
      <w:tr>
        <w:trPr>
          <w:trHeight w:val="162"/>
        </w:trPr>
        <w:tc>
          <w:tcPr>
            <w:tcW w:w="2760" w:type="dxa"/>
            <w:vAlign w:val="bottom"/>
          </w:tcPr>
          <w:p>
            <w:pPr>
              <w:spacing w:after="0"/>
              <w:rPr>
                <w:sz w:val="20"/>
                <w:szCs w:val="20"/>
                <w:color w:val="auto"/>
              </w:rPr>
            </w:pPr>
            <w:r>
              <w:rPr>
                <w:rFonts w:ascii="Arial" w:cs="Arial" w:eastAsia="Arial" w:hAnsi="Arial"/>
                <w:sz w:val="14"/>
                <w:szCs w:val="14"/>
                <w:color w:val="auto"/>
              </w:rPr>
              <w:t>Executive Officer</w:t>
            </w:r>
          </w:p>
        </w:tc>
        <w:tc>
          <w:tcPr>
            <w:tcW w:w="580" w:type="dxa"/>
            <w:vAlign w:val="bottom"/>
          </w:tcPr>
          <w:p>
            <w:pPr>
              <w:ind w:left="140"/>
              <w:spacing w:after="0"/>
              <w:rPr>
                <w:sz w:val="20"/>
                <w:szCs w:val="20"/>
                <w:color w:val="auto"/>
              </w:rPr>
            </w:pPr>
            <w:r>
              <w:rPr>
                <w:rFonts w:ascii="Arial" w:cs="Arial" w:eastAsia="Arial" w:hAnsi="Arial"/>
                <w:sz w:val="14"/>
                <w:szCs w:val="14"/>
                <w:color w:val="auto"/>
              </w:rPr>
              <w:t>2013</w:t>
            </w:r>
          </w:p>
        </w:tc>
        <w:tc>
          <w:tcPr>
            <w:tcW w:w="860" w:type="dxa"/>
            <w:vAlign w:val="bottom"/>
          </w:tcPr>
          <w:p>
            <w:pPr>
              <w:jc w:val="right"/>
              <w:ind w:right="53"/>
              <w:spacing w:after="0"/>
              <w:rPr>
                <w:sz w:val="20"/>
                <w:szCs w:val="20"/>
                <w:color w:val="auto"/>
              </w:rPr>
            </w:pPr>
            <w:r>
              <w:rPr>
                <w:rFonts w:ascii="Arial" w:cs="Arial" w:eastAsia="Arial" w:hAnsi="Arial"/>
                <w:sz w:val="14"/>
                <w:szCs w:val="14"/>
                <w:color w:val="auto"/>
              </w:rPr>
              <w:t>1,200,000</w:t>
            </w:r>
          </w:p>
        </w:tc>
        <w:tc>
          <w:tcPr>
            <w:tcW w:w="64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73"/>
              <w:spacing w:after="0"/>
              <w:rPr>
                <w:sz w:val="20"/>
                <w:szCs w:val="20"/>
                <w:color w:val="auto"/>
              </w:rPr>
            </w:pPr>
            <w:r>
              <w:rPr>
                <w:rFonts w:ascii="Arial" w:cs="Arial" w:eastAsia="Arial" w:hAnsi="Arial"/>
                <w:sz w:val="14"/>
                <w:szCs w:val="14"/>
                <w:color w:val="auto"/>
              </w:rPr>
              <w:t>17,283,000</w:t>
            </w:r>
          </w:p>
        </w:tc>
        <w:tc>
          <w:tcPr>
            <w:tcW w:w="860" w:type="dxa"/>
            <w:vAlign w:val="bottom"/>
          </w:tcPr>
          <w:p>
            <w:pPr>
              <w:jc w:val="right"/>
              <w:ind w:right="133"/>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53"/>
              <w:spacing w:after="0"/>
              <w:rPr>
                <w:sz w:val="20"/>
                <w:szCs w:val="20"/>
                <w:color w:val="auto"/>
              </w:rPr>
            </w:pPr>
            <w:r>
              <w:rPr>
                <w:rFonts w:ascii="Arial" w:cs="Arial" w:eastAsia="Arial" w:hAnsi="Arial"/>
                <w:sz w:val="14"/>
                <w:szCs w:val="14"/>
                <w:color w:val="auto"/>
              </w:rPr>
              <w:t>2,551,500</w:t>
            </w:r>
          </w:p>
        </w:tc>
        <w:tc>
          <w:tcPr>
            <w:tcW w:w="1080" w:type="dxa"/>
            <w:vAlign w:val="bottom"/>
          </w:tcPr>
          <w:p>
            <w:pPr>
              <w:jc w:val="right"/>
              <w:ind w:right="33"/>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33"/>
              <w:spacing w:after="0"/>
              <w:rPr>
                <w:sz w:val="20"/>
                <w:szCs w:val="20"/>
                <w:color w:val="auto"/>
              </w:rPr>
            </w:pPr>
            <w:r>
              <w:rPr>
                <w:rFonts w:ascii="Arial" w:cs="Arial" w:eastAsia="Arial" w:hAnsi="Arial"/>
                <w:sz w:val="14"/>
                <w:szCs w:val="14"/>
                <w:color w:val="auto"/>
              </w:rPr>
              <w:t>334,296</w:t>
            </w:r>
          </w:p>
        </w:tc>
        <w:tc>
          <w:tcPr>
            <w:tcW w:w="1080" w:type="dxa"/>
            <w:vAlign w:val="bottom"/>
          </w:tcPr>
          <w:p>
            <w:pPr>
              <w:jc w:val="right"/>
              <w:ind w:right="12"/>
              <w:spacing w:after="0"/>
              <w:rPr>
                <w:sz w:val="20"/>
                <w:szCs w:val="20"/>
                <w:color w:val="auto"/>
              </w:rPr>
            </w:pPr>
            <w:r>
              <w:rPr>
                <w:rFonts w:ascii="Arial" w:cs="Arial" w:eastAsia="Arial" w:hAnsi="Arial"/>
                <w:sz w:val="14"/>
                <w:szCs w:val="14"/>
                <w:color w:val="auto"/>
              </w:rPr>
              <w:t>21,368,796</w:t>
            </w:r>
          </w:p>
        </w:tc>
      </w:tr>
      <w:tr>
        <w:trPr>
          <w:trHeight w:val="136"/>
        </w:trPr>
        <w:tc>
          <w:tcPr>
            <w:tcW w:w="2760" w:type="dxa"/>
            <w:vAlign w:val="bottom"/>
            <w:tcBorders>
              <w:bottom w:val="single" w:sz="8" w:color="225CAB"/>
            </w:tcBorders>
          </w:tcPr>
          <w:p>
            <w:pPr>
              <w:spacing w:after="0"/>
              <w:rPr>
                <w:sz w:val="11"/>
                <w:szCs w:val="11"/>
                <w:color w:val="auto"/>
              </w:rPr>
            </w:pPr>
          </w:p>
        </w:tc>
        <w:tc>
          <w:tcPr>
            <w:tcW w:w="580" w:type="dxa"/>
            <w:vAlign w:val="bottom"/>
            <w:tcBorders>
              <w:bottom w:val="single" w:sz="8" w:color="225CAB"/>
            </w:tcBorders>
          </w:tcPr>
          <w:p>
            <w:pPr>
              <w:spacing w:after="0"/>
              <w:rPr>
                <w:sz w:val="11"/>
                <w:szCs w:val="11"/>
                <w:color w:val="auto"/>
              </w:rPr>
            </w:pPr>
          </w:p>
        </w:tc>
        <w:tc>
          <w:tcPr>
            <w:tcW w:w="860" w:type="dxa"/>
            <w:vAlign w:val="bottom"/>
            <w:tcBorders>
              <w:bottom w:val="single" w:sz="8" w:color="225CAB"/>
            </w:tcBorders>
          </w:tcPr>
          <w:p>
            <w:pPr>
              <w:spacing w:after="0"/>
              <w:rPr>
                <w:sz w:val="11"/>
                <w:szCs w:val="11"/>
                <w:color w:val="auto"/>
              </w:rPr>
            </w:pPr>
          </w:p>
        </w:tc>
        <w:tc>
          <w:tcPr>
            <w:tcW w:w="640" w:type="dxa"/>
            <w:vAlign w:val="bottom"/>
            <w:tcBorders>
              <w:bottom w:val="single" w:sz="8" w:color="225CAB"/>
            </w:tcBorders>
          </w:tcPr>
          <w:p>
            <w:pPr>
              <w:spacing w:after="0"/>
              <w:rPr>
                <w:sz w:val="11"/>
                <w:szCs w:val="11"/>
                <w:color w:val="auto"/>
              </w:rPr>
            </w:pPr>
          </w:p>
        </w:tc>
        <w:tc>
          <w:tcPr>
            <w:tcW w:w="960" w:type="dxa"/>
            <w:vAlign w:val="bottom"/>
            <w:tcBorders>
              <w:bottom w:val="single" w:sz="8" w:color="225CAB"/>
            </w:tcBorders>
          </w:tcPr>
          <w:p>
            <w:pPr>
              <w:spacing w:after="0"/>
              <w:rPr>
                <w:sz w:val="11"/>
                <w:szCs w:val="11"/>
                <w:color w:val="auto"/>
              </w:rPr>
            </w:pPr>
          </w:p>
        </w:tc>
        <w:tc>
          <w:tcPr>
            <w:tcW w:w="860" w:type="dxa"/>
            <w:vAlign w:val="bottom"/>
            <w:tcBorders>
              <w:bottom w:val="single" w:sz="8" w:color="225CAB"/>
            </w:tcBorders>
          </w:tcPr>
          <w:p>
            <w:pPr>
              <w:spacing w:after="0"/>
              <w:rPr>
                <w:sz w:val="11"/>
                <w:szCs w:val="11"/>
                <w:color w:val="auto"/>
              </w:rPr>
            </w:pPr>
          </w:p>
        </w:tc>
        <w:tc>
          <w:tcPr>
            <w:tcW w:w="1380" w:type="dxa"/>
            <w:vAlign w:val="bottom"/>
            <w:tcBorders>
              <w:bottom w:val="single" w:sz="8" w:color="225CAB"/>
            </w:tcBorders>
          </w:tcPr>
          <w:p>
            <w:pPr>
              <w:spacing w:after="0"/>
              <w:rPr>
                <w:sz w:val="11"/>
                <w:szCs w:val="11"/>
                <w:color w:val="auto"/>
              </w:rPr>
            </w:pPr>
          </w:p>
        </w:tc>
        <w:tc>
          <w:tcPr>
            <w:tcW w:w="1080" w:type="dxa"/>
            <w:vAlign w:val="bottom"/>
            <w:tcBorders>
              <w:bottom w:val="single" w:sz="8" w:color="225CAB"/>
            </w:tcBorders>
          </w:tcPr>
          <w:p>
            <w:pPr>
              <w:spacing w:after="0"/>
              <w:rPr>
                <w:sz w:val="11"/>
                <w:szCs w:val="11"/>
                <w:color w:val="auto"/>
              </w:rPr>
            </w:pPr>
          </w:p>
        </w:tc>
        <w:tc>
          <w:tcPr>
            <w:tcW w:w="1220" w:type="dxa"/>
            <w:vAlign w:val="bottom"/>
            <w:tcBorders>
              <w:bottom w:val="single" w:sz="8" w:color="225CAB"/>
            </w:tcBorders>
          </w:tcPr>
          <w:p>
            <w:pPr>
              <w:spacing w:after="0"/>
              <w:rPr>
                <w:sz w:val="11"/>
                <w:szCs w:val="11"/>
                <w:color w:val="auto"/>
              </w:rPr>
            </w:pPr>
          </w:p>
        </w:tc>
        <w:tc>
          <w:tcPr>
            <w:tcW w:w="1080" w:type="dxa"/>
            <w:vAlign w:val="bottom"/>
            <w:tcBorders>
              <w:bottom w:val="single" w:sz="8" w:color="225CAB"/>
            </w:tcBorders>
          </w:tcPr>
          <w:p>
            <w:pPr>
              <w:spacing w:after="0"/>
              <w:rPr>
                <w:sz w:val="11"/>
                <w:szCs w:val="11"/>
                <w:color w:val="auto"/>
              </w:rPr>
            </w:pPr>
          </w:p>
        </w:tc>
      </w:tr>
      <w:tr>
        <w:trPr>
          <w:trHeight w:val="141"/>
        </w:trPr>
        <w:tc>
          <w:tcPr>
            <w:tcW w:w="2760" w:type="dxa"/>
            <w:vAlign w:val="bottom"/>
          </w:tcPr>
          <w:p>
            <w:pPr>
              <w:spacing w:after="0" w:line="141" w:lineRule="exact"/>
              <w:rPr>
                <w:sz w:val="20"/>
                <w:szCs w:val="20"/>
                <w:color w:val="auto"/>
              </w:rPr>
            </w:pPr>
            <w:r>
              <w:rPr>
                <w:rFonts w:ascii="Arial" w:cs="Arial" w:eastAsia="Arial" w:hAnsi="Arial"/>
                <w:sz w:val="14"/>
                <w:szCs w:val="14"/>
                <w:b w:val="1"/>
                <w:bCs w:val="1"/>
                <w:color w:val="225CAB"/>
              </w:rPr>
              <w:t>John Humphrey</w:t>
            </w:r>
          </w:p>
        </w:tc>
        <w:tc>
          <w:tcPr>
            <w:tcW w:w="580" w:type="dxa"/>
            <w:vAlign w:val="bottom"/>
          </w:tcPr>
          <w:p>
            <w:pPr>
              <w:ind w:left="140"/>
              <w:spacing w:after="0" w:line="141" w:lineRule="exact"/>
              <w:rPr>
                <w:sz w:val="20"/>
                <w:szCs w:val="20"/>
                <w:color w:val="auto"/>
              </w:rPr>
            </w:pPr>
            <w:r>
              <w:rPr>
                <w:rFonts w:ascii="Arial" w:cs="Arial" w:eastAsia="Arial" w:hAnsi="Arial"/>
                <w:sz w:val="14"/>
                <w:szCs w:val="14"/>
                <w:color w:val="auto"/>
              </w:rPr>
              <w:t>2015</w:t>
            </w:r>
          </w:p>
        </w:tc>
        <w:tc>
          <w:tcPr>
            <w:tcW w:w="860" w:type="dxa"/>
            <w:vAlign w:val="bottom"/>
          </w:tcPr>
          <w:p>
            <w:pPr>
              <w:jc w:val="right"/>
              <w:ind w:right="53"/>
              <w:spacing w:after="0" w:line="141" w:lineRule="exact"/>
              <w:rPr>
                <w:sz w:val="20"/>
                <w:szCs w:val="20"/>
                <w:color w:val="auto"/>
              </w:rPr>
            </w:pPr>
            <w:r>
              <w:rPr>
                <w:rFonts w:ascii="Arial" w:cs="Arial" w:eastAsia="Arial" w:hAnsi="Arial"/>
                <w:sz w:val="14"/>
                <w:szCs w:val="14"/>
                <w:color w:val="auto"/>
              </w:rPr>
              <w:t>767,000</w:t>
            </w:r>
          </w:p>
        </w:tc>
        <w:tc>
          <w:tcPr>
            <w:tcW w:w="640" w:type="dxa"/>
            <w:vAlign w:val="bottom"/>
          </w:tcPr>
          <w:p>
            <w:pPr>
              <w:jc w:val="right"/>
              <w:ind w:right="132"/>
              <w:spacing w:after="0" w:line="141"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73"/>
              <w:spacing w:after="0" w:line="141" w:lineRule="exact"/>
              <w:rPr>
                <w:sz w:val="20"/>
                <w:szCs w:val="20"/>
                <w:color w:val="auto"/>
              </w:rPr>
            </w:pPr>
            <w:r>
              <w:rPr>
                <w:rFonts w:ascii="Arial" w:cs="Arial" w:eastAsia="Arial" w:hAnsi="Arial"/>
                <w:sz w:val="14"/>
                <w:szCs w:val="14"/>
                <w:color w:val="auto"/>
              </w:rPr>
              <w:t>4,372,500</w:t>
            </w:r>
          </w:p>
        </w:tc>
        <w:tc>
          <w:tcPr>
            <w:tcW w:w="860" w:type="dxa"/>
            <w:vAlign w:val="bottom"/>
          </w:tcPr>
          <w:p>
            <w:pPr>
              <w:jc w:val="right"/>
              <w:ind w:right="53"/>
              <w:spacing w:after="0" w:line="141" w:lineRule="exact"/>
              <w:rPr>
                <w:sz w:val="20"/>
                <w:szCs w:val="20"/>
                <w:color w:val="auto"/>
              </w:rPr>
            </w:pPr>
            <w:r>
              <w:rPr>
                <w:rFonts w:ascii="Arial" w:cs="Arial" w:eastAsia="Arial" w:hAnsi="Arial"/>
                <w:sz w:val="14"/>
                <w:szCs w:val="14"/>
                <w:color w:val="auto"/>
              </w:rPr>
              <w:t>888,729</w:t>
            </w:r>
          </w:p>
        </w:tc>
        <w:tc>
          <w:tcPr>
            <w:tcW w:w="1380" w:type="dxa"/>
            <w:vAlign w:val="bottom"/>
          </w:tcPr>
          <w:p>
            <w:pPr>
              <w:jc w:val="right"/>
              <w:ind w:right="53"/>
              <w:spacing w:after="0" w:line="141" w:lineRule="exact"/>
              <w:rPr>
                <w:sz w:val="20"/>
                <w:szCs w:val="20"/>
                <w:color w:val="auto"/>
              </w:rPr>
            </w:pPr>
            <w:r>
              <w:rPr>
                <w:rFonts w:ascii="Arial" w:cs="Arial" w:eastAsia="Arial" w:hAnsi="Arial"/>
                <w:sz w:val="14"/>
                <w:szCs w:val="14"/>
                <w:color w:val="auto"/>
              </w:rPr>
              <w:t>598,260</w:t>
            </w:r>
          </w:p>
        </w:tc>
        <w:tc>
          <w:tcPr>
            <w:tcW w:w="1080" w:type="dxa"/>
            <w:vAlign w:val="bottom"/>
          </w:tcPr>
          <w:p>
            <w:pPr>
              <w:jc w:val="right"/>
              <w:ind w:right="33"/>
              <w:spacing w:after="0" w:line="141" w:lineRule="exact"/>
              <w:rPr>
                <w:sz w:val="20"/>
                <w:szCs w:val="20"/>
                <w:color w:val="auto"/>
              </w:rPr>
            </w:pPr>
            <w:r>
              <w:rPr>
                <w:rFonts w:ascii="Arial" w:cs="Arial" w:eastAsia="Arial" w:hAnsi="Arial"/>
                <w:sz w:val="14"/>
                <w:szCs w:val="14"/>
                <w:color w:val="auto"/>
              </w:rPr>
              <w:t>-</w:t>
            </w:r>
          </w:p>
        </w:tc>
        <w:tc>
          <w:tcPr>
            <w:tcW w:w="1220" w:type="dxa"/>
            <w:vAlign w:val="bottom"/>
          </w:tcPr>
          <w:p>
            <w:pPr>
              <w:jc w:val="right"/>
              <w:ind w:right="33"/>
              <w:spacing w:after="0" w:line="141" w:lineRule="exact"/>
              <w:rPr>
                <w:sz w:val="20"/>
                <w:szCs w:val="20"/>
                <w:color w:val="auto"/>
              </w:rPr>
            </w:pPr>
            <w:r>
              <w:rPr>
                <w:rFonts w:ascii="Arial" w:cs="Arial" w:eastAsia="Arial" w:hAnsi="Arial"/>
                <w:sz w:val="14"/>
                <w:szCs w:val="14"/>
                <w:color w:val="auto"/>
              </w:rPr>
              <w:t>179,802</w:t>
            </w:r>
          </w:p>
        </w:tc>
        <w:tc>
          <w:tcPr>
            <w:tcW w:w="1080" w:type="dxa"/>
            <w:vAlign w:val="bottom"/>
          </w:tcPr>
          <w:p>
            <w:pPr>
              <w:jc w:val="right"/>
              <w:ind w:right="12"/>
              <w:spacing w:after="0" w:line="141" w:lineRule="exact"/>
              <w:rPr>
                <w:sz w:val="20"/>
                <w:szCs w:val="20"/>
                <w:color w:val="auto"/>
              </w:rPr>
            </w:pPr>
            <w:r>
              <w:rPr>
                <w:rFonts w:ascii="Arial" w:cs="Arial" w:eastAsia="Arial" w:hAnsi="Arial"/>
                <w:sz w:val="14"/>
                <w:szCs w:val="14"/>
                <w:color w:val="auto"/>
              </w:rPr>
              <w:t>6,806,291</w:t>
            </w:r>
          </w:p>
        </w:tc>
      </w:tr>
      <w:tr>
        <w:trPr>
          <w:trHeight w:val="149"/>
        </w:trPr>
        <w:tc>
          <w:tcPr>
            <w:tcW w:w="2760" w:type="dxa"/>
            <w:vAlign w:val="bottom"/>
          </w:tcPr>
          <w:p>
            <w:pPr>
              <w:spacing w:after="0" w:line="149" w:lineRule="exact"/>
              <w:rPr>
                <w:sz w:val="20"/>
                <w:szCs w:val="20"/>
                <w:color w:val="auto"/>
              </w:rPr>
            </w:pPr>
            <w:r>
              <w:rPr>
                <w:rFonts w:ascii="Arial" w:cs="Arial" w:eastAsia="Arial" w:hAnsi="Arial"/>
                <w:sz w:val="14"/>
                <w:szCs w:val="14"/>
                <w:color w:val="auto"/>
              </w:rPr>
              <w:t>Executive Vice President</w:t>
            </w:r>
          </w:p>
        </w:tc>
        <w:tc>
          <w:tcPr>
            <w:tcW w:w="580" w:type="dxa"/>
            <w:vAlign w:val="bottom"/>
          </w:tcPr>
          <w:p>
            <w:pPr>
              <w:ind w:left="140"/>
              <w:spacing w:after="0" w:line="149" w:lineRule="exact"/>
              <w:rPr>
                <w:sz w:val="20"/>
                <w:szCs w:val="20"/>
                <w:color w:val="auto"/>
              </w:rPr>
            </w:pPr>
            <w:r>
              <w:rPr>
                <w:rFonts w:ascii="Arial" w:cs="Arial" w:eastAsia="Arial" w:hAnsi="Arial"/>
                <w:sz w:val="14"/>
                <w:szCs w:val="14"/>
                <w:color w:val="auto"/>
              </w:rPr>
              <w:t>2014</w:t>
            </w:r>
          </w:p>
        </w:tc>
        <w:tc>
          <w:tcPr>
            <w:tcW w:w="860" w:type="dxa"/>
            <w:vAlign w:val="bottom"/>
          </w:tcPr>
          <w:p>
            <w:pPr>
              <w:jc w:val="right"/>
              <w:ind w:right="53"/>
              <w:spacing w:after="0" w:line="149" w:lineRule="exact"/>
              <w:rPr>
                <w:sz w:val="20"/>
                <w:szCs w:val="20"/>
                <w:color w:val="auto"/>
              </w:rPr>
            </w:pPr>
            <w:r>
              <w:rPr>
                <w:rFonts w:ascii="Arial" w:cs="Arial" w:eastAsia="Arial" w:hAnsi="Arial"/>
                <w:sz w:val="14"/>
                <w:szCs w:val="14"/>
                <w:color w:val="auto"/>
              </w:rPr>
              <w:t>767,000</w:t>
            </w:r>
          </w:p>
        </w:tc>
        <w:tc>
          <w:tcPr>
            <w:tcW w:w="6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73"/>
              <w:spacing w:after="0" w:line="149" w:lineRule="exact"/>
              <w:rPr>
                <w:sz w:val="20"/>
                <w:szCs w:val="20"/>
                <w:color w:val="auto"/>
              </w:rPr>
            </w:pPr>
            <w:r>
              <w:rPr>
                <w:rFonts w:ascii="Arial" w:cs="Arial" w:eastAsia="Arial" w:hAnsi="Arial"/>
                <w:sz w:val="14"/>
                <w:szCs w:val="14"/>
                <w:color w:val="auto"/>
              </w:rPr>
              <w:t>4,225,800</w:t>
            </w:r>
          </w:p>
        </w:tc>
        <w:tc>
          <w:tcPr>
            <w:tcW w:w="860" w:type="dxa"/>
            <w:vAlign w:val="bottom"/>
          </w:tcPr>
          <w:p>
            <w:pPr>
              <w:jc w:val="right"/>
              <w:ind w:right="53"/>
              <w:spacing w:after="0" w:line="149" w:lineRule="exact"/>
              <w:rPr>
                <w:sz w:val="20"/>
                <w:szCs w:val="20"/>
                <w:color w:val="auto"/>
              </w:rPr>
            </w:pPr>
            <w:r>
              <w:rPr>
                <w:rFonts w:ascii="Arial" w:cs="Arial" w:eastAsia="Arial" w:hAnsi="Arial"/>
                <w:sz w:val="14"/>
                <w:szCs w:val="14"/>
                <w:color w:val="auto"/>
              </w:rPr>
              <w:t>1,086,312</w:t>
            </w:r>
          </w:p>
        </w:tc>
        <w:tc>
          <w:tcPr>
            <w:tcW w:w="1380" w:type="dxa"/>
            <w:vAlign w:val="bottom"/>
          </w:tcPr>
          <w:p>
            <w:pPr>
              <w:jc w:val="right"/>
              <w:ind w:right="53"/>
              <w:spacing w:after="0" w:line="149" w:lineRule="exact"/>
              <w:rPr>
                <w:sz w:val="20"/>
                <w:szCs w:val="20"/>
                <w:color w:val="auto"/>
              </w:rPr>
            </w:pPr>
            <w:r>
              <w:rPr>
                <w:rFonts w:ascii="Arial" w:cs="Arial" w:eastAsia="Arial" w:hAnsi="Arial"/>
                <w:sz w:val="14"/>
                <w:szCs w:val="14"/>
                <w:color w:val="auto"/>
              </w:rPr>
              <w:t>1,150,500</w:t>
            </w:r>
          </w:p>
        </w:tc>
        <w:tc>
          <w:tcPr>
            <w:tcW w:w="1080" w:type="dxa"/>
            <w:vAlign w:val="bottom"/>
          </w:tcPr>
          <w:p>
            <w:pPr>
              <w:jc w:val="right"/>
              <w:ind w:right="33"/>
              <w:spacing w:after="0" w:line="149" w:lineRule="exact"/>
              <w:rPr>
                <w:sz w:val="20"/>
                <w:szCs w:val="20"/>
                <w:color w:val="auto"/>
              </w:rPr>
            </w:pPr>
            <w:r>
              <w:rPr>
                <w:rFonts w:ascii="Arial" w:cs="Arial" w:eastAsia="Arial" w:hAnsi="Arial"/>
                <w:sz w:val="14"/>
                <w:szCs w:val="14"/>
                <w:color w:val="auto"/>
              </w:rPr>
              <w:t>-</w:t>
            </w:r>
          </w:p>
        </w:tc>
        <w:tc>
          <w:tcPr>
            <w:tcW w:w="1220" w:type="dxa"/>
            <w:vAlign w:val="bottom"/>
          </w:tcPr>
          <w:p>
            <w:pPr>
              <w:jc w:val="right"/>
              <w:ind w:right="33"/>
              <w:spacing w:after="0" w:line="149" w:lineRule="exact"/>
              <w:rPr>
                <w:sz w:val="20"/>
                <w:szCs w:val="20"/>
                <w:color w:val="auto"/>
              </w:rPr>
            </w:pPr>
            <w:r>
              <w:rPr>
                <w:rFonts w:ascii="Arial" w:cs="Arial" w:eastAsia="Arial" w:hAnsi="Arial"/>
                <w:sz w:val="14"/>
                <w:szCs w:val="14"/>
                <w:color w:val="auto"/>
              </w:rPr>
              <w:t>183,258</w:t>
            </w:r>
          </w:p>
        </w:tc>
        <w:tc>
          <w:tcPr>
            <w:tcW w:w="10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7,412,870</w:t>
            </w:r>
          </w:p>
        </w:tc>
      </w:tr>
      <w:tr>
        <w:trPr>
          <w:trHeight w:val="162"/>
        </w:trPr>
        <w:tc>
          <w:tcPr>
            <w:tcW w:w="2760" w:type="dxa"/>
            <w:vAlign w:val="bottom"/>
            <w:tcBorders>
              <w:bottom w:val="single" w:sz="8" w:color="225CAB"/>
            </w:tcBorders>
          </w:tcPr>
          <w:p>
            <w:pPr>
              <w:spacing w:after="0"/>
              <w:rPr>
                <w:sz w:val="20"/>
                <w:szCs w:val="20"/>
                <w:color w:val="auto"/>
              </w:rPr>
            </w:pPr>
            <w:r>
              <w:rPr>
                <w:rFonts w:ascii="Arial" w:cs="Arial" w:eastAsia="Arial" w:hAnsi="Arial"/>
                <w:sz w:val="14"/>
                <w:szCs w:val="14"/>
                <w:color w:val="auto"/>
              </w:rPr>
              <w:t>and Chief Financial Officer</w:t>
            </w:r>
          </w:p>
        </w:tc>
        <w:tc>
          <w:tcPr>
            <w:tcW w:w="580" w:type="dxa"/>
            <w:vAlign w:val="bottom"/>
            <w:tcBorders>
              <w:bottom w:val="single" w:sz="8" w:color="225CAB"/>
            </w:tcBorders>
          </w:tcPr>
          <w:p>
            <w:pPr>
              <w:ind w:left="140"/>
              <w:spacing w:after="0"/>
              <w:rPr>
                <w:sz w:val="20"/>
                <w:szCs w:val="20"/>
                <w:color w:val="auto"/>
              </w:rPr>
            </w:pPr>
            <w:r>
              <w:rPr>
                <w:rFonts w:ascii="Arial" w:cs="Arial" w:eastAsia="Arial" w:hAnsi="Arial"/>
                <w:sz w:val="14"/>
                <w:szCs w:val="14"/>
                <w:color w:val="auto"/>
              </w:rPr>
              <w:t>2013</w:t>
            </w:r>
          </w:p>
        </w:tc>
        <w:tc>
          <w:tcPr>
            <w:tcW w:w="860" w:type="dxa"/>
            <w:vAlign w:val="bottom"/>
            <w:tcBorders>
              <w:bottom w:val="single" w:sz="8" w:color="225CAB"/>
            </w:tcBorders>
          </w:tcPr>
          <w:p>
            <w:pPr>
              <w:jc w:val="right"/>
              <w:ind w:right="53"/>
              <w:spacing w:after="0"/>
              <w:rPr>
                <w:sz w:val="20"/>
                <w:szCs w:val="20"/>
                <w:color w:val="auto"/>
              </w:rPr>
            </w:pPr>
            <w:r>
              <w:rPr>
                <w:rFonts w:ascii="Arial" w:cs="Arial" w:eastAsia="Arial" w:hAnsi="Arial"/>
                <w:sz w:val="14"/>
                <w:szCs w:val="14"/>
                <w:color w:val="auto"/>
              </w:rPr>
              <w:t>750,000</w:t>
            </w:r>
          </w:p>
        </w:tc>
        <w:tc>
          <w:tcPr>
            <w:tcW w:w="640" w:type="dxa"/>
            <w:vAlign w:val="bottom"/>
            <w:tcBorders>
              <w:bottom w:val="single" w:sz="8" w:color="225CAB"/>
            </w:tcBorders>
          </w:tcPr>
          <w:p>
            <w:pPr>
              <w:jc w:val="right"/>
              <w:ind w:right="132"/>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225CAB"/>
            </w:tcBorders>
          </w:tcPr>
          <w:p>
            <w:pPr>
              <w:jc w:val="right"/>
              <w:ind w:right="73"/>
              <w:spacing w:after="0"/>
              <w:rPr>
                <w:sz w:val="20"/>
                <w:szCs w:val="20"/>
                <w:color w:val="auto"/>
              </w:rPr>
            </w:pPr>
            <w:r>
              <w:rPr>
                <w:rFonts w:ascii="Arial" w:cs="Arial" w:eastAsia="Arial" w:hAnsi="Arial"/>
                <w:sz w:val="14"/>
                <w:szCs w:val="14"/>
                <w:color w:val="auto"/>
              </w:rPr>
              <w:t>3,456,600</w:t>
            </w:r>
          </w:p>
        </w:tc>
        <w:tc>
          <w:tcPr>
            <w:tcW w:w="860" w:type="dxa"/>
            <w:vAlign w:val="bottom"/>
            <w:tcBorders>
              <w:bottom w:val="single" w:sz="8" w:color="225CAB"/>
            </w:tcBorders>
          </w:tcPr>
          <w:p>
            <w:pPr>
              <w:jc w:val="right"/>
              <w:ind w:right="53"/>
              <w:spacing w:after="0"/>
              <w:rPr>
                <w:sz w:val="20"/>
                <w:szCs w:val="20"/>
                <w:color w:val="auto"/>
              </w:rPr>
            </w:pPr>
            <w:r>
              <w:rPr>
                <w:rFonts w:ascii="Arial" w:cs="Arial" w:eastAsia="Arial" w:hAnsi="Arial"/>
                <w:sz w:val="14"/>
                <w:szCs w:val="14"/>
                <w:color w:val="auto"/>
              </w:rPr>
              <w:t>1,088,235</w:t>
            </w:r>
          </w:p>
        </w:tc>
        <w:tc>
          <w:tcPr>
            <w:tcW w:w="1380" w:type="dxa"/>
            <w:vAlign w:val="bottom"/>
            <w:tcBorders>
              <w:bottom w:val="single" w:sz="8" w:color="225CAB"/>
            </w:tcBorders>
          </w:tcPr>
          <w:p>
            <w:pPr>
              <w:jc w:val="right"/>
              <w:ind w:right="53"/>
              <w:spacing w:after="0"/>
              <w:rPr>
                <w:sz w:val="20"/>
                <w:szCs w:val="20"/>
                <w:color w:val="auto"/>
              </w:rPr>
            </w:pPr>
            <w:r>
              <w:rPr>
                <w:rFonts w:ascii="Arial" w:cs="Arial" w:eastAsia="Arial" w:hAnsi="Arial"/>
                <w:sz w:val="14"/>
                <w:szCs w:val="14"/>
                <w:color w:val="auto"/>
              </w:rPr>
              <w:t>1,063,125</w:t>
            </w:r>
          </w:p>
        </w:tc>
        <w:tc>
          <w:tcPr>
            <w:tcW w:w="1080" w:type="dxa"/>
            <w:vAlign w:val="bottom"/>
            <w:tcBorders>
              <w:bottom w:val="single" w:sz="8" w:color="225CAB"/>
            </w:tcBorders>
          </w:tcPr>
          <w:p>
            <w:pPr>
              <w:jc w:val="right"/>
              <w:ind w:right="33"/>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225CAB"/>
            </w:tcBorders>
          </w:tcPr>
          <w:p>
            <w:pPr>
              <w:jc w:val="right"/>
              <w:ind w:right="33"/>
              <w:spacing w:after="0"/>
              <w:rPr>
                <w:sz w:val="20"/>
                <w:szCs w:val="20"/>
                <w:color w:val="auto"/>
              </w:rPr>
            </w:pPr>
            <w:r>
              <w:rPr>
                <w:rFonts w:ascii="Arial" w:cs="Arial" w:eastAsia="Arial" w:hAnsi="Arial"/>
                <w:sz w:val="14"/>
                <w:szCs w:val="14"/>
                <w:color w:val="auto"/>
              </w:rPr>
              <w:t>170,972</w:t>
            </w:r>
          </w:p>
        </w:tc>
        <w:tc>
          <w:tcPr>
            <w:tcW w:w="1080" w:type="dxa"/>
            <w:vAlign w:val="bottom"/>
            <w:tcBorders>
              <w:bottom w:val="single" w:sz="8" w:color="225CAB"/>
            </w:tcBorders>
          </w:tcPr>
          <w:p>
            <w:pPr>
              <w:jc w:val="right"/>
              <w:ind w:right="12"/>
              <w:spacing w:after="0"/>
              <w:rPr>
                <w:sz w:val="20"/>
                <w:szCs w:val="20"/>
                <w:color w:val="auto"/>
              </w:rPr>
            </w:pPr>
            <w:r>
              <w:rPr>
                <w:rFonts w:ascii="Arial" w:cs="Arial" w:eastAsia="Arial" w:hAnsi="Arial"/>
                <w:sz w:val="14"/>
                <w:szCs w:val="14"/>
                <w:color w:val="auto"/>
              </w:rPr>
              <w:t>6,528,932</w:t>
            </w:r>
          </w:p>
        </w:tc>
      </w:tr>
      <w:tr>
        <w:trPr>
          <w:trHeight w:val="142"/>
        </w:trPr>
        <w:tc>
          <w:tcPr>
            <w:tcW w:w="2760" w:type="dxa"/>
            <w:vAlign w:val="bottom"/>
          </w:tcPr>
          <w:p>
            <w:pPr>
              <w:spacing w:after="0" w:line="142" w:lineRule="exact"/>
              <w:rPr>
                <w:sz w:val="20"/>
                <w:szCs w:val="20"/>
                <w:color w:val="auto"/>
              </w:rPr>
            </w:pPr>
            <w:r>
              <w:rPr>
                <w:rFonts w:ascii="Arial" w:cs="Arial" w:eastAsia="Arial" w:hAnsi="Arial"/>
                <w:sz w:val="14"/>
                <w:szCs w:val="14"/>
                <w:b w:val="1"/>
                <w:bCs w:val="1"/>
                <w:color w:val="225CAB"/>
              </w:rPr>
              <w:t>David B. Liner</w:t>
            </w:r>
          </w:p>
        </w:tc>
        <w:tc>
          <w:tcPr>
            <w:tcW w:w="580" w:type="dxa"/>
            <w:vAlign w:val="bottom"/>
          </w:tcPr>
          <w:p>
            <w:pPr>
              <w:ind w:left="140"/>
              <w:spacing w:after="0" w:line="142" w:lineRule="exact"/>
              <w:rPr>
                <w:sz w:val="20"/>
                <w:szCs w:val="20"/>
                <w:color w:val="auto"/>
              </w:rPr>
            </w:pPr>
            <w:r>
              <w:rPr>
                <w:rFonts w:ascii="Arial" w:cs="Arial" w:eastAsia="Arial" w:hAnsi="Arial"/>
                <w:sz w:val="14"/>
                <w:szCs w:val="14"/>
                <w:color w:val="auto"/>
              </w:rPr>
              <w:t>2015</w:t>
            </w:r>
          </w:p>
        </w:tc>
        <w:tc>
          <w:tcPr>
            <w:tcW w:w="860" w:type="dxa"/>
            <w:vAlign w:val="bottom"/>
          </w:tcPr>
          <w:p>
            <w:pPr>
              <w:jc w:val="right"/>
              <w:ind w:right="53"/>
              <w:spacing w:after="0" w:line="142" w:lineRule="exact"/>
              <w:rPr>
                <w:sz w:val="20"/>
                <w:szCs w:val="20"/>
                <w:color w:val="auto"/>
              </w:rPr>
            </w:pPr>
            <w:r>
              <w:rPr>
                <w:rFonts w:ascii="Arial" w:cs="Arial" w:eastAsia="Arial" w:hAnsi="Arial"/>
                <w:sz w:val="14"/>
                <w:szCs w:val="14"/>
                <w:color w:val="auto"/>
              </w:rPr>
              <w:t>450,000</w:t>
            </w:r>
          </w:p>
        </w:tc>
        <w:tc>
          <w:tcPr>
            <w:tcW w:w="640" w:type="dxa"/>
            <w:vAlign w:val="bottom"/>
          </w:tcPr>
          <w:p>
            <w:pPr>
              <w:jc w:val="right"/>
              <w:ind w:right="132"/>
              <w:spacing w:after="0" w:line="142"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73"/>
              <w:spacing w:after="0" w:line="142" w:lineRule="exact"/>
              <w:rPr>
                <w:sz w:val="20"/>
                <w:szCs w:val="20"/>
                <w:color w:val="auto"/>
              </w:rPr>
            </w:pPr>
            <w:r>
              <w:rPr>
                <w:rFonts w:ascii="Arial" w:cs="Arial" w:eastAsia="Arial" w:hAnsi="Arial"/>
                <w:sz w:val="14"/>
                <w:szCs w:val="14"/>
                <w:color w:val="auto"/>
              </w:rPr>
              <w:t>874,500</w:t>
            </w:r>
          </w:p>
        </w:tc>
        <w:tc>
          <w:tcPr>
            <w:tcW w:w="860" w:type="dxa"/>
            <w:vAlign w:val="bottom"/>
          </w:tcPr>
          <w:p>
            <w:pPr>
              <w:jc w:val="right"/>
              <w:ind w:right="53"/>
              <w:spacing w:after="0" w:line="142" w:lineRule="exact"/>
              <w:rPr>
                <w:sz w:val="20"/>
                <w:szCs w:val="20"/>
                <w:color w:val="auto"/>
              </w:rPr>
            </w:pPr>
            <w:r>
              <w:rPr>
                <w:rFonts w:ascii="Arial" w:cs="Arial" w:eastAsia="Arial" w:hAnsi="Arial"/>
                <w:sz w:val="14"/>
                <w:szCs w:val="14"/>
                <w:color w:val="auto"/>
              </w:rPr>
              <w:t>355,492</w:t>
            </w:r>
          </w:p>
        </w:tc>
        <w:tc>
          <w:tcPr>
            <w:tcW w:w="1380" w:type="dxa"/>
            <w:vAlign w:val="bottom"/>
          </w:tcPr>
          <w:p>
            <w:pPr>
              <w:jc w:val="right"/>
              <w:ind w:right="53"/>
              <w:spacing w:after="0" w:line="142" w:lineRule="exact"/>
              <w:rPr>
                <w:sz w:val="20"/>
                <w:szCs w:val="20"/>
                <w:color w:val="auto"/>
              </w:rPr>
            </w:pPr>
            <w:r>
              <w:rPr>
                <w:rFonts w:ascii="Arial" w:cs="Arial" w:eastAsia="Arial" w:hAnsi="Arial"/>
                <w:sz w:val="14"/>
                <w:szCs w:val="14"/>
                <w:color w:val="auto"/>
              </w:rPr>
              <w:t>234,000</w:t>
            </w:r>
          </w:p>
        </w:tc>
        <w:tc>
          <w:tcPr>
            <w:tcW w:w="1080" w:type="dxa"/>
            <w:vAlign w:val="bottom"/>
          </w:tcPr>
          <w:p>
            <w:pPr>
              <w:jc w:val="right"/>
              <w:ind w:right="33"/>
              <w:spacing w:after="0" w:line="142" w:lineRule="exact"/>
              <w:rPr>
                <w:sz w:val="20"/>
                <w:szCs w:val="20"/>
                <w:color w:val="auto"/>
              </w:rPr>
            </w:pPr>
            <w:r>
              <w:rPr>
                <w:rFonts w:ascii="Arial" w:cs="Arial" w:eastAsia="Arial" w:hAnsi="Arial"/>
                <w:sz w:val="14"/>
                <w:szCs w:val="14"/>
                <w:color w:val="auto"/>
              </w:rPr>
              <w:t>-</w:t>
            </w:r>
          </w:p>
        </w:tc>
        <w:tc>
          <w:tcPr>
            <w:tcW w:w="1220" w:type="dxa"/>
            <w:vAlign w:val="bottom"/>
          </w:tcPr>
          <w:p>
            <w:pPr>
              <w:jc w:val="right"/>
              <w:ind w:right="33"/>
              <w:spacing w:after="0" w:line="142" w:lineRule="exact"/>
              <w:rPr>
                <w:sz w:val="20"/>
                <w:szCs w:val="20"/>
                <w:color w:val="auto"/>
              </w:rPr>
            </w:pPr>
            <w:r>
              <w:rPr>
                <w:rFonts w:ascii="Arial" w:cs="Arial" w:eastAsia="Arial" w:hAnsi="Arial"/>
                <w:sz w:val="14"/>
                <w:szCs w:val="14"/>
                <w:color w:val="auto"/>
              </w:rPr>
              <w:t>93,354</w:t>
            </w:r>
          </w:p>
        </w:tc>
        <w:tc>
          <w:tcPr>
            <w:tcW w:w="1080" w:type="dxa"/>
            <w:vAlign w:val="bottom"/>
          </w:tcPr>
          <w:p>
            <w:pPr>
              <w:jc w:val="right"/>
              <w:ind w:right="12"/>
              <w:spacing w:after="0" w:line="142" w:lineRule="exact"/>
              <w:rPr>
                <w:sz w:val="20"/>
                <w:szCs w:val="20"/>
                <w:color w:val="auto"/>
              </w:rPr>
            </w:pPr>
            <w:r>
              <w:rPr>
                <w:rFonts w:ascii="Arial" w:cs="Arial" w:eastAsia="Arial" w:hAnsi="Arial"/>
                <w:sz w:val="14"/>
                <w:szCs w:val="14"/>
                <w:color w:val="auto"/>
              </w:rPr>
              <w:t>2,007,346</w:t>
            </w:r>
          </w:p>
        </w:tc>
      </w:tr>
      <w:tr>
        <w:trPr>
          <w:trHeight w:val="149"/>
        </w:trPr>
        <w:tc>
          <w:tcPr>
            <w:tcW w:w="2760" w:type="dxa"/>
            <w:vAlign w:val="bottom"/>
          </w:tcPr>
          <w:p>
            <w:pPr>
              <w:spacing w:after="0" w:line="149" w:lineRule="exact"/>
              <w:rPr>
                <w:sz w:val="20"/>
                <w:szCs w:val="20"/>
                <w:color w:val="auto"/>
              </w:rPr>
            </w:pPr>
            <w:r>
              <w:rPr>
                <w:rFonts w:ascii="Arial" w:cs="Arial" w:eastAsia="Arial" w:hAnsi="Arial"/>
                <w:sz w:val="14"/>
                <w:szCs w:val="14"/>
                <w:color w:val="auto"/>
              </w:rPr>
              <w:t>Vice President, General</w:t>
            </w:r>
          </w:p>
        </w:tc>
        <w:tc>
          <w:tcPr>
            <w:tcW w:w="580" w:type="dxa"/>
            <w:vAlign w:val="bottom"/>
          </w:tcPr>
          <w:p>
            <w:pPr>
              <w:ind w:left="140"/>
              <w:spacing w:after="0" w:line="149" w:lineRule="exact"/>
              <w:rPr>
                <w:sz w:val="20"/>
                <w:szCs w:val="20"/>
                <w:color w:val="auto"/>
              </w:rPr>
            </w:pPr>
            <w:r>
              <w:rPr>
                <w:rFonts w:ascii="Arial" w:cs="Arial" w:eastAsia="Arial" w:hAnsi="Arial"/>
                <w:sz w:val="14"/>
                <w:szCs w:val="14"/>
                <w:color w:val="auto"/>
              </w:rPr>
              <w:t>2014</w:t>
            </w:r>
          </w:p>
        </w:tc>
        <w:tc>
          <w:tcPr>
            <w:tcW w:w="860" w:type="dxa"/>
            <w:vAlign w:val="bottom"/>
          </w:tcPr>
          <w:p>
            <w:pPr>
              <w:jc w:val="right"/>
              <w:ind w:right="53"/>
              <w:spacing w:after="0" w:line="149" w:lineRule="exact"/>
              <w:rPr>
                <w:sz w:val="20"/>
                <w:szCs w:val="20"/>
                <w:color w:val="auto"/>
              </w:rPr>
            </w:pPr>
            <w:r>
              <w:rPr>
                <w:rFonts w:ascii="Arial" w:cs="Arial" w:eastAsia="Arial" w:hAnsi="Arial"/>
                <w:sz w:val="14"/>
                <w:szCs w:val="14"/>
                <w:color w:val="auto"/>
              </w:rPr>
              <w:t>450,000</w:t>
            </w:r>
          </w:p>
        </w:tc>
        <w:tc>
          <w:tcPr>
            <w:tcW w:w="6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73"/>
              <w:spacing w:after="0" w:line="149" w:lineRule="exact"/>
              <w:rPr>
                <w:sz w:val="20"/>
                <w:szCs w:val="20"/>
                <w:color w:val="auto"/>
              </w:rPr>
            </w:pPr>
            <w:r>
              <w:rPr>
                <w:rFonts w:ascii="Arial" w:cs="Arial" w:eastAsia="Arial" w:hAnsi="Arial"/>
                <w:sz w:val="14"/>
                <w:szCs w:val="14"/>
                <w:color w:val="auto"/>
              </w:rPr>
              <w:t>845,160</w:t>
            </w:r>
          </w:p>
        </w:tc>
        <w:tc>
          <w:tcPr>
            <w:tcW w:w="860" w:type="dxa"/>
            <w:vAlign w:val="bottom"/>
          </w:tcPr>
          <w:p>
            <w:pPr>
              <w:jc w:val="right"/>
              <w:ind w:right="53"/>
              <w:spacing w:after="0" w:line="149" w:lineRule="exact"/>
              <w:rPr>
                <w:sz w:val="20"/>
                <w:szCs w:val="20"/>
                <w:color w:val="auto"/>
              </w:rPr>
            </w:pPr>
            <w:r>
              <w:rPr>
                <w:rFonts w:ascii="Arial" w:cs="Arial" w:eastAsia="Arial" w:hAnsi="Arial"/>
                <w:sz w:val="14"/>
                <w:szCs w:val="14"/>
                <w:color w:val="auto"/>
              </w:rPr>
              <w:t>434,525</w:t>
            </w:r>
          </w:p>
        </w:tc>
        <w:tc>
          <w:tcPr>
            <w:tcW w:w="1380" w:type="dxa"/>
            <w:vAlign w:val="bottom"/>
          </w:tcPr>
          <w:p>
            <w:pPr>
              <w:jc w:val="right"/>
              <w:ind w:right="53"/>
              <w:spacing w:after="0" w:line="149" w:lineRule="exact"/>
              <w:rPr>
                <w:sz w:val="20"/>
                <w:szCs w:val="20"/>
                <w:color w:val="auto"/>
              </w:rPr>
            </w:pPr>
            <w:r>
              <w:rPr>
                <w:rFonts w:ascii="Arial" w:cs="Arial" w:eastAsia="Arial" w:hAnsi="Arial"/>
                <w:sz w:val="14"/>
                <w:szCs w:val="14"/>
                <w:color w:val="auto"/>
              </w:rPr>
              <w:t>450,000</w:t>
            </w:r>
          </w:p>
        </w:tc>
        <w:tc>
          <w:tcPr>
            <w:tcW w:w="1080" w:type="dxa"/>
            <w:vAlign w:val="bottom"/>
          </w:tcPr>
          <w:p>
            <w:pPr>
              <w:jc w:val="right"/>
              <w:ind w:right="33"/>
              <w:spacing w:after="0" w:line="149" w:lineRule="exact"/>
              <w:rPr>
                <w:sz w:val="20"/>
                <w:szCs w:val="20"/>
                <w:color w:val="auto"/>
              </w:rPr>
            </w:pPr>
            <w:r>
              <w:rPr>
                <w:rFonts w:ascii="Arial" w:cs="Arial" w:eastAsia="Arial" w:hAnsi="Arial"/>
                <w:sz w:val="14"/>
                <w:szCs w:val="14"/>
                <w:color w:val="auto"/>
              </w:rPr>
              <w:t>-</w:t>
            </w:r>
          </w:p>
        </w:tc>
        <w:tc>
          <w:tcPr>
            <w:tcW w:w="1220" w:type="dxa"/>
            <w:vAlign w:val="bottom"/>
          </w:tcPr>
          <w:p>
            <w:pPr>
              <w:jc w:val="right"/>
              <w:ind w:right="33"/>
              <w:spacing w:after="0" w:line="149" w:lineRule="exact"/>
              <w:rPr>
                <w:sz w:val="20"/>
                <w:szCs w:val="20"/>
                <w:color w:val="auto"/>
              </w:rPr>
            </w:pPr>
            <w:r>
              <w:rPr>
                <w:rFonts w:ascii="Arial" w:cs="Arial" w:eastAsia="Arial" w:hAnsi="Arial"/>
                <w:sz w:val="14"/>
                <w:szCs w:val="14"/>
                <w:color w:val="auto"/>
              </w:rPr>
              <w:t>99,426</w:t>
            </w:r>
          </w:p>
        </w:tc>
        <w:tc>
          <w:tcPr>
            <w:tcW w:w="10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2,279,111</w:t>
            </w:r>
          </w:p>
        </w:tc>
      </w:tr>
      <w:tr>
        <w:trPr>
          <w:trHeight w:val="163"/>
        </w:trPr>
        <w:tc>
          <w:tcPr>
            <w:tcW w:w="2760" w:type="dxa"/>
            <w:vAlign w:val="bottom"/>
            <w:tcBorders>
              <w:bottom w:val="single" w:sz="8" w:color="225CAB"/>
            </w:tcBorders>
          </w:tcPr>
          <w:p>
            <w:pPr>
              <w:spacing w:after="0"/>
              <w:rPr>
                <w:sz w:val="20"/>
                <w:szCs w:val="20"/>
                <w:color w:val="auto"/>
              </w:rPr>
            </w:pPr>
            <w:r>
              <w:rPr>
                <w:rFonts w:ascii="Arial" w:cs="Arial" w:eastAsia="Arial" w:hAnsi="Arial"/>
                <w:sz w:val="14"/>
                <w:szCs w:val="14"/>
                <w:color w:val="auto"/>
              </w:rPr>
              <w:t>Counsel and Secretary</w:t>
            </w:r>
          </w:p>
        </w:tc>
        <w:tc>
          <w:tcPr>
            <w:tcW w:w="580" w:type="dxa"/>
            <w:vAlign w:val="bottom"/>
            <w:tcBorders>
              <w:bottom w:val="single" w:sz="8" w:color="225CAB"/>
            </w:tcBorders>
          </w:tcPr>
          <w:p>
            <w:pPr>
              <w:ind w:left="140"/>
              <w:spacing w:after="0"/>
              <w:rPr>
                <w:sz w:val="20"/>
                <w:szCs w:val="20"/>
                <w:color w:val="auto"/>
              </w:rPr>
            </w:pPr>
            <w:r>
              <w:rPr>
                <w:rFonts w:ascii="Arial" w:cs="Arial" w:eastAsia="Arial" w:hAnsi="Arial"/>
                <w:sz w:val="14"/>
                <w:szCs w:val="14"/>
                <w:color w:val="auto"/>
              </w:rPr>
              <w:t>2013</w:t>
            </w:r>
          </w:p>
        </w:tc>
        <w:tc>
          <w:tcPr>
            <w:tcW w:w="860" w:type="dxa"/>
            <w:vAlign w:val="bottom"/>
            <w:tcBorders>
              <w:bottom w:val="single" w:sz="8" w:color="225CAB"/>
            </w:tcBorders>
          </w:tcPr>
          <w:p>
            <w:pPr>
              <w:jc w:val="right"/>
              <w:ind w:right="53"/>
              <w:spacing w:after="0"/>
              <w:rPr>
                <w:sz w:val="20"/>
                <w:szCs w:val="20"/>
                <w:color w:val="auto"/>
              </w:rPr>
            </w:pPr>
            <w:r>
              <w:rPr>
                <w:rFonts w:ascii="Arial" w:cs="Arial" w:eastAsia="Arial" w:hAnsi="Arial"/>
                <w:sz w:val="14"/>
                <w:szCs w:val="14"/>
                <w:color w:val="auto"/>
              </w:rPr>
              <w:t>440,000</w:t>
            </w:r>
          </w:p>
        </w:tc>
        <w:tc>
          <w:tcPr>
            <w:tcW w:w="640" w:type="dxa"/>
            <w:vAlign w:val="bottom"/>
            <w:tcBorders>
              <w:bottom w:val="single" w:sz="8" w:color="225CAB"/>
            </w:tcBorders>
          </w:tcPr>
          <w:p>
            <w:pPr>
              <w:jc w:val="right"/>
              <w:ind w:right="132"/>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225CAB"/>
            </w:tcBorders>
          </w:tcPr>
          <w:p>
            <w:pPr>
              <w:jc w:val="right"/>
              <w:ind w:right="73"/>
              <w:spacing w:after="0"/>
              <w:rPr>
                <w:sz w:val="20"/>
                <w:szCs w:val="20"/>
                <w:color w:val="auto"/>
              </w:rPr>
            </w:pPr>
            <w:r>
              <w:rPr>
                <w:rFonts w:ascii="Arial" w:cs="Arial" w:eastAsia="Arial" w:hAnsi="Arial"/>
                <w:sz w:val="14"/>
                <w:szCs w:val="14"/>
                <w:color w:val="auto"/>
              </w:rPr>
              <w:t>691,320</w:t>
            </w:r>
          </w:p>
        </w:tc>
        <w:tc>
          <w:tcPr>
            <w:tcW w:w="860" w:type="dxa"/>
            <w:vAlign w:val="bottom"/>
            <w:tcBorders>
              <w:bottom w:val="single" w:sz="8" w:color="225CAB"/>
            </w:tcBorders>
          </w:tcPr>
          <w:p>
            <w:pPr>
              <w:jc w:val="right"/>
              <w:ind w:right="53"/>
              <w:spacing w:after="0"/>
              <w:rPr>
                <w:sz w:val="20"/>
                <w:szCs w:val="20"/>
                <w:color w:val="auto"/>
              </w:rPr>
            </w:pPr>
            <w:r>
              <w:rPr>
                <w:rFonts w:ascii="Arial" w:cs="Arial" w:eastAsia="Arial" w:hAnsi="Arial"/>
                <w:sz w:val="14"/>
                <w:szCs w:val="14"/>
                <w:color w:val="auto"/>
              </w:rPr>
              <w:t>435,294</w:t>
            </w:r>
          </w:p>
        </w:tc>
        <w:tc>
          <w:tcPr>
            <w:tcW w:w="1380" w:type="dxa"/>
            <w:vAlign w:val="bottom"/>
            <w:tcBorders>
              <w:bottom w:val="single" w:sz="8" w:color="225CAB"/>
            </w:tcBorders>
          </w:tcPr>
          <w:p>
            <w:pPr>
              <w:jc w:val="right"/>
              <w:ind w:right="53"/>
              <w:spacing w:after="0"/>
              <w:rPr>
                <w:sz w:val="20"/>
                <w:szCs w:val="20"/>
                <w:color w:val="auto"/>
              </w:rPr>
            </w:pPr>
            <w:r>
              <w:rPr>
                <w:rFonts w:ascii="Arial" w:cs="Arial" w:eastAsia="Arial" w:hAnsi="Arial"/>
                <w:sz w:val="14"/>
                <w:szCs w:val="14"/>
                <w:color w:val="auto"/>
              </w:rPr>
              <w:t>415,800</w:t>
            </w:r>
          </w:p>
        </w:tc>
        <w:tc>
          <w:tcPr>
            <w:tcW w:w="1080" w:type="dxa"/>
            <w:vAlign w:val="bottom"/>
            <w:tcBorders>
              <w:bottom w:val="single" w:sz="8" w:color="225CAB"/>
            </w:tcBorders>
          </w:tcPr>
          <w:p>
            <w:pPr>
              <w:jc w:val="right"/>
              <w:ind w:right="33"/>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225CAB"/>
            </w:tcBorders>
          </w:tcPr>
          <w:p>
            <w:pPr>
              <w:jc w:val="right"/>
              <w:ind w:right="33"/>
              <w:spacing w:after="0"/>
              <w:rPr>
                <w:sz w:val="20"/>
                <w:szCs w:val="20"/>
                <w:color w:val="auto"/>
              </w:rPr>
            </w:pPr>
            <w:r>
              <w:rPr>
                <w:rFonts w:ascii="Arial" w:cs="Arial" w:eastAsia="Arial" w:hAnsi="Arial"/>
                <w:sz w:val="14"/>
                <w:szCs w:val="14"/>
                <w:color w:val="auto"/>
              </w:rPr>
              <w:t>96,642</w:t>
            </w:r>
          </w:p>
        </w:tc>
        <w:tc>
          <w:tcPr>
            <w:tcW w:w="1080" w:type="dxa"/>
            <w:vAlign w:val="bottom"/>
            <w:tcBorders>
              <w:bottom w:val="single" w:sz="8" w:color="225CAB"/>
            </w:tcBorders>
          </w:tcPr>
          <w:p>
            <w:pPr>
              <w:jc w:val="right"/>
              <w:ind w:right="12"/>
              <w:spacing w:after="0"/>
              <w:rPr>
                <w:sz w:val="20"/>
                <w:szCs w:val="20"/>
                <w:color w:val="auto"/>
              </w:rPr>
            </w:pPr>
            <w:r>
              <w:rPr>
                <w:rFonts w:ascii="Arial" w:cs="Arial" w:eastAsia="Arial" w:hAnsi="Arial"/>
                <w:sz w:val="14"/>
                <w:szCs w:val="14"/>
                <w:color w:val="auto"/>
              </w:rPr>
              <w:t>2,079,056</w:t>
            </w:r>
          </w:p>
        </w:tc>
      </w:tr>
      <w:tr>
        <w:trPr>
          <w:trHeight w:val="141"/>
        </w:trPr>
        <w:tc>
          <w:tcPr>
            <w:tcW w:w="2760" w:type="dxa"/>
            <w:vAlign w:val="bottom"/>
          </w:tcPr>
          <w:p>
            <w:pPr>
              <w:spacing w:after="0" w:line="141" w:lineRule="exact"/>
              <w:rPr>
                <w:sz w:val="20"/>
                <w:szCs w:val="20"/>
                <w:color w:val="auto"/>
              </w:rPr>
            </w:pPr>
            <w:r>
              <w:rPr>
                <w:rFonts w:ascii="Arial" w:cs="Arial" w:eastAsia="Arial" w:hAnsi="Arial"/>
                <w:sz w:val="14"/>
                <w:szCs w:val="14"/>
                <w:b w:val="1"/>
                <w:bCs w:val="1"/>
                <w:color w:val="225CAB"/>
              </w:rPr>
              <w:t>Paul J. Soni</w:t>
            </w:r>
          </w:p>
        </w:tc>
        <w:tc>
          <w:tcPr>
            <w:tcW w:w="580" w:type="dxa"/>
            <w:vAlign w:val="bottom"/>
          </w:tcPr>
          <w:p>
            <w:pPr>
              <w:ind w:left="140"/>
              <w:spacing w:after="0" w:line="141" w:lineRule="exact"/>
              <w:rPr>
                <w:sz w:val="20"/>
                <w:szCs w:val="20"/>
                <w:color w:val="auto"/>
              </w:rPr>
            </w:pPr>
            <w:r>
              <w:rPr>
                <w:rFonts w:ascii="Arial" w:cs="Arial" w:eastAsia="Arial" w:hAnsi="Arial"/>
                <w:sz w:val="14"/>
                <w:szCs w:val="14"/>
                <w:color w:val="auto"/>
              </w:rPr>
              <w:t>2015</w:t>
            </w:r>
          </w:p>
        </w:tc>
        <w:tc>
          <w:tcPr>
            <w:tcW w:w="860" w:type="dxa"/>
            <w:vAlign w:val="bottom"/>
          </w:tcPr>
          <w:p>
            <w:pPr>
              <w:jc w:val="right"/>
              <w:ind w:right="53"/>
              <w:spacing w:after="0" w:line="141" w:lineRule="exact"/>
              <w:rPr>
                <w:sz w:val="20"/>
                <w:szCs w:val="20"/>
                <w:color w:val="auto"/>
              </w:rPr>
            </w:pPr>
            <w:r>
              <w:rPr>
                <w:rFonts w:ascii="Arial" w:cs="Arial" w:eastAsia="Arial" w:hAnsi="Arial"/>
                <w:sz w:val="14"/>
                <w:szCs w:val="14"/>
                <w:color w:val="auto"/>
              </w:rPr>
              <w:t>410,000</w:t>
            </w:r>
          </w:p>
        </w:tc>
        <w:tc>
          <w:tcPr>
            <w:tcW w:w="640" w:type="dxa"/>
            <w:vAlign w:val="bottom"/>
          </w:tcPr>
          <w:p>
            <w:pPr>
              <w:jc w:val="right"/>
              <w:ind w:right="132"/>
              <w:spacing w:after="0" w:line="141"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73"/>
              <w:spacing w:after="0" w:line="141" w:lineRule="exact"/>
              <w:rPr>
                <w:sz w:val="20"/>
                <w:szCs w:val="20"/>
                <w:color w:val="auto"/>
              </w:rPr>
            </w:pPr>
            <w:r>
              <w:rPr>
                <w:rFonts w:ascii="Arial" w:cs="Arial" w:eastAsia="Arial" w:hAnsi="Arial"/>
                <w:sz w:val="14"/>
                <w:szCs w:val="14"/>
                <w:color w:val="auto"/>
              </w:rPr>
              <w:t>874,500</w:t>
            </w:r>
          </w:p>
        </w:tc>
        <w:tc>
          <w:tcPr>
            <w:tcW w:w="860" w:type="dxa"/>
            <w:vAlign w:val="bottom"/>
          </w:tcPr>
          <w:p>
            <w:pPr>
              <w:jc w:val="right"/>
              <w:ind w:right="53"/>
              <w:spacing w:after="0" w:line="141" w:lineRule="exact"/>
              <w:rPr>
                <w:sz w:val="20"/>
                <w:szCs w:val="20"/>
                <w:color w:val="auto"/>
              </w:rPr>
            </w:pPr>
            <w:r>
              <w:rPr>
                <w:rFonts w:ascii="Arial" w:cs="Arial" w:eastAsia="Arial" w:hAnsi="Arial"/>
                <w:sz w:val="14"/>
                <w:szCs w:val="14"/>
                <w:color w:val="auto"/>
              </w:rPr>
              <w:t>355,492</w:t>
            </w:r>
          </w:p>
        </w:tc>
        <w:tc>
          <w:tcPr>
            <w:tcW w:w="1380" w:type="dxa"/>
            <w:vAlign w:val="bottom"/>
          </w:tcPr>
          <w:p>
            <w:pPr>
              <w:jc w:val="right"/>
              <w:ind w:right="53"/>
              <w:spacing w:after="0" w:line="141" w:lineRule="exact"/>
              <w:rPr>
                <w:sz w:val="20"/>
                <w:szCs w:val="20"/>
                <w:color w:val="auto"/>
              </w:rPr>
            </w:pPr>
            <w:r>
              <w:rPr>
                <w:rFonts w:ascii="Arial" w:cs="Arial" w:eastAsia="Arial" w:hAnsi="Arial"/>
                <w:sz w:val="14"/>
                <w:szCs w:val="14"/>
                <w:color w:val="auto"/>
              </w:rPr>
              <w:t>170,560</w:t>
            </w:r>
          </w:p>
        </w:tc>
        <w:tc>
          <w:tcPr>
            <w:tcW w:w="1080" w:type="dxa"/>
            <w:vAlign w:val="bottom"/>
          </w:tcPr>
          <w:p>
            <w:pPr>
              <w:jc w:val="right"/>
              <w:ind w:right="33"/>
              <w:spacing w:after="0" w:line="141" w:lineRule="exact"/>
              <w:rPr>
                <w:sz w:val="20"/>
                <w:szCs w:val="20"/>
                <w:color w:val="auto"/>
              </w:rPr>
            </w:pPr>
            <w:r>
              <w:rPr>
                <w:rFonts w:ascii="Arial" w:cs="Arial" w:eastAsia="Arial" w:hAnsi="Arial"/>
                <w:sz w:val="14"/>
                <w:szCs w:val="14"/>
                <w:color w:val="auto"/>
              </w:rPr>
              <w:t>-</w:t>
            </w:r>
          </w:p>
        </w:tc>
        <w:tc>
          <w:tcPr>
            <w:tcW w:w="1220" w:type="dxa"/>
            <w:vAlign w:val="bottom"/>
          </w:tcPr>
          <w:p>
            <w:pPr>
              <w:jc w:val="right"/>
              <w:ind w:right="33"/>
              <w:spacing w:after="0" w:line="141" w:lineRule="exact"/>
              <w:rPr>
                <w:sz w:val="20"/>
                <w:szCs w:val="20"/>
                <w:color w:val="auto"/>
              </w:rPr>
            </w:pPr>
            <w:r>
              <w:rPr>
                <w:rFonts w:ascii="Arial" w:cs="Arial" w:eastAsia="Arial" w:hAnsi="Arial"/>
                <w:sz w:val="14"/>
                <w:szCs w:val="14"/>
                <w:color w:val="auto"/>
              </w:rPr>
              <w:t>86,470</w:t>
            </w:r>
          </w:p>
        </w:tc>
        <w:tc>
          <w:tcPr>
            <w:tcW w:w="1080" w:type="dxa"/>
            <w:vAlign w:val="bottom"/>
          </w:tcPr>
          <w:p>
            <w:pPr>
              <w:jc w:val="right"/>
              <w:ind w:right="12"/>
              <w:spacing w:after="0" w:line="141" w:lineRule="exact"/>
              <w:rPr>
                <w:sz w:val="20"/>
                <w:szCs w:val="20"/>
                <w:color w:val="auto"/>
              </w:rPr>
            </w:pPr>
            <w:r>
              <w:rPr>
                <w:rFonts w:ascii="Arial" w:cs="Arial" w:eastAsia="Arial" w:hAnsi="Arial"/>
                <w:sz w:val="14"/>
                <w:szCs w:val="14"/>
                <w:color w:val="auto"/>
              </w:rPr>
              <w:t>1,897,022</w:t>
            </w:r>
          </w:p>
        </w:tc>
      </w:tr>
      <w:tr>
        <w:trPr>
          <w:trHeight w:val="149"/>
        </w:trPr>
        <w:tc>
          <w:tcPr>
            <w:tcW w:w="2760" w:type="dxa"/>
            <w:vAlign w:val="bottom"/>
          </w:tcPr>
          <w:p>
            <w:pPr>
              <w:spacing w:after="0" w:line="149" w:lineRule="exact"/>
              <w:rPr>
                <w:sz w:val="20"/>
                <w:szCs w:val="20"/>
                <w:color w:val="auto"/>
              </w:rPr>
            </w:pPr>
            <w:r>
              <w:rPr>
                <w:rFonts w:ascii="Arial" w:cs="Arial" w:eastAsia="Arial" w:hAnsi="Arial"/>
                <w:sz w:val="14"/>
                <w:szCs w:val="14"/>
                <w:color w:val="auto"/>
              </w:rPr>
              <w:t>Vice President and</w:t>
            </w:r>
          </w:p>
        </w:tc>
        <w:tc>
          <w:tcPr>
            <w:tcW w:w="580" w:type="dxa"/>
            <w:vAlign w:val="bottom"/>
          </w:tcPr>
          <w:p>
            <w:pPr>
              <w:ind w:left="140"/>
              <w:spacing w:after="0" w:line="149" w:lineRule="exact"/>
              <w:rPr>
                <w:sz w:val="20"/>
                <w:szCs w:val="20"/>
                <w:color w:val="auto"/>
              </w:rPr>
            </w:pPr>
            <w:r>
              <w:rPr>
                <w:rFonts w:ascii="Arial" w:cs="Arial" w:eastAsia="Arial" w:hAnsi="Arial"/>
                <w:sz w:val="14"/>
                <w:szCs w:val="14"/>
                <w:color w:val="auto"/>
              </w:rPr>
              <w:t>2014</w:t>
            </w:r>
          </w:p>
        </w:tc>
        <w:tc>
          <w:tcPr>
            <w:tcW w:w="860" w:type="dxa"/>
            <w:vAlign w:val="bottom"/>
          </w:tcPr>
          <w:p>
            <w:pPr>
              <w:jc w:val="right"/>
              <w:ind w:right="53"/>
              <w:spacing w:after="0" w:line="149" w:lineRule="exact"/>
              <w:rPr>
                <w:sz w:val="20"/>
                <w:szCs w:val="20"/>
                <w:color w:val="auto"/>
              </w:rPr>
            </w:pPr>
            <w:r>
              <w:rPr>
                <w:rFonts w:ascii="Arial" w:cs="Arial" w:eastAsia="Arial" w:hAnsi="Arial"/>
                <w:sz w:val="14"/>
                <w:szCs w:val="14"/>
                <w:color w:val="auto"/>
              </w:rPr>
              <w:t>410,000</w:t>
            </w:r>
          </w:p>
        </w:tc>
        <w:tc>
          <w:tcPr>
            <w:tcW w:w="6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73"/>
              <w:spacing w:after="0" w:line="149" w:lineRule="exact"/>
              <w:rPr>
                <w:sz w:val="20"/>
                <w:szCs w:val="20"/>
                <w:color w:val="auto"/>
              </w:rPr>
            </w:pPr>
            <w:r>
              <w:rPr>
                <w:rFonts w:ascii="Arial" w:cs="Arial" w:eastAsia="Arial" w:hAnsi="Arial"/>
                <w:sz w:val="14"/>
                <w:szCs w:val="14"/>
                <w:color w:val="auto"/>
              </w:rPr>
              <w:t>845,160</w:t>
            </w:r>
          </w:p>
        </w:tc>
        <w:tc>
          <w:tcPr>
            <w:tcW w:w="860" w:type="dxa"/>
            <w:vAlign w:val="bottom"/>
          </w:tcPr>
          <w:p>
            <w:pPr>
              <w:jc w:val="right"/>
              <w:ind w:right="53"/>
              <w:spacing w:after="0" w:line="149" w:lineRule="exact"/>
              <w:rPr>
                <w:sz w:val="20"/>
                <w:szCs w:val="20"/>
                <w:color w:val="auto"/>
              </w:rPr>
            </w:pPr>
            <w:r>
              <w:rPr>
                <w:rFonts w:ascii="Arial" w:cs="Arial" w:eastAsia="Arial" w:hAnsi="Arial"/>
                <w:sz w:val="14"/>
                <w:szCs w:val="14"/>
                <w:color w:val="auto"/>
              </w:rPr>
              <w:t>434,525</w:t>
            </w:r>
          </w:p>
        </w:tc>
        <w:tc>
          <w:tcPr>
            <w:tcW w:w="1380" w:type="dxa"/>
            <w:vAlign w:val="bottom"/>
          </w:tcPr>
          <w:p>
            <w:pPr>
              <w:jc w:val="right"/>
              <w:ind w:right="53"/>
              <w:spacing w:after="0" w:line="149" w:lineRule="exact"/>
              <w:rPr>
                <w:sz w:val="20"/>
                <w:szCs w:val="20"/>
                <w:color w:val="auto"/>
              </w:rPr>
            </w:pPr>
            <w:r>
              <w:rPr>
                <w:rFonts w:ascii="Arial" w:cs="Arial" w:eastAsia="Arial" w:hAnsi="Arial"/>
                <w:sz w:val="14"/>
                <w:szCs w:val="14"/>
                <w:color w:val="auto"/>
              </w:rPr>
              <w:t>328,000</w:t>
            </w:r>
          </w:p>
        </w:tc>
        <w:tc>
          <w:tcPr>
            <w:tcW w:w="1080" w:type="dxa"/>
            <w:vAlign w:val="bottom"/>
          </w:tcPr>
          <w:p>
            <w:pPr>
              <w:jc w:val="right"/>
              <w:ind w:right="33"/>
              <w:spacing w:after="0" w:line="149" w:lineRule="exact"/>
              <w:rPr>
                <w:sz w:val="20"/>
                <w:szCs w:val="20"/>
                <w:color w:val="auto"/>
              </w:rPr>
            </w:pPr>
            <w:r>
              <w:rPr>
                <w:rFonts w:ascii="Arial" w:cs="Arial" w:eastAsia="Arial" w:hAnsi="Arial"/>
                <w:sz w:val="14"/>
                <w:szCs w:val="14"/>
                <w:color w:val="auto"/>
              </w:rPr>
              <w:t>-</w:t>
            </w:r>
          </w:p>
        </w:tc>
        <w:tc>
          <w:tcPr>
            <w:tcW w:w="1220" w:type="dxa"/>
            <w:vAlign w:val="bottom"/>
          </w:tcPr>
          <w:p>
            <w:pPr>
              <w:jc w:val="right"/>
              <w:ind w:right="33"/>
              <w:spacing w:after="0" w:line="149" w:lineRule="exact"/>
              <w:rPr>
                <w:sz w:val="20"/>
                <w:szCs w:val="20"/>
                <w:color w:val="auto"/>
              </w:rPr>
            </w:pPr>
            <w:r>
              <w:rPr>
                <w:rFonts w:ascii="Arial" w:cs="Arial" w:eastAsia="Arial" w:hAnsi="Arial"/>
                <w:sz w:val="14"/>
                <w:szCs w:val="14"/>
                <w:color w:val="auto"/>
              </w:rPr>
              <w:t>89,031</w:t>
            </w:r>
          </w:p>
        </w:tc>
        <w:tc>
          <w:tcPr>
            <w:tcW w:w="10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2,106,716</w:t>
            </w:r>
          </w:p>
        </w:tc>
      </w:tr>
      <w:tr>
        <w:trPr>
          <w:trHeight w:val="155"/>
        </w:trPr>
        <w:tc>
          <w:tcPr>
            <w:tcW w:w="2760" w:type="dxa"/>
            <w:vAlign w:val="bottom"/>
          </w:tcPr>
          <w:p>
            <w:pPr>
              <w:spacing w:after="0" w:line="155" w:lineRule="exact"/>
              <w:rPr>
                <w:sz w:val="20"/>
                <w:szCs w:val="20"/>
                <w:color w:val="auto"/>
              </w:rPr>
            </w:pPr>
            <w:r>
              <w:rPr>
                <w:rFonts w:ascii="Arial" w:cs="Arial" w:eastAsia="Arial" w:hAnsi="Arial"/>
                <w:sz w:val="14"/>
                <w:szCs w:val="14"/>
                <w:color w:val="auto"/>
              </w:rPr>
              <w:t>Corporate Controller</w:t>
            </w:r>
          </w:p>
        </w:tc>
        <w:tc>
          <w:tcPr>
            <w:tcW w:w="580" w:type="dxa"/>
            <w:vAlign w:val="bottom"/>
          </w:tcPr>
          <w:p>
            <w:pPr>
              <w:ind w:left="140"/>
              <w:spacing w:after="0" w:line="155" w:lineRule="exact"/>
              <w:rPr>
                <w:sz w:val="20"/>
                <w:szCs w:val="20"/>
                <w:color w:val="auto"/>
              </w:rPr>
            </w:pPr>
            <w:r>
              <w:rPr>
                <w:rFonts w:ascii="Arial" w:cs="Arial" w:eastAsia="Arial" w:hAnsi="Arial"/>
                <w:sz w:val="14"/>
                <w:szCs w:val="14"/>
                <w:color w:val="auto"/>
              </w:rPr>
              <w:t>2013</w:t>
            </w:r>
          </w:p>
        </w:tc>
        <w:tc>
          <w:tcPr>
            <w:tcW w:w="860" w:type="dxa"/>
            <w:vAlign w:val="bottom"/>
          </w:tcPr>
          <w:p>
            <w:pPr>
              <w:jc w:val="right"/>
              <w:ind w:right="53"/>
              <w:spacing w:after="0" w:line="155" w:lineRule="exact"/>
              <w:rPr>
                <w:sz w:val="20"/>
                <w:szCs w:val="20"/>
                <w:color w:val="auto"/>
              </w:rPr>
            </w:pPr>
            <w:r>
              <w:rPr>
                <w:rFonts w:ascii="Arial" w:cs="Arial" w:eastAsia="Arial" w:hAnsi="Arial"/>
                <w:sz w:val="14"/>
                <w:szCs w:val="14"/>
                <w:color w:val="auto"/>
              </w:rPr>
              <w:t>400,000</w:t>
            </w:r>
          </w:p>
        </w:tc>
        <w:tc>
          <w:tcPr>
            <w:tcW w:w="640" w:type="dxa"/>
            <w:vAlign w:val="bottom"/>
          </w:tcPr>
          <w:p>
            <w:pPr>
              <w:jc w:val="right"/>
              <w:ind w:right="132"/>
              <w:spacing w:after="0" w:line="155"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73"/>
              <w:spacing w:after="0" w:line="155" w:lineRule="exact"/>
              <w:rPr>
                <w:sz w:val="20"/>
                <w:szCs w:val="20"/>
                <w:color w:val="auto"/>
              </w:rPr>
            </w:pPr>
            <w:r>
              <w:rPr>
                <w:rFonts w:ascii="Arial" w:cs="Arial" w:eastAsia="Arial" w:hAnsi="Arial"/>
                <w:sz w:val="14"/>
                <w:szCs w:val="14"/>
                <w:color w:val="auto"/>
              </w:rPr>
              <w:t>691,320</w:t>
            </w:r>
          </w:p>
        </w:tc>
        <w:tc>
          <w:tcPr>
            <w:tcW w:w="860" w:type="dxa"/>
            <w:vAlign w:val="bottom"/>
          </w:tcPr>
          <w:p>
            <w:pPr>
              <w:jc w:val="right"/>
              <w:ind w:right="53"/>
              <w:spacing w:after="0" w:line="155" w:lineRule="exact"/>
              <w:rPr>
                <w:sz w:val="20"/>
                <w:szCs w:val="20"/>
                <w:color w:val="auto"/>
              </w:rPr>
            </w:pPr>
            <w:r>
              <w:rPr>
                <w:rFonts w:ascii="Arial" w:cs="Arial" w:eastAsia="Arial" w:hAnsi="Arial"/>
                <w:sz w:val="14"/>
                <w:szCs w:val="14"/>
                <w:color w:val="auto"/>
              </w:rPr>
              <w:t>435,294</w:t>
            </w:r>
          </w:p>
        </w:tc>
        <w:tc>
          <w:tcPr>
            <w:tcW w:w="1380" w:type="dxa"/>
            <w:vAlign w:val="bottom"/>
          </w:tcPr>
          <w:p>
            <w:pPr>
              <w:jc w:val="right"/>
              <w:ind w:right="53"/>
              <w:spacing w:after="0" w:line="155" w:lineRule="exact"/>
              <w:rPr>
                <w:sz w:val="20"/>
                <w:szCs w:val="20"/>
                <w:color w:val="auto"/>
              </w:rPr>
            </w:pPr>
            <w:r>
              <w:rPr>
                <w:rFonts w:ascii="Arial" w:cs="Arial" w:eastAsia="Arial" w:hAnsi="Arial"/>
                <w:sz w:val="14"/>
                <w:szCs w:val="14"/>
                <w:color w:val="auto"/>
              </w:rPr>
              <w:t>302,400</w:t>
            </w:r>
          </w:p>
        </w:tc>
        <w:tc>
          <w:tcPr>
            <w:tcW w:w="1080" w:type="dxa"/>
            <w:vAlign w:val="bottom"/>
          </w:tcPr>
          <w:p>
            <w:pPr>
              <w:jc w:val="right"/>
              <w:ind w:right="33"/>
              <w:spacing w:after="0" w:line="155" w:lineRule="exact"/>
              <w:rPr>
                <w:sz w:val="20"/>
                <w:szCs w:val="20"/>
                <w:color w:val="auto"/>
              </w:rPr>
            </w:pPr>
            <w:r>
              <w:rPr>
                <w:rFonts w:ascii="Arial" w:cs="Arial" w:eastAsia="Arial" w:hAnsi="Arial"/>
                <w:sz w:val="14"/>
                <w:szCs w:val="14"/>
                <w:color w:val="auto"/>
              </w:rPr>
              <w:t>-</w:t>
            </w:r>
          </w:p>
        </w:tc>
        <w:tc>
          <w:tcPr>
            <w:tcW w:w="1220" w:type="dxa"/>
            <w:vAlign w:val="bottom"/>
          </w:tcPr>
          <w:p>
            <w:pPr>
              <w:jc w:val="right"/>
              <w:ind w:right="33"/>
              <w:spacing w:after="0" w:line="155" w:lineRule="exact"/>
              <w:rPr>
                <w:sz w:val="20"/>
                <w:szCs w:val="20"/>
                <w:color w:val="auto"/>
              </w:rPr>
            </w:pPr>
            <w:r>
              <w:rPr>
                <w:rFonts w:ascii="Arial" w:cs="Arial" w:eastAsia="Arial" w:hAnsi="Arial"/>
                <w:sz w:val="14"/>
                <w:szCs w:val="14"/>
                <w:color w:val="auto"/>
              </w:rPr>
              <w:t>86,646</w:t>
            </w:r>
          </w:p>
        </w:tc>
        <w:tc>
          <w:tcPr>
            <w:tcW w:w="1080" w:type="dxa"/>
            <w:vAlign w:val="bottom"/>
          </w:tcPr>
          <w:p>
            <w:pPr>
              <w:jc w:val="right"/>
              <w:ind w:right="12"/>
              <w:spacing w:after="0" w:line="155" w:lineRule="exact"/>
              <w:rPr>
                <w:sz w:val="20"/>
                <w:szCs w:val="20"/>
                <w:color w:val="auto"/>
              </w:rPr>
            </w:pPr>
            <w:r>
              <w:rPr>
                <w:rFonts w:ascii="Arial" w:cs="Arial" w:eastAsia="Arial" w:hAnsi="Arial"/>
                <w:sz w:val="14"/>
                <w:szCs w:val="14"/>
                <w:color w:val="auto"/>
              </w:rPr>
              <w:t>1,915,660</w:t>
            </w:r>
          </w:p>
        </w:tc>
      </w:tr>
    </w:tbl>
    <w:p>
      <w:pPr>
        <w:ind w:left="340" w:hanging="332"/>
        <w:spacing w:after="0" w:line="181" w:lineRule="auto"/>
        <w:tabs>
          <w:tab w:leader="none" w:pos="340" w:val="left"/>
        </w:tabs>
        <w:numPr>
          <w:ilvl w:val="0"/>
          <w:numId w:val="57"/>
        </w:numPr>
        <w:rPr>
          <w:rFonts w:ascii="Arial" w:cs="Arial" w:eastAsia="Arial" w:hAnsi="Arial"/>
          <w:sz w:val="21"/>
          <w:szCs w:val="21"/>
          <w:color w:val="auto"/>
          <w:vertAlign w:val="superscript"/>
        </w:rPr>
      </w:pPr>
      <w:r>
        <w:rPr>
          <w:rFonts w:ascii="Arial" w:cs="Arial" w:eastAsia="Arial" w:hAnsi="Arial"/>
          <w:sz w:val="13"/>
          <w:szCs w:val="13"/>
          <w:color w:val="auto"/>
        </w:rPr>
        <w:t>Amounts shown include, as applicable, deferrals to the 401(k) Plan and the Non-Qualified Retirement Plan.</w:t>
      </w:r>
    </w:p>
    <w:p>
      <w:pPr>
        <w:spacing w:after="0" w:line="67" w:lineRule="exact"/>
        <w:rPr>
          <w:rFonts w:ascii="Arial" w:cs="Arial" w:eastAsia="Arial" w:hAnsi="Arial"/>
          <w:sz w:val="21"/>
          <w:szCs w:val="21"/>
          <w:color w:val="auto"/>
          <w:vertAlign w:val="superscript"/>
        </w:rPr>
      </w:pPr>
    </w:p>
    <w:p>
      <w:pPr>
        <w:ind w:left="340" w:right="20" w:hanging="332"/>
        <w:spacing w:after="0" w:line="205" w:lineRule="auto"/>
        <w:tabs>
          <w:tab w:leader="none" w:pos="340" w:val="left"/>
        </w:tabs>
        <w:numPr>
          <w:ilvl w:val="0"/>
          <w:numId w:val="57"/>
        </w:numPr>
        <w:rPr>
          <w:rFonts w:ascii="Arial" w:cs="Arial" w:eastAsia="Arial" w:hAnsi="Arial"/>
          <w:sz w:val="22"/>
          <w:szCs w:val="22"/>
          <w:color w:val="auto"/>
          <w:vertAlign w:val="superscript"/>
        </w:rPr>
      </w:pPr>
      <w:r>
        <w:rPr>
          <w:rFonts w:ascii="Arial" w:cs="Arial" w:eastAsia="Arial" w:hAnsi="Arial"/>
          <w:sz w:val="14"/>
          <w:szCs w:val="14"/>
          <w:color w:val="auto"/>
        </w:rPr>
        <w:t>The dollar values shown represent the grant date fair values for restricted stock and option awards calculated in accordance with ASC Topic 718. The assumptions used in determining the grant date fair values of these option awards are set forth in Note 11 to our consolidated financial statements for 2015, which are included in our Annual Report on Form 10-K for the fiscal year ended 2015, filed with the SEC. The named executive officers have no assurance that these amounts will be realized. The change in value of stock awards is due solely to the increase in share price as the same number of shares were granted each year. The restricted stock awards are subject to both time-based and performance-based vesting criteria. The performance-based criteria for awards granted in 2015 are described in the CD&amp;A under “Analysis of 2015 Compensation—Long-Term Stock Incentives,” and the vesting schedule for awards granted in 2015 is set forth in the notes to the 2015 Outstanding Equity Awards at Fiscal Year End Table below.</w:t>
      </w:r>
    </w:p>
    <w:p>
      <w:pPr>
        <w:spacing w:after="0" w:line="68" w:lineRule="exact"/>
        <w:rPr>
          <w:rFonts w:ascii="Arial" w:cs="Arial" w:eastAsia="Arial" w:hAnsi="Arial"/>
          <w:sz w:val="22"/>
          <w:szCs w:val="22"/>
          <w:color w:val="auto"/>
          <w:vertAlign w:val="superscript"/>
        </w:rPr>
      </w:pPr>
    </w:p>
    <w:p>
      <w:pPr>
        <w:ind w:left="340" w:right="380" w:hanging="332"/>
        <w:spacing w:after="0" w:line="180" w:lineRule="auto"/>
        <w:tabs>
          <w:tab w:leader="none" w:pos="340" w:val="left"/>
        </w:tabs>
        <w:numPr>
          <w:ilvl w:val="0"/>
          <w:numId w:val="57"/>
        </w:numPr>
        <w:rPr>
          <w:rFonts w:ascii="Arial" w:cs="Arial" w:eastAsia="Arial" w:hAnsi="Arial"/>
          <w:sz w:val="22"/>
          <w:szCs w:val="22"/>
          <w:color w:val="auto"/>
          <w:vertAlign w:val="superscript"/>
        </w:rPr>
      </w:pPr>
      <w:r>
        <w:rPr>
          <w:rFonts w:ascii="Arial" w:cs="Arial" w:eastAsia="Arial" w:hAnsi="Arial"/>
          <w:sz w:val="14"/>
          <w:szCs w:val="14"/>
          <w:color w:val="auto"/>
        </w:rPr>
        <w:t>The amounts in this column reflect payments made pursuant to our cash incentive bonus program, which is described above in the CD&amp;A under “Analysis of 2015 Compensation— Annual Cash Incentive” and “Analysis of 2015 Compensation—CEO Long-Term Cash Incentive.”</w:t>
      </w:r>
    </w:p>
    <w:p>
      <w:pPr>
        <w:ind w:left="340" w:hanging="332"/>
        <w:spacing w:after="0" w:line="217" w:lineRule="auto"/>
        <w:tabs>
          <w:tab w:leader="none" w:pos="340" w:val="left"/>
        </w:tabs>
        <w:numPr>
          <w:ilvl w:val="0"/>
          <w:numId w:val="57"/>
        </w:numPr>
        <w:rPr>
          <w:rFonts w:ascii="Arial" w:cs="Arial" w:eastAsia="Arial" w:hAnsi="Arial"/>
          <w:sz w:val="22"/>
          <w:szCs w:val="22"/>
          <w:color w:val="auto"/>
          <w:vertAlign w:val="superscript"/>
        </w:rPr>
      </w:pPr>
      <w:r>
        <w:rPr>
          <w:rFonts w:ascii="Arial" w:cs="Arial" w:eastAsia="Arial" w:hAnsi="Arial"/>
          <w:sz w:val="14"/>
          <w:szCs w:val="14"/>
          <w:color w:val="auto"/>
        </w:rPr>
        <w:t>The Non-Qualified Retirement Plan does not provide for “above-market” or preferential earnings as defined in applicable SEC rules.</w:t>
      </w:r>
    </w:p>
    <w:p>
      <w:pPr>
        <w:spacing w:after="0" w:line="68" w:lineRule="exact"/>
        <w:rPr>
          <w:rFonts w:ascii="Arial" w:cs="Arial" w:eastAsia="Arial" w:hAnsi="Arial"/>
          <w:sz w:val="22"/>
          <w:szCs w:val="22"/>
          <w:color w:val="auto"/>
          <w:vertAlign w:val="superscript"/>
        </w:rPr>
      </w:pPr>
    </w:p>
    <w:p>
      <w:pPr>
        <w:ind w:left="340" w:right="520" w:hanging="332"/>
        <w:spacing w:after="0" w:line="180" w:lineRule="auto"/>
        <w:tabs>
          <w:tab w:leader="none" w:pos="340" w:val="left"/>
        </w:tabs>
        <w:numPr>
          <w:ilvl w:val="0"/>
          <w:numId w:val="57"/>
        </w:numPr>
        <w:rPr>
          <w:rFonts w:ascii="Arial" w:cs="Arial" w:eastAsia="Arial" w:hAnsi="Arial"/>
          <w:sz w:val="22"/>
          <w:szCs w:val="22"/>
          <w:color w:val="auto"/>
          <w:vertAlign w:val="superscript"/>
        </w:rPr>
      </w:pPr>
      <w:r>
        <w:rPr>
          <w:rFonts w:ascii="Arial" w:cs="Arial" w:eastAsia="Arial" w:hAnsi="Arial"/>
          <w:sz w:val="14"/>
          <w:szCs w:val="14"/>
          <w:color w:val="auto"/>
        </w:rPr>
        <w:t>Amounts reported in the “All Other Compensation” column for 2015 include the following items. In respect of any of these items that constitute perquisites, the value shown is the Company’s incremental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-1353820</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color w:val="auto"/>
                <w:w w:val="94"/>
              </w:rPr>
              <w:t>Contributions</w:t>
            </w:r>
          </w:p>
        </w:tc>
        <w:tc>
          <w:tcPr>
            <w:tcW w:w="1160" w:type="dxa"/>
            <w:vAlign w:val="bottom"/>
          </w:tcPr>
          <w:p>
            <w:pPr>
              <w:spacing w:after="0"/>
              <w:rPr>
                <w:sz w:val="14"/>
                <w:szCs w:val="14"/>
                <w:color w:val="auto"/>
              </w:rPr>
            </w:pPr>
          </w:p>
        </w:tc>
      </w:tr>
      <w:tr>
        <w:trPr>
          <w:trHeight w:val="149"/>
        </w:trPr>
        <w:tc>
          <w:tcPr>
            <w:tcW w:w="26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6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Additional</w:t>
            </w:r>
          </w:p>
        </w:tc>
        <w:tc>
          <w:tcPr>
            <w:tcW w:w="1520" w:type="dxa"/>
            <w:vAlign w:val="bottom"/>
          </w:tcPr>
          <w:p>
            <w:pPr>
              <w:jc w:val="center"/>
              <w:spacing w:after="0" w:line="149" w:lineRule="exact"/>
              <w:rPr>
                <w:sz w:val="20"/>
                <w:szCs w:val="20"/>
                <w:color w:val="auto"/>
              </w:rPr>
            </w:pPr>
            <w:r>
              <w:rPr>
                <w:rFonts w:ascii="Arial" w:cs="Arial" w:eastAsia="Arial" w:hAnsi="Arial"/>
                <w:sz w:val="14"/>
                <w:szCs w:val="14"/>
                <w:color w:val="auto"/>
                <w:w w:val="97"/>
              </w:rPr>
              <w:t>to Defined</w:t>
            </w:r>
          </w:p>
        </w:tc>
        <w:tc>
          <w:tcPr>
            <w:tcW w:w="1160" w:type="dxa"/>
            <w:vAlign w:val="bottom"/>
          </w:tcPr>
          <w:p>
            <w:pPr>
              <w:spacing w:after="0"/>
              <w:rPr>
                <w:sz w:val="12"/>
                <w:szCs w:val="12"/>
                <w:color w:val="auto"/>
              </w:rPr>
            </w:pPr>
          </w:p>
        </w:tc>
      </w:tr>
      <w:tr>
        <w:trPr>
          <w:trHeight w:val="136"/>
        </w:trPr>
        <w:tc>
          <w:tcPr>
            <w:tcW w:w="2660" w:type="dxa"/>
            <w:vAlign w:val="bottom"/>
          </w:tcPr>
          <w:p>
            <w:pPr>
              <w:spacing w:after="0"/>
              <w:rPr>
                <w:sz w:val="11"/>
                <w:szCs w:val="11"/>
                <w:color w:val="auto"/>
              </w:rPr>
            </w:pPr>
          </w:p>
        </w:tc>
        <w:tc>
          <w:tcPr>
            <w:tcW w:w="2920" w:type="dxa"/>
            <w:vAlign w:val="bottom"/>
          </w:tcPr>
          <w:p>
            <w:pPr>
              <w:jc w:val="center"/>
              <w:ind w:left="1172"/>
              <w:spacing w:after="0" w:line="136" w:lineRule="exact"/>
              <w:rPr>
                <w:sz w:val="20"/>
                <w:szCs w:val="20"/>
                <w:color w:val="auto"/>
              </w:rPr>
            </w:pPr>
            <w:r>
              <w:rPr>
                <w:rFonts w:ascii="Arial" w:cs="Arial" w:eastAsia="Arial" w:hAnsi="Arial"/>
                <w:sz w:val="14"/>
                <w:szCs w:val="14"/>
                <w:color w:val="auto"/>
                <w:w w:val="97"/>
              </w:rPr>
              <w:t>Club</w:t>
            </w:r>
          </w:p>
        </w:tc>
        <w:tc>
          <w:tcPr>
            <w:tcW w:w="1440" w:type="dxa"/>
            <w:vAlign w:val="bottom"/>
          </w:tcPr>
          <w:p>
            <w:pPr>
              <w:jc w:val="right"/>
              <w:ind w:right="372"/>
              <w:spacing w:after="0" w:line="136" w:lineRule="exact"/>
              <w:rPr>
                <w:sz w:val="20"/>
                <w:szCs w:val="20"/>
                <w:color w:val="auto"/>
              </w:rPr>
            </w:pPr>
            <w:r>
              <w:rPr>
                <w:rFonts w:ascii="Arial" w:cs="Arial" w:eastAsia="Arial" w:hAnsi="Arial"/>
                <w:sz w:val="14"/>
                <w:szCs w:val="14"/>
                <w:color w:val="auto"/>
              </w:rPr>
              <w:t>Company</w:t>
            </w:r>
          </w:p>
        </w:tc>
        <w:tc>
          <w:tcPr>
            <w:tcW w:w="1360" w:type="dxa"/>
            <w:vAlign w:val="bottom"/>
          </w:tcPr>
          <w:p>
            <w:pPr>
              <w:jc w:val="center"/>
              <w:ind w:left="12"/>
              <w:spacing w:after="0" w:line="136" w:lineRule="exact"/>
              <w:rPr>
                <w:sz w:val="20"/>
                <w:szCs w:val="20"/>
                <w:color w:val="auto"/>
              </w:rPr>
            </w:pPr>
            <w:r>
              <w:rPr>
                <w:rFonts w:ascii="Arial" w:cs="Arial" w:eastAsia="Arial" w:hAnsi="Arial"/>
                <w:sz w:val="14"/>
                <w:szCs w:val="14"/>
                <w:color w:val="auto"/>
                <w:w w:val="99"/>
              </w:rPr>
              <w:t>Medical</w:t>
            </w:r>
          </w:p>
        </w:tc>
        <w:tc>
          <w:tcPr>
            <w:tcW w:w="1520" w:type="dxa"/>
            <w:vAlign w:val="bottom"/>
          </w:tcPr>
          <w:p>
            <w:pPr>
              <w:jc w:val="center"/>
              <w:spacing w:after="0" w:line="136" w:lineRule="exact"/>
              <w:rPr>
                <w:sz w:val="20"/>
                <w:szCs w:val="20"/>
                <w:color w:val="auto"/>
              </w:rPr>
            </w:pPr>
            <w:r>
              <w:rPr>
                <w:rFonts w:ascii="Arial" w:cs="Arial" w:eastAsia="Arial" w:hAnsi="Arial"/>
                <w:sz w:val="14"/>
                <w:szCs w:val="14"/>
                <w:color w:val="auto"/>
                <w:w w:val="97"/>
              </w:rPr>
              <w:t>Contribution</w:t>
            </w:r>
          </w:p>
        </w:tc>
        <w:tc>
          <w:tcPr>
            <w:tcW w:w="1160" w:type="dxa"/>
            <w:vAlign w:val="bottom"/>
          </w:tcPr>
          <w:p>
            <w:pPr>
              <w:jc w:val="center"/>
              <w:ind w:left="152"/>
              <w:spacing w:after="0" w:line="136" w:lineRule="exact"/>
              <w:rPr>
                <w:sz w:val="20"/>
                <w:szCs w:val="20"/>
                <w:color w:val="auto"/>
              </w:rPr>
            </w:pPr>
            <w:r>
              <w:rPr>
                <w:rFonts w:ascii="Arial" w:cs="Arial" w:eastAsia="Arial" w:hAnsi="Arial"/>
                <w:sz w:val="14"/>
                <w:szCs w:val="14"/>
                <w:color w:val="auto"/>
                <w:w w:val="96"/>
              </w:rPr>
              <w:t>Financial</w:t>
            </w:r>
          </w:p>
        </w:tc>
      </w:tr>
      <w:tr>
        <w:trPr>
          <w:trHeight w:val="161"/>
        </w:trPr>
        <w:tc>
          <w:tcPr>
            <w:tcW w:w="2660" w:type="dxa"/>
            <w:vAlign w:val="bottom"/>
          </w:tcPr>
          <w:p>
            <w:pPr>
              <w:spacing w:after="0"/>
              <w:rPr>
                <w:sz w:val="14"/>
                <w:szCs w:val="14"/>
                <w:color w:val="auto"/>
              </w:rPr>
            </w:pPr>
          </w:p>
        </w:tc>
        <w:tc>
          <w:tcPr>
            <w:tcW w:w="2920" w:type="dxa"/>
            <w:vAlign w:val="bottom"/>
          </w:tcPr>
          <w:p>
            <w:pPr>
              <w:jc w:val="center"/>
              <w:ind w:left="1192"/>
              <w:spacing w:after="0"/>
              <w:rPr>
                <w:sz w:val="20"/>
                <w:szCs w:val="20"/>
                <w:color w:val="auto"/>
              </w:rPr>
            </w:pPr>
            <w:r>
              <w:rPr>
                <w:rFonts w:ascii="Arial" w:cs="Arial" w:eastAsia="Arial" w:hAnsi="Arial"/>
                <w:sz w:val="14"/>
                <w:szCs w:val="14"/>
                <w:color w:val="auto"/>
                <w:w w:val="97"/>
              </w:rPr>
              <w:t>Memberships</w:t>
            </w:r>
          </w:p>
        </w:tc>
        <w:tc>
          <w:tcPr>
            <w:tcW w:w="1440" w:type="dxa"/>
            <w:vAlign w:val="bottom"/>
          </w:tcPr>
          <w:p>
            <w:pPr>
              <w:jc w:val="right"/>
              <w:ind w:right="552"/>
              <w:spacing w:after="0"/>
              <w:rPr>
                <w:sz w:val="20"/>
                <w:szCs w:val="20"/>
                <w:color w:val="auto"/>
              </w:rPr>
            </w:pPr>
            <w:r>
              <w:rPr>
                <w:rFonts w:ascii="Arial" w:cs="Arial" w:eastAsia="Arial" w:hAnsi="Arial"/>
                <w:sz w:val="14"/>
                <w:szCs w:val="14"/>
                <w:color w:val="auto"/>
              </w:rPr>
              <w:t>Car</w:t>
            </w:r>
          </w:p>
        </w:tc>
        <w:tc>
          <w:tcPr>
            <w:tcW w:w="1360" w:type="dxa"/>
            <w:vAlign w:val="bottom"/>
          </w:tcPr>
          <w:p>
            <w:pPr>
              <w:jc w:val="center"/>
              <w:ind w:left="12"/>
              <w:spacing w:after="0"/>
              <w:rPr>
                <w:sz w:val="20"/>
                <w:szCs w:val="20"/>
                <w:color w:val="auto"/>
              </w:rPr>
            </w:pPr>
            <w:r>
              <w:rPr>
                <w:rFonts w:ascii="Arial" w:cs="Arial" w:eastAsia="Arial" w:hAnsi="Arial"/>
                <w:sz w:val="14"/>
                <w:szCs w:val="14"/>
                <w:color w:val="auto"/>
                <w:w w:val="94"/>
              </w:rPr>
              <w:t>Benefits</w:t>
            </w:r>
          </w:p>
        </w:tc>
        <w:tc>
          <w:tcPr>
            <w:tcW w:w="1520" w:type="dxa"/>
            <w:vAlign w:val="bottom"/>
          </w:tcPr>
          <w:p>
            <w:pPr>
              <w:jc w:val="center"/>
              <w:spacing w:after="0" w:line="162" w:lineRule="exact"/>
              <w:rPr>
                <w:sz w:val="20"/>
                <w:szCs w:val="20"/>
                <w:color w:val="auto"/>
              </w:rPr>
            </w:pPr>
            <w:r>
              <w:rPr>
                <w:rFonts w:ascii="Arial" w:cs="Arial" w:eastAsia="Arial" w:hAnsi="Arial"/>
                <w:sz w:val="12"/>
                <w:szCs w:val="12"/>
                <w:color w:val="auto"/>
              </w:rPr>
              <w:t>Plans</w:t>
            </w:r>
            <w:r>
              <w:rPr>
                <w:rFonts w:ascii="Arial" w:cs="Arial" w:eastAsia="Arial" w:hAnsi="Arial"/>
                <w:sz w:val="18"/>
                <w:szCs w:val="18"/>
                <w:color w:val="auto"/>
                <w:vertAlign w:val="superscript"/>
              </w:rPr>
              <w:t>(a)</w:t>
            </w:r>
          </w:p>
        </w:tc>
        <w:tc>
          <w:tcPr>
            <w:tcW w:w="1160" w:type="dxa"/>
            <w:vAlign w:val="bottom"/>
          </w:tcPr>
          <w:p>
            <w:pPr>
              <w:jc w:val="center"/>
              <w:ind w:left="132"/>
              <w:spacing w:after="0"/>
              <w:rPr>
                <w:sz w:val="20"/>
                <w:szCs w:val="20"/>
                <w:color w:val="auto"/>
              </w:rPr>
            </w:pPr>
            <w:r>
              <w:rPr>
                <w:rFonts w:ascii="Arial" w:cs="Arial" w:eastAsia="Arial" w:hAnsi="Arial"/>
                <w:sz w:val="14"/>
                <w:szCs w:val="14"/>
                <w:color w:val="auto"/>
                <w:w w:val="95"/>
              </w:rPr>
              <w:t>Planning</w:t>
            </w:r>
          </w:p>
        </w:tc>
      </w:tr>
      <w:tr>
        <w:trPr>
          <w:trHeight w:val="163"/>
        </w:trPr>
        <w:tc>
          <w:tcPr>
            <w:tcW w:w="26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Name</w:t>
            </w:r>
          </w:p>
        </w:tc>
        <w:tc>
          <w:tcPr>
            <w:tcW w:w="2920" w:type="dxa"/>
            <w:vAlign w:val="bottom"/>
            <w:tcBorders>
              <w:bottom w:val="single" w:sz="8" w:color="auto"/>
            </w:tcBorders>
          </w:tcPr>
          <w:p>
            <w:pPr>
              <w:jc w:val="center"/>
              <w:ind w:left="1172"/>
              <w:spacing w:after="0"/>
              <w:rPr>
                <w:sz w:val="20"/>
                <w:szCs w:val="20"/>
                <w:color w:val="auto"/>
              </w:rPr>
            </w:pPr>
            <w:r>
              <w:rPr>
                <w:rFonts w:ascii="Arial" w:cs="Arial" w:eastAsia="Arial" w:hAnsi="Arial"/>
                <w:sz w:val="14"/>
                <w:szCs w:val="14"/>
                <w:color w:val="auto"/>
                <w:w w:val="93"/>
              </w:rPr>
              <w:t>($)</w:t>
            </w:r>
          </w:p>
        </w:tc>
        <w:tc>
          <w:tcPr>
            <w:tcW w:w="144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center"/>
              <w:ind w:left="12"/>
              <w:spacing w:after="0"/>
              <w:rPr>
                <w:sz w:val="20"/>
                <w:szCs w:val="20"/>
                <w:color w:val="auto"/>
              </w:rPr>
            </w:pPr>
            <w:r>
              <w:rPr>
                <w:rFonts w:ascii="Arial" w:cs="Arial" w:eastAsia="Arial" w:hAnsi="Arial"/>
                <w:sz w:val="14"/>
                <w:szCs w:val="14"/>
                <w:color w:val="auto"/>
                <w:w w:val="93"/>
              </w:rPr>
              <w:t>($)</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center"/>
              <w:ind w:left="132"/>
              <w:spacing w:after="0"/>
              <w:rPr>
                <w:sz w:val="20"/>
                <w:szCs w:val="20"/>
                <w:color w:val="auto"/>
              </w:rPr>
            </w:pPr>
            <w:r>
              <w:rPr>
                <w:rFonts w:ascii="Arial" w:cs="Arial" w:eastAsia="Arial" w:hAnsi="Arial"/>
                <w:sz w:val="14"/>
                <w:szCs w:val="14"/>
                <w:color w:val="auto"/>
                <w:w w:val="93"/>
              </w:rPr>
              <w:t>($)</w:t>
            </w:r>
          </w:p>
        </w:tc>
      </w:tr>
      <w:tr>
        <w:trPr>
          <w:trHeight w:val="141"/>
        </w:trPr>
        <w:tc>
          <w:tcPr>
            <w:tcW w:w="2660" w:type="dxa"/>
            <w:vAlign w:val="bottom"/>
          </w:tcPr>
          <w:p>
            <w:pPr>
              <w:spacing w:after="0" w:line="141" w:lineRule="exact"/>
              <w:rPr>
                <w:sz w:val="20"/>
                <w:szCs w:val="20"/>
                <w:color w:val="auto"/>
              </w:rPr>
            </w:pPr>
            <w:r>
              <w:rPr>
                <w:rFonts w:ascii="Arial" w:cs="Arial" w:eastAsia="Arial" w:hAnsi="Arial"/>
                <w:sz w:val="14"/>
                <w:szCs w:val="14"/>
                <w:color w:val="auto"/>
              </w:rPr>
              <w:t>Brian D. Jellison</w:t>
            </w:r>
          </w:p>
        </w:tc>
        <w:tc>
          <w:tcPr>
            <w:tcW w:w="2920" w:type="dxa"/>
            <w:vAlign w:val="bottom"/>
          </w:tcPr>
          <w:p>
            <w:pPr>
              <w:jc w:val="right"/>
              <w:ind w:right="352"/>
              <w:spacing w:after="0" w:line="141" w:lineRule="exact"/>
              <w:rPr>
                <w:sz w:val="20"/>
                <w:szCs w:val="20"/>
                <w:color w:val="auto"/>
              </w:rPr>
            </w:pPr>
            <w:r>
              <w:rPr>
                <w:rFonts w:ascii="Arial" w:cs="Arial" w:eastAsia="Arial" w:hAnsi="Arial"/>
                <w:sz w:val="14"/>
                <w:szCs w:val="14"/>
                <w:color w:val="auto"/>
              </w:rPr>
              <w:t>380</w:t>
            </w:r>
          </w:p>
        </w:tc>
        <w:tc>
          <w:tcPr>
            <w:tcW w:w="1440" w:type="dxa"/>
            <w:vAlign w:val="bottom"/>
          </w:tcPr>
          <w:p>
            <w:pPr>
              <w:jc w:val="right"/>
              <w:ind w:right="372"/>
              <w:spacing w:after="0" w:line="141" w:lineRule="exact"/>
              <w:rPr>
                <w:sz w:val="20"/>
                <w:szCs w:val="20"/>
                <w:color w:val="auto"/>
              </w:rPr>
            </w:pPr>
            <w:r>
              <w:rPr>
                <w:rFonts w:ascii="Arial" w:cs="Arial" w:eastAsia="Arial" w:hAnsi="Arial"/>
                <w:sz w:val="14"/>
                <w:szCs w:val="14"/>
                <w:color w:val="auto"/>
              </w:rPr>
              <w:t>24,000</w:t>
            </w:r>
          </w:p>
        </w:tc>
        <w:tc>
          <w:tcPr>
            <w:tcW w:w="1360" w:type="dxa"/>
            <w:vAlign w:val="bottom"/>
          </w:tcPr>
          <w:p>
            <w:pPr>
              <w:jc w:val="right"/>
              <w:ind w:right="272"/>
              <w:spacing w:after="0" w:line="141" w:lineRule="exact"/>
              <w:rPr>
                <w:sz w:val="20"/>
                <w:szCs w:val="20"/>
                <w:color w:val="auto"/>
              </w:rPr>
            </w:pPr>
            <w:r>
              <w:rPr>
                <w:rFonts w:ascii="Arial" w:cs="Arial" w:eastAsia="Arial" w:hAnsi="Arial"/>
                <w:sz w:val="14"/>
                <w:szCs w:val="14"/>
                <w:color w:val="auto"/>
              </w:rPr>
              <w:t>4,800</w:t>
            </w:r>
          </w:p>
        </w:tc>
        <w:tc>
          <w:tcPr>
            <w:tcW w:w="1520" w:type="dxa"/>
            <w:vAlign w:val="bottom"/>
          </w:tcPr>
          <w:p>
            <w:pPr>
              <w:jc w:val="right"/>
              <w:ind w:right="334"/>
              <w:spacing w:after="0" w:line="141" w:lineRule="exact"/>
              <w:rPr>
                <w:sz w:val="20"/>
                <w:szCs w:val="20"/>
                <w:color w:val="auto"/>
              </w:rPr>
            </w:pPr>
            <w:r>
              <w:rPr>
                <w:rFonts w:ascii="Arial" w:cs="Arial" w:eastAsia="Arial" w:hAnsi="Arial"/>
                <w:sz w:val="14"/>
                <w:szCs w:val="14"/>
                <w:color w:val="auto"/>
              </w:rPr>
              <w:t>91,875</w:t>
            </w:r>
          </w:p>
        </w:tc>
        <w:tc>
          <w:tcPr>
            <w:tcW w:w="1160" w:type="dxa"/>
            <w:vAlign w:val="bottom"/>
          </w:tcPr>
          <w:p>
            <w:pPr>
              <w:jc w:val="right"/>
              <w:ind w:right="132"/>
              <w:spacing w:after="0" w:line="141" w:lineRule="exact"/>
              <w:rPr>
                <w:sz w:val="20"/>
                <w:szCs w:val="20"/>
                <w:color w:val="auto"/>
              </w:rPr>
            </w:pPr>
            <w:r>
              <w:rPr>
                <w:rFonts w:ascii="Arial" w:cs="Arial" w:eastAsia="Arial" w:hAnsi="Arial"/>
                <w:sz w:val="14"/>
                <w:szCs w:val="14"/>
                <w:color w:val="auto"/>
              </w:rPr>
              <w:t>6,025</w:t>
            </w:r>
          </w:p>
        </w:tc>
      </w:tr>
      <w:tr>
        <w:trPr>
          <w:trHeight w:val="149"/>
        </w:trPr>
        <w:tc>
          <w:tcPr>
            <w:tcW w:w="2660" w:type="dxa"/>
            <w:vAlign w:val="bottom"/>
          </w:tcPr>
          <w:p>
            <w:pPr>
              <w:spacing w:after="0" w:line="149" w:lineRule="exact"/>
              <w:rPr>
                <w:sz w:val="20"/>
                <w:szCs w:val="20"/>
                <w:color w:val="auto"/>
              </w:rPr>
            </w:pPr>
            <w:r>
              <w:rPr>
                <w:rFonts w:ascii="Arial" w:cs="Arial" w:eastAsia="Arial" w:hAnsi="Arial"/>
                <w:sz w:val="14"/>
                <w:szCs w:val="14"/>
                <w:color w:val="auto"/>
              </w:rPr>
              <w:t>John Humphrey</w:t>
            </w:r>
          </w:p>
        </w:tc>
        <w:tc>
          <w:tcPr>
            <w:tcW w:w="292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8,320</w:t>
            </w:r>
          </w:p>
        </w:tc>
        <w:tc>
          <w:tcPr>
            <w:tcW w:w="144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24,000</w:t>
            </w:r>
          </w:p>
        </w:tc>
        <w:tc>
          <w:tcPr>
            <w:tcW w:w="136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2,800</w:t>
            </w:r>
          </w:p>
        </w:tc>
        <w:tc>
          <w:tcPr>
            <w:tcW w:w="1520" w:type="dxa"/>
            <w:vAlign w:val="bottom"/>
          </w:tcPr>
          <w:p>
            <w:pPr>
              <w:jc w:val="right"/>
              <w:ind w:right="334"/>
              <w:spacing w:after="0" w:line="149" w:lineRule="exact"/>
              <w:rPr>
                <w:sz w:val="20"/>
                <w:szCs w:val="20"/>
                <w:color w:val="auto"/>
              </w:rPr>
            </w:pPr>
            <w:r>
              <w:rPr>
                <w:rFonts w:ascii="Arial" w:cs="Arial" w:eastAsia="Arial" w:hAnsi="Arial"/>
                <w:sz w:val="14"/>
                <w:szCs w:val="14"/>
                <w:color w:val="auto"/>
              </w:rPr>
              <w:t>143,812</w:t>
            </w:r>
          </w:p>
        </w:tc>
        <w:tc>
          <w:tcPr>
            <w:tcW w:w="11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870</w:t>
            </w:r>
          </w:p>
        </w:tc>
      </w:tr>
      <w:tr>
        <w:trPr>
          <w:trHeight w:val="149"/>
        </w:trPr>
        <w:tc>
          <w:tcPr>
            <w:tcW w:w="2660" w:type="dxa"/>
            <w:vAlign w:val="bottom"/>
          </w:tcPr>
          <w:p>
            <w:pPr>
              <w:spacing w:after="0" w:line="149" w:lineRule="exact"/>
              <w:rPr>
                <w:sz w:val="20"/>
                <w:szCs w:val="20"/>
                <w:color w:val="auto"/>
              </w:rPr>
            </w:pPr>
            <w:r>
              <w:rPr>
                <w:rFonts w:ascii="Arial" w:cs="Arial" w:eastAsia="Arial" w:hAnsi="Arial"/>
                <w:sz w:val="14"/>
                <w:szCs w:val="14"/>
                <w:color w:val="auto"/>
              </w:rPr>
              <w:t>David B. Liner</w:t>
            </w:r>
          </w:p>
        </w:tc>
        <w:tc>
          <w:tcPr>
            <w:tcW w:w="292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3,054</w:t>
            </w:r>
          </w:p>
        </w:tc>
        <w:tc>
          <w:tcPr>
            <w:tcW w:w="144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19,000</w:t>
            </w:r>
          </w:p>
        </w:tc>
        <w:tc>
          <w:tcPr>
            <w:tcW w:w="136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3,800</w:t>
            </w:r>
          </w:p>
        </w:tc>
        <w:tc>
          <w:tcPr>
            <w:tcW w:w="1520" w:type="dxa"/>
            <w:vAlign w:val="bottom"/>
          </w:tcPr>
          <w:p>
            <w:pPr>
              <w:jc w:val="right"/>
              <w:ind w:right="334"/>
              <w:spacing w:after="0" w:line="149" w:lineRule="exact"/>
              <w:rPr>
                <w:sz w:val="20"/>
                <w:szCs w:val="20"/>
                <w:color w:val="auto"/>
              </w:rPr>
            </w:pPr>
            <w:r>
              <w:rPr>
                <w:rFonts w:ascii="Arial" w:cs="Arial" w:eastAsia="Arial" w:hAnsi="Arial"/>
                <w:sz w:val="14"/>
                <w:szCs w:val="14"/>
                <w:color w:val="auto"/>
              </w:rPr>
              <w:t>67,500</w:t>
            </w:r>
          </w:p>
        </w:tc>
        <w:tc>
          <w:tcPr>
            <w:tcW w:w="116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r>
      <w:tr>
        <w:trPr>
          <w:trHeight w:val="162"/>
        </w:trPr>
        <w:tc>
          <w:tcPr>
            <w:tcW w:w="2660" w:type="dxa"/>
            <w:vAlign w:val="bottom"/>
          </w:tcPr>
          <w:p>
            <w:pPr>
              <w:spacing w:after="0"/>
              <w:rPr>
                <w:sz w:val="20"/>
                <w:szCs w:val="20"/>
                <w:color w:val="auto"/>
              </w:rPr>
            </w:pPr>
            <w:r>
              <w:rPr>
                <w:rFonts w:ascii="Arial" w:cs="Arial" w:eastAsia="Arial" w:hAnsi="Arial"/>
                <w:sz w:val="14"/>
                <w:szCs w:val="14"/>
                <w:color w:val="auto"/>
              </w:rPr>
              <w:t>Paul J. Soni</w:t>
            </w:r>
          </w:p>
        </w:tc>
        <w:tc>
          <w:tcPr>
            <w:tcW w:w="2920" w:type="dxa"/>
            <w:vAlign w:val="bottom"/>
          </w:tcPr>
          <w:p>
            <w:pPr>
              <w:jc w:val="right"/>
              <w:ind w:right="352"/>
              <w:spacing w:after="0"/>
              <w:rPr>
                <w:sz w:val="20"/>
                <w:szCs w:val="20"/>
                <w:color w:val="auto"/>
              </w:rPr>
            </w:pPr>
            <w:r>
              <w:rPr>
                <w:rFonts w:ascii="Arial" w:cs="Arial" w:eastAsia="Arial" w:hAnsi="Arial"/>
                <w:sz w:val="14"/>
                <w:szCs w:val="14"/>
                <w:color w:val="auto"/>
              </w:rPr>
              <w:t>8,320</w:t>
            </w:r>
          </w:p>
        </w:tc>
        <w:tc>
          <w:tcPr>
            <w:tcW w:w="1440" w:type="dxa"/>
            <w:vAlign w:val="bottom"/>
          </w:tcPr>
          <w:p>
            <w:pPr>
              <w:jc w:val="right"/>
              <w:ind w:right="372"/>
              <w:spacing w:after="0"/>
              <w:rPr>
                <w:sz w:val="20"/>
                <w:szCs w:val="20"/>
                <w:color w:val="auto"/>
              </w:rPr>
            </w:pPr>
            <w:r>
              <w:rPr>
                <w:rFonts w:ascii="Arial" w:cs="Arial" w:eastAsia="Arial" w:hAnsi="Arial"/>
                <w:sz w:val="14"/>
                <w:szCs w:val="14"/>
                <w:color w:val="auto"/>
              </w:rPr>
              <w:t>19,000</w:t>
            </w:r>
          </w:p>
        </w:tc>
        <w:tc>
          <w:tcPr>
            <w:tcW w:w="1360" w:type="dxa"/>
            <w:vAlign w:val="bottom"/>
          </w:tcPr>
          <w:p>
            <w:pPr>
              <w:jc w:val="right"/>
              <w:ind w:right="272"/>
              <w:spacing w:after="0"/>
              <w:rPr>
                <w:sz w:val="20"/>
                <w:szCs w:val="20"/>
                <w:color w:val="auto"/>
              </w:rPr>
            </w:pPr>
            <w:r>
              <w:rPr>
                <w:rFonts w:ascii="Arial" w:cs="Arial" w:eastAsia="Arial" w:hAnsi="Arial"/>
                <w:sz w:val="14"/>
                <w:szCs w:val="14"/>
                <w:color w:val="auto"/>
              </w:rPr>
              <w:t>3,800</w:t>
            </w:r>
          </w:p>
        </w:tc>
        <w:tc>
          <w:tcPr>
            <w:tcW w:w="1520" w:type="dxa"/>
            <w:vAlign w:val="bottom"/>
          </w:tcPr>
          <w:p>
            <w:pPr>
              <w:jc w:val="right"/>
              <w:ind w:right="334"/>
              <w:spacing w:after="0"/>
              <w:rPr>
                <w:sz w:val="20"/>
                <w:szCs w:val="20"/>
                <w:color w:val="auto"/>
              </w:rPr>
            </w:pPr>
            <w:r>
              <w:rPr>
                <w:rFonts w:ascii="Arial" w:cs="Arial" w:eastAsia="Arial" w:hAnsi="Arial"/>
                <w:sz w:val="14"/>
                <w:szCs w:val="14"/>
                <w:color w:val="auto"/>
              </w:rPr>
              <w:t>55,350</w:t>
            </w:r>
          </w:p>
        </w:tc>
        <w:tc>
          <w:tcPr>
            <w:tcW w:w="1160" w:type="dxa"/>
            <w:vAlign w:val="bottom"/>
          </w:tcPr>
          <w:p>
            <w:pPr>
              <w:jc w:val="right"/>
              <w:ind w:right="212"/>
              <w:spacing w:after="0"/>
              <w:rPr>
                <w:sz w:val="20"/>
                <w:szCs w:val="20"/>
                <w:color w:val="auto"/>
              </w:rPr>
            </w:pPr>
            <w:r>
              <w:rPr>
                <w:rFonts w:ascii="Arial" w:cs="Arial" w:eastAsia="Arial" w:hAnsi="Arial"/>
                <w:sz w:val="14"/>
                <w:szCs w:val="14"/>
                <w:color w:val="auto"/>
              </w:rPr>
              <w:t>-</w:t>
            </w:r>
          </w:p>
        </w:tc>
      </w:tr>
    </w:tbl>
    <w:p>
      <w:pPr>
        <w:ind w:left="340" w:hanging="332"/>
        <w:spacing w:after="0" w:line="217" w:lineRule="auto"/>
        <w:tabs>
          <w:tab w:leader="none" w:pos="340" w:val="left"/>
        </w:tabs>
        <w:numPr>
          <w:ilvl w:val="0"/>
          <w:numId w:val="58"/>
        </w:numPr>
        <w:rPr>
          <w:rFonts w:ascii="Arial" w:cs="Arial" w:eastAsia="Arial" w:hAnsi="Arial"/>
          <w:sz w:val="22"/>
          <w:szCs w:val="22"/>
          <w:color w:val="auto"/>
          <w:vertAlign w:val="superscript"/>
        </w:rPr>
      </w:pPr>
      <w:r>
        <w:rPr>
          <w:rFonts w:ascii="Arial" w:cs="Arial" w:eastAsia="Arial" w:hAnsi="Arial"/>
          <w:sz w:val="14"/>
          <w:szCs w:val="14"/>
          <w:color w:val="auto"/>
        </w:rPr>
        <w:t>Reflects contributions to the Non-Qualified Retirement Plan and Employee’s Retirement Savings 003 Plan.</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336"/>
        </w:trPr>
        <w:tc>
          <w:tcPr>
            <w:tcW w:w="340" w:type="dxa"/>
            <w:vAlign w:val="bottom"/>
            <w:tcBorders>
              <w:right w:val="single" w:sz="8" w:color="225CAB"/>
            </w:tcBorders>
          </w:tcPr>
          <w:p>
            <w:pPr>
              <w:jc w:val="right"/>
              <w:ind w:right="52"/>
              <w:spacing w:after="0"/>
              <w:rPr>
                <w:sz w:val="20"/>
                <w:szCs w:val="20"/>
                <w:color w:val="auto"/>
              </w:rPr>
            </w:pPr>
            <w:r>
              <w:rPr>
                <w:rFonts w:ascii="Arial" w:cs="Arial" w:eastAsia="Arial" w:hAnsi="Arial"/>
                <w:sz w:val="18"/>
                <w:szCs w:val="18"/>
                <w:b w:val="1"/>
                <w:bCs w:val="1"/>
                <w:color w:val="225CAB"/>
                <w:w w:val="89"/>
              </w:rPr>
              <w:t>34</w:t>
            </w:r>
          </w:p>
        </w:tc>
        <w:tc>
          <w:tcPr>
            <w:tcW w:w="5180" w:type="dxa"/>
            <w:vAlign w:val="bottom"/>
          </w:tcPr>
          <w:p>
            <w:pPr>
              <w:ind w:left="1240"/>
              <w:spacing w:after="0"/>
              <w:rPr>
                <w:sz w:val="20"/>
                <w:szCs w:val="20"/>
                <w:color w:val="auto"/>
              </w:rPr>
            </w:pPr>
            <w:r>
              <w:rPr>
                <w:rFonts w:ascii="Arial" w:cs="Arial" w:eastAsia="Arial" w:hAnsi="Arial"/>
                <w:sz w:val="18"/>
                <w:szCs w:val="18"/>
                <w:b w:val="1"/>
                <w:bCs w:val="1"/>
                <w:color w:val="225CAB"/>
                <w:w w:val="96"/>
              </w:rPr>
              <w:t>Roper Technologies, Inc. 2016 Proxy Statement</w:t>
            </w:r>
          </w:p>
        </w:tc>
      </w:tr>
      <w:tr>
        <w:trPr>
          <w:trHeight w:val="110"/>
        </w:trPr>
        <w:tc>
          <w:tcPr>
            <w:tcW w:w="340" w:type="dxa"/>
            <w:vAlign w:val="bottom"/>
            <w:tcBorders>
              <w:right w:val="single" w:sz="8" w:color="225CAB"/>
            </w:tcBorders>
          </w:tcPr>
          <w:p>
            <w:pPr>
              <w:spacing w:after="0"/>
              <w:rPr>
                <w:sz w:val="9"/>
                <w:szCs w:val="9"/>
                <w:color w:val="auto"/>
              </w:rPr>
            </w:pPr>
          </w:p>
        </w:tc>
        <w:tc>
          <w:tcPr>
            <w:tcW w:w="518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-248285</wp:posOffset>
            </wp:positionV>
            <wp:extent cx="420370" cy="2057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225CAB"/>
        </w:rPr>
        <w:t xml:space="preserve">EXECUTIVE COMPENSATION </w:t>
      </w:r>
      <w:r>
        <w:rPr>
          <w:rFonts w:ascii="Arial" w:cs="Arial" w:eastAsia="Arial" w:hAnsi="Arial"/>
          <w:sz w:val="18"/>
          <w:szCs w:val="18"/>
          <w:i w:val="1"/>
          <w:iCs w:val="1"/>
          <w:color w:val="225CAB"/>
        </w:rPr>
        <w:t>(CONTINUED)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Grants of Plan-Based Awards</w:t>
      </w:r>
    </w:p>
    <w:p>
      <w:pPr>
        <w:spacing w:after="0" w:line="97"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The following table sets forth certain information with respect to grants of plan-based awards for the fiscal year ended December 31, 2015 to the named executive officers.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40" w:type="dxa"/>
            <w:vAlign w:val="bottom"/>
            <w:shd w:val="clear" w:color="auto" w:fill="225CAB"/>
          </w:tcPr>
          <w:p>
            <w:pPr>
              <w:spacing w:after="0"/>
              <w:rPr>
                <w:sz w:val="14"/>
                <w:szCs w:val="14"/>
                <w:color w:val="auto"/>
              </w:rPr>
            </w:pPr>
          </w:p>
        </w:tc>
        <w:tc>
          <w:tcPr>
            <w:tcW w:w="1100" w:type="dxa"/>
            <w:vAlign w:val="bottom"/>
            <w:shd w:val="clear" w:color="auto" w:fill="225CAB"/>
          </w:tcPr>
          <w:p>
            <w:pPr>
              <w:spacing w:after="0"/>
              <w:rPr>
                <w:sz w:val="14"/>
                <w:szCs w:val="14"/>
                <w:color w:val="auto"/>
              </w:rPr>
            </w:pPr>
          </w:p>
        </w:tc>
        <w:tc>
          <w:tcPr>
            <w:tcW w:w="880" w:type="dxa"/>
            <w:vAlign w:val="bottom"/>
            <w:shd w:val="clear" w:color="auto" w:fill="225CAB"/>
          </w:tcPr>
          <w:p>
            <w:pPr>
              <w:spacing w:after="0"/>
              <w:rPr>
                <w:sz w:val="14"/>
                <w:szCs w:val="14"/>
                <w:color w:val="auto"/>
              </w:rPr>
            </w:pPr>
          </w:p>
        </w:tc>
        <w:tc>
          <w:tcPr>
            <w:tcW w:w="1200" w:type="dxa"/>
            <w:vAlign w:val="bottom"/>
            <w:shd w:val="clear" w:color="auto" w:fill="225CAB"/>
          </w:tcPr>
          <w:p>
            <w:pPr>
              <w:spacing w:after="0"/>
              <w:rPr>
                <w:sz w:val="14"/>
                <w:szCs w:val="14"/>
                <w:color w:val="auto"/>
              </w:rPr>
            </w:pPr>
          </w:p>
        </w:tc>
        <w:tc>
          <w:tcPr>
            <w:tcW w:w="900" w:type="dxa"/>
            <w:vAlign w:val="bottom"/>
            <w:shd w:val="clear" w:color="auto" w:fill="225CAB"/>
          </w:tcPr>
          <w:p>
            <w:pPr>
              <w:spacing w:after="0"/>
              <w:rPr>
                <w:sz w:val="14"/>
                <w:szCs w:val="14"/>
                <w:color w:val="auto"/>
              </w:rPr>
            </w:pPr>
          </w:p>
        </w:tc>
        <w:tc>
          <w:tcPr>
            <w:tcW w:w="1100" w:type="dxa"/>
            <w:vAlign w:val="bottom"/>
            <w:shd w:val="clear" w:color="auto" w:fill="225CAB"/>
          </w:tcPr>
          <w:p>
            <w:pPr>
              <w:jc w:val="center"/>
              <w:ind w:right="113"/>
              <w:spacing w:after="0"/>
              <w:rPr>
                <w:sz w:val="20"/>
                <w:szCs w:val="20"/>
                <w:color w:val="auto"/>
              </w:rPr>
            </w:pPr>
            <w:r>
              <w:rPr>
                <w:rFonts w:ascii="Arial" w:cs="Arial" w:eastAsia="Arial" w:hAnsi="Arial"/>
                <w:sz w:val="14"/>
                <w:szCs w:val="14"/>
                <w:color w:val="FFFFFF"/>
                <w:w w:val="96"/>
              </w:rPr>
              <w:t>Estimated</w:t>
            </w:r>
          </w:p>
        </w:tc>
        <w:tc>
          <w:tcPr>
            <w:tcW w:w="1040" w:type="dxa"/>
            <w:vAlign w:val="bottom"/>
            <w:shd w:val="clear" w:color="auto" w:fill="225CAB"/>
          </w:tcPr>
          <w:p>
            <w:pPr>
              <w:spacing w:after="0"/>
              <w:rPr>
                <w:sz w:val="14"/>
                <w:szCs w:val="14"/>
                <w:color w:val="auto"/>
              </w:rPr>
            </w:pPr>
          </w:p>
        </w:tc>
        <w:tc>
          <w:tcPr>
            <w:tcW w:w="1240" w:type="dxa"/>
            <w:vAlign w:val="bottom"/>
            <w:shd w:val="clear" w:color="auto" w:fill="225CAB"/>
          </w:tcPr>
          <w:p>
            <w:pPr>
              <w:spacing w:after="0"/>
              <w:rPr>
                <w:sz w:val="14"/>
                <w:szCs w:val="14"/>
                <w:color w:val="auto"/>
              </w:rPr>
            </w:pPr>
          </w:p>
        </w:tc>
        <w:tc>
          <w:tcPr>
            <w:tcW w:w="1100" w:type="dxa"/>
            <w:vAlign w:val="bottom"/>
            <w:shd w:val="clear" w:color="auto" w:fill="225CAB"/>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shd w:val="clear" w:color="auto" w:fill="225CAB"/>
          </w:tcPr>
          <w:p>
            <w:pPr>
              <w:spacing w:after="0"/>
              <w:rPr>
                <w:sz w:val="12"/>
                <w:szCs w:val="12"/>
                <w:color w:val="auto"/>
              </w:rPr>
            </w:pPr>
          </w:p>
        </w:tc>
        <w:tc>
          <w:tcPr>
            <w:tcW w:w="1100" w:type="dxa"/>
            <w:vAlign w:val="bottom"/>
            <w:shd w:val="clear" w:color="auto" w:fill="225CAB"/>
          </w:tcPr>
          <w:p>
            <w:pPr>
              <w:spacing w:after="0"/>
              <w:rPr>
                <w:sz w:val="12"/>
                <w:szCs w:val="12"/>
                <w:color w:val="auto"/>
              </w:rPr>
            </w:pPr>
          </w:p>
        </w:tc>
        <w:tc>
          <w:tcPr>
            <w:tcW w:w="880" w:type="dxa"/>
            <w:vAlign w:val="bottom"/>
            <w:shd w:val="clear" w:color="auto" w:fill="225CAB"/>
          </w:tcPr>
          <w:p>
            <w:pPr>
              <w:spacing w:after="0"/>
              <w:rPr>
                <w:sz w:val="12"/>
                <w:szCs w:val="12"/>
                <w:color w:val="auto"/>
              </w:rPr>
            </w:pPr>
          </w:p>
        </w:tc>
        <w:tc>
          <w:tcPr>
            <w:tcW w:w="1200" w:type="dxa"/>
            <w:vAlign w:val="bottom"/>
            <w:shd w:val="clear" w:color="auto" w:fill="225CAB"/>
          </w:tcPr>
          <w:p>
            <w:pPr>
              <w:spacing w:after="0"/>
              <w:rPr>
                <w:sz w:val="12"/>
                <w:szCs w:val="12"/>
                <w:color w:val="auto"/>
              </w:rPr>
            </w:pPr>
          </w:p>
        </w:tc>
        <w:tc>
          <w:tcPr>
            <w:tcW w:w="900" w:type="dxa"/>
            <w:vAlign w:val="bottom"/>
            <w:shd w:val="clear" w:color="auto" w:fill="225CAB"/>
          </w:tcPr>
          <w:p>
            <w:pPr>
              <w:spacing w:after="0"/>
              <w:rPr>
                <w:sz w:val="12"/>
                <w:szCs w:val="12"/>
                <w:color w:val="auto"/>
              </w:rPr>
            </w:pPr>
          </w:p>
        </w:tc>
        <w:tc>
          <w:tcPr>
            <w:tcW w:w="1100" w:type="dxa"/>
            <w:vAlign w:val="bottom"/>
            <w:shd w:val="clear" w:color="auto" w:fill="225CAB"/>
          </w:tcPr>
          <w:p>
            <w:pPr>
              <w:jc w:val="center"/>
              <w:ind w:right="93"/>
              <w:spacing w:after="0" w:line="149" w:lineRule="exact"/>
              <w:rPr>
                <w:sz w:val="20"/>
                <w:szCs w:val="20"/>
                <w:color w:val="auto"/>
              </w:rPr>
            </w:pPr>
            <w:r>
              <w:rPr>
                <w:rFonts w:ascii="Arial" w:cs="Arial" w:eastAsia="Arial" w:hAnsi="Arial"/>
                <w:sz w:val="14"/>
                <w:szCs w:val="14"/>
                <w:color w:val="FFFFFF"/>
                <w:w w:val="93"/>
              </w:rPr>
              <w:t>Future</w:t>
            </w:r>
          </w:p>
        </w:tc>
        <w:tc>
          <w:tcPr>
            <w:tcW w:w="1040" w:type="dxa"/>
            <w:vAlign w:val="bottom"/>
            <w:shd w:val="clear" w:color="auto" w:fill="225CAB"/>
          </w:tcPr>
          <w:p>
            <w:pPr>
              <w:spacing w:after="0"/>
              <w:rPr>
                <w:sz w:val="12"/>
                <w:szCs w:val="12"/>
                <w:color w:val="auto"/>
              </w:rPr>
            </w:pPr>
          </w:p>
        </w:tc>
        <w:tc>
          <w:tcPr>
            <w:tcW w:w="1240" w:type="dxa"/>
            <w:vAlign w:val="bottom"/>
            <w:shd w:val="clear" w:color="auto" w:fill="225CAB"/>
          </w:tcPr>
          <w:p>
            <w:pPr>
              <w:spacing w:after="0"/>
              <w:rPr>
                <w:sz w:val="12"/>
                <w:szCs w:val="12"/>
                <w:color w:val="auto"/>
              </w:rPr>
            </w:pPr>
          </w:p>
        </w:tc>
        <w:tc>
          <w:tcPr>
            <w:tcW w:w="1100" w:type="dxa"/>
            <w:vAlign w:val="bottom"/>
            <w:shd w:val="clear" w:color="auto" w:fill="225CAB"/>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shd w:val="clear" w:color="auto" w:fill="225CAB"/>
          </w:tcPr>
          <w:p>
            <w:pPr>
              <w:spacing w:after="0"/>
              <w:rPr>
                <w:sz w:val="12"/>
                <w:szCs w:val="12"/>
                <w:color w:val="auto"/>
              </w:rPr>
            </w:pPr>
          </w:p>
        </w:tc>
        <w:tc>
          <w:tcPr>
            <w:tcW w:w="1100" w:type="dxa"/>
            <w:vAlign w:val="bottom"/>
            <w:shd w:val="clear" w:color="auto" w:fill="225CAB"/>
          </w:tcPr>
          <w:p>
            <w:pPr>
              <w:spacing w:after="0"/>
              <w:rPr>
                <w:sz w:val="12"/>
                <w:szCs w:val="12"/>
                <w:color w:val="auto"/>
              </w:rPr>
            </w:pPr>
          </w:p>
        </w:tc>
        <w:tc>
          <w:tcPr>
            <w:tcW w:w="880" w:type="dxa"/>
            <w:vAlign w:val="bottom"/>
            <w:shd w:val="clear" w:color="auto" w:fill="225CAB"/>
          </w:tcPr>
          <w:p>
            <w:pPr>
              <w:spacing w:after="0"/>
              <w:rPr>
                <w:sz w:val="12"/>
                <w:szCs w:val="12"/>
                <w:color w:val="auto"/>
              </w:rPr>
            </w:pPr>
          </w:p>
        </w:tc>
        <w:tc>
          <w:tcPr>
            <w:tcW w:w="1200" w:type="dxa"/>
            <w:vAlign w:val="bottom"/>
            <w:shd w:val="clear" w:color="auto" w:fill="225CAB"/>
          </w:tcPr>
          <w:p>
            <w:pPr>
              <w:spacing w:after="0"/>
              <w:rPr>
                <w:sz w:val="12"/>
                <w:szCs w:val="12"/>
                <w:color w:val="auto"/>
              </w:rPr>
            </w:pPr>
          </w:p>
        </w:tc>
        <w:tc>
          <w:tcPr>
            <w:tcW w:w="900" w:type="dxa"/>
            <w:vAlign w:val="bottom"/>
            <w:shd w:val="clear" w:color="auto" w:fill="225CAB"/>
          </w:tcPr>
          <w:p>
            <w:pPr>
              <w:spacing w:after="0"/>
              <w:rPr>
                <w:sz w:val="12"/>
                <w:szCs w:val="12"/>
                <w:color w:val="auto"/>
              </w:rPr>
            </w:pPr>
          </w:p>
        </w:tc>
        <w:tc>
          <w:tcPr>
            <w:tcW w:w="1100" w:type="dxa"/>
            <w:vAlign w:val="bottom"/>
            <w:shd w:val="clear" w:color="auto" w:fill="225CAB"/>
          </w:tcPr>
          <w:p>
            <w:pPr>
              <w:jc w:val="center"/>
              <w:ind w:right="93"/>
              <w:spacing w:after="0" w:line="149" w:lineRule="exact"/>
              <w:rPr>
                <w:sz w:val="20"/>
                <w:szCs w:val="20"/>
                <w:color w:val="auto"/>
              </w:rPr>
            </w:pPr>
            <w:r>
              <w:rPr>
                <w:rFonts w:ascii="Arial" w:cs="Arial" w:eastAsia="Arial" w:hAnsi="Arial"/>
                <w:sz w:val="14"/>
                <w:szCs w:val="14"/>
                <w:color w:val="FFFFFF"/>
                <w:w w:val="98"/>
              </w:rPr>
              <w:t>Payouts</w:t>
            </w:r>
          </w:p>
        </w:tc>
        <w:tc>
          <w:tcPr>
            <w:tcW w:w="1040" w:type="dxa"/>
            <w:vAlign w:val="bottom"/>
            <w:shd w:val="clear" w:color="auto" w:fill="225CAB"/>
          </w:tcPr>
          <w:p>
            <w:pPr>
              <w:spacing w:after="0"/>
              <w:rPr>
                <w:sz w:val="12"/>
                <w:szCs w:val="12"/>
                <w:color w:val="auto"/>
              </w:rPr>
            </w:pPr>
          </w:p>
        </w:tc>
        <w:tc>
          <w:tcPr>
            <w:tcW w:w="1240" w:type="dxa"/>
            <w:vAlign w:val="bottom"/>
            <w:shd w:val="clear" w:color="auto" w:fill="225CAB"/>
          </w:tcPr>
          <w:p>
            <w:pPr>
              <w:spacing w:after="0"/>
              <w:rPr>
                <w:sz w:val="12"/>
                <w:szCs w:val="12"/>
                <w:color w:val="auto"/>
              </w:rPr>
            </w:pPr>
          </w:p>
        </w:tc>
        <w:tc>
          <w:tcPr>
            <w:tcW w:w="1100" w:type="dxa"/>
            <w:vAlign w:val="bottom"/>
            <w:shd w:val="clear" w:color="auto" w:fill="225CAB"/>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shd w:val="clear" w:color="auto" w:fill="225CAB"/>
          </w:tcPr>
          <w:p>
            <w:pPr>
              <w:spacing w:after="0"/>
              <w:rPr>
                <w:sz w:val="12"/>
                <w:szCs w:val="12"/>
                <w:color w:val="auto"/>
              </w:rPr>
            </w:pPr>
          </w:p>
        </w:tc>
        <w:tc>
          <w:tcPr>
            <w:tcW w:w="1100" w:type="dxa"/>
            <w:vAlign w:val="bottom"/>
            <w:shd w:val="clear" w:color="auto" w:fill="225CAB"/>
          </w:tcPr>
          <w:p>
            <w:pPr>
              <w:spacing w:after="0"/>
              <w:rPr>
                <w:sz w:val="12"/>
                <w:szCs w:val="12"/>
                <w:color w:val="auto"/>
              </w:rPr>
            </w:pPr>
          </w:p>
        </w:tc>
        <w:tc>
          <w:tcPr>
            <w:tcW w:w="880" w:type="dxa"/>
            <w:vAlign w:val="bottom"/>
            <w:shd w:val="clear" w:color="auto" w:fill="225CAB"/>
          </w:tcPr>
          <w:p>
            <w:pPr>
              <w:spacing w:after="0"/>
              <w:rPr>
                <w:sz w:val="12"/>
                <w:szCs w:val="12"/>
                <w:color w:val="auto"/>
              </w:rPr>
            </w:pPr>
          </w:p>
        </w:tc>
        <w:tc>
          <w:tcPr>
            <w:tcW w:w="1200" w:type="dxa"/>
            <w:vAlign w:val="bottom"/>
            <w:shd w:val="clear" w:color="auto" w:fill="225CAB"/>
          </w:tcPr>
          <w:p>
            <w:pPr>
              <w:spacing w:after="0"/>
              <w:rPr>
                <w:sz w:val="12"/>
                <w:szCs w:val="12"/>
                <w:color w:val="auto"/>
              </w:rPr>
            </w:pPr>
          </w:p>
        </w:tc>
        <w:tc>
          <w:tcPr>
            <w:tcW w:w="900" w:type="dxa"/>
            <w:vAlign w:val="bottom"/>
            <w:shd w:val="clear" w:color="auto" w:fill="225CAB"/>
          </w:tcPr>
          <w:p>
            <w:pPr>
              <w:spacing w:after="0"/>
              <w:rPr>
                <w:sz w:val="12"/>
                <w:szCs w:val="12"/>
                <w:color w:val="auto"/>
              </w:rPr>
            </w:pPr>
          </w:p>
        </w:tc>
        <w:tc>
          <w:tcPr>
            <w:tcW w:w="1100" w:type="dxa"/>
            <w:vAlign w:val="bottom"/>
            <w:shd w:val="clear" w:color="auto" w:fill="225CAB"/>
          </w:tcPr>
          <w:p>
            <w:pPr>
              <w:jc w:val="center"/>
              <w:ind w:right="93"/>
              <w:spacing w:after="0" w:line="149" w:lineRule="exact"/>
              <w:rPr>
                <w:sz w:val="20"/>
                <w:szCs w:val="20"/>
                <w:color w:val="auto"/>
              </w:rPr>
            </w:pPr>
            <w:r>
              <w:rPr>
                <w:rFonts w:ascii="Arial" w:cs="Arial" w:eastAsia="Arial" w:hAnsi="Arial"/>
                <w:sz w:val="14"/>
                <w:szCs w:val="14"/>
                <w:color w:val="FFFFFF"/>
                <w:w w:val="99"/>
              </w:rPr>
              <w:t>Under</w:t>
            </w:r>
          </w:p>
        </w:tc>
        <w:tc>
          <w:tcPr>
            <w:tcW w:w="1040" w:type="dxa"/>
            <w:vAlign w:val="bottom"/>
            <w:shd w:val="clear" w:color="auto" w:fill="225CAB"/>
          </w:tcPr>
          <w:p>
            <w:pPr>
              <w:spacing w:after="0"/>
              <w:rPr>
                <w:sz w:val="12"/>
                <w:szCs w:val="12"/>
                <w:color w:val="auto"/>
              </w:rPr>
            </w:pPr>
          </w:p>
        </w:tc>
        <w:tc>
          <w:tcPr>
            <w:tcW w:w="1240" w:type="dxa"/>
            <w:vAlign w:val="bottom"/>
            <w:shd w:val="clear" w:color="auto" w:fill="225CAB"/>
          </w:tcPr>
          <w:p>
            <w:pPr>
              <w:spacing w:after="0"/>
              <w:rPr>
                <w:sz w:val="12"/>
                <w:szCs w:val="12"/>
                <w:color w:val="auto"/>
              </w:rPr>
            </w:pPr>
          </w:p>
        </w:tc>
        <w:tc>
          <w:tcPr>
            <w:tcW w:w="1100" w:type="dxa"/>
            <w:vAlign w:val="bottom"/>
            <w:shd w:val="clear" w:color="auto" w:fill="225CAB"/>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shd w:val="clear" w:color="auto" w:fill="225CAB"/>
          </w:tcPr>
          <w:p>
            <w:pPr>
              <w:spacing w:after="0"/>
              <w:rPr>
                <w:sz w:val="12"/>
                <w:szCs w:val="12"/>
                <w:color w:val="auto"/>
              </w:rPr>
            </w:pPr>
          </w:p>
        </w:tc>
        <w:tc>
          <w:tcPr>
            <w:tcW w:w="1100" w:type="dxa"/>
            <w:vAlign w:val="bottom"/>
            <w:shd w:val="clear" w:color="auto" w:fill="225CAB"/>
          </w:tcPr>
          <w:p>
            <w:pPr>
              <w:spacing w:after="0"/>
              <w:rPr>
                <w:sz w:val="12"/>
                <w:szCs w:val="12"/>
                <w:color w:val="auto"/>
              </w:rPr>
            </w:pPr>
          </w:p>
        </w:tc>
        <w:tc>
          <w:tcPr>
            <w:tcW w:w="880" w:type="dxa"/>
            <w:vAlign w:val="bottom"/>
            <w:shd w:val="clear" w:color="auto" w:fill="225CAB"/>
          </w:tcPr>
          <w:p>
            <w:pPr>
              <w:spacing w:after="0"/>
              <w:rPr>
                <w:sz w:val="12"/>
                <w:szCs w:val="12"/>
                <w:color w:val="auto"/>
              </w:rPr>
            </w:pPr>
          </w:p>
        </w:tc>
        <w:tc>
          <w:tcPr>
            <w:tcW w:w="1200" w:type="dxa"/>
            <w:vAlign w:val="bottom"/>
            <w:shd w:val="clear" w:color="auto" w:fill="225CAB"/>
          </w:tcPr>
          <w:p>
            <w:pPr>
              <w:spacing w:after="0"/>
              <w:rPr>
                <w:sz w:val="12"/>
                <w:szCs w:val="12"/>
                <w:color w:val="auto"/>
              </w:rPr>
            </w:pPr>
          </w:p>
        </w:tc>
        <w:tc>
          <w:tcPr>
            <w:tcW w:w="900" w:type="dxa"/>
            <w:vAlign w:val="bottom"/>
            <w:shd w:val="clear" w:color="auto" w:fill="225CAB"/>
          </w:tcPr>
          <w:p>
            <w:pPr>
              <w:spacing w:after="0"/>
              <w:rPr>
                <w:sz w:val="12"/>
                <w:szCs w:val="12"/>
                <w:color w:val="auto"/>
              </w:rPr>
            </w:pPr>
          </w:p>
        </w:tc>
        <w:tc>
          <w:tcPr>
            <w:tcW w:w="1100" w:type="dxa"/>
            <w:vAlign w:val="bottom"/>
            <w:shd w:val="clear" w:color="auto" w:fill="225CAB"/>
          </w:tcPr>
          <w:p>
            <w:pPr>
              <w:jc w:val="center"/>
              <w:ind w:right="93"/>
              <w:spacing w:after="0" w:line="149" w:lineRule="exact"/>
              <w:rPr>
                <w:sz w:val="20"/>
                <w:szCs w:val="20"/>
                <w:color w:val="auto"/>
              </w:rPr>
            </w:pPr>
            <w:r>
              <w:rPr>
                <w:rFonts w:ascii="Arial" w:cs="Arial" w:eastAsia="Arial" w:hAnsi="Arial"/>
                <w:sz w:val="14"/>
                <w:szCs w:val="14"/>
                <w:color w:val="FFFFFF"/>
                <w:w w:val="97"/>
              </w:rPr>
              <w:t>Equity</w:t>
            </w:r>
          </w:p>
        </w:tc>
        <w:tc>
          <w:tcPr>
            <w:tcW w:w="1040" w:type="dxa"/>
            <w:vAlign w:val="bottom"/>
            <w:shd w:val="clear" w:color="auto" w:fill="225CAB"/>
          </w:tcPr>
          <w:p>
            <w:pPr>
              <w:jc w:val="center"/>
              <w:ind w:right="113"/>
              <w:spacing w:after="0" w:line="149" w:lineRule="exact"/>
              <w:rPr>
                <w:sz w:val="20"/>
                <w:szCs w:val="20"/>
                <w:color w:val="auto"/>
              </w:rPr>
            </w:pPr>
            <w:r>
              <w:rPr>
                <w:rFonts w:ascii="Arial" w:cs="Arial" w:eastAsia="Arial" w:hAnsi="Arial"/>
                <w:sz w:val="14"/>
                <w:szCs w:val="14"/>
                <w:color w:val="FFFFFF"/>
                <w:w w:val="99"/>
              </w:rPr>
              <w:t>All Other</w:t>
            </w:r>
          </w:p>
        </w:tc>
        <w:tc>
          <w:tcPr>
            <w:tcW w:w="1240" w:type="dxa"/>
            <w:vAlign w:val="bottom"/>
            <w:shd w:val="clear" w:color="auto" w:fill="225CAB"/>
          </w:tcPr>
          <w:p>
            <w:pPr>
              <w:spacing w:after="0"/>
              <w:rPr>
                <w:sz w:val="12"/>
                <w:szCs w:val="12"/>
                <w:color w:val="auto"/>
              </w:rPr>
            </w:pPr>
          </w:p>
        </w:tc>
        <w:tc>
          <w:tcPr>
            <w:tcW w:w="1100" w:type="dxa"/>
            <w:vAlign w:val="bottom"/>
            <w:shd w:val="clear" w:color="auto" w:fill="225CAB"/>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shd w:val="clear" w:color="auto" w:fill="225CAB"/>
          </w:tcPr>
          <w:p>
            <w:pPr>
              <w:spacing w:after="0"/>
              <w:rPr>
                <w:sz w:val="12"/>
                <w:szCs w:val="12"/>
                <w:color w:val="auto"/>
              </w:rPr>
            </w:pPr>
          </w:p>
        </w:tc>
        <w:tc>
          <w:tcPr>
            <w:tcW w:w="1100" w:type="dxa"/>
            <w:vAlign w:val="bottom"/>
            <w:shd w:val="clear" w:color="auto" w:fill="225CAB"/>
          </w:tcPr>
          <w:p>
            <w:pPr>
              <w:spacing w:after="0"/>
              <w:rPr>
                <w:sz w:val="12"/>
                <w:szCs w:val="12"/>
                <w:color w:val="auto"/>
              </w:rPr>
            </w:pPr>
          </w:p>
        </w:tc>
        <w:tc>
          <w:tcPr>
            <w:tcW w:w="880" w:type="dxa"/>
            <w:vAlign w:val="bottom"/>
            <w:shd w:val="clear" w:color="auto" w:fill="225CAB"/>
          </w:tcPr>
          <w:p>
            <w:pPr>
              <w:spacing w:after="0"/>
              <w:rPr>
                <w:sz w:val="12"/>
                <w:szCs w:val="12"/>
                <w:color w:val="auto"/>
              </w:rPr>
            </w:pPr>
          </w:p>
        </w:tc>
        <w:tc>
          <w:tcPr>
            <w:tcW w:w="120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color w:val="FFFFFF"/>
                <w:w w:val="95"/>
              </w:rPr>
              <w:t>Estimated Future</w:t>
            </w:r>
          </w:p>
        </w:tc>
        <w:tc>
          <w:tcPr>
            <w:tcW w:w="900" w:type="dxa"/>
            <w:vAlign w:val="bottom"/>
            <w:shd w:val="clear" w:color="auto" w:fill="225CAB"/>
          </w:tcPr>
          <w:p>
            <w:pPr>
              <w:spacing w:after="0"/>
              <w:rPr>
                <w:sz w:val="12"/>
                <w:szCs w:val="12"/>
                <w:color w:val="auto"/>
              </w:rPr>
            </w:pPr>
          </w:p>
        </w:tc>
        <w:tc>
          <w:tcPr>
            <w:tcW w:w="1100" w:type="dxa"/>
            <w:vAlign w:val="bottom"/>
            <w:shd w:val="clear" w:color="auto" w:fill="225CAB"/>
          </w:tcPr>
          <w:p>
            <w:pPr>
              <w:jc w:val="center"/>
              <w:ind w:right="93"/>
              <w:spacing w:after="0" w:line="149" w:lineRule="exact"/>
              <w:rPr>
                <w:sz w:val="20"/>
                <w:szCs w:val="20"/>
                <w:color w:val="auto"/>
              </w:rPr>
            </w:pPr>
            <w:r>
              <w:rPr>
                <w:rFonts w:ascii="Arial" w:cs="Arial" w:eastAsia="Arial" w:hAnsi="Arial"/>
                <w:sz w:val="14"/>
                <w:szCs w:val="14"/>
                <w:color w:val="FFFFFF"/>
                <w:w w:val="96"/>
              </w:rPr>
              <w:t>Incentive</w:t>
            </w:r>
          </w:p>
        </w:tc>
        <w:tc>
          <w:tcPr>
            <w:tcW w:w="1040" w:type="dxa"/>
            <w:vAlign w:val="bottom"/>
            <w:shd w:val="clear" w:color="auto" w:fill="225CAB"/>
          </w:tcPr>
          <w:p>
            <w:pPr>
              <w:jc w:val="center"/>
              <w:ind w:right="113"/>
              <w:spacing w:after="0" w:line="149" w:lineRule="exact"/>
              <w:rPr>
                <w:sz w:val="20"/>
                <w:szCs w:val="20"/>
                <w:color w:val="auto"/>
              </w:rPr>
            </w:pPr>
            <w:r>
              <w:rPr>
                <w:rFonts w:ascii="Arial" w:cs="Arial" w:eastAsia="Arial" w:hAnsi="Arial"/>
                <w:sz w:val="14"/>
                <w:szCs w:val="14"/>
                <w:color w:val="FFFFFF"/>
                <w:w w:val="92"/>
              </w:rPr>
              <w:t>Option</w:t>
            </w:r>
          </w:p>
        </w:tc>
        <w:tc>
          <w:tcPr>
            <w:tcW w:w="1240" w:type="dxa"/>
            <w:vAlign w:val="bottom"/>
            <w:shd w:val="clear" w:color="auto" w:fill="225CAB"/>
          </w:tcPr>
          <w:p>
            <w:pPr>
              <w:spacing w:after="0"/>
              <w:rPr>
                <w:sz w:val="12"/>
                <w:szCs w:val="12"/>
                <w:color w:val="auto"/>
              </w:rPr>
            </w:pPr>
          </w:p>
        </w:tc>
        <w:tc>
          <w:tcPr>
            <w:tcW w:w="1100" w:type="dxa"/>
            <w:vAlign w:val="bottom"/>
            <w:shd w:val="clear" w:color="auto" w:fill="225CAB"/>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840" w:type="dxa"/>
            <w:vAlign w:val="bottom"/>
            <w:shd w:val="clear" w:color="auto" w:fill="225CAB"/>
          </w:tcPr>
          <w:p>
            <w:pPr>
              <w:spacing w:after="0"/>
              <w:rPr>
                <w:sz w:val="11"/>
                <w:szCs w:val="11"/>
                <w:color w:val="auto"/>
              </w:rPr>
            </w:pPr>
          </w:p>
        </w:tc>
        <w:tc>
          <w:tcPr>
            <w:tcW w:w="1100" w:type="dxa"/>
            <w:vAlign w:val="bottom"/>
            <w:shd w:val="clear" w:color="auto" w:fill="225CAB"/>
          </w:tcPr>
          <w:p>
            <w:pPr>
              <w:spacing w:after="0"/>
              <w:rPr>
                <w:sz w:val="11"/>
                <w:szCs w:val="11"/>
                <w:color w:val="auto"/>
              </w:rPr>
            </w:pPr>
          </w:p>
        </w:tc>
        <w:tc>
          <w:tcPr>
            <w:tcW w:w="2980" w:type="dxa"/>
            <w:vAlign w:val="bottom"/>
            <w:gridSpan w:val="3"/>
            <w:shd w:val="clear" w:color="auto" w:fill="225CAB"/>
          </w:tcPr>
          <w:p>
            <w:pPr>
              <w:jc w:val="center"/>
              <w:spacing w:after="0" w:line="136" w:lineRule="exact"/>
              <w:rPr>
                <w:sz w:val="20"/>
                <w:szCs w:val="20"/>
                <w:color w:val="auto"/>
              </w:rPr>
            </w:pPr>
            <w:r>
              <w:rPr>
                <w:rFonts w:ascii="Arial" w:cs="Arial" w:eastAsia="Arial" w:hAnsi="Arial"/>
                <w:sz w:val="14"/>
                <w:szCs w:val="14"/>
                <w:color w:val="FFFFFF"/>
                <w:w w:val="96"/>
              </w:rPr>
              <w:t>Payout Under Non-Equity</w:t>
            </w:r>
          </w:p>
        </w:tc>
        <w:tc>
          <w:tcPr>
            <w:tcW w:w="1100" w:type="dxa"/>
            <w:vAlign w:val="bottom"/>
            <w:shd w:val="clear" w:color="auto" w:fill="225CAB"/>
          </w:tcPr>
          <w:p>
            <w:pPr>
              <w:jc w:val="center"/>
              <w:ind w:right="93"/>
              <w:spacing w:after="0" w:line="136" w:lineRule="exact"/>
              <w:rPr>
                <w:sz w:val="20"/>
                <w:szCs w:val="20"/>
                <w:color w:val="auto"/>
              </w:rPr>
            </w:pPr>
            <w:r>
              <w:rPr>
                <w:rFonts w:ascii="Arial" w:cs="Arial" w:eastAsia="Arial" w:hAnsi="Arial"/>
                <w:sz w:val="14"/>
                <w:szCs w:val="14"/>
                <w:color w:val="FFFFFF"/>
                <w:w w:val="92"/>
              </w:rPr>
              <w:t>Plan</w:t>
            </w:r>
          </w:p>
        </w:tc>
        <w:tc>
          <w:tcPr>
            <w:tcW w:w="1040" w:type="dxa"/>
            <w:vAlign w:val="bottom"/>
            <w:shd w:val="clear" w:color="auto" w:fill="225CAB"/>
          </w:tcPr>
          <w:p>
            <w:pPr>
              <w:jc w:val="center"/>
              <w:ind w:right="113"/>
              <w:spacing w:after="0" w:line="136" w:lineRule="exact"/>
              <w:rPr>
                <w:sz w:val="20"/>
                <w:szCs w:val="20"/>
                <w:color w:val="auto"/>
              </w:rPr>
            </w:pPr>
            <w:r>
              <w:rPr>
                <w:rFonts w:ascii="Arial" w:cs="Arial" w:eastAsia="Arial" w:hAnsi="Arial"/>
                <w:sz w:val="14"/>
                <w:szCs w:val="14"/>
                <w:color w:val="FFFFFF"/>
                <w:w w:val="93"/>
              </w:rPr>
              <w:t>Awards: #</w:t>
            </w:r>
          </w:p>
        </w:tc>
        <w:tc>
          <w:tcPr>
            <w:tcW w:w="1240" w:type="dxa"/>
            <w:vAlign w:val="bottom"/>
            <w:shd w:val="clear" w:color="auto" w:fill="225CAB"/>
          </w:tcPr>
          <w:p>
            <w:pPr>
              <w:jc w:val="center"/>
              <w:spacing w:after="0" w:line="136" w:lineRule="exact"/>
              <w:rPr>
                <w:sz w:val="20"/>
                <w:szCs w:val="20"/>
                <w:color w:val="auto"/>
              </w:rPr>
            </w:pPr>
            <w:r>
              <w:rPr>
                <w:rFonts w:ascii="Arial" w:cs="Arial" w:eastAsia="Arial" w:hAnsi="Arial"/>
                <w:sz w:val="14"/>
                <w:szCs w:val="14"/>
                <w:color w:val="FFFFFF"/>
                <w:w w:val="94"/>
              </w:rPr>
              <w:t>Exercise /</w:t>
            </w:r>
          </w:p>
        </w:tc>
        <w:tc>
          <w:tcPr>
            <w:tcW w:w="1100" w:type="dxa"/>
            <w:vAlign w:val="bottom"/>
            <w:shd w:val="clear" w:color="auto" w:fill="225CAB"/>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840" w:type="dxa"/>
            <w:vAlign w:val="bottom"/>
            <w:shd w:val="clear" w:color="auto" w:fill="225CAB"/>
          </w:tcPr>
          <w:p>
            <w:pPr>
              <w:spacing w:after="0"/>
              <w:rPr>
                <w:sz w:val="13"/>
                <w:szCs w:val="13"/>
                <w:color w:val="auto"/>
              </w:rPr>
            </w:pPr>
          </w:p>
        </w:tc>
        <w:tc>
          <w:tcPr>
            <w:tcW w:w="1100" w:type="dxa"/>
            <w:vAlign w:val="bottom"/>
            <w:shd w:val="clear" w:color="auto" w:fill="225CAB"/>
          </w:tcPr>
          <w:p>
            <w:pPr>
              <w:spacing w:after="0"/>
              <w:rPr>
                <w:sz w:val="13"/>
                <w:szCs w:val="13"/>
                <w:color w:val="auto"/>
              </w:rPr>
            </w:pPr>
          </w:p>
        </w:tc>
        <w:tc>
          <w:tcPr>
            <w:tcW w:w="2980" w:type="dxa"/>
            <w:vAlign w:val="bottom"/>
            <w:gridSpan w:val="3"/>
            <w:shd w:val="clear" w:color="auto" w:fill="225CAB"/>
          </w:tcPr>
          <w:p>
            <w:pPr>
              <w:jc w:val="center"/>
              <w:spacing w:after="0" w:line="155" w:lineRule="exact"/>
              <w:rPr>
                <w:sz w:val="20"/>
                <w:szCs w:val="20"/>
                <w:color w:val="auto"/>
              </w:rPr>
            </w:pPr>
            <w:r>
              <w:rPr>
                <w:rFonts w:ascii="Arial" w:cs="Arial" w:eastAsia="Arial" w:hAnsi="Arial"/>
                <w:sz w:val="11"/>
                <w:szCs w:val="11"/>
                <w:color w:val="FFFFFF"/>
              </w:rPr>
              <w:t>Incentive Plan Awards</w:t>
            </w:r>
            <w:r>
              <w:rPr>
                <w:rFonts w:ascii="Arial" w:cs="Arial" w:eastAsia="Arial" w:hAnsi="Arial"/>
                <w:sz w:val="17"/>
                <w:szCs w:val="17"/>
                <w:color w:val="FFFFFF"/>
                <w:vertAlign w:val="superscript"/>
              </w:rPr>
              <w:t>(1)</w:t>
            </w:r>
          </w:p>
        </w:tc>
        <w:tc>
          <w:tcPr>
            <w:tcW w:w="1100" w:type="dxa"/>
            <w:vAlign w:val="bottom"/>
            <w:shd w:val="clear" w:color="auto" w:fill="225CAB"/>
          </w:tcPr>
          <w:p>
            <w:pPr>
              <w:jc w:val="center"/>
              <w:ind w:right="93"/>
              <w:spacing w:after="0" w:line="155" w:lineRule="exact"/>
              <w:rPr>
                <w:sz w:val="20"/>
                <w:szCs w:val="20"/>
                <w:color w:val="auto"/>
              </w:rPr>
            </w:pPr>
            <w:r>
              <w:rPr>
                <w:rFonts w:ascii="Arial" w:cs="Arial" w:eastAsia="Arial" w:hAnsi="Arial"/>
                <w:sz w:val="11"/>
                <w:szCs w:val="11"/>
                <w:color w:val="FFFFFF"/>
              </w:rPr>
              <w:t>Awards</w:t>
            </w:r>
            <w:r>
              <w:rPr>
                <w:rFonts w:ascii="Arial" w:cs="Arial" w:eastAsia="Arial" w:hAnsi="Arial"/>
                <w:sz w:val="17"/>
                <w:szCs w:val="17"/>
                <w:color w:val="FFFFFF"/>
                <w:vertAlign w:val="superscript"/>
              </w:rPr>
              <w:t>(2)</w:t>
            </w:r>
          </w:p>
        </w:tc>
        <w:tc>
          <w:tcPr>
            <w:tcW w:w="1040" w:type="dxa"/>
            <w:vAlign w:val="bottom"/>
            <w:shd w:val="clear" w:color="auto" w:fill="225CAB"/>
          </w:tcPr>
          <w:p>
            <w:pPr>
              <w:jc w:val="center"/>
              <w:ind w:right="113"/>
              <w:spacing w:after="0" w:line="155" w:lineRule="exact"/>
              <w:rPr>
                <w:sz w:val="20"/>
                <w:szCs w:val="20"/>
                <w:color w:val="auto"/>
              </w:rPr>
            </w:pPr>
            <w:r>
              <w:rPr>
                <w:rFonts w:ascii="Arial" w:cs="Arial" w:eastAsia="Arial" w:hAnsi="Arial"/>
                <w:sz w:val="14"/>
                <w:szCs w:val="14"/>
                <w:color w:val="FFFFFF"/>
                <w:w w:val="96"/>
              </w:rPr>
              <w:t>of Securities</w:t>
            </w:r>
          </w:p>
        </w:tc>
        <w:tc>
          <w:tcPr>
            <w:tcW w:w="1240" w:type="dxa"/>
            <w:vAlign w:val="bottom"/>
            <w:shd w:val="clear" w:color="auto" w:fill="225CAB"/>
          </w:tcPr>
          <w:p>
            <w:pPr>
              <w:jc w:val="center"/>
              <w:spacing w:after="0" w:line="155" w:lineRule="exact"/>
              <w:rPr>
                <w:sz w:val="20"/>
                <w:szCs w:val="20"/>
                <w:color w:val="auto"/>
              </w:rPr>
            </w:pPr>
            <w:r>
              <w:rPr>
                <w:rFonts w:ascii="Arial" w:cs="Arial" w:eastAsia="Arial" w:hAnsi="Arial"/>
                <w:sz w:val="14"/>
                <w:szCs w:val="14"/>
                <w:color w:val="FFFFFF"/>
                <w:w w:val="98"/>
              </w:rPr>
              <w:t>Base Price of</w:t>
            </w:r>
          </w:p>
        </w:tc>
        <w:tc>
          <w:tcPr>
            <w:tcW w:w="1100" w:type="dxa"/>
            <w:vAlign w:val="bottom"/>
            <w:shd w:val="clear" w:color="auto" w:fill="225CAB"/>
          </w:tcPr>
          <w:p>
            <w:pPr>
              <w:jc w:val="center"/>
              <w:spacing w:after="0" w:line="155" w:lineRule="exact"/>
              <w:rPr>
                <w:sz w:val="20"/>
                <w:szCs w:val="20"/>
                <w:color w:val="auto"/>
              </w:rPr>
            </w:pPr>
            <w:r>
              <w:rPr>
                <w:rFonts w:ascii="Arial" w:cs="Arial" w:eastAsia="Arial" w:hAnsi="Arial"/>
                <w:sz w:val="14"/>
                <w:szCs w:val="14"/>
                <w:color w:val="FFFFFF"/>
                <w:w w:val="96"/>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shd w:val="clear" w:color="auto" w:fill="225CAB"/>
          </w:tcPr>
          <w:p>
            <w:pPr>
              <w:spacing w:after="0"/>
              <w:rPr>
                <w:sz w:val="12"/>
                <w:szCs w:val="12"/>
                <w:color w:val="auto"/>
              </w:rPr>
            </w:pPr>
          </w:p>
        </w:tc>
        <w:tc>
          <w:tcPr>
            <w:tcW w:w="1100" w:type="dxa"/>
            <w:vAlign w:val="bottom"/>
            <w:shd w:val="clear" w:color="auto" w:fill="225CAB"/>
          </w:tcPr>
          <w:p>
            <w:pPr>
              <w:jc w:val="right"/>
              <w:ind w:right="292"/>
              <w:spacing w:after="0" w:line="149" w:lineRule="exact"/>
              <w:rPr>
                <w:sz w:val="20"/>
                <w:szCs w:val="20"/>
                <w:color w:val="auto"/>
              </w:rPr>
            </w:pPr>
            <w:r>
              <w:rPr>
                <w:rFonts w:ascii="Arial" w:cs="Arial" w:eastAsia="Arial" w:hAnsi="Arial"/>
                <w:sz w:val="14"/>
                <w:szCs w:val="14"/>
                <w:color w:val="FFFFFF"/>
              </w:rPr>
              <w:t>Grant</w:t>
            </w:r>
          </w:p>
        </w:tc>
        <w:tc>
          <w:tcPr>
            <w:tcW w:w="880" w:type="dxa"/>
            <w:vAlign w:val="bottom"/>
            <w:shd w:val="clear" w:color="auto" w:fill="225CAB"/>
          </w:tcPr>
          <w:p>
            <w:pPr>
              <w:jc w:val="right"/>
              <w:ind w:right="54"/>
              <w:spacing w:after="0" w:line="149" w:lineRule="exact"/>
              <w:rPr>
                <w:sz w:val="20"/>
                <w:szCs w:val="20"/>
                <w:color w:val="auto"/>
              </w:rPr>
            </w:pPr>
            <w:r>
              <w:rPr>
                <w:rFonts w:ascii="Arial" w:cs="Arial" w:eastAsia="Arial" w:hAnsi="Arial"/>
                <w:sz w:val="14"/>
                <w:szCs w:val="14"/>
                <w:color w:val="FFFFFF"/>
              </w:rPr>
              <w:t>Threshold</w:t>
            </w:r>
          </w:p>
        </w:tc>
        <w:tc>
          <w:tcPr>
            <w:tcW w:w="1200" w:type="dxa"/>
            <w:vAlign w:val="bottom"/>
            <w:shd w:val="clear" w:color="auto" w:fill="225CAB"/>
          </w:tcPr>
          <w:p>
            <w:pPr>
              <w:jc w:val="right"/>
              <w:ind w:right="372"/>
              <w:spacing w:after="0" w:line="149" w:lineRule="exact"/>
              <w:rPr>
                <w:sz w:val="20"/>
                <w:szCs w:val="20"/>
                <w:color w:val="auto"/>
              </w:rPr>
            </w:pPr>
            <w:r>
              <w:rPr>
                <w:rFonts w:ascii="Arial" w:cs="Arial" w:eastAsia="Arial" w:hAnsi="Arial"/>
                <w:sz w:val="14"/>
                <w:szCs w:val="14"/>
                <w:color w:val="FFFFFF"/>
              </w:rPr>
              <w:t>Target</w:t>
            </w:r>
          </w:p>
        </w:tc>
        <w:tc>
          <w:tcPr>
            <w:tcW w:w="900" w:type="dxa"/>
            <w:vAlign w:val="bottom"/>
            <w:shd w:val="clear" w:color="auto" w:fill="225CAB"/>
          </w:tcPr>
          <w:p>
            <w:pPr>
              <w:jc w:val="right"/>
              <w:ind w:right="172"/>
              <w:spacing w:after="0" w:line="149" w:lineRule="exact"/>
              <w:rPr>
                <w:sz w:val="20"/>
                <w:szCs w:val="20"/>
                <w:color w:val="auto"/>
              </w:rPr>
            </w:pPr>
            <w:r>
              <w:rPr>
                <w:rFonts w:ascii="Arial" w:cs="Arial" w:eastAsia="Arial" w:hAnsi="Arial"/>
                <w:sz w:val="14"/>
                <w:szCs w:val="14"/>
                <w:color w:val="FFFFFF"/>
              </w:rPr>
              <w:t>Maximum</w:t>
            </w:r>
          </w:p>
        </w:tc>
        <w:tc>
          <w:tcPr>
            <w:tcW w:w="1100" w:type="dxa"/>
            <w:vAlign w:val="bottom"/>
            <w:shd w:val="clear" w:color="auto" w:fill="225CAB"/>
          </w:tcPr>
          <w:p>
            <w:pPr>
              <w:jc w:val="center"/>
              <w:ind w:right="93"/>
              <w:spacing w:after="0" w:line="149" w:lineRule="exact"/>
              <w:rPr>
                <w:sz w:val="20"/>
                <w:szCs w:val="20"/>
                <w:color w:val="auto"/>
              </w:rPr>
            </w:pPr>
            <w:r>
              <w:rPr>
                <w:rFonts w:ascii="Arial" w:cs="Arial" w:eastAsia="Arial" w:hAnsi="Arial"/>
                <w:sz w:val="14"/>
                <w:szCs w:val="14"/>
                <w:color w:val="FFFFFF"/>
                <w:w w:val="93"/>
              </w:rPr>
              <w:t>Target</w:t>
            </w:r>
          </w:p>
        </w:tc>
        <w:tc>
          <w:tcPr>
            <w:tcW w:w="1040" w:type="dxa"/>
            <w:vAlign w:val="bottom"/>
            <w:shd w:val="clear" w:color="auto" w:fill="225CAB"/>
          </w:tcPr>
          <w:p>
            <w:pPr>
              <w:jc w:val="center"/>
              <w:ind w:right="113"/>
              <w:spacing w:after="0" w:line="149" w:lineRule="exact"/>
              <w:rPr>
                <w:sz w:val="20"/>
                <w:szCs w:val="20"/>
                <w:color w:val="auto"/>
              </w:rPr>
            </w:pPr>
            <w:r>
              <w:rPr>
                <w:rFonts w:ascii="Arial" w:cs="Arial" w:eastAsia="Arial" w:hAnsi="Arial"/>
                <w:sz w:val="14"/>
                <w:szCs w:val="14"/>
                <w:color w:val="FFFFFF"/>
                <w:w w:val="98"/>
              </w:rPr>
              <w:t>Underlying</w:t>
            </w:r>
          </w:p>
        </w:tc>
        <w:tc>
          <w:tcPr>
            <w:tcW w:w="124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color w:val="FFFFFF"/>
                <w:w w:val="93"/>
              </w:rPr>
              <w:t>Option Awards</w:t>
            </w:r>
          </w:p>
        </w:tc>
        <w:tc>
          <w:tcPr>
            <w:tcW w:w="1100" w:type="dxa"/>
            <w:vAlign w:val="bottom"/>
            <w:shd w:val="clear" w:color="auto" w:fill="225CAB"/>
          </w:tcPr>
          <w:p>
            <w:pPr>
              <w:jc w:val="center"/>
              <w:spacing w:after="0" w:line="149" w:lineRule="exact"/>
              <w:rPr>
                <w:sz w:val="20"/>
                <w:szCs w:val="20"/>
                <w:color w:val="auto"/>
              </w:rPr>
            </w:pPr>
            <w:r>
              <w:rPr>
                <w:rFonts w:ascii="Arial" w:cs="Arial" w:eastAsia="Arial" w:hAnsi="Arial"/>
                <w:sz w:val="11"/>
                <w:szCs w:val="11"/>
                <w:color w:val="FFFFFF"/>
              </w:rPr>
              <w:t>Fair Value</w:t>
            </w:r>
            <w:r>
              <w:rPr>
                <w:rFonts w:ascii="Arial" w:cs="Arial" w:eastAsia="Arial" w:hAnsi="Arial"/>
                <w:sz w:val="17"/>
                <w:szCs w:val="17"/>
                <w:color w:val="FFFFFF"/>
                <w:vertAlign w:val="superscript"/>
              </w:rPr>
              <w:t>(4)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840" w:type="dxa"/>
            <w:vAlign w:val="bottom"/>
            <w:shd w:val="clear" w:color="auto" w:fill="225CAB"/>
          </w:tcPr>
          <w:p>
            <w:pPr>
              <w:ind w:left="1240"/>
              <w:spacing w:after="0"/>
              <w:rPr>
                <w:sz w:val="20"/>
                <w:szCs w:val="20"/>
                <w:color w:val="auto"/>
              </w:rPr>
            </w:pPr>
            <w:r>
              <w:rPr>
                <w:rFonts w:ascii="Arial" w:cs="Arial" w:eastAsia="Arial" w:hAnsi="Arial"/>
                <w:sz w:val="14"/>
                <w:szCs w:val="14"/>
                <w:color w:val="FFFFFF"/>
              </w:rPr>
              <w:t>Name</w:t>
            </w:r>
          </w:p>
        </w:tc>
        <w:tc>
          <w:tcPr>
            <w:tcW w:w="1100" w:type="dxa"/>
            <w:vAlign w:val="bottom"/>
            <w:shd w:val="clear" w:color="auto" w:fill="225CAB"/>
          </w:tcPr>
          <w:p>
            <w:pPr>
              <w:jc w:val="right"/>
              <w:ind w:right="312"/>
              <w:spacing w:after="0"/>
              <w:rPr>
                <w:sz w:val="20"/>
                <w:szCs w:val="20"/>
                <w:color w:val="auto"/>
              </w:rPr>
            </w:pPr>
            <w:r>
              <w:rPr>
                <w:rFonts w:ascii="Arial" w:cs="Arial" w:eastAsia="Arial" w:hAnsi="Arial"/>
                <w:sz w:val="14"/>
                <w:szCs w:val="14"/>
                <w:color w:val="FFFFFF"/>
              </w:rPr>
              <w:t>Date</w:t>
            </w:r>
          </w:p>
        </w:tc>
        <w:tc>
          <w:tcPr>
            <w:tcW w:w="880" w:type="dxa"/>
            <w:vAlign w:val="bottom"/>
            <w:shd w:val="clear" w:color="auto" w:fill="225CAB"/>
          </w:tcPr>
          <w:p>
            <w:pPr>
              <w:jc w:val="right"/>
              <w:ind w:right="274"/>
              <w:spacing w:after="0"/>
              <w:rPr>
                <w:sz w:val="20"/>
                <w:szCs w:val="20"/>
                <w:color w:val="auto"/>
              </w:rPr>
            </w:pPr>
            <w:r>
              <w:rPr>
                <w:rFonts w:ascii="Arial" w:cs="Arial" w:eastAsia="Arial" w:hAnsi="Arial"/>
                <w:sz w:val="14"/>
                <w:szCs w:val="14"/>
                <w:color w:val="FFFFFF"/>
              </w:rPr>
              <w:t>($)</w:t>
            </w:r>
          </w:p>
        </w:tc>
        <w:tc>
          <w:tcPr>
            <w:tcW w:w="1200" w:type="dxa"/>
            <w:vAlign w:val="bottom"/>
            <w:shd w:val="clear" w:color="auto" w:fill="225CAB"/>
          </w:tcPr>
          <w:p>
            <w:pPr>
              <w:jc w:val="right"/>
              <w:ind w:right="492"/>
              <w:spacing w:after="0"/>
              <w:rPr>
                <w:sz w:val="20"/>
                <w:szCs w:val="20"/>
                <w:color w:val="auto"/>
              </w:rPr>
            </w:pPr>
            <w:r>
              <w:rPr>
                <w:rFonts w:ascii="Arial" w:cs="Arial" w:eastAsia="Arial" w:hAnsi="Arial"/>
                <w:sz w:val="14"/>
                <w:szCs w:val="14"/>
                <w:color w:val="FFFFFF"/>
              </w:rPr>
              <w:t>($)</w:t>
            </w:r>
          </w:p>
        </w:tc>
        <w:tc>
          <w:tcPr>
            <w:tcW w:w="900" w:type="dxa"/>
            <w:vAlign w:val="bottom"/>
            <w:shd w:val="clear" w:color="auto" w:fill="225CAB"/>
          </w:tcPr>
          <w:p>
            <w:pPr>
              <w:jc w:val="right"/>
              <w:ind w:right="372"/>
              <w:spacing w:after="0"/>
              <w:rPr>
                <w:sz w:val="20"/>
                <w:szCs w:val="20"/>
                <w:color w:val="auto"/>
              </w:rPr>
            </w:pPr>
            <w:r>
              <w:rPr>
                <w:rFonts w:ascii="Arial" w:cs="Arial" w:eastAsia="Arial" w:hAnsi="Arial"/>
                <w:sz w:val="14"/>
                <w:szCs w:val="14"/>
                <w:color w:val="FFFFFF"/>
              </w:rPr>
              <w:t>($)</w:t>
            </w:r>
          </w:p>
        </w:tc>
        <w:tc>
          <w:tcPr>
            <w:tcW w:w="1100" w:type="dxa"/>
            <w:vAlign w:val="bottom"/>
            <w:shd w:val="clear" w:color="auto" w:fill="225CAB"/>
          </w:tcPr>
          <w:p>
            <w:pPr>
              <w:jc w:val="center"/>
              <w:ind w:right="93"/>
              <w:spacing w:after="0"/>
              <w:rPr>
                <w:sz w:val="20"/>
                <w:szCs w:val="20"/>
                <w:color w:val="auto"/>
              </w:rPr>
            </w:pPr>
            <w:r>
              <w:rPr>
                <w:rFonts w:ascii="Arial" w:cs="Arial" w:eastAsia="Arial" w:hAnsi="Arial"/>
                <w:sz w:val="14"/>
                <w:szCs w:val="14"/>
                <w:color w:val="FFFFFF"/>
              </w:rPr>
              <w:t>(#)</w:t>
            </w:r>
          </w:p>
        </w:tc>
        <w:tc>
          <w:tcPr>
            <w:tcW w:w="1040" w:type="dxa"/>
            <w:vAlign w:val="bottom"/>
            <w:shd w:val="clear" w:color="auto" w:fill="225CAB"/>
          </w:tcPr>
          <w:p>
            <w:pPr>
              <w:jc w:val="center"/>
              <w:ind w:right="113"/>
              <w:spacing w:after="0" w:line="170" w:lineRule="exact"/>
              <w:rPr>
                <w:sz w:val="20"/>
                <w:szCs w:val="20"/>
                <w:color w:val="auto"/>
              </w:rPr>
            </w:pPr>
            <w:r>
              <w:rPr>
                <w:rFonts w:ascii="Arial" w:cs="Arial" w:eastAsia="Arial" w:hAnsi="Arial"/>
                <w:sz w:val="12"/>
                <w:szCs w:val="12"/>
                <w:color w:val="FFFFFF"/>
              </w:rPr>
              <w:t>Options</w:t>
            </w:r>
            <w:r>
              <w:rPr>
                <w:rFonts w:ascii="Arial" w:cs="Arial" w:eastAsia="Arial" w:hAnsi="Arial"/>
                <w:sz w:val="19"/>
                <w:szCs w:val="19"/>
                <w:color w:val="FFFFFF"/>
                <w:vertAlign w:val="superscript"/>
              </w:rPr>
              <w:t>(3)</w:t>
            </w:r>
          </w:p>
        </w:tc>
        <w:tc>
          <w:tcPr>
            <w:tcW w:w="1240" w:type="dxa"/>
            <w:vAlign w:val="bottom"/>
            <w:shd w:val="clear" w:color="auto" w:fill="225CAB"/>
          </w:tcPr>
          <w:p>
            <w:pPr>
              <w:jc w:val="center"/>
              <w:spacing w:after="0"/>
              <w:rPr>
                <w:sz w:val="20"/>
                <w:szCs w:val="20"/>
                <w:color w:val="auto"/>
              </w:rPr>
            </w:pPr>
            <w:r>
              <w:rPr>
                <w:rFonts w:ascii="Arial" w:cs="Arial" w:eastAsia="Arial" w:hAnsi="Arial"/>
                <w:sz w:val="14"/>
                <w:szCs w:val="14"/>
                <w:color w:val="FFFFFF"/>
                <w:w w:val="99"/>
              </w:rPr>
              <w:t>($/Sh)</w:t>
            </w:r>
          </w:p>
        </w:tc>
        <w:tc>
          <w:tcPr>
            <w:tcW w:w="1100" w:type="dxa"/>
            <w:vAlign w:val="bottom"/>
            <w:shd w:val="clear" w:color="auto" w:fill="225CAB"/>
          </w:tcPr>
          <w:p>
            <w:pPr>
              <w:jc w:val="center"/>
              <w:spacing w:after="0"/>
              <w:rPr>
                <w:sz w:val="20"/>
                <w:szCs w:val="20"/>
                <w:color w:val="auto"/>
              </w:rPr>
            </w:pPr>
            <w:r>
              <w:rPr>
                <w:rFonts w:ascii="Arial" w:cs="Arial" w:eastAsia="Arial" w:hAnsi="Arial"/>
                <w:sz w:val="14"/>
                <w:szCs w:val="14"/>
                <w:color w:val="FFFFFF"/>
                <w:w w:val="93"/>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40" w:type="dxa"/>
            <w:vAlign w:val="bottom"/>
          </w:tcPr>
          <w:p>
            <w:pPr>
              <w:spacing w:after="0"/>
              <w:rPr>
                <w:sz w:val="20"/>
                <w:szCs w:val="20"/>
                <w:color w:val="auto"/>
              </w:rPr>
            </w:pPr>
            <w:r>
              <w:rPr>
                <w:rFonts w:ascii="Arial" w:cs="Arial" w:eastAsia="Arial" w:hAnsi="Arial"/>
                <w:sz w:val="14"/>
                <w:szCs w:val="14"/>
                <w:color w:val="auto"/>
              </w:rPr>
              <w:t>Brian D. Jellison</w:t>
            </w:r>
          </w:p>
        </w:tc>
        <w:tc>
          <w:tcPr>
            <w:tcW w:w="1100" w:type="dxa"/>
            <w:vAlign w:val="bottom"/>
          </w:tcPr>
          <w:p>
            <w:pPr>
              <w:jc w:val="right"/>
              <w:ind w:right="112"/>
              <w:spacing w:after="0"/>
              <w:rPr>
                <w:sz w:val="20"/>
                <w:szCs w:val="20"/>
                <w:color w:val="auto"/>
              </w:rPr>
            </w:pPr>
            <w:r>
              <w:rPr>
                <w:rFonts w:ascii="Arial" w:cs="Arial" w:eastAsia="Arial" w:hAnsi="Arial"/>
                <w:sz w:val="14"/>
                <w:szCs w:val="14"/>
                <w:color w:val="auto"/>
              </w:rPr>
              <w:t>1/16/2015</w:t>
            </w:r>
          </w:p>
        </w:tc>
        <w:tc>
          <w:tcPr>
            <w:tcW w:w="880" w:type="dxa"/>
            <w:vAlign w:val="bottom"/>
            <w:vMerge w:val="restart"/>
          </w:tcPr>
          <w:p>
            <w:pPr>
              <w:jc w:val="right"/>
              <w:ind w:right="34"/>
              <w:spacing w:after="0"/>
              <w:rPr>
                <w:sz w:val="20"/>
                <w:szCs w:val="20"/>
                <w:color w:val="auto"/>
              </w:rPr>
            </w:pPr>
            <w:r>
              <w:rPr>
                <w:rFonts w:ascii="Arial" w:cs="Arial" w:eastAsia="Arial" w:hAnsi="Arial"/>
                <w:sz w:val="14"/>
                <w:szCs w:val="14"/>
                <w:color w:val="auto"/>
              </w:rPr>
              <w:t>964,688</w:t>
            </w:r>
          </w:p>
        </w:tc>
        <w:tc>
          <w:tcPr>
            <w:tcW w:w="1200" w:type="dxa"/>
            <w:vAlign w:val="bottom"/>
            <w:vMerge w:val="restart"/>
          </w:tcPr>
          <w:p>
            <w:pPr>
              <w:jc w:val="right"/>
              <w:ind w:right="212"/>
              <w:spacing w:after="0"/>
              <w:rPr>
                <w:sz w:val="20"/>
                <w:szCs w:val="20"/>
                <w:color w:val="auto"/>
              </w:rPr>
            </w:pPr>
            <w:r>
              <w:rPr>
                <w:rFonts w:ascii="Arial" w:cs="Arial" w:eastAsia="Arial" w:hAnsi="Arial"/>
                <w:sz w:val="14"/>
                <w:szCs w:val="14"/>
                <w:color w:val="auto"/>
              </w:rPr>
              <w:t>2,756,250</w:t>
            </w:r>
          </w:p>
        </w:tc>
        <w:tc>
          <w:tcPr>
            <w:tcW w:w="900" w:type="dxa"/>
            <w:vAlign w:val="bottom"/>
            <w:vMerge w:val="restart"/>
          </w:tcPr>
          <w:p>
            <w:pPr>
              <w:jc w:val="right"/>
              <w:ind w:right="92"/>
              <w:spacing w:after="0"/>
              <w:rPr>
                <w:sz w:val="20"/>
                <w:szCs w:val="20"/>
                <w:color w:val="auto"/>
              </w:rPr>
            </w:pPr>
            <w:r>
              <w:rPr>
                <w:rFonts w:ascii="Arial" w:cs="Arial" w:eastAsia="Arial" w:hAnsi="Arial"/>
                <w:sz w:val="14"/>
                <w:szCs w:val="14"/>
                <w:color w:val="auto"/>
              </w:rPr>
              <w:t>2,756,250</w:t>
            </w:r>
          </w:p>
        </w:tc>
        <w:tc>
          <w:tcPr>
            <w:tcW w:w="1100" w:type="dxa"/>
            <w:vAlign w:val="bottom"/>
          </w:tcPr>
          <w:p>
            <w:pPr>
              <w:jc w:val="right"/>
              <w:ind w:right="233"/>
              <w:spacing w:after="0"/>
              <w:rPr>
                <w:sz w:val="20"/>
                <w:szCs w:val="20"/>
                <w:color w:val="auto"/>
              </w:rPr>
            </w:pPr>
            <w:r>
              <w:rPr>
                <w:rFonts w:ascii="Arial" w:cs="Arial" w:eastAsia="Arial" w:hAnsi="Arial"/>
                <w:sz w:val="14"/>
                <w:szCs w:val="14"/>
                <w:color w:val="auto"/>
              </w:rPr>
              <w:t>150,000</w:t>
            </w:r>
          </w:p>
        </w:tc>
        <w:tc>
          <w:tcPr>
            <w:tcW w:w="10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00" w:type="dxa"/>
            <w:vAlign w:val="bottom"/>
          </w:tcPr>
          <w:p>
            <w:pPr>
              <w:jc w:val="right"/>
              <w:ind w:right="34"/>
              <w:spacing w:after="0"/>
              <w:rPr>
                <w:sz w:val="20"/>
                <w:szCs w:val="20"/>
                <w:color w:val="auto"/>
              </w:rPr>
            </w:pPr>
            <w:r>
              <w:rPr>
                <w:rFonts w:ascii="Arial" w:cs="Arial" w:eastAsia="Arial" w:hAnsi="Arial"/>
                <w:sz w:val="14"/>
                <w:szCs w:val="14"/>
                <w:color w:val="auto"/>
              </w:rPr>
              <w:t>21,862,500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40" w:type="dxa"/>
            <w:vAlign w:val="bottom"/>
            <w:tcBorders>
              <w:bottom w:val="single" w:sz="8" w:color="225CAB"/>
            </w:tcBorders>
          </w:tcPr>
          <w:p>
            <w:pPr>
              <w:spacing w:after="0"/>
              <w:rPr>
                <w:sz w:val="11"/>
                <w:szCs w:val="11"/>
                <w:color w:val="auto"/>
              </w:rPr>
            </w:pPr>
          </w:p>
        </w:tc>
        <w:tc>
          <w:tcPr>
            <w:tcW w:w="1100" w:type="dxa"/>
            <w:vAlign w:val="bottom"/>
            <w:tcBorders>
              <w:bottom w:val="single" w:sz="8" w:color="225CAB"/>
            </w:tcBorders>
          </w:tcPr>
          <w:p>
            <w:pPr>
              <w:spacing w:after="0"/>
              <w:rPr>
                <w:sz w:val="11"/>
                <w:szCs w:val="11"/>
                <w:color w:val="auto"/>
              </w:rPr>
            </w:pPr>
          </w:p>
        </w:tc>
        <w:tc>
          <w:tcPr>
            <w:tcW w:w="880" w:type="dxa"/>
            <w:vAlign w:val="bottom"/>
            <w:tcBorders>
              <w:bottom w:val="single" w:sz="8" w:color="225CAB"/>
            </w:tcBorders>
            <w:vMerge w:val="continue"/>
          </w:tcPr>
          <w:p>
            <w:pPr>
              <w:spacing w:after="0"/>
              <w:rPr>
                <w:sz w:val="11"/>
                <w:szCs w:val="11"/>
                <w:color w:val="auto"/>
              </w:rPr>
            </w:pPr>
          </w:p>
        </w:tc>
        <w:tc>
          <w:tcPr>
            <w:tcW w:w="1200" w:type="dxa"/>
            <w:vAlign w:val="bottom"/>
            <w:tcBorders>
              <w:bottom w:val="single" w:sz="8" w:color="225CAB"/>
            </w:tcBorders>
            <w:vMerge w:val="continue"/>
          </w:tcPr>
          <w:p>
            <w:pPr>
              <w:spacing w:after="0"/>
              <w:rPr>
                <w:sz w:val="11"/>
                <w:szCs w:val="11"/>
                <w:color w:val="auto"/>
              </w:rPr>
            </w:pPr>
          </w:p>
        </w:tc>
        <w:tc>
          <w:tcPr>
            <w:tcW w:w="900" w:type="dxa"/>
            <w:vAlign w:val="bottom"/>
            <w:tcBorders>
              <w:bottom w:val="single" w:sz="8" w:color="225CAB"/>
            </w:tcBorders>
            <w:vMerge w:val="continue"/>
          </w:tcPr>
          <w:p>
            <w:pPr>
              <w:spacing w:after="0"/>
              <w:rPr>
                <w:sz w:val="11"/>
                <w:szCs w:val="11"/>
                <w:color w:val="auto"/>
              </w:rPr>
            </w:pPr>
          </w:p>
        </w:tc>
        <w:tc>
          <w:tcPr>
            <w:tcW w:w="1100" w:type="dxa"/>
            <w:vAlign w:val="bottom"/>
            <w:tcBorders>
              <w:bottom w:val="single" w:sz="8" w:color="225CAB"/>
            </w:tcBorders>
          </w:tcPr>
          <w:p>
            <w:pPr>
              <w:spacing w:after="0"/>
              <w:rPr>
                <w:sz w:val="11"/>
                <w:szCs w:val="11"/>
                <w:color w:val="auto"/>
              </w:rPr>
            </w:pPr>
          </w:p>
        </w:tc>
        <w:tc>
          <w:tcPr>
            <w:tcW w:w="1040" w:type="dxa"/>
            <w:vAlign w:val="bottom"/>
            <w:tcBorders>
              <w:bottom w:val="single" w:sz="8" w:color="225CAB"/>
            </w:tcBorders>
          </w:tcPr>
          <w:p>
            <w:pPr>
              <w:spacing w:after="0"/>
              <w:rPr>
                <w:sz w:val="11"/>
                <w:szCs w:val="11"/>
                <w:color w:val="auto"/>
              </w:rPr>
            </w:pPr>
          </w:p>
        </w:tc>
        <w:tc>
          <w:tcPr>
            <w:tcW w:w="1240" w:type="dxa"/>
            <w:vAlign w:val="bottom"/>
            <w:tcBorders>
              <w:bottom w:val="single" w:sz="8" w:color="225CAB"/>
            </w:tcBorders>
          </w:tcPr>
          <w:p>
            <w:pPr>
              <w:spacing w:after="0"/>
              <w:rPr>
                <w:sz w:val="11"/>
                <w:szCs w:val="11"/>
                <w:color w:val="auto"/>
              </w:rPr>
            </w:pPr>
          </w:p>
        </w:tc>
        <w:tc>
          <w:tcPr>
            <w:tcW w:w="1100" w:type="dxa"/>
            <w:vAlign w:val="bottom"/>
            <w:tcBorders>
              <w:bottom w:val="single" w:sz="8" w:color="225CAB"/>
            </w:tcBorders>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840" w:type="dxa"/>
            <w:vAlign w:val="bottom"/>
          </w:tcPr>
          <w:p>
            <w:pPr>
              <w:spacing w:after="0" w:line="141" w:lineRule="exact"/>
              <w:rPr>
                <w:sz w:val="20"/>
                <w:szCs w:val="20"/>
                <w:color w:val="auto"/>
              </w:rPr>
            </w:pPr>
            <w:r>
              <w:rPr>
                <w:rFonts w:ascii="Arial" w:cs="Arial" w:eastAsia="Arial" w:hAnsi="Arial"/>
                <w:sz w:val="14"/>
                <w:szCs w:val="14"/>
                <w:color w:val="auto"/>
              </w:rPr>
              <w:t>John Humphrey</w:t>
            </w:r>
          </w:p>
        </w:tc>
        <w:tc>
          <w:tcPr>
            <w:tcW w:w="1100" w:type="dxa"/>
            <w:vAlign w:val="bottom"/>
          </w:tcPr>
          <w:p>
            <w:pPr>
              <w:jc w:val="right"/>
              <w:ind w:right="112"/>
              <w:spacing w:after="0" w:line="141" w:lineRule="exact"/>
              <w:rPr>
                <w:sz w:val="20"/>
                <w:szCs w:val="20"/>
                <w:color w:val="auto"/>
              </w:rPr>
            </w:pPr>
            <w:r>
              <w:rPr>
                <w:rFonts w:ascii="Arial" w:cs="Arial" w:eastAsia="Arial" w:hAnsi="Arial"/>
                <w:sz w:val="14"/>
                <w:szCs w:val="14"/>
                <w:color w:val="auto"/>
              </w:rPr>
              <w:t>1/16/2015</w:t>
            </w:r>
          </w:p>
        </w:tc>
        <w:tc>
          <w:tcPr>
            <w:tcW w:w="8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00" w:type="dxa"/>
            <w:vAlign w:val="bottom"/>
          </w:tcPr>
          <w:p>
            <w:pPr>
              <w:jc w:val="right"/>
              <w:ind w:right="233"/>
              <w:spacing w:after="0" w:line="141" w:lineRule="exact"/>
              <w:rPr>
                <w:sz w:val="20"/>
                <w:szCs w:val="20"/>
                <w:color w:val="auto"/>
              </w:rPr>
            </w:pPr>
            <w:r>
              <w:rPr>
                <w:rFonts w:ascii="Arial" w:cs="Arial" w:eastAsia="Arial" w:hAnsi="Arial"/>
                <w:sz w:val="14"/>
                <w:szCs w:val="14"/>
                <w:color w:val="auto"/>
              </w:rPr>
              <w:t>30,000</w:t>
            </w:r>
          </w:p>
        </w:tc>
        <w:tc>
          <w:tcPr>
            <w:tcW w:w="10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00" w:type="dxa"/>
            <w:vAlign w:val="bottom"/>
          </w:tcPr>
          <w:p>
            <w:pPr>
              <w:jc w:val="right"/>
              <w:ind w:right="34"/>
              <w:spacing w:after="0" w:line="141" w:lineRule="exact"/>
              <w:rPr>
                <w:sz w:val="20"/>
                <w:szCs w:val="20"/>
                <w:color w:val="auto"/>
              </w:rPr>
            </w:pPr>
            <w:r>
              <w:rPr>
                <w:rFonts w:ascii="Arial" w:cs="Arial" w:eastAsia="Arial" w:hAnsi="Arial"/>
                <w:sz w:val="14"/>
                <w:szCs w:val="14"/>
                <w:color w:val="auto"/>
              </w:rPr>
              <w:t>4,372,500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100" w:type="dxa"/>
            <w:vAlign w:val="bottom"/>
          </w:tcPr>
          <w:p>
            <w:pPr>
              <w:jc w:val="right"/>
              <w:ind w:right="112"/>
              <w:spacing w:after="0"/>
              <w:rPr>
                <w:sz w:val="20"/>
                <w:szCs w:val="20"/>
                <w:color w:val="auto"/>
              </w:rPr>
            </w:pPr>
            <w:r>
              <w:rPr>
                <w:rFonts w:ascii="Arial" w:cs="Arial" w:eastAsia="Arial" w:hAnsi="Arial"/>
                <w:sz w:val="14"/>
                <w:szCs w:val="14"/>
                <w:color w:val="auto"/>
              </w:rPr>
              <w:t>1/16/2015</w:t>
            </w:r>
          </w:p>
        </w:tc>
        <w:tc>
          <w:tcPr>
            <w:tcW w:w="880" w:type="dxa"/>
            <w:vAlign w:val="bottom"/>
            <w:vMerge w:val="restart"/>
          </w:tcPr>
          <w:p>
            <w:pPr>
              <w:jc w:val="right"/>
              <w:ind w:right="34"/>
              <w:spacing w:after="0"/>
              <w:rPr>
                <w:sz w:val="20"/>
                <w:szCs w:val="20"/>
                <w:color w:val="auto"/>
              </w:rPr>
            </w:pPr>
            <w:r>
              <w:rPr>
                <w:rFonts w:ascii="Arial" w:cs="Arial" w:eastAsia="Arial" w:hAnsi="Arial"/>
                <w:sz w:val="14"/>
                <w:szCs w:val="14"/>
                <w:color w:val="auto"/>
              </w:rPr>
              <w:t>402,675</w:t>
            </w:r>
          </w:p>
        </w:tc>
        <w:tc>
          <w:tcPr>
            <w:tcW w:w="1200" w:type="dxa"/>
            <w:vAlign w:val="bottom"/>
            <w:vMerge w:val="restart"/>
          </w:tcPr>
          <w:p>
            <w:pPr>
              <w:jc w:val="right"/>
              <w:ind w:right="212"/>
              <w:spacing w:after="0"/>
              <w:rPr>
                <w:sz w:val="20"/>
                <w:szCs w:val="20"/>
                <w:color w:val="auto"/>
              </w:rPr>
            </w:pPr>
            <w:r>
              <w:rPr>
                <w:rFonts w:ascii="Arial" w:cs="Arial" w:eastAsia="Arial" w:hAnsi="Arial"/>
                <w:sz w:val="14"/>
                <w:szCs w:val="14"/>
                <w:color w:val="auto"/>
              </w:rPr>
              <w:t>1,150,500</w:t>
            </w:r>
          </w:p>
        </w:tc>
        <w:tc>
          <w:tcPr>
            <w:tcW w:w="900" w:type="dxa"/>
            <w:vAlign w:val="bottom"/>
            <w:vMerge w:val="restart"/>
          </w:tcPr>
          <w:p>
            <w:pPr>
              <w:jc w:val="right"/>
              <w:ind w:right="92"/>
              <w:spacing w:after="0"/>
              <w:rPr>
                <w:sz w:val="20"/>
                <w:szCs w:val="20"/>
                <w:color w:val="auto"/>
              </w:rPr>
            </w:pPr>
            <w:r>
              <w:rPr>
                <w:rFonts w:ascii="Arial" w:cs="Arial" w:eastAsia="Arial" w:hAnsi="Arial"/>
                <w:sz w:val="14"/>
                <w:szCs w:val="14"/>
                <w:color w:val="auto"/>
              </w:rPr>
              <w:t>1,150,500</w:t>
            </w:r>
          </w:p>
        </w:tc>
        <w:tc>
          <w:tcPr>
            <w:tcW w:w="1100" w:type="dxa"/>
            <w:vAlign w:val="bottom"/>
          </w:tcPr>
          <w:p>
            <w:pPr>
              <w:spacing w:after="0"/>
              <w:rPr>
                <w:sz w:val="14"/>
                <w:szCs w:val="14"/>
                <w:color w:val="auto"/>
              </w:rPr>
            </w:pPr>
          </w:p>
        </w:tc>
        <w:tc>
          <w:tcPr>
            <w:tcW w:w="1040" w:type="dxa"/>
            <w:vAlign w:val="bottom"/>
          </w:tcPr>
          <w:p>
            <w:pPr>
              <w:jc w:val="right"/>
              <w:ind w:right="113"/>
              <w:spacing w:after="0"/>
              <w:rPr>
                <w:sz w:val="20"/>
                <w:szCs w:val="20"/>
                <w:color w:val="auto"/>
              </w:rPr>
            </w:pPr>
            <w:r>
              <w:rPr>
                <w:rFonts w:ascii="Arial" w:cs="Arial" w:eastAsia="Arial" w:hAnsi="Arial"/>
                <w:sz w:val="14"/>
                <w:szCs w:val="14"/>
                <w:color w:val="auto"/>
              </w:rPr>
              <w:t>30,000</w:t>
            </w:r>
          </w:p>
        </w:tc>
        <w:tc>
          <w:tcPr>
            <w:tcW w:w="1240" w:type="dxa"/>
            <w:vAlign w:val="bottom"/>
          </w:tcPr>
          <w:p>
            <w:pPr>
              <w:jc w:val="right"/>
              <w:ind w:right="52"/>
              <w:spacing w:after="0"/>
              <w:rPr>
                <w:sz w:val="20"/>
                <w:szCs w:val="20"/>
                <w:color w:val="auto"/>
              </w:rPr>
            </w:pPr>
            <w:r>
              <w:rPr>
                <w:rFonts w:ascii="Arial" w:cs="Arial" w:eastAsia="Arial" w:hAnsi="Arial"/>
                <w:sz w:val="14"/>
                <w:szCs w:val="14"/>
                <w:color w:val="auto"/>
              </w:rPr>
              <w:t>145.75</w:t>
            </w:r>
          </w:p>
        </w:tc>
        <w:tc>
          <w:tcPr>
            <w:tcW w:w="1100" w:type="dxa"/>
            <w:vAlign w:val="bottom"/>
          </w:tcPr>
          <w:p>
            <w:pPr>
              <w:jc w:val="right"/>
              <w:ind w:right="34"/>
              <w:spacing w:after="0"/>
              <w:rPr>
                <w:sz w:val="20"/>
                <w:szCs w:val="20"/>
                <w:color w:val="auto"/>
              </w:rPr>
            </w:pPr>
            <w:r>
              <w:rPr>
                <w:rFonts w:ascii="Arial" w:cs="Arial" w:eastAsia="Arial" w:hAnsi="Arial"/>
                <w:sz w:val="14"/>
                <w:szCs w:val="14"/>
                <w:color w:val="auto"/>
              </w:rPr>
              <w:t>888,729</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840" w:type="dxa"/>
            <w:vAlign w:val="bottom"/>
            <w:tcBorders>
              <w:bottom w:val="single" w:sz="8" w:color="225CAB"/>
            </w:tcBorders>
          </w:tcPr>
          <w:p>
            <w:pPr>
              <w:spacing w:after="0"/>
              <w:rPr>
                <w:sz w:val="11"/>
                <w:szCs w:val="11"/>
                <w:color w:val="auto"/>
              </w:rPr>
            </w:pPr>
          </w:p>
        </w:tc>
        <w:tc>
          <w:tcPr>
            <w:tcW w:w="1100" w:type="dxa"/>
            <w:vAlign w:val="bottom"/>
            <w:tcBorders>
              <w:bottom w:val="single" w:sz="8" w:color="225CAB"/>
            </w:tcBorders>
          </w:tcPr>
          <w:p>
            <w:pPr>
              <w:spacing w:after="0"/>
              <w:rPr>
                <w:sz w:val="11"/>
                <w:szCs w:val="11"/>
                <w:color w:val="auto"/>
              </w:rPr>
            </w:pPr>
          </w:p>
        </w:tc>
        <w:tc>
          <w:tcPr>
            <w:tcW w:w="880" w:type="dxa"/>
            <w:vAlign w:val="bottom"/>
            <w:tcBorders>
              <w:bottom w:val="single" w:sz="8" w:color="225CAB"/>
            </w:tcBorders>
            <w:vMerge w:val="continue"/>
          </w:tcPr>
          <w:p>
            <w:pPr>
              <w:spacing w:after="0"/>
              <w:rPr>
                <w:sz w:val="11"/>
                <w:szCs w:val="11"/>
                <w:color w:val="auto"/>
              </w:rPr>
            </w:pPr>
          </w:p>
        </w:tc>
        <w:tc>
          <w:tcPr>
            <w:tcW w:w="1200" w:type="dxa"/>
            <w:vAlign w:val="bottom"/>
            <w:tcBorders>
              <w:bottom w:val="single" w:sz="8" w:color="225CAB"/>
            </w:tcBorders>
            <w:vMerge w:val="continue"/>
          </w:tcPr>
          <w:p>
            <w:pPr>
              <w:spacing w:after="0"/>
              <w:rPr>
                <w:sz w:val="11"/>
                <w:szCs w:val="11"/>
                <w:color w:val="auto"/>
              </w:rPr>
            </w:pPr>
          </w:p>
        </w:tc>
        <w:tc>
          <w:tcPr>
            <w:tcW w:w="900" w:type="dxa"/>
            <w:vAlign w:val="bottom"/>
            <w:tcBorders>
              <w:bottom w:val="single" w:sz="8" w:color="225CAB"/>
            </w:tcBorders>
            <w:vMerge w:val="continue"/>
          </w:tcPr>
          <w:p>
            <w:pPr>
              <w:spacing w:after="0"/>
              <w:rPr>
                <w:sz w:val="11"/>
                <w:szCs w:val="11"/>
                <w:color w:val="auto"/>
              </w:rPr>
            </w:pPr>
          </w:p>
        </w:tc>
        <w:tc>
          <w:tcPr>
            <w:tcW w:w="1100" w:type="dxa"/>
            <w:vAlign w:val="bottom"/>
            <w:tcBorders>
              <w:bottom w:val="single" w:sz="8" w:color="225CAB"/>
            </w:tcBorders>
          </w:tcPr>
          <w:p>
            <w:pPr>
              <w:spacing w:after="0"/>
              <w:rPr>
                <w:sz w:val="11"/>
                <w:szCs w:val="11"/>
                <w:color w:val="auto"/>
              </w:rPr>
            </w:pPr>
          </w:p>
        </w:tc>
        <w:tc>
          <w:tcPr>
            <w:tcW w:w="1040" w:type="dxa"/>
            <w:vAlign w:val="bottom"/>
            <w:tcBorders>
              <w:bottom w:val="single" w:sz="8" w:color="225CAB"/>
            </w:tcBorders>
          </w:tcPr>
          <w:p>
            <w:pPr>
              <w:spacing w:after="0"/>
              <w:rPr>
                <w:sz w:val="11"/>
                <w:szCs w:val="11"/>
                <w:color w:val="auto"/>
              </w:rPr>
            </w:pPr>
          </w:p>
        </w:tc>
        <w:tc>
          <w:tcPr>
            <w:tcW w:w="1240" w:type="dxa"/>
            <w:vAlign w:val="bottom"/>
            <w:tcBorders>
              <w:bottom w:val="single" w:sz="8" w:color="225CAB"/>
            </w:tcBorders>
          </w:tcPr>
          <w:p>
            <w:pPr>
              <w:spacing w:after="0"/>
              <w:rPr>
                <w:sz w:val="11"/>
                <w:szCs w:val="11"/>
                <w:color w:val="auto"/>
              </w:rPr>
            </w:pPr>
          </w:p>
        </w:tc>
        <w:tc>
          <w:tcPr>
            <w:tcW w:w="1100" w:type="dxa"/>
            <w:vAlign w:val="bottom"/>
            <w:tcBorders>
              <w:bottom w:val="single" w:sz="8" w:color="225CAB"/>
            </w:tcBorders>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840" w:type="dxa"/>
            <w:vAlign w:val="bottom"/>
          </w:tcPr>
          <w:p>
            <w:pPr>
              <w:spacing w:after="0" w:line="141" w:lineRule="exact"/>
              <w:rPr>
                <w:sz w:val="20"/>
                <w:szCs w:val="20"/>
                <w:color w:val="auto"/>
              </w:rPr>
            </w:pPr>
            <w:r>
              <w:rPr>
                <w:rFonts w:ascii="Arial" w:cs="Arial" w:eastAsia="Arial" w:hAnsi="Arial"/>
                <w:sz w:val="14"/>
                <w:szCs w:val="14"/>
                <w:color w:val="auto"/>
              </w:rPr>
              <w:t>David B. Liner</w:t>
            </w:r>
          </w:p>
        </w:tc>
        <w:tc>
          <w:tcPr>
            <w:tcW w:w="1100" w:type="dxa"/>
            <w:vAlign w:val="bottom"/>
          </w:tcPr>
          <w:p>
            <w:pPr>
              <w:jc w:val="right"/>
              <w:ind w:right="112"/>
              <w:spacing w:after="0" w:line="141" w:lineRule="exact"/>
              <w:rPr>
                <w:sz w:val="20"/>
                <w:szCs w:val="20"/>
                <w:color w:val="auto"/>
              </w:rPr>
            </w:pPr>
            <w:r>
              <w:rPr>
                <w:rFonts w:ascii="Arial" w:cs="Arial" w:eastAsia="Arial" w:hAnsi="Arial"/>
                <w:sz w:val="14"/>
                <w:szCs w:val="14"/>
                <w:color w:val="auto"/>
              </w:rPr>
              <w:t>1/16/2015</w:t>
            </w:r>
          </w:p>
        </w:tc>
        <w:tc>
          <w:tcPr>
            <w:tcW w:w="8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00" w:type="dxa"/>
            <w:vAlign w:val="bottom"/>
          </w:tcPr>
          <w:p>
            <w:pPr>
              <w:jc w:val="right"/>
              <w:ind w:right="233"/>
              <w:spacing w:after="0" w:line="141" w:lineRule="exact"/>
              <w:rPr>
                <w:sz w:val="20"/>
                <w:szCs w:val="20"/>
                <w:color w:val="auto"/>
              </w:rPr>
            </w:pPr>
            <w:r>
              <w:rPr>
                <w:rFonts w:ascii="Arial" w:cs="Arial" w:eastAsia="Arial" w:hAnsi="Arial"/>
                <w:sz w:val="14"/>
                <w:szCs w:val="14"/>
                <w:color w:val="auto"/>
              </w:rPr>
              <w:t>6,000</w:t>
            </w:r>
          </w:p>
        </w:tc>
        <w:tc>
          <w:tcPr>
            <w:tcW w:w="10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00" w:type="dxa"/>
            <w:vAlign w:val="bottom"/>
          </w:tcPr>
          <w:p>
            <w:pPr>
              <w:jc w:val="right"/>
              <w:ind w:right="34"/>
              <w:spacing w:after="0" w:line="141" w:lineRule="exact"/>
              <w:rPr>
                <w:sz w:val="20"/>
                <w:szCs w:val="20"/>
                <w:color w:val="auto"/>
              </w:rPr>
            </w:pPr>
            <w:r>
              <w:rPr>
                <w:rFonts w:ascii="Arial" w:cs="Arial" w:eastAsia="Arial" w:hAnsi="Arial"/>
                <w:sz w:val="14"/>
                <w:szCs w:val="14"/>
                <w:color w:val="auto"/>
              </w:rPr>
              <w:t>874,500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100" w:type="dxa"/>
            <w:vAlign w:val="bottom"/>
          </w:tcPr>
          <w:p>
            <w:pPr>
              <w:jc w:val="right"/>
              <w:ind w:right="112"/>
              <w:spacing w:after="0"/>
              <w:rPr>
                <w:sz w:val="20"/>
                <w:szCs w:val="20"/>
                <w:color w:val="auto"/>
              </w:rPr>
            </w:pPr>
            <w:r>
              <w:rPr>
                <w:rFonts w:ascii="Arial" w:cs="Arial" w:eastAsia="Arial" w:hAnsi="Arial"/>
                <w:sz w:val="14"/>
                <w:szCs w:val="14"/>
                <w:color w:val="auto"/>
              </w:rPr>
              <w:t>1/16/2015</w:t>
            </w:r>
          </w:p>
        </w:tc>
        <w:tc>
          <w:tcPr>
            <w:tcW w:w="880" w:type="dxa"/>
            <w:vAlign w:val="bottom"/>
            <w:vMerge w:val="restart"/>
          </w:tcPr>
          <w:p>
            <w:pPr>
              <w:jc w:val="right"/>
              <w:ind w:right="34"/>
              <w:spacing w:after="0"/>
              <w:rPr>
                <w:sz w:val="20"/>
                <w:szCs w:val="20"/>
                <w:color w:val="auto"/>
              </w:rPr>
            </w:pPr>
            <w:r>
              <w:rPr>
                <w:rFonts w:ascii="Arial" w:cs="Arial" w:eastAsia="Arial" w:hAnsi="Arial"/>
                <w:sz w:val="14"/>
                <w:szCs w:val="14"/>
                <w:color w:val="auto"/>
              </w:rPr>
              <w:t>157,500</w:t>
            </w:r>
          </w:p>
        </w:tc>
        <w:tc>
          <w:tcPr>
            <w:tcW w:w="1200" w:type="dxa"/>
            <w:vAlign w:val="bottom"/>
            <w:vMerge w:val="restart"/>
          </w:tcPr>
          <w:p>
            <w:pPr>
              <w:jc w:val="right"/>
              <w:ind w:right="212"/>
              <w:spacing w:after="0"/>
              <w:rPr>
                <w:sz w:val="20"/>
                <w:szCs w:val="20"/>
                <w:color w:val="auto"/>
              </w:rPr>
            </w:pPr>
            <w:r>
              <w:rPr>
                <w:rFonts w:ascii="Arial" w:cs="Arial" w:eastAsia="Arial" w:hAnsi="Arial"/>
                <w:sz w:val="14"/>
                <w:szCs w:val="14"/>
                <w:color w:val="auto"/>
              </w:rPr>
              <w:t>450,000</w:t>
            </w:r>
          </w:p>
        </w:tc>
        <w:tc>
          <w:tcPr>
            <w:tcW w:w="900" w:type="dxa"/>
            <w:vAlign w:val="bottom"/>
            <w:vMerge w:val="restart"/>
          </w:tcPr>
          <w:p>
            <w:pPr>
              <w:jc w:val="right"/>
              <w:ind w:right="92"/>
              <w:spacing w:after="0"/>
              <w:rPr>
                <w:sz w:val="20"/>
                <w:szCs w:val="20"/>
                <w:color w:val="auto"/>
              </w:rPr>
            </w:pPr>
            <w:r>
              <w:rPr>
                <w:rFonts w:ascii="Arial" w:cs="Arial" w:eastAsia="Arial" w:hAnsi="Arial"/>
                <w:sz w:val="14"/>
                <w:szCs w:val="14"/>
                <w:color w:val="auto"/>
              </w:rPr>
              <w:t>450,000</w:t>
            </w:r>
          </w:p>
        </w:tc>
        <w:tc>
          <w:tcPr>
            <w:tcW w:w="1100" w:type="dxa"/>
            <w:vAlign w:val="bottom"/>
          </w:tcPr>
          <w:p>
            <w:pPr>
              <w:spacing w:after="0"/>
              <w:rPr>
                <w:sz w:val="14"/>
                <w:szCs w:val="14"/>
                <w:color w:val="auto"/>
              </w:rPr>
            </w:pPr>
          </w:p>
        </w:tc>
        <w:tc>
          <w:tcPr>
            <w:tcW w:w="1040" w:type="dxa"/>
            <w:vAlign w:val="bottom"/>
          </w:tcPr>
          <w:p>
            <w:pPr>
              <w:jc w:val="right"/>
              <w:ind w:right="113"/>
              <w:spacing w:after="0"/>
              <w:rPr>
                <w:sz w:val="20"/>
                <w:szCs w:val="20"/>
                <w:color w:val="auto"/>
              </w:rPr>
            </w:pPr>
            <w:r>
              <w:rPr>
                <w:rFonts w:ascii="Arial" w:cs="Arial" w:eastAsia="Arial" w:hAnsi="Arial"/>
                <w:sz w:val="14"/>
                <w:szCs w:val="14"/>
                <w:color w:val="auto"/>
              </w:rPr>
              <w:t>12,000</w:t>
            </w:r>
          </w:p>
        </w:tc>
        <w:tc>
          <w:tcPr>
            <w:tcW w:w="1240" w:type="dxa"/>
            <w:vAlign w:val="bottom"/>
          </w:tcPr>
          <w:p>
            <w:pPr>
              <w:jc w:val="right"/>
              <w:ind w:right="52"/>
              <w:spacing w:after="0"/>
              <w:rPr>
                <w:sz w:val="20"/>
                <w:szCs w:val="20"/>
                <w:color w:val="auto"/>
              </w:rPr>
            </w:pPr>
            <w:r>
              <w:rPr>
                <w:rFonts w:ascii="Arial" w:cs="Arial" w:eastAsia="Arial" w:hAnsi="Arial"/>
                <w:sz w:val="14"/>
                <w:szCs w:val="14"/>
                <w:color w:val="auto"/>
              </w:rPr>
              <w:t>145.75</w:t>
            </w:r>
          </w:p>
        </w:tc>
        <w:tc>
          <w:tcPr>
            <w:tcW w:w="1100" w:type="dxa"/>
            <w:vAlign w:val="bottom"/>
          </w:tcPr>
          <w:p>
            <w:pPr>
              <w:jc w:val="right"/>
              <w:ind w:right="34"/>
              <w:spacing w:after="0"/>
              <w:rPr>
                <w:sz w:val="20"/>
                <w:szCs w:val="20"/>
                <w:color w:val="auto"/>
              </w:rPr>
            </w:pPr>
            <w:r>
              <w:rPr>
                <w:rFonts w:ascii="Arial" w:cs="Arial" w:eastAsia="Arial" w:hAnsi="Arial"/>
                <w:sz w:val="14"/>
                <w:szCs w:val="14"/>
                <w:color w:val="auto"/>
              </w:rPr>
              <w:t>355,492</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840" w:type="dxa"/>
            <w:vAlign w:val="bottom"/>
            <w:tcBorders>
              <w:bottom w:val="single" w:sz="8" w:color="225CAB"/>
            </w:tcBorders>
          </w:tcPr>
          <w:p>
            <w:pPr>
              <w:spacing w:after="0"/>
              <w:rPr>
                <w:sz w:val="11"/>
                <w:szCs w:val="11"/>
                <w:color w:val="auto"/>
              </w:rPr>
            </w:pPr>
          </w:p>
        </w:tc>
        <w:tc>
          <w:tcPr>
            <w:tcW w:w="1100" w:type="dxa"/>
            <w:vAlign w:val="bottom"/>
            <w:tcBorders>
              <w:bottom w:val="single" w:sz="8" w:color="225CAB"/>
            </w:tcBorders>
          </w:tcPr>
          <w:p>
            <w:pPr>
              <w:spacing w:after="0"/>
              <w:rPr>
                <w:sz w:val="11"/>
                <w:szCs w:val="11"/>
                <w:color w:val="auto"/>
              </w:rPr>
            </w:pPr>
          </w:p>
        </w:tc>
        <w:tc>
          <w:tcPr>
            <w:tcW w:w="880" w:type="dxa"/>
            <w:vAlign w:val="bottom"/>
            <w:tcBorders>
              <w:bottom w:val="single" w:sz="8" w:color="225CAB"/>
            </w:tcBorders>
            <w:vMerge w:val="continue"/>
          </w:tcPr>
          <w:p>
            <w:pPr>
              <w:spacing w:after="0"/>
              <w:rPr>
                <w:sz w:val="11"/>
                <w:szCs w:val="11"/>
                <w:color w:val="auto"/>
              </w:rPr>
            </w:pPr>
          </w:p>
        </w:tc>
        <w:tc>
          <w:tcPr>
            <w:tcW w:w="1200" w:type="dxa"/>
            <w:vAlign w:val="bottom"/>
            <w:tcBorders>
              <w:bottom w:val="single" w:sz="8" w:color="225CAB"/>
            </w:tcBorders>
            <w:vMerge w:val="continue"/>
          </w:tcPr>
          <w:p>
            <w:pPr>
              <w:spacing w:after="0"/>
              <w:rPr>
                <w:sz w:val="11"/>
                <w:szCs w:val="11"/>
                <w:color w:val="auto"/>
              </w:rPr>
            </w:pPr>
          </w:p>
        </w:tc>
        <w:tc>
          <w:tcPr>
            <w:tcW w:w="900" w:type="dxa"/>
            <w:vAlign w:val="bottom"/>
            <w:tcBorders>
              <w:bottom w:val="single" w:sz="8" w:color="225CAB"/>
            </w:tcBorders>
            <w:vMerge w:val="continue"/>
          </w:tcPr>
          <w:p>
            <w:pPr>
              <w:spacing w:after="0"/>
              <w:rPr>
                <w:sz w:val="11"/>
                <w:szCs w:val="11"/>
                <w:color w:val="auto"/>
              </w:rPr>
            </w:pPr>
          </w:p>
        </w:tc>
        <w:tc>
          <w:tcPr>
            <w:tcW w:w="1100" w:type="dxa"/>
            <w:vAlign w:val="bottom"/>
            <w:tcBorders>
              <w:bottom w:val="single" w:sz="8" w:color="225CAB"/>
            </w:tcBorders>
          </w:tcPr>
          <w:p>
            <w:pPr>
              <w:spacing w:after="0"/>
              <w:rPr>
                <w:sz w:val="11"/>
                <w:szCs w:val="11"/>
                <w:color w:val="auto"/>
              </w:rPr>
            </w:pPr>
          </w:p>
        </w:tc>
        <w:tc>
          <w:tcPr>
            <w:tcW w:w="1040" w:type="dxa"/>
            <w:vAlign w:val="bottom"/>
            <w:tcBorders>
              <w:bottom w:val="single" w:sz="8" w:color="225CAB"/>
            </w:tcBorders>
          </w:tcPr>
          <w:p>
            <w:pPr>
              <w:spacing w:after="0"/>
              <w:rPr>
                <w:sz w:val="11"/>
                <w:szCs w:val="11"/>
                <w:color w:val="auto"/>
              </w:rPr>
            </w:pPr>
          </w:p>
        </w:tc>
        <w:tc>
          <w:tcPr>
            <w:tcW w:w="1240" w:type="dxa"/>
            <w:vAlign w:val="bottom"/>
            <w:tcBorders>
              <w:bottom w:val="single" w:sz="8" w:color="225CAB"/>
            </w:tcBorders>
          </w:tcPr>
          <w:p>
            <w:pPr>
              <w:spacing w:after="0"/>
              <w:rPr>
                <w:sz w:val="11"/>
                <w:szCs w:val="11"/>
                <w:color w:val="auto"/>
              </w:rPr>
            </w:pPr>
          </w:p>
        </w:tc>
        <w:tc>
          <w:tcPr>
            <w:tcW w:w="1100" w:type="dxa"/>
            <w:vAlign w:val="bottom"/>
            <w:tcBorders>
              <w:bottom w:val="single" w:sz="8" w:color="225CAB"/>
            </w:tcBorders>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840" w:type="dxa"/>
            <w:vAlign w:val="bottom"/>
          </w:tcPr>
          <w:p>
            <w:pPr>
              <w:spacing w:after="0" w:line="141" w:lineRule="exact"/>
              <w:rPr>
                <w:sz w:val="20"/>
                <w:szCs w:val="20"/>
                <w:color w:val="auto"/>
              </w:rPr>
            </w:pPr>
            <w:r>
              <w:rPr>
                <w:rFonts w:ascii="Arial" w:cs="Arial" w:eastAsia="Arial" w:hAnsi="Arial"/>
                <w:sz w:val="14"/>
                <w:szCs w:val="14"/>
                <w:color w:val="auto"/>
              </w:rPr>
              <w:t>Paul J. Soni</w:t>
            </w:r>
          </w:p>
        </w:tc>
        <w:tc>
          <w:tcPr>
            <w:tcW w:w="1100" w:type="dxa"/>
            <w:vAlign w:val="bottom"/>
          </w:tcPr>
          <w:p>
            <w:pPr>
              <w:jc w:val="right"/>
              <w:ind w:right="112"/>
              <w:spacing w:after="0" w:line="141" w:lineRule="exact"/>
              <w:rPr>
                <w:sz w:val="20"/>
                <w:szCs w:val="20"/>
                <w:color w:val="auto"/>
              </w:rPr>
            </w:pPr>
            <w:r>
              <w:rPr>
                <w:rFonts w:ascii="Arial" w:cs="Arial" w:eastAsia="Arial" w:hAnsi="Arial"/>
                <w:sz w:val="14"/>
                <w:szCs w:val="14"/>
                <w:color w:val="auto"/>
              </w:rPr>
              <w:t>1/16/2015</w:t>
            </w:r>
          </w:p>
        </w:tc>
        <w:tc>
          <w:tcPr>
            <w:tcW w:w="8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00" w:type="dxa"/>
            <w:vAlign w:val="bottom"/>
          </w:tcPr>
          <w:p>
            <w:pPr>
              <w:jc w:val="right"/>
              <w:ind w:right="233"/>
              <w:spacing w:after="0" w:line="141" w:lineRule="exact"/>
              <w:rPr>
                <w:sz w:val="20"/>
                <w:szCs w:val="20"/>
                <w:color w:val="auto"/>
              </w:rPr>
            </w:pPr>
            <w:r>
              <w:rPr>
                <w:rFonts w:ascii="Arial" w:cs="Arial" w:eastAsia="Arial" w:hAnsi="Arial"/>
                <w:sz w:val="14"/>
                <w:szCs w:val="14"/>
                <w:color w:val="auto"/>
              </w:rPr>
              <w:t>6,000</w:t>
            </w:r>
          </w:p>
        </w:tc>
        <w:tc>
          <w:tcPr>
            <w:tcW w:w="10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00" w:type="dxa"/>
            <w:vAlign w:val="bottom"/>
          </w:tcPr>
          <w:p>
            <w:pPr>
              <w:jc w:val="right"/>
              <w:ind w:right="34"/>
              <w:spacing w:after="0" w:line="141" w:lineRule="exact"/>
              <w:rPr>
                <w:sz w:val="20"/>
                <w:szCs w:val="20"/>
                <w:color w:val="auto"/>
              </w:rPr>
            </w:pPr>
            <w:r>
              <w:rPr>
                <w:rFonts w:ascii="Arial" w:cs="Arial" w:eastAsia="Arial" w:hAnsi="Arial"/>
                <w:sz w:val="14"/>
                <w:szCs w:val="14"/>
                <w:color w:val="auto"/>
              </w:rPr>
              <w:t>874,500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1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1/16/2015</w:t>
            </w:r>
          </w:p>
        </w:tc>
        <w:tc>
          <w:tcPr>
            <w:tcW w:w="8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4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12,000</w:t>
            </w:r>
          </w:p>
        </w:tc>
        <w:tc>
          <w:tcPr>
            <w:tcW w:w="12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145.75</w:t>
            </w:r>
          </w:p>
        </w:tc>
        <w:tc>
          <w:tcPr>
            <w:tcW w:w="1100" w:type="dxa"/>
            <w:vAlign w:val="bottom"/>
          </w:tcPr>
          <w:p>
            <w:pPr>
              <w:jc w:val="right"/>
              <w:ind w:right="34"/>
              <w:spacing w:after="0" w:line="149" w:lineRule="exact"/>
              <w:rPr>
                <w:sz w:val="20"/>
                <w:szCs w:val="20"/>
                <w:color w:val="auto"/>
              </w:rPr>
            </w:pPr>
            <w:r>
              <w:rPr>
                <w:rFonts w:ascii="Arial" w:cs="Arial" w:eastAsia="Arial" w:hAnsi="Arial"/>
                <w:sz w:val="14"/>
                <w:szCs w:val="14"/>
                <w:color w:val="auto"/>
              </w:rPr>
              <w:t>355,492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2595245</wp:posOffset>
            </wp:positionH>
            <wp:positionV relativeFrom="paragraph">
              <wp:posOffset>-1165225</wp:posOffset>
            </wp:positionV>
            <wp:extent cx="23241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ind w:left="4260"/>
        <w:spacing w:after="0"/>
        <w:tabs>
          <w:tab w:leader="none" w:pos="5260" w:val="left"/>
          <w:tab w:leader="none" w:pos="6260" w:val="left"/>
        </w:tabs>
        <w:rPr>
          <w:sz w:val="20"/>
          <w:szCs w:val="20"/>
          <w:color w:val="auto"/>
        </w:rPr>
      </w:pPr>
      <w:r>
        <w:rPr>
          <w:rFonts w:ascii="Arial" w:cs="Arial" w:eastAsia="Arial" w:hAnsi="Arial"/>
          <w:sz w:val="14"/>
          <w:szCs w:val="14"/>
          <w:color w:val="auto"/>
        </w:rPr>
        <w:t>114,800</w:t>
      </w:r>
      <w:r>
        <w:rPr>
          <w:sz w:val="20"/>
          <w:szCs w:val="20"/>
          <w:color w:val="auto"/>
        </w:rPr>
        <w:tab/>
      </w:r>
      <w:r>
        <w:rPr>
          <w:rFonts w:ascii="Arial" w:cs="Arial" w:eastAsia="Arial" w:hAnsi="Arial"/>
          <w:sz w:val="14"/>
          <w:szCs w:val="14"/>
          <w:color w:val="auto"/>
        </w:rPr>
        <w:t>328,000</w:t>
      </w:r>
      <w:r>
        <w:rPr>
          <w:sz w:val="20"/>
          <w:szCs w:val="20"/>
          <w:color w:val="auto"/>
        </w:rPr>
        <w:tab/>
      </w:r>
      <w:r>
        <w:rPr>
          <w:rFonts w:ascii="Arial" w:cs="Arial" w:eastAsia="Arial" w:hAnsi="Arial"/>
          <w:sz w:val="12"/>
          <w:szCs w:val="12"/>
          <w:color w:val="auto"/>
        </w:rPr>
        <w:t>328,000</w:t>
      </w:r>
    </w:p>
    <w:p>
      <w:pPr>
        <w:spacing w:after="0" w:line="21" w:lineRule="exact"/>
        <w:rPr>
          <w:sz w:val="20"/>
          <w:szCs w:val="20"/>
          <w:color w:val="auto"/>
        </w:rPr>
      </w:pPr>
    </w:p>
    <w:p>
      <w:pPr>
        <w:ind w:left="340" w:right="280" w:hanging="332"/>
        <w:spacing w:after="0" w:line="180" w:lineRule="auto"/>
        <w:tabs>
          <w:tab w:leader="none" w:pos="340" w:val="left"/>
        </w:tabs>
        <w:numPr>
          <w:ilvl w:val="0"/>
          <w:numId w:val="59"/>
        </w:numPr>
        <w:rPr>
          <w:rFonts w:ascii="Arial" w:cs="Arial" w:eastAsia="Arial" w:hAnsi="Arial"/>
          <w:sz w:val="22"/>
          <w:szCs w:val="22"/>
          <w:color w:val="auto"/>
          <w:vertAlign w:val="superscript"/>
        </w:rPr>
      </w:pPr>
      <w:r>
        <w:rPr>
          <w:rFonts w:ascii="Arial" w:cs="Arial" w:eastAsia="Arial" w:hAnsi="Arial"/>
          <w:sz w:val="14"/>
          <w:szCs w:val="14"/>
          <w:color w:val="auto"/>
        </w:rPr>
        <w:t>For an explanation of the material terms, refer to the CD&amp;A section above captioned “Analysis of 2015 Compensation—Annual Cash Incentive.” Amounts paid under this program for 2015 are set forth in the 2015 Summary Compensation Table.</w:t>
      </w:r>
    </w:p>
    <w:p>
      <w:pPr>
        <w:spacing w:after="0" w:line="67" w:lineRule="exact"/>
        <w:rPr>
          <w:rFonts w:ascii="Arial" w:cs="Arial" w:eastAsia="Arial" w:hAnsi="Arial"/>
          <w:sz w:val="22"/>
          <w:szCs w:val="22"/>
          <w:color w:val="auto"/>
          <w:vertAlign w:val="superscript"/>
        </w:rPr>
      </w:pPr>
    </w:p>
    <w:p>
      <w:pPr>
        <w:ind w:left="340" w:right="140" w:hanging="332"/>
        <w:spacing w:after="0" w:line="191" w:lineRule="auto"/>
        <w:tabs>
          <w:tab w:leader="none" w:pos="340" w:val="left"/>
        </w:tabs>
        <w:numPr>
          <w:ilvl w:val="0"/>
          <w:numId w:val="59"/>
        </w:numPr>
        <w:rPr>
          <w:rFonts w:ascii="Arial" w:cs="Arial" w:eastAsia="Arial" w:hAnsi="Arial"/>
          <w:sz w:val="22"/>
          <w:szCs w:val="22"/>
          <w:color w:val="auto"/>
          <w:vertAlign w:val="superscript"/>
        </w:rPr>
      </w:pPr>
      <w:r>
        <w:rPr>
          <w:rFonts w:ascii="Arial" w:cs="Arial" w:eastAsia="Arial" w:hAnsi="Arial"/>
          <w:sz w:val="14"/>
          <w:szCs w:val="14"/>
          <w:color w:val="auto"/>
        </w:rPr>
        <w:t>The performance restricted shares vest in two equal installments in November 2016 and 2017, subject to the performance criteria described in the CD&amp;A under “Analysis of 2015 Compensation—Long-Term Stock Incentives” and “Analysis of 2015 Compensation—CEO Long-Term Cash Incentive.” Dividends on restricted shares will be paid only if the shares are earned by performance.</w:t>
      </w:r>
    </w:p>
    <w:p>
      <w:pPr>
        <w:spacing w:after="0" w:line="69" w:lineRule="exact"/>
        <w:rPr>
          <w:rFonts w:ascii="Arial" w:cs="Arial" w:eastAsia="Arial" w:hAnsi="Arial"/>
          <w:sz w:val="22"/>
          <w:szCs w:val="22"/>
          <w:color w:val="auto"/>
          <w:vertAlign w:val="superscript"/>
        </w:rPr>
      </w:pPr>
    </w:p>
    <w:p>
      <w:pPr>
        <w:ind w:left="340" w:right="160" w:hanging="332"/>
        <w:spacing w:after="0" w:line="180" w:lineRule="auto"/>
        <w:tabs>
          <w:tab w:leader="none" w:pos="340" w:val="left"/>
        </w:tabs>
        <w:numPr>
          <w:ilvl w:val="0"/>
          <w:numId w:val="59"/>
        </w:numPr>
        <w:rPr>
          <w:rFonts w:ascii="Arial" w:cs="Arial" w:eastAsia="Arial" w:hAnsi="Arial"/>
          <w:sz w:val="22"/>
          <w:szCs w:val="22"/>
          <w:color w:val="auto"/>
          <w:vertAlign w:val="superscript"/>
        </w:rPr>
      </w:pPr>
      <w:r>
        <w:rPr>
          <w:rFonts w:ascii="Arial" w:cs="Arial" w:eastAsia="Arial" w:hAnsi="Arial"/>
          <w:sz w:val="14"/>
          <w:szCs w:val="14"/>
          <w:color w:val="auto"/>
        </w:rPr>
        <w:t>The stock options vest in two equal installments on January 16, 2017 and 2018, and expire on the tenth anniversary of the grant. The exercise price of the stock options is 100% of the fair market value of our common stock on the date of grant.</w:t>
      </w:r>
    </w:p>
    <w:p>
      <w:pPr>
        <w:ind w:left="340" w:hanging="332"/>
        <w:spacing w:after="0" w:line="217" w:lineRule="auto"/>
        <w:tabs>
          <w:tab w:leader="none" w:pos="340" w:val="left"/>
        </w:tabs>
        <w:numPr>
          <w:ilvl w:val="0"/>
          <w:numId w:val="59"/>
        </w:numPr>
        <w:rPr>
          <w:rFonts w:ascii="Arial" w:cs="Arial" w:eastAsia="Arial" w:hAnsi="Arial"/>
          <w:sz w:val="22"/>
          <w:szCs w:val="22"/>
          <w:color w:val="auto"/>
          <w:vertAlign w:val="superscript"/>
        </w:rPr>
      </w:pPr>
      <w:r>
        <w:rPr>
          <w:rFonts w:ascii="Arial" w:cs="Arial" w:eastAsia="Arial" w:hAnsi="Arial"/>
          <w:sz w:val="14"/>
          <w:szCs w:val="14"/>
          <w:color w:val="auto"/>
        </w:rPr>
        <w:t>The dollar values reflect the grant date fair value of the awards as calculated in accordance with ASC Topic 718.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-924560</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6" w:lineRule="exact"/>
        <w:rPr>
          <w:sz w:val="20"/>
          <w:szCs w:val="20"/>
          <w:color w:val="auto"/>
        </w:rPr>
      </w:pPr>
    </w:p>
    <w:tbl>
      <w:tblPr>
        <w:tblLayout w:type="fixed"/>
        <w:tblInd w:w="6900" w:type="dxa"/>
        <w:tblCellMar>
          <w:top w:w="0" w:type="dxa"/>
          <w:left w:w="0" w:type="dxa"/>
          <w:bottom w:w="0" w:type="dxa"/>
          <w:right w:w="0" w:type="dxa"/>
        </w:tblCellMar>
      </w:tblPr>
      <w:tr>
        <w:trPr>
          <w:trHeight w:val="309"/>
        </w:trPr>
        <w:tc>
          <w:tcPr>
            <w:tcW w:w="4080" w:type="dxa"/>
            <w:vAlign w:val="bottom"/>
            <w:tcBorders>
              <w:right w:val="single" w:sz="8" w:color="225CAB"/>
            </w:tcBorders>
          </w:tcPr>
          <w:p>
            <w:pPr>
              <w:spacing w:after="0"/>
              <w:rPr>
                <w:sz w:val="20"/>
                <w:szCs w:val="20"/>
                <w:color w:val="auto"/>
              </w:rPr>
            </w:pPr>
            <w:r>
              <w:rPr>
                <w:rFonts w:ascii="Arial" w:cs="Arial" w:eastAsia="Arial" w:hAnsi="Arial"/>
                <w:sz w:val="18"/>
                <w:szCs w:val="18"/>
                <w:b w:val="1"/>
                <w:bCs w:val="1"/>
                <w:color w:val="225CAB"/>
                <w:w w:val="99"/>
              </w:rPr>
              <w:t>Roper Technologies, Inc. 2016 Proxy Statement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225CAB"/>
              </w:rPr>
              <w:t>35</w:t>
            </w:r>
          </w:p>
        </w:tc>
      </w:tr>
      <w:tr>
        <w:trPr>
          <w:trHeight w:val="83"/>
        </w:trPr>
        <w:tc>
          <w:tcPr>
            <w:tcW w:w="4080" w:type="dxa"/>
            <w:vAlign w:val="bottom"/>
            <w:tcBorders>
              <w:right w:val="single" w:sz="8" w:color="225CAB"/>
            </w:tcBorders>
          </w:tcPr>
          <w:p>
            <w:pPr>
              <w:spacing w:after="0"/>
              <w:rPr>
                <w:sz w:val="7"/>
                <w:szCs w:val="7"/>
                <w:color w:val="auto"/>
              </w:rPr>
            </w:pPr>
          </w:p>
        </w:tc>
        <w:tc>
          <w:tcPr>
            <w:tcW w:w="44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-213995</wp:posOffset>
            </wp:positionV>
            <wp:extent cx="420370" cy="2057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225CAB"/>
        </w:rPr>
        <w:t xml:space="preserve">EXECUTIVE COMPENSATION </w:t>
      </w:r>
      <w:r>
        <w:rPr>
          <w:rFonts w:ascii="Arial" w:cs="Arial" w:eastAsia="Arial" w:hAnsi="Arial"/>
          <w:sz w:val="18"/>
          <w:szCs w:val="18"/>
          <w:i w:val="1"/>
          <w:iCs w:val="1"/>
          <w:color w:val="225CAB"/>
        </w:rPr>
        <w:t>(CONTINUED)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Outstanding Equity Awards at Fiscal Year End</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certain information with respect to outstanding equity awards at December 31, 2015 for the named executive officers.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60" w:type="dxa"/>
            <w:vAlign w:val="bottom"/>
            <w:shd w:val="clear" w:color="auto" w:fill="225CAB"/>
          </w:tcPr>
          <w:p>
            <w:pPr>
              <w:spacing w:after="0"/>
              <w:rPr>
                <w:sz w:val="14"/>
                <w:szCs w:val="14"/>
                <w:color w:val="auto"/>
              </w:rPr>
            </w:pPr>
          </w:p>
        </w:tc>
        <w:tc>
          <w:tcPr>
            <w:tcW w:w="1000" w:type="dxa"/>
            <w:vAlign w:val="bottom"/>
            <w:shd w:val="clear" w:color="auto" w:fill="225CAB"/>
          </w:tcPr>
          <w:p>
            <w:pPr>
              <w:spacing w:after="0"/>
              <w:rPr>
                <w:sz w:val="14"/>
                <w:szCs w:val="14"/>
                <w:color w:val="auto"/>
              </w:rPr>
            </w:pPr>
          </w:p>
        </w:tc>
        <w:tc>
          <w:tcPr>
            <w:tcW w:w="1860" w:type="dxa"/>
            <w:vAlign w:val="bottom"/>
            <w:gridSpan w:val="2"/>
            <w:shd w:val="clear" w:color="auto" w:fill="225CAB"/>
          </w:tcPr>
          <w:p>
            <w:pPr>
              <w:jc w:val="right"/>
              <w:ind w:right="552"/>
              <w:spacing w:after="0"/>
              <w:rPr>
                <w:sz w:val="20"/>
                <w:szCs w:val="20"/>
                <w:color w:val="auto"/>
              </w:rPr>
            </w:pPr>
            <w:r>
              <w:rPr>
                <w:rFonts w:ascii="Arial" w:cs="Arial" w:eastAsia="Arial" w:hAnsi="Arial"/>
                <w:sz w:val="14"/>
                <w:szCs w:val="14"/>
                <w:color w:val="FFFFFF"/>
              </w:rPr>
              <w:t>Option Awards</w:t>
            </w:r>
          </w:p>
        </w:tc>
        <w:tc>
          <w:tcPr>
            <w:tcW w:w="760" w:type="dxa"/>
            <w:vAlign w:val="bottom"/>
            <w:shd w:val="clear" w:color="auto" w:fill="225CAB"/>
          </w:tcPr>
          <w:p>
            <w:pPr>
              <w:spacing w:after="0"/>
              <w:rPr>
                <w:sz w:val="14"/>
                <w:szCs w:val="14"/>
                <w:color w:val="auto"/>
              </w:rPr>
            </w:pPr>
          </w:p>
        </w:tc>
        <w:tc>
          <w:tcPr>
            <w:tcW w:w="740" w:type="dxa"/>
            <w:vAlign w:val="bottom"/>
            <w:shd w:val="clear" w:color="auto" w:fill="225CAB"/>
          </w:tcPr>
          <w:p>
            <w:pPr>
              <w:spacing w:after="0"/>
              <w:rPr>
                <w:sz w:val="14"/>
                <w:szCs w:val="14"/>
                <w:color w:val="auto"/>
              </w:rPr>
            </w:pPr>
          </w:p>
        </w:tc>
        <w:tc>
          <w:tcPr>
            <w:tcW w:w="720" w:type="dxa"/>
            <w:vAlign w:val="bottom"/>
            <w:shd w:val="clear" w:color="auto" w:fill="225CAB"/>
          </w:tcPr>
          <w:p>
            <w:pPr>
              <w:spacing w:after="0"/>
              <w:rPr>
                <w:sz w:val="14"/>
                <w:szCs w:val="14"/>
                <w:color w:val="auto"/>
              </w:rPr>
            </w:pPr>
          </w:p>
        </w:tc>
        <w:tc>
          <w:tcPr>
            <w:tcW w:w="1220" w:type="dxa"/>
            <w:vAlign w:val="bottom"/>
            <w:shd w:val="clear" w:color="auto" w:fill="225CAB"/>
          </w:tcPr>
          <w:p>
            <w:pPr>
              <w:jc w:val="right"/>
              <w:ind w:right="254"/>
              <w:spacing w:after="0"/>
              <w:rPr>
                <w:sz w:val="20"/>
                <w:szCs w:val="20"/>
                <w:color w:val="auto"/>
              </w:rPr>
            </w:pPr>
            <w:r>
              <w:rPr>
                <w:rFonts w:ascii="Arial" w:cs="Arial" w:eastAsia="Arial" w:hAnsi="Arial"/>
                <w:sz w:val="14"/>
                <w:szCs w:val="14"/>
                <w:color w:val="FFFFFF"/>
              </w:rPr>
              <w:t>Stock Awards</w:t>
            </w:r>
          </w:p>
        </w:tc>
        <w:tc>
          <w:tcPr>
            <w:tcW w:w="1240" w:type="dxa"/>
            <w:vAlign w:val="bottom"/>
            <w:shd w:val="clear" w:color="auto" w:fill="225CAB"/>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225CAB"/>
          </w:tcPr>
          <w:p>
            <w:pPr>
              <w:spacing w:after="0"/>
              <w:rPr>
                <w:sz w:val="12"/>
                <w:szCs w:val="12"/>
                <w:color w:val="auto"/>
              </w:rPr>
            </w:pPr>
          </w:p>
        </w:tc>
        <w:tc>
          <w:tcPr>
            <w:tcW w:w="1000" w:type="dxa"/>
            <w:vAlign w:val="bottom"/>
            <w:shd w:val="clear" w:color="auto" w:fill="225CAB"/>
          </w:tcPr>
          <w:p>
            <w:pPr>
              <w:spacing w:after="0"/>
              <w:rPr>
                <w:sz w:val="12"/>
                <w:szCs w:val="12"/>
                <w:color w:val="auto"/>
              </w:rPr>
            </w:pPr>
          </w:p>
        </w:tc>
        <w:tc>
          <w:tcPr>
            <w:tcW w:w="1140" w:type="dxa"/>
            <w:vAlign w:val="bottom"/>
            <w:shd w:val="clear" w:color="auto" w:fill="225CAB"/>
          </w:tcPr>
          <w:p>
            <w:pPr>
              <w:spacing w:after="0"/>
              <w:rPr>
                <w:sz w:val="12"/>
                <w:szCs w:val="12"/>
                <w:color w:val="auto"/>
              </w:rPr>
            </w:pPr>
          </w:p>
        </w:tc>
        <w:tc>
          <w:tcPr>
            <w:tcW w:w="720" w:type="dxa"/>
            <w:vAlign w:val="bottom"/>
            <w:shd w:val="clear" w:color="auto" w:fill="225CAB"/>
          </w:tcPr>
          <w:p>
            <w:pPr>
              <w:spacing w:after="0"/>
              <w:rPr>
                <w:sz w:val="12"/>
                <w:szCs w:val="12"/>
                <w:color w:val="auto"/>
              </w:rPr>
            </w:pPr>
          </w:p>
        </w:tc>
        <w:tc>
          <w:tcPr>
            <w:tcW w:w="760" w:type="dxa"/>
            <w:vAlign w:val="bottom"/>
            <w:shd w:val="clear" w:color="auto" w:fill="225CAB"/>
          </w:tcPr>
          <w:p>
            <w:pPr>
              <w:spacing w:after="0"/>
              <w:rPr>
                <w:sz w:val="12"/>
                <w:szCs w:val="12"/>
                <w:color w:val="auto"/>
              </w:rPr>
            </w:pPr>
          </w:p>
        </w:tc>
        <w:tc>
          <w:tcPr>
            <w:tcW w:w="740" w:type="dxa"/>
            <w:vAlign w:val="bottom"/>
            <w:shd w:val="clear" w:color="auto" w:fill="225CAB"/>
          </w:tcPr>
          <w:p>
            <w:pPr>
              <w:spacing w:after="0"/>
              <w:rPr>
                <w:sz w:val="12"/>
                <w:szCs w:val="12"/>
                <w:color w:val="auto"/>
              </w:rPr>
            </w:pPr>
          </w:p>
        </w:tc>
        <w:tc>
          <w:tcPr>
            <w:tcW w:w="720" w:type="dxa"/>
            <w:vAlign w:val="bottom"/>
            <w:shd w:val="clear" w:color="auto" w:fill="225CAB"/>
          </w:tcPr>
          <w:p>
            <w:pPr>
              <w:spacing w:after="0"/>
              <w:rPr>
                <w:sz w:val="12"/>
                <w:szCs w:val="12"/>
                <w:color w:val="auto"/>
              </w:rPr>
            </w:pPr>
          </w:p>
        </w:tc>
        <w:tc>
          <w:tcPr>
            <w:tcW w:w="1220" w:type="dxa"/>
            <w:vAlign w:val="bottom"/>
            <w:shd w:val="clear" w:color="auto" w:fill="225CAB"/>
          </w:tcPr>
          <w:p>
            <w:pPr>
              <w:jc w:val="center"/>
              <w:ind w:right="214"/>
              <w:spacing w:after="0" w:line="149" w:lineRule="exact"/>
              <w:rPr>
                <w:sz w:val="20"/>
                <w:szCs w:val="20"/>
                <w:color w:val="auto"/>
              </w:rPr>
            </w:pPr>
            <w:r>
              <w:rPr>
                <w:rFonts w:ascii="Arial" w:cs="Arial" w:eastAsia="Arial" w:hAnsi="Arial"/>
                <w:sz w:val="14"/>
                <w:szCs w:val="14"/>
                <w:color w:val="FFFFFF"/>
                <w:w w:val="97"/>
              </w:rPr>
              <w:t>Equity</w:t>
            </w:r>
          </w:p>
        </w:tc>
        <w:tc>
          <w:tcPr>
            <w:tcW w:w="124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color w:val="FFFFFF"/>
                <w:w w:val="97"/>
              </w:rPr>
              <w:t>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225CAB"/>
          </w:tcPr>
          <w:p>
            <w:pPr>
              <w:spacing w:after="0"/>
              <w:rPr>
                <w:sz w:val="12"/>
                <w:szCs w:val="12"/>
                <w:color w:val="auto"/>
              </w:rPr>
            </w:pPr>
          </w:p>
        </w:tc>
        <w:tc>
          <w:tcPr>
            <w:tcW w:w="1000" w:type="dxa"/>
            <w:vAlign w:val="bottom"/>
            <w:shd w:val="clear" w:color="auto" w:fill="225CAB"/>
          </w:tcPr>
          <w:p>
            <w:pPr>
              <w:spacing w:after="0"/>
              <w:rPr>
                <w:sz w:val="12"/>
                <w:szCs w:val="12"/>
                <w:color w:val="auto"/>
              </w:rPr>
            </w:pPr>
          </w:p>
        </w:tc>
        <w:tc>
          <w:tcPr>
            <w:tcW w:w="1140" w:type="dxa"/>
            <w:vAlign w:val="bottom"/>
            <w:shd w:val="clear" w:color="auto" w:fill="225CAB"/>
          </w:tcPr>
          <w:p>
            <w:pPr>
              <w:spacing w:after="0"/>
              <w:rPr>
                <w:sz w:val="12"/>
                <w:szCs w:val="12"/>
                <w:color w:val="auto"/>
              </w:rPr>
            </w:pPr>
          </w:p>
        </w:tc>
        <w:tc>
          <w:tcPr>
            <w:tcW w:w="720" w:type="dxa"/>
            <w:vAlign w:val="bottom"/>
            <w:shd w:val="clear" w:color="auto" w:fill="225CAB"/>
          </w:tcPr>
          <w:p>
            <w:pPr>
              <w:spacing w:after="0"/>
              <w:rPr>
                <w:sz w:val="12"/>
                <w:szCs w:val="12"/>
                <w:color w:val="auto"/>
              </w:rPr>
            </w:pPr>
          </w:p>
        </w:tc>
        <w:tc>
          <w:tcPr>
            <w:tcW w:w="760" w:type="dxa"/>
            <w:vAlign w:val="bottom"/>
            <w:shd w:val="clear" w:color="auto" w:fill="225CAB"/>
          </w:tcPr>
          <w:p>
            <w:pPr>
              <w:spacing w:after="0"/>
              <w:rPr>
                <w:sz w:val="12"/>
                <w:szCs w:val="12"/>
                <w:color w:val="auto"/>
              </w:rPr>
            </w:pPr>
          </w:p>
        </w:tc>
        <w:tc>
          <w:tcPr>
            <w:tcW w:w="740" w:type="dxa"/>
            <w:vAlign w:val="bottom"/>
            <w:shd w:val="clear" w:color="auto" w:fill="225CAB"/>
          </w:tcPr>
          <w:p>
            <w:pPr>
              <w:spacing w:after="0"/>
              <w:rPr>
                <w:sz w:val="12"/>
                <w:szCs w:val="12"/>
                <w:color w:val="auto"/>
              </w:rPr>
            </w:pPr>
          </w:p>
        </w:tc>
        <w:tc>
          <w:tcPr>
            <w:tcW w:w="72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color w:val="FFFFFF"/>
                <w:w w:val="98"/>
              </w:rPr>
              <w:t>Market</w:t>
            </w:r>
          </w:p>
        </w:tc>
        <w:tc>
          <w:tcPr>
            <w:tcW w:w="1220" w:type="dxa"/>
            <w:vAlign w:val="bottom"/>
            <w:shd w:val="clear" w:color="auto" w:fill="225CAB"/>
          </w:tcPr>
          <w:p>
            <w:pPr>
              <w:jc w:val="center"/>
              <w:ind w:right="214"/>
              <w:spacing w:after="0" w:line="149" w:lineRule="exact"/>
              <w:rPr>
                <w:sz w:val="20"/>
                <w:szCs w:val="20"/>
                <w:color w:val="auto"/>
              </w:rPr>
            </w:pPr>
            <w:r>
              <w:rPr>
                <w:rFonts w:ascii="Arial" w:cs="Arial" w:eastAsia="Arial" w:hAnsi="Arial"/>
                <w:sz w:val="14"/>
                <w:szCs w:val="14"/>
                <w:color w:val="FFFFFF"/>
                <w:w w:val="97"/>
              </w:rPr>
              <w:t>Incentive Plan</w:t>
            </w:r>
          </w:p>
        </w:tc>
        <w:tc>
          <w:tcPr>
            <w:tcW w:w="124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color w:val="FFFFFF"/>
                <w:w w:val="97"/>
              </w:rPr>
              <w:t>Incentive Plan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225CAB"/>
          </w:tcPr>
          <w:p>
            <w:pPr>
              <w:spacing w:after="0"/>
              <w:rPr>
                <w:sz w:val="12"/>
                <w:szCs w:val="12"/>
                <w:color w:val="auto"/>
              </w:rPr>
            </w:pPr>
          </w:p>
        </w:tc>
        <w:tc>
          <w:tcPr>
            <w:tcW w:w="1000" w:type="dxa"/>
            <w:vAlign w:val="bottom"/>
            <w:shd w:val="clear" w:color="auto" w:fill="225CAB"/>
          </w:tcPr>
          <w:p>
            <w:pPr>
              <w:spacing w:after="0"/>
              <w:rPr>
                <w:sz w:val="12"/>
                <w:szCs w:val="12"/>
                <w:color w:val="auto"/>
              </w:rPr>
            </w:pPr>
          </w:p>
        </w:tc>
        <w:tc>
          <w:tcPr>
            <w:tcW w:w="1140" w:type="dxa"/>
            <w:vAlign w:val="bottom"/>
            <w:shd w:val="clear" w:color="auto" w:fill="225CAB"/>
          </w:tcPr>
          <w:p>
            <w:pPr>
              <w:spacing w:after="0"/>
              <w:rPr>
                <w:sz w:val="12"/>
                <w:szCs w:val="12"/>
                <w:color w:val="auto"/>
              </w:rPr>
            </w:pPr>
          </w:p>
        </w:tc>
        <w:tc>
          <w:tcPr>
            <w:tcW w:w="720" w:type="dxa"/>
            <w:vAlign w:val="bottom"/>
            <w:shd w:val="clear" w:color="auto" w:fill="225CAB"/>
          </w:tcPr>
          <w:p>
            <w:pPr>
              <w:spacing w:after="0"/>
              <w:rPr>
                <w:sz w:val="12"/>
                <w:szCs w:val="12"/>
                <w:color w:val="auto"/>
              </w:rPr>
            </w:pPr>
          </w:p>
        </w:tc>
        <w:tc>
          <w:tcPr>
            <w:tcW w:w="760" w:type="dxa"/>
            <w:vAlign w:val="bottom"/>
            <w:shd w:val="clear" w:color="auto" w:fill="225CAB"/>
          </w:tcPr>
          <w:p>
            <w:pPr>
              <w:spacing w:after="0"/>
              <w:rPr>
                <w:sz w:val="12"/>
                <w:szCs w:val="12"/>
                <w:color w:val="auto"/>
              </w:rPr>
            </w:pPr>
          </w:p>
        </w:tc>
        <w:tc>
          <w:tcPr>
            <w:tcW w:w="74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color w:val="FFFFFF"/>
                <w:w w:val="94"/>
              </w:rPr>
              <w:t># of</w:t>
            </w:r>
          </w:p>
        </w:tc>
        <w:tc>
          <w:tcPr>
            <w:tcW w:w="72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color w:val="FFFFFF"/>
                <w:w w:val="93"/>
              </w:rPr>
              <w:t>Value of</w:t>
            </w:r>
          </w:p>
        </w:tc>
        <w:tc>
          <w:tcPr>
            <w:tcW w:w="1220" w:type="dxa"/>
            <w:vAlign w:val="bottom"/>
            <w:shd w:val="clear" w:color="auto" w:fill="225CAB"/>
          </w:tcPr>
          <w:p>
            <w:pPr>
              <w:jc w:val="center"/>
              <w:ind w:right="214"/>
              <w:spacing w:after="0" w:line="149" w:lineRule="exact"/>
              <w:rPr>
                <w:sz w:val="20"/>
                <w:szCs w:val="20"/>
                <w:color w:val="auto"/>
              </w:rPr>
            </w:pPr>
            <w:r>
              <w:rPr>
                <w:rFonts w:ascii="Arial" w:cs="Arial" w:eastAsia="Arial" w:hAnsi="Arial"/>
                <w:sz w:val="14"/>
                <w:szCs w:val="14"/>
                <w:color w:val="FFFFFF"/>
                <w:w w:val="95"/>
              </w:rPr>
              <w:t>Awards: # of</w:t>
            </w:r>
          </w:p>
        </w:tc>
        <w:tc>
          <w:tcPr>
            <w:tcW w:w="124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color w:val="FFFFFF"/>
                <w:w w:val="96"/>
              </w:rPr>
              <w:t>Awards: Market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225CAB"/>
          </w:tcPr>
          <w:p>
            <w:pPr>
              <w:spacing w:after="0"/>
              <w:rPr>
                <w:sz w:val="12"/>
                <w:szCs w:val="12"/>
                <w:color w:val="auto"/>
              </w:rPr>
            </w:pPr>
          </w:p>
        </w:tc>
        <w:tc>
          <w:tcPr>
            <w:tcW w:w="1000" w:type="dxa"/>
            <w:vAlign w:val="bottom"/>
            <w:shd w:val="clear" w:color="auto" w:fill="225CAB"/>
          </w:tcPr>
          <w:p>
            <w:pPr>
              <w:spacing w:after="0"/>
              <w:rPr>
                <w:sz w:val="12"/>
                <w:szCs w:val="12"/>
                <w:color w:val="auto"/>
              </w:rPr>
            </w:pPr>
          </w:p>
        </w:tc>
        <w:tc>
          <w:tcPr>
            <w:tcW w:w="1140" w:type="dxa"/>
            <w:vAlign w:val="bottom"/>
            <w:shd w:val="clear" w:color="auto" w:fill="225CAB"/>
          </w:tcPr>
          <w:p>
            <w:pPr>
              <w:jc w:val="center"/>
              <w:ind w:right="55"/>
              <w:spacing w:after="0" w:line="149" w:lineRule="exact"/>
              <w:rPr>
                <w:sz w:val="20"/>
                <w:szCs w:val="20"/>
                <w:color w:val="auto"/>
              </w:rPr>
            </w:pPr>
            <w:r>
              <w:rPr>
                <w:rFonts w:ascii="Arial" w:cs="Arial" w:eastAsia="Arial" w:hAnsi="Arial"/>
                <w:sz w:val="14"/>
                <w:szCs w:val="14"/>
                <w:color w:val="FFFFFF"/>
                <w:w w:val="94"/>
              </w:rPr>
              <w:t># of</w:t>
            </w:r>
          </w:p>
        </w:tc>
        <w:tc>
          <w:tcPr>
            <w:tcW w:w="720" w:type="dxa"/>
            <w:vAlign w:val="bottom"/>
            <w:shd w:val="clear" w:color="auto" w:fill="225CAB"/>
          </w:tcPr>
          <w:p>
            <w:pPr>
              <w:spacing w:after="0"/>
              <w:rPr>
                <w:sz w:val="12"/>
                <w:szCs w:val="12"/>
                <w:color w:val="auto"/>
              </w:rPr>
            </w:pPr>
          </w:p>
        </w:tc>
        <w:tc>
          <w:tcPr>
            <w:tcW w:w="760" w:type="dxa"/>
            <w:vAlign w:val="bottom"/>
            <w:shd w:val="clear" w:color="auto" w:fill="225CAB"/>
          </w:tcPr>
          <w:p>
            <w:pPr>
              <w:spacing w:after="0"/>
              <w:rPr>
                <w:sz w:val="12"/>
                <w:szCs w:val="12"/>
                <w:color w:val="auto"/>
              </w:rPr>
            </w:pPr>
          </w:p>
        </w:tc>
        <w:tc>
          <w:tcPr>
            <w:tcW w:w="74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color w:val="FFFFFF"/>
                <w:w w:val="94"/>
              </w:rPr>
              <w:t>Shares</w:t>
            </w:r>
          </w:p>
        </w:tc>
        <w:tc>
          <w:tcPr>
            <w:tcW w:w="72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color w:val="FFFFFF"/>
                <w:w w:val="95"/>
              </w:rPr>
              <w:t>Shares or</w:t>
            </w:r>
          </w:p>
        </w:tc>
        <w:tc>
          <w:tcPr>
            <w:tcW w:w="1220" w:type="dxa"/>
            <w:vAlign w:val="bottom"/>
            <w:shd w:val="clear" w:color="auto" w:fill="225CAB"/>
          </w:tcPr>
          <w:p>
            <w:pPr>
              <w:jc w:val="center"/>
              <w:ind w:right="214"/>
              <w:spacing w:after="0" w:line="149" w:lineRule="exact"/>
              <w:rPr>
                <w:sz w:val="20"/>
                <w:szCs w:val="20"/>
                <w:color w:val="auto"/>
              </w:rPr>
            </w:pPr>
            <w:r>
              <w:rPr>
                <w:rFonts w:ascii="Arial" w:cs="Arial" w:eastAsia="Arial" w:hAnsi="Arial"/>
                <w:sz w:val="14"/>
                <w:szCs w:val="14"/>
                <w:color w:val="FFFFFF"/>
                <w:w w:val="94"/>
              </w:rPr>
              <w:t>Unearned</w:t>
            </w:r>
          </w:p>
        </w:tc>
        <w:tc>
          <w:tcPr>
            <w:tcW w:w="124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color w:val="FFFFFF"/>
                <w:w w:val="93"/>
              </w:rPr>
              <w:t>Payout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225CAB"/>
          </w:tcPr>
          <w:p>
            <w:pPr>
              <w:spacing w:after="0"/>
              <w:rPr>
                <w:sz w:val="12"/>
                <w:szCs w:val="12"/>
                <w:color w:val="auto"/>
              </w:rPr>
            </w:pPr>
          </w:p>
        </w:tc>
        <w:tc>
          <w:tcPr>
            <w:tcW w:w="100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color w:val="FFFFFF"/>
                <w:w w:val="96"/>
              </w:rPr>
              <w:t># of Securities</w:t>
            </w:r>
          </w:p>
        </w:tc>
        <w:tc>
          <w:tcPr>
            <w:tcW w:w="1140" w:type="dxa"/>
            <w:vAlign w:val="bottom"/>
            <w:shd w:val="clear" w:color="auto" w:fill="225CAB"/>
          </w:tcPr>
          <w:p>
            <w:pPr>
              <w:jc w:val="center"/>
              <w:ind w:right="75"/>
              <w:spacing w:after="0" w:line="149" w:lineRule="exact"/>
              <w:rPr>
                <w:sz w:val="20"/>
                <w:szCs w:val="20"/>
                <w:color w:val="auto"/>
              </w:rPr>
            </w:pPr>
            <w:r>
              <w:rPr>
                <w:rFonts w:ascii="Arial" w:cs="Arial" w:eastAsia="Arial" w:hAnsi="Arial"/>
                <w:sz w:val="14"/>
                <w:szCs w:val="14"/>
                <w:color w:val="FFFFFF"/>
                <w:w w:val="97"/>
              </w:rPr>
              <w:t>Securities</w:t>
            </w:r>
          </w:p>
        </w:tc>
        <w:tc>
          <w:tcPr>
            <w:tcW w:w="720" w:type="dxa"/>
            <w:vAlign w:val="bottom"/>
            <w:shd w:val="clear" w:color="auto" w:fill="225CAB"/>
          </w:tcPr>
          <w:p>
            <w:pPr>
              <w:spacing w:after="0"/>
              <w:rPr>
                <w:sz w:val="12"/>
                <w:szCs w:val="12"/>
                <w:color w:val="auto"/>
              </w:rPr>
            </w:pPr>
          </w:p>
        </w:tc>
        <w:tc>
          <w:tcPr>
            <w:tcW w:w="760" w:type="dxa"/>
            <w:vAlign w:val="bottom"/>
            <w:shd w:val="clear" w:color="auto" w:fill="225CAB"/>
          </w:tcPr>
          <w:p>
            <w:pPr>
              <w:spacing w:after="0"/>
              <w:rPr>
                <w:sz w:val="12"/>
                <w:szCs w:val="12"/>
                <w:color w:val="auto"/>
              </w:rPr>
            </w:pPr>
          </w:p>
        </w:tc>
        <w:tc>
          <w:tcPr>
            <w:tcW w:w="74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color w:val="FFFFFF"/>
                <w:w w:val="97"/>
              </w:rPr>
              <w:t>or Units of</w:t>
            </w:r>
          </w:p>
        </w:tc>
        <w:tc>
          <w:tcPr>
            <w:tcW w:w="72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color w:val="FFFFFF"/>
                <w:w w:val="96"/>
              </w:rPr>
              <w:t>Units of</w:t>
            </w:r>
          </w:p>
        </w:tc>
        <w:tc>
          <w:tcPr>
            <w:tcW w:w="1220" w:type="dxa"/>
            <w:vAlign w:val="bottom"/>
            <w:shd w:val="clear" w:color="auto" w:fill="225CAB"/>
          </w:tcPr>
          <w:p>
            <w:pPr>
              <w:jc w:val="center"/>
              <w:ind w:right="214"/>
              <w:spacing w:after="0" w:line="149" w:lineRule="exact"/>
              <w:rPr>
                <w:sz w:val="20"/>
                <w:szCs w:val="20"/>
                <w:color w:val="auto"/>
              </w:rPr>
            </w:pPr>
            <w:r>
              <w:rPr>
                <w:rFonts w:ascii="Arial" w:cs="Arial" w:eastAsia="Arial" w:hAnsi="Arial"/>
                <w:sz w:val="14"/>
                <w:szCs w:val="14"/>
                <w:color w:val="FFFFFF"/>
                <w:w w:val="97"/>
              </w:rPr>
              <w:t>Shares, Units</w:t>
            </w:r>
          </w:p>
        </w:tc>
        <w:tc>
          <w:tcPr>
            <w:tcW w:w="124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color w:val="FFFFFF"/>
                <w:w w:val="95"/>
              </w:rPr>
              <w:t>of Unearned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225CAB"/>
          </w:tcPr>
          <w:p>
            <w:pPr>
              <w:spacing w:after="0"/>
              <w:rPr>
                <w:sz w:val="12"/>
                <w:szCs w:val="12"/>
                <w:color w:val="auto"/>
              </w:rPr>
            </w:pPr>
          </w:p>
        </w:tc>
        <w:tc>
          <w:tcPr>
            <w:tcW w:w="100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color w:val="FFFFFF"/>
                <w:w w:val="98"/>
              </w:rPr>
              <w:t>Underlying</w:t>
            </w:r>
          </w:p>
        </w:tc>
        <w:tc>
          <w:tcPr>
            <w:tcW w:w="1140" w:type="dxa"/>
            <w:vAlign w:val="bottom"/>
            <w:shd w:val="clear" w:color="auto" w:fill="225CAB"/>
          </w:tcPr>
          <w:p>
            <w:pPr>
              <w:jc w:val="center"/>
              <w:ind w:right="75"/>
              <w:spacing w:after="0" w:line="149" w:lineRule="exact"/>
              <w:rPr>
                <w:sz w:val="20"/>
                <w:szCs w:val="20"/>
                <w:color w:val="auto"/>
              </w:rPr>
            </w:pPr>
            <w:r>
              <w:rPr>
                <w:rFonts w:ascii="Arial" w:cs="Arial" w:eastAsia="Arial" w:hAnsi="Arial"/>
                <w:sz w:val="14"/>
                <w:szCs w:val="14"/>
                <w:color w:val="FFFFFF"/>
                <w:w w:val="95"/>
              </w:rPr>
              <w:t>Underlying</w:t>
            </w:r>
          </w:p>
        </w:tc>
        <w:tc>
          <w:tcPr>
            <w:tcW w:w="720" w:type="dxa"/>
            <w:vAlign w:val="bottom"/>
            <w:shd w:val="clear" w:color="auto" w:fill="225CAB"/>
          </w:tcPr>
          <w:p>
            <w:pPr>
              <w:spacing w:after="0"/>
              <w:rPr>
                <w:sz w:val="12"/>
                <w:szCs w:val="12"/>
                <w:color w:val="auto"/>
              </w:rPr>
            </w:pPr>
          </w:p>
        </w:tc>
        <w:tc>
          <w:tcPr>
            <w:tcW w:w="760" w:type="dxa"/>
            <w:vAlign w:val="bottom"/>
            <w:shd w:val="clear" w:color="auto" w:fill="225CAB"/>
          </w:tcPr>
          <w:p>
            <w:pPr>
              <w:spacing w:after="0"/>
              <w:rPr>
                <w:sz w:val="12"/>
                <w:szCs w:val="12"/>
                <w:color w:val="auto"/>
              </w:rPr>
            </w:pPr>
          </w:p>
        </w:tc>
        <w:tc>
          <w:tcPr>
            <w:tcW w:w="74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color w:val="FFFFFF"/>
                <w:w w:val="96"/>
              </w:rPr>
              <w:t>Stock</w:t>
            </w:r>
          </w:p>
        </w:tc>
        <w:tc>
          <w:tcPr>
            <w:tcW w:w="72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color w:val="FFFFFF"/>
                <w:w w:val="96"/>
              </w:rPr>
              <w:t>Stock</w:t>
            </w:r>
          </w:p>
        </w:tc>
        <w:tc>
          <w:tcPr>
            <w:tcW w:w="1220" w:type="dxa"/>
            <w:vAlign w:val="bottom"/>
            <w:shd w:val="clear" w:color="auto" w:fill="225CAB"/>
          </w:tcPr>
          <w:p>
            <w:pPr>
              <w:jc w:val="center"/>
              <w:ind w:right="214"/>
              <w:spacing w:after="0" w:line="149" w:lineRule="exact"/>
              <w:rPr>
                <w:sz w:val="20"/>
                <w:szCs w:val="20"/>
                <w:color w:val="auto"/>
              </w:rPr>
            </w:pPr>
            <w:r>
              <w:rPr>
                <w:rFonts w:ascii="Arial" w:cs="Arial" w:eastAsia="Arial" w:hAnsi="Arial"/>
                <w:sz w:val="14"/>
                <w:szCs w:val="14"/>
                <w:color w:val="FFFFFF"/>
                <w:w w:val="97"/>
              </w:rPr>
              <w:t>or Other</w:t>
            </w:r>
          </w:p>
        </w:tc>
        <w:tc>
          <w:tcPr>
            <w:tcW w:w="124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color w:val="FFFFFF"/>
                <w:w w:val="97"/>
              </w:rPr>
              <w:t>Shares, Units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225CAB"/>
          </w:tcPr>
          <w:p>
            <w:pPr>
              <w:spacing w:after="0"/>
              <w:rPr>
                <w:sz w:val="12"/>
                <w:szCs w:val="12"/>
                <w:color w:val="auto"/>
              </w:rPr>
            </w:pPr>
          </w:p>
        </w:tc>
        <w:tc>
          <w:tcPr>
            <w:tcW w:w="100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color w:val="FFFFFF"/>
                <w:w w:val="95"/>
              </w:rPr>
              <w:t>Unexercised</w:t>
            </w:r>
          </w:p>
        </w:tc>
        <w:tc>
          <w:tcPr>
            <w:tcW w:w="1140" w:type="dxa"/>
            <w:vAlign w:val="bottom"/>
            <w:shd w:val="clear" w:color="auto" w:fill="225CAB"/>
          </w:tcPr>
          <w:p>
            <w:pPr>
              <w:jc w:val="center"/>
              <w:ind w:right="75"/>
              <w:spacing w:after="0" w:line="149" w:lineRule="exact"/>
              <w:rPr>
                <w:sz w:val="20"/>
                <w:szCs w:val="20"/>
                <w:color w:val="auto"/>
              </w:rPr>
            </w:pPr>
            <w:r>
              <w:rPr>
                <w:rFonts w:ascii="Arial" w:cs="Arial" w:eastAsia="Arial" w:hAnsi="Arial"/>
                <w:sz w:val="14"/>
                <w:szCs w:val="14"/>
                <w:color w:val="FFFFFF"/>
                <w:w w:val="97"/>
              </w:rPr>
              <w:t>Unexercised</w:t>
            </w:r>
          </w:p>
        </w:tc>
        <w:tc>
          <w:tcPr>
            <w:tcW w:w="720" w:type="dxa"/>
            <w:vAlign w:val="bottom"/>
            <w:shd w:val="clear" w:color="auto" w:fill="225CAB"/>
          </w:tcPr>
          <w:p>
            <w:pPr>
              <w:jc w:val="right"/>
              <w:ind w:right="112"/>
              <w:spacing w:after="0" w:line="149" w:lineRule="exact"/>
              <w:rPr>
                <w:sz w:val="20"/>
                <w:szCs w:val="20"/>
                <w:color w:val="auto"/>
              </w:rPr>
            </w:pPr>
            <w:r>
              <w:rPr>
                <w:rFonts w:ascii="Arial" w:cs="Arial" w:eastAsia="Arial" w:hAnsi="Arial"/>
                <w:sz w:val="14"/>
                <w:szCs w:val="14"/>
                <w:color w:val="FFFFFF"/>
              </w:rPr>
              <w:t>Option</w:t>
            </w:r>
          </w:p>
        </w:tc>
        <w:tc>
          <w:tcPr>
            <w:tcW w:w="760" w:type="dxa"/>
            <w:vAlign w:val="bottom"/>
            <w:shd w:val="clear" w:color="auto" w:fill="225CAB"/>
          </w:tcPr>
          <w:p>
            <w:pPr>
              <w:jc w:val="right"/>
              <w:ind w:right="112"/>
              <w:spacing w:after="0" w:line="149" w:lineRule="exact"/>
              <w:rPr>
                <w:sz w:val="20"/>
                <w:szCs w:val="20"/>
                <w:color w:val="auto"/>
              </w:rPr>
            </w:pPr>
            <w:r>
              <w:rPr>
                <w:rFonts w:ascii="Arial" w:cs="Arial" w:eastAsia="Arial" w:hAnsi="Arial"/>
                <w:sz w:val="14"/>
                <w:szCs w:val="14"/>
                <w:color w:val="FFFFFF"/>
              </w:rPr>
              <w:t>Option</w:t>
            </w:r>
          </w:p>
        </w:tc>
        <w:tc>
          <w:tcPr>
            <w:tcW w:w="74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color w:val="FFFFFF"/>
                <w:w w:val="95"/>
              </w:rPr>
              <w:t>That Have</w:t>
            </w:r>
          </w:p>
        </w:tc>
        <w:tc>
          <w:tcPr>
            <w:tcW w:w="72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color w:val="FFFFFF"/>
                <w:w w:val="95"/>
              </w:rPr>
              <w:t>That Have</w:t>
            </w:r>
          </w:p>
        </w:tc>
        <w:tc>
          <w:tcPr>
            <w:tcW w:w="1220" w:type="dxa"/>
            <w:vAlign w:val="bottom"/>
            <w:shd w:val="clear" w:color="auto" w:fill="225CAB"/>
          </w:tcPr>
          <w:p>
            <w:pPr>
              <w:jc w:val="center"/>
              <w:ind w:right="214"/>
              <w:spacing w:after="0" w:line="149" w:lineRule="exact"/>
              <w:rPr>
                <w:sz w:val="20"/>
                <w:szCs w:val="20"/>
                <w:color w:val="auto"/>
              </w:rPr>
            </w:pPr>
            <w:r>
              <w:rPr>
                <w:rFonts w:ascii="Arial" w:cs="Arial" w:eastAsia="Arial" w:hAnsi="Arial"/>
                <w:sz w:val="14"/>
                <w:szCs w:val="14"/>
                <w:color w:val="FFFFFF"/>
                <w:w w:val="97"/>
              </w:rPr>
              <w:t>Rights That</w:t>
            </w:r>
          </w:p>
        </w:tc>
        <w:tc>
          <w:tcPr>
            <w:tcW w:w="124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color w:val="FFFFFF"/>
                <w:w w:val="96"/>
              </w:rPr>
              <w:t>Other Rights that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860" w:type="dxa"/>
            <w:vAlign w:val="bottom"/>
            <w:shd w:val="clear" w:color="auto" w:fill="225CAB"/>
          </w:tcPr>
          <w:p>
            <w:pPr>
              <w:spacing w:after="0"/>
              <w:rPr>
                <w:sz w:val="11"/>
                <w:szCs w:val="11"/>
                <w:color w:val="auto"/>
              </w:rPr>
            </w:pPr>
          </w:p>
        </w:tc>
        <w:tc>
          <w:tcPr>
            <w:tcW w:w="1000" w:type="dxa"/>
            <w:vAlign w:val="bottom"/>
            <w:shd w:val="clear" w:color="auto" w:fill="225CAB"/>
          </w:tcPr>
          <w:p>
            <w:pPr>
              <w:jc w:val="center"/>
              <w:spacing w:after="0" w:line="129" w:lineRule="exact"/>
              <w:rPr>
                <w:sz w:val="20"/>
                <w:szCs w:val="20"/>
                <w:color w:val="auto"/>
              </w:rPr>
            </w:pPr>
            <w:r>
              <w:rPr>
                <w:rFonts w:ascii="Arial" w:cs="Arial" w:eastAsia="Arial" w:hAnsi="Arial"/>
                <w:sz w:val="14"/>
                <w:szCs w:val="14"/>
                <w:color w:val="FFFFFF"/>
                <w:w w:val="95"/>
              </w:rPr>
              <w:t>Options</w:t>
            </w:r>
          </w:p>
        </w:tc>
        <w:tc>
          <w:tcPr>
            <w:tcW w:w="1140" w:type="dxa"/>
            <w:vAlign w:val="bottom"/>
            <w:shd w:val="clear" w:color="auto" w:fill="225CAB"/>
          </w:tcPr>
          <w:p>
            <w:pPr>
              <w:jc w:val="center"/>
              <w:ind w:right="55"/>
              <w:spacing w:after="0" w:line="129" w:lineRule="exact"/>
              <w:rPr>
                <w:sz w:val="20"/>
                <w:szCs w:val="20"/>
                <w:color w:val="auto"/>
              </w:rPr>
            </w:pPr>
            <w:r>
              <w:rPr>
                <w:rFonts w:ascii="Arial" w:cs="Arial" w:eastAsia="Arial" w:hAnsi="Arial"/>
                <w:sz w:val="14"/>
                <w:szCs w:val="14"/>
                <w:color w:val="FFFFFF"/>
                <w:w w:val="95"/>
              </w:rPr>
              <w:t>Options</w:t>
            </w:r>
          </w:p>
        </w:tc>
        <w:tc>
          <w:tcPr>
            <w:tcW w:w="720" w:type="dxa"/>
            <w:vAlign w:val="bottom"/>
            <w:shd w:val="clear" w:color="auto" w:fill="225CAB"/>
          </w:tcPr>
          <w:p>
            <w:pPr>
              <w:jc w:val="right"/>
              <w:ind w:right="52"/>
              <w:spacing w:after="0" w:line="129" w:lineRule="exact"/>
              <w:rPr>
                <w:sz w:val="20"/>
                <w:szCs w:val="20"/>
                <w:color w:val="auto"/>
              </w:rPr>
            </w:pPr>
            <w:r>
              <w:rPr>
                <w:rFonts w:ascii="Arial" w:cs="Arial" w:eastAsia="Arial" w:hAnsi="Arial"/>
                <w:sz w:val="14"/>
                <w:szCs w:val="14"/>
                <w:color w:val="FFFFFF"/>
              </w:rPr>
              <w:t>Exercise</w:t>
            </w:r>
          </w:p>
        </w:tc>
        <w:tc>
          <w:tcPr>
            <w:tcW w:w="760" w:type="dxa"/>
            <w:vAlign w:val="bottom"/>
            <w:shd w:val="clear" w:color="auto" w:fill="225CAB"/>
          </w:tcPr>
          <w:p>
            <w:pPr>
              <w:jc w:val="right"/>
              <w:ind w:right="12"/>
              <w:spacing w:after="0" w:line="129" w:lineRule="exact"/>
              <w:rPr>
                <w:sz w:val="20"/>
                <w:szCs w:val="20"/>
                <w:color w:val="auto"/>
              </w:rPr>
            </w:pPr>
            <w:r>
              <w:rPr>
                <w:rFonts w:ascii="Arial" w:cs="Arial" w:eastAsia="Arial" w:hAnsi="Arial"/>
                <w:sz w:val="14"/>
                <w:szCs w:val="14"/>
                <w:color w:val="FFFFFF"/>
              </w:rPr>
              <w:t>Expiration</w:t>
            </w:r>
          </w:p>
        </w:tc>
        <w:tc>
          <w:tcPr>
            <w:tcW w:w="740" w:type="dxa"/>
            <w:vAlign w:val="bottom"/>
            <w:shd w:val="clear" w:color="auto" w:fill="225CAB"/>
          </w:tcPr>
          <w:p>
            <w:pPr>
              <w:jc w:val="center"/>
              <w:spacing w:after="0" w:line="129" w:lineRule="exact"/>
              <w:rPr>
                <w:sz w:val="20"/>
                <w:szCs w:val="20"/>
                <w:color w:val="auto"/>
              </w:rPr>
            </w:pPr>
            <w:r>
              <w:rPr>
                <w:rFonts w:ascii="Arial" w:cs="Arial" w:eastAsia="Arial" w:hAnsi="Arial"/>
                <w:sz w:val="14"/>
                <w:szCs w:val="14"/>
                <w:color w:val="FFFFFF"/>
              </w:rPr>
              <w:t>Not</w:t>
            </w:r>
          </w:p>
        </w:tc>
        <w:tc>
          <w:tcPr>
            <w:tcW w:w="720" w:type="dxa"/>
            <w:vAlign w:val="bottom"/>
            <w:shd w:val="clear" w:color="auto" w:fill="225CAB"/>
          </w:tcPr>
          <w:p>
            <w:pPr>
              <w:jc w:val="center"/>
              <w:spacing w:after="0" w:line="129" w:lineRule="exact"/>
              <w:rPr>
                <w:sz w:val="20"/>
                <w:szCs w:val="20"/>
                <w:color w:val="auto"/>
              </w:rPr>
            </w:pPr>
            <w:r>
              <w:rPr>
                <w:rFonts w:ascii="Arial" w:cs="Arial" w:eastAsia="Arial" w:hAnsi="Arial"/>
                <w:sz w:val="14"/>
                <w:szCs w:val="14"/>
                <w:color w:val="FFFFFF"/>
                <w:w w:val="95"/>
              </w:rPr>
              <w:t>Not Vested</w:t>
            </w:r>
          </w:p>
        </w:tc>
        <w:tc>
          <w:tcPr>
            <w:tcW w:w="1220" w:type="dxa"/>
            <w:vAlign w:val="bottom"/>
            <w:shd w:val="clear" w:color="auto" w:fill="225CAB"/>
          </w:tcPr>
          <w:p>
            <w:pPr>
              <w:jc w:val="center"/>
              <w:ind w:right="234"/>
              <w:spacing w:after="0" w:line="129" w:lineRule="exact"/>
              <w:rPr>
                <w:sz w:val="20"/>
                <w:szCs w:val="20"/>
                <w:color w:val="auto"/>
              </w:rPr>
            </w:pPr>
            <w:r>
              <w:rPr>
                <w:rFonts w:ascii="Arial" w:cs="Arial" w:eastAsia="Arial" w:hAnsi="Arial"/>
                <w:sz w:val="14"/>
                <w:szCs w:val="14"/>
                <w:color w:val="FFFFFF"/>
                <w:w w:val="95"/>
              </w:rPr>
              <w:t>Have Not</w:t>
            </w:r>
          </w:p>
        </w:tc>
        <w:tc>
          <w:tcPr>
            <w:tcW w:w="1240" w:type="dxa"/>
            <w:vAlign w:val="bottom"/>
            <w:shd w:val="clear" w:color="auto" w:fill="225CAB"/>
          </w:tcPr>
          <w:p>
            <w:pPr>
              <w:jc w:val="center"/>
              <w:spacing w:after="0" w:line="129" w:lineRule="exact"/>
              <w:rPr>
                <w:sz w:val="20"/>
                <w:szCs w:val="20"/>
                <w:color w:val="auto"/>
              </w:rPr>
            </w:pPr>
            <w:r>
              <w:rPr>
                <w:rFonts w:ascii="Arial" w:cs="Arial" w:eastAsia="Arial" w:hAnsi="Arial"/>
                <w:sz w:val="14"/>
                <w:szCs w:val="14"/>
                <w:color w:val="FFFFFF"/>
                <w:w w:val="96"/>
              </w:rPr>
              <w:t>Have Not Vested</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860" w:type="dxa"/>
            <w:vAlign w:val="bottom"/>
            <w:shd w:val="clear" w:color="auto" w:fill="225CAB"/>
          </w:tcPr>
          <w:p>
            <w:pPr>
              <w:ind w:left="1740"/>
              <w:spacing w:after="0"/>
              <w:rPr>
                <w:sz w:val="20"/>
                <w:szCs w:val="20"/>
                <w:color w:val="auto"/>
              </w:rPr>
            </w:pPr>
            <w:r>
              <w:rPr>
                <w:rFonts w:ascii="Arial" w:cs="Arial" w:eastAsia="Arial" w:hAnsi="Arial"/>
                <w:sz w:val="14"/>
                <w:szCs w:val="14"/>
                <w:color w:val="FFFFFF"/>
              </w:rPr>
              <w:t>Name</w:t>
            </w:r>
          </w:p>
        </w:tc>
        <w:tc>
          <w:tcPr>
            <w:tcW w:w="1000" w:type="dxa"/>
            <w:vAlign w:val="bottom"/>
            <w:shd w:val="clear" w:color="auto" w:fill="225CAB"/>
          </w:tcPr>
          <w:p>
            <w:pPr>
              <w:jc w:val="center"/>
              <w:spacing w:after="0"/>
              <w:rPr>
                <w:sz w:val="20"/>
                <w:szCs w:val="20"/>
                <w:color w:val="auto"/>
              </w:rPr>
            </w:pPr>
            <w:r>
              <w:rPr>
                <w:rFonts w:ascii="Arial" w:cs="Arial" w:eastAsia="Arial" w:hAnsi="Arial"/>
                <w:sz w:val="14"/>
                <w:szCs w:val="14"/>
                <w:color w:val="FFFFFF"/>
                <w:w w:val="96"/>
              </w:rPr>
              <w:t>Exercisable</w:t>
            </w:r>
          </w:p>
        </w:tc>
        <w:tc>
          <w:tcPr>
            <w:tcW w:w="1140" w:type="dxa"/>
            <w:vAlign w:val="bottom"/>
            <w:shd w:val="clear" w:color="auto" w:fill="225CAB"/>
          </w:tcPr>
          <w:p>
            <w:pPr>
              <w:jc w:val="center"/>
              <w:ind w:right="55"/>
              <w:spacing w:after="0"/>
              <w:rPr>
                <w:sz w:val="20"/>
                <w:szCs w:val="20"/>
                <w:color w:val="auto"/>
              </w:rPr>
            </w:pPr>
            <w:r>
              <w:rPr>
                <w:rFonts w:ascii="Arial" w:cs="Arial" w:eastAsia="Arial" w:hAnsi="Arial"/>
                <w:sz w:val="14"/>
                <w:szCs w:val="14"/>
                <w:color w:val="FFFFFF"/>
                <w:w w:val="96"/>
              </w:rPr>
              <w:t>Unexercisable</w:t>
            </w:r>
          </w:p>
        </w:tc>
        <w:tc>
          <w:tcPr>
            <w:tcW w:w="720" w:type="dxa"/>
            <w:vAlign w:val="bottom"/>
            <w:shd w:val="clear" w:color="auto" w:fill="225CAB"/>
          </w:tcPr>
          <w:p>
            <w:pPr>
              <w:jc w:val="right"/>
              <w:ind w:right="52"/>
              <w:spacing w:after="0"/>
              <w:rPr>
                <w:sz w:val="20"/>
                <w:szCs w:val="20"/>
                <w:color w:val="auto"/>
              </w:rPr>
            </w:pPr>
            <w:r>
              <w:rPr>
                <w:rFonts w:ascii="Arial" w:cs="Arial" w:eastAsia="Arial" w:hAnsi="Arial"/>
                <w:sz w:val="14"/>
                <w:szCs w:val="14"/>
                <w:color w:val="FFFFFF"/>
              </w:rPr>
              <w:t>Price ($)</w:t>
            </w:r>
          </w:p>
        </w:tc>
        <w:tc>
          <w:tcPr>
            <w:tcW w:w="760" w:type="dxa"/>
            <w:vAlign w:val="bottom"/>
            <w:shd w:val="clear" w:color="auto" w:fill="225CAB"/>
          </w:tcPr>
          <w:p>
            <w:pPr>
              <w:jc w:val="right"/>
              <w:ind w:right="172"/>
              <w:spacing w:after="0"/>
              <w:rPr>
                <w:sz w:val="20"/>
                <w:szCs w:val="20"/>
                <w:color w:val="auto"/>
              </w:rPr>
            </w:pPr>
            <w:r>
              <w:rPr>
                <w:rFonts w:ascii="Arial" w:cs="Arial" w:eastAsia="Arial" w:hAnsi="Arial"/>
                <w:sz w:val="14"/>
                <w:szCs w:val="14"/>
                <w:color w:val="FFFFFF"/>
              </w:rPr>
              <w:t>Date</w:t>
            </w:r>
          </w:p>
        </w:tc>
        <w:tc>
          <w:tcPr>
            <w:tcW w:w="740" w:type="dxa"/>
            <w:vAlign w:val="bottom"/>
            <w:shd w:val="clear" w:color="auto" w:fill="225CAB"/>
          </w:tcPr>
          <w:p>
            <w:pPr>
              <w:jc w:val="center"/>
              <w:spacing w:after="0"/>
              <w:rPr>
                <w:sz w:val="20"/>
                <w:szCs w:val="20"/>
                <w:color w:val="auto"/>
              </w:rPr>
            </w:pPr>
            <w:r>
              <w:rPr>
                <w:rFonts w:ascii="Arial" w:cs="Arial" w:eastAsia="Arial" w:hAnsi="Arial"/>
                <w:sz w:val="14"/>
                <w:szCs w:val="14"/>
                <w:color w:val="FFFFFF"/>
                <w:w w:val="96"/>
              </w:rPr>
              <w:t>Vested</w:t>
            </w:r>
          </w:p>
        </w:tc>
        <w:tc>
          <w:tcPr>
            <w:tcW w:w="720" w:type="dxa"/>
            <w:vAlign w:val="bottom"/>
            <w:shd w:val="clear" w:color="auto" w:fill="225CAB"/>
          </w:tcPr>
          <w:p>
            <w:pPr>
              <w:jc w:val="center"/>
              <w:spacing w:after="0"/>
              <w:rPr>
                <w:sz w:val="20"/>
                <w:szCs w:val="20"/>
                <w:color w:val="auto"/>
              </w:rPr>
            </w:pPr>
            <w:r>
              <w:rPr>
                <w:rFonts w:ascii="Arial" w:cs="Arial" w:eastAsia="Arial" w:hAnsi="Arial"/>
                <w:sz w:val="14"/>
                <w:szCs w:val="14"/>
                <w:color w:val="FFFFFF"/>
                <w:w w:val="93"/>
              </w:rPr>
              <w:t>($)</w:t>
            </w:r>
          </w:p>
        </w:tc>
        <w:tc>
          <w:tcPr>
            <w:tcW w:w="1220" w:type="dxa"/>
            <w:vAlign w:val="bottom"/>
            <w:shd w:val="clear" w:color="auto" w:fill="225CAB"/>
          </w:tcPr>
          <w:p>
            <w:pPr>
              <w:jc w:val="center"/>
              <w:ind w:right="214"/>
              <w:spacing w:after="0"/>
              <w:rPr>
                <w:sz w:val="20"/>
                <w:szCs w:val="20"/>
                <w:color w:val="auto"/>
              </w:rPr>
            </w:pPr>
            <w:r>
              <w:rPr>
                <w:rFonts w:ascii="Arial" w:cs="Arial" w:eastAsia="Arial" w:hAnsi="Arial"/>
                <w:sz w:val="14"/>
                <w:szCs w:val="14"/>
                <w:color w:val="FFFFFF"/>
                <w:w w:val="96"/>
              </w:rPr>
              <w:t>Vested</w:t>
            </w:r>
          </w:p>
        </w:tc>
        <w:tc>
          <w:tcPr>
            <w:tcW w:w="1240" w:type="dxa"/>
            <w:vAlign w:val="bottom"/>
            <w:shd w:val="clear" w:color="auto" w:fill="225CAB"/>
          </w:tcPr>
          <w:p>
            <w:pPr>
              <w:jc w:val="center"/>
              <w:spacing w:after="0" w:line="183" w:lineRule="exact"/>
              <w:rPr>
                <w:sz w:val="20"/>
                <w:szCs w:val="20"/>
                <w:color w:val="auto"/>
              </w:rPr>
            </w:pPr>
            <w:r>
              <w:rPr>
                <w:rFonts w:ascii="Arial" w:cs="Arial" w:eastAsia="Arial" w:hAnsi="Arial"/>
                <w:sz w:val="13"/>
                <w:szCs w:val="13"/>
                <w:color w:val="FFFFFF"/>
                <w:w w:val="90"/>
              </w:rPr>
              <w:t>($)</w:t>
            </w:r>
            <w:r>
              <w:rPr>
                <w:rFonts w:ascii="Arial" w:cs="Arial" w:eastAsia="Arial" w:hAnsi="Arial"/>
                <w:sz w:val="21"/>
                <w:szCs w:val="21"/>
                <w:color w:val="FFFFFF"/>
                <w:w w:val="90"/>
                <w:vertAlign w:val="superscript"/>
              </w:rPr>
              <w:t>(1)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60" w:type="dxa"/>
            <w:vAlign w:val="bottom"/>
          </w:tcPr>
          <w:p>
            <w:pPr>
              <w:spacing w:after="0" w:line="148" w:lineRule="exact"/>
              <w:rPr>
                <w:sz w:val="20"/>
                <w:szCs w:val="20"/>
                <w:color w:val="auto"/>
              </w:rPr>
            </w:pPr>
            <w:r>
              <w:rPr>
                <w:rFonts w:ascii="Arial" w:cs="Arial" w:eastAsia="Arial" w:hAnsi="Arial"/>
                <w:sz w:val="14"/>
                <w:szCs w:val="14"/>
                <w:color w:val="225CAB"/>
              </w:rPr>
              <w:t>Brian D. Jellison</w:t>
            </w:r>
          </w:p>
        </w:tc>
        <w:tc>
          <w:tcPr>
            <w:tcW w:w="1000" w:type="dxa"/>
            <w:vAlign w:val="bottom"/>
          </w:tcPr>
          <w:p>
            <w:pPr>
              <w:jc w:val="right"/>
              <w:ind w:right="12"/>
              <w:spacing w:after="0" w:line="148" w:lineRule="exact"/>
              <w:rPr>
                <w:sz w:val="20"/>
                <w:szCs w:val="20"/>
                <w:color w:val="auto"/>
              </w:rPr>
            </w:pPr>
            <w:r>
              <w:rPr>
                <w:rFonts w:ascii="Arial" w:cs="Arial" w:eastAsia="Arial" w:hAnsi="Arial"/>
                <w:sz w:val="14"/>
                <w:szCs w:val="14"/>
                <w:color w:val="auto"/>
              </w:rPr>
              <w:t>108,084</w:t>
            </w:r>
          </w:p>
        </w:tc>
        <w:tc>
          <w:tcPr>
            <w:tcW w:w="1140" w:type="dxa"/>
            <w:vAlign w:val="bottom"/>
          </w:tcPr>
          <w:p>
            <w:pPr>
              <w:spacing w:after="0"/>
              <w:rPr>
                <w:sz w:val="12"/>
                <w:szCs w:val="12"/>
                <w:color w:val="auto"/>
              </w:rPr>
            </w:pPr>
          </w:p>
        </w:tc>
        <w:tc>
          <w:tcPr>
            <w:tcW w:w="720" w:type="dxa"/>
            <w:vAlign w:val="bottom"/>
          </w:tcPr>
          <w:p>
            <w:pPr>
              <w:jc w:val="right"/>
              <w:ind w:right="12"/>
              <w:spacing w:after="0" w:line="148" w:lineRule="exact"/>
              <w:rPr>
                <w:sz w:val="20"/>
                <w:szCs w:val="20"/>
                <w:color w:val="auto"/>
              </w:rPr>
            </w:pPr>
            <w:r>
              <w:rPr>
                <w:rFonts w:ascii="Arial" w:cs="Arial" w:eastAsia="Arial" w:hAnsi="Arial"/>
                <w:sz w:val="14"/>
                <w:szCs w:val="14"/>
                <w:color w:val="auto"/>
              </w:rPr>
              <w:t>52.1900</w:t>
            </w:r>
          </w:p>
        </w:tc>
        <w:tc>
          <w:tcPr>
            <w:tcW w:w="760" w:type="dxa"/>
            <w:vAlign w:val="bottom"/>
          </w:tcPr>
          <w:p>
            <w:pPr>
              <w:jc w:val="right"/>
              <w:ind w:right="12"/>
              <w:spacing w:after="0" w:line="148" w:lineRule="exact"/>
              <w:rPr>
                <w:sz w:val="20"/>
                <w:szCs w:val="20"/>
                <w:color w:val="auto"/>
              </w:rPr>
            </w:pPr>
            <w:r>
              <w:rPr>
                <w:rFonts w:ascii="Arial" w:cs="Arial" w:eastAsia="Arial" w:hAnsi="Arial"/>
                <w:sz w:val="14"/>
                <w:szCs w:val="14"/>
                <w:color w:val="auto"/>
              </w:rPr>
              <w:t>02/16/17</w:t>
            </w: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000" w:type="dxa"/>
            <w:vAlign w:val="bottom"/>
          </w:tcPr>
          <w:p>
            <w:pPr>
              <w:jc w:val="right"/>
              <w:ind w:right="12"/>
              <w:spacing w:after="0"/>
              <w:rPr>
                <w:sz w:val="20"/>
                <w:szCs w:val="20"/>
                <w:color w:val="auto"/>
              </w:rPr>
            </w:pPr>
            <w:r>
              <w:rPr>
                <w:rFonts w:ascii="Arial" w:cs="Arial" w:eastAsia="Arial" w:hAnsi="Arial"/>
                <w:sz w:val="14"/>
                <w:szCs w:val="14"/>
                <w:color w:val="auto"/>
              </w:rPr>
              <w:t>440,000</w:t>
            </w:r>
          </w:p>
        </w:tc>
        <w:tc>
          <w:tcPr>
            <w:tcW w:w="1140" w:type="dxa"/>
            <w:vAlign w:val="bottom"/>
          </w:tcPr>
          <w:p>
            <w:pPr>
              <w:spacing w:after="0"/>
              <w:rPr>
                <w:sz w:val="14"/>
                <w:szCs w:val="14"/>
                <w:color w:val="auto"/>
              </w:rPr>
            </w:pPr>
          </w:p>
        </w:tc>
        <w:tc>
          <w:tcPr>
            <w:tcW w:w="720" w:type="dxa"/>
            <w:vAlign w:val="bottom"/>
          </w:tcPr>
          <w:p>
            <w:pPr>
              <w:jc w:val="right"/>
              <w:ind w:right="12"/>
              <w:spacing w:after="0"/>
              <w:rPr>
                <w:sz w:val="20"/>
                <w:szCs w:val="20"/>
                <w:color w:val="auto"/>
              </w:rPr>
            </w:pPr>
            <w:r>
              <w:rPr>
                <w:rFonts w:ascii="Arial" w:cs="Arial" w:eastAsia="Arial" w:hAnsi="Arial"/>
                <w:sz w:val="14"/>
                <w:szCs w:val="14"/>
                <w:color w:val="auto"/>
              </w:rPr>
              <w:t>55.2200</w:t>
            </w: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02/18/18</w:t>
            </w: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200,000</w:t>
            </w:r>
            <w:r>
              <w:rPr>
                <w:rFonts w:ascii="Arial" w:cs="Arial" w:eastAsia="Arial" w:hAnsi="Arial"/>
                <w:sz w:val="22"/>
                <w:szCs w:val="22"/>
                <w:color w:val="auto"/>
                <w:vertAlign w:val="superscript"/>
              </w:rPr>
              <w:t>(5)(8)</w:t>
            </w:r>
          </w:p>
        </w:tc>
        <w:tc>
          <w:tcPr>
            <w:tcW w:w="1240" w:type="dxa"/>
            <w:vAlign w:val="bottom"/>
            <w:vMerge w:val="restart"/>
          </w:tcPr>
          <w:p>
            <w:pPr>
              <w:jc w:val="right"/>
              <w:ind w:right="13"/>
              <w:spacing w:after="0"/>
              <w:rPr>
                <w:sz w:val="20"/>
                <w:szCs w:val="20"/>
                <w:color w:val="auto"/>
              </w:rPr>
            </w:pPr>
            <w:r>
              <w:rPr>
                <w:rFonts w:ascii="Arial" w:cs="Arial" w:eastAsia="Arial" w:hAnsi="Arial"/>
                <w:sz w:val="14"/>
                <w:szCs w:val="14"/>
                <w:color w:val="auto"/>
              </w:rPr>
              <w:t>37,958,000</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860" w:type="dxa"/>
            <w:vAlign w:val="bottom"/>
            <w:tcBorders>
              <w:bottom w:val="single" w:sz="8" w:color="225CAB"/>
            </w:tcBorders>
          </w:tcPr>
          <w:p>
            <w:pPr>
              <w:spacing w:after="0"/>
              <w:rPr>
                <w:sz w:val="11"/>
                <w:szCs w:val="11"/>
                <w:color w:val="auto"/>
              </w:rPr>
            </w:pPr>
          </w:p>
        </w:tc>
        <w:tc>
          <w:tcPr>
            <w:tcW w:w="1000" w:type="dxa"/>
            <w:vAlign w:val="bottom"/>
            <w:tcBorders>
              <w:bottom w:val="single" w:sz="8" w:color="225CAB"/>
            </w:tcBorders>
          </w:tcPr>
          <w:p>
            <w:pPr>
              <w:spacing w:after="0"/>
              <w:rPr>
                <w:sz w:val="11"/>
                <w:szCs w:val="11"/>
                <w:color w:val="auto"/>
              </w:rPr>
            </w:pPr>
          </w:p>
        </w:tc>
        <w:tc>
          <w:tcPr>
            <w:tcW w:w="1140" w:type="dxa"/>
            <w:vAlign w:val="bottom"/>
            <w:tcBorders>
              <w:bottom w:val="single" w:sz="8" w:color="225CAB"/>
            </w:tcBorders>
          </w:tcPr>
          <w:p>
            <w:pPr>
              <w:spacing w:after="0"/>
              <w:rPr>
                <w:sz w:val="11"/>
                <w:szCs w:val="11"/>
                <w:color w:val="auto"/>
              </w:rPr>
            </w:pPr>
          </w:p>
        </w:tc>
        <w:tc>
          <w:tcPr>
            <w:tcW w:w="720" w:type="dxa"/>
            <w:vAlign w:val="bottom"/>
            <w:tcBorders>
              <w:bottom w:val="single" w:sz="8" w:color="225CAB"/>
            </w:tcBorders>
          </w:tcPr>
          <w:p>
            <w:pPr>
              <w:spacing w:after="0"/>
              <w:rPr>
                <w:sz w:val="11"/>
                <w:szCs w:val="11"/>
                <w:color w:val="auto"/>
              </w:rPr>
            </w:pPr>
          </w:p>
        </w:tc>
        <w:tc>
          <w:tcPr>
            <w:tcW w:w="760" w:type="dxa"/>
            <w:vAlign w:val="bottom"/>
            <w:tcBorders>
              <w:bottom w:val="single" w:sz="8" w:color="225CAB"/>
            </w:tcBorders>
          </w:tcPr>
          <w:p>
            <w:pPr>
              <w:spacing w:after="0"/>
              <w:rPr>
                <w:sz w:val="11"/>
                <w:szCs w:val="11"/>
                <w:color w:val="auto"/>
              </w:rPr>
            </w:pPr>
          </w:p>
        </w:tc>
        <w:tc>
          <w:tcPr>
            <w:tcW w:w="740" w:type="dxa"/>
            <w:vAlign w:val="bottom"/>
            <w:tcBorders>
              <w:bottom w:val="single" w:sz="8" w:color="225CAB"/>
            </w:tcBorders>
          </w:tcPr>
          <w:p>
            <w:pPr>
              <w:spacing w:after="0"/>
              <w:rPr>
                <w:sz w:val="11"/>
                <w:szCs w:val="11"/>
                <w:color w:val="auto"/>
              </w:rPr>
            </w:pPr>
          </w:p>
        </w:tc>
        <w:tc>
          <w:tcPr>
            <w:tcW w:w="720" w:type="dxa"/>
            <w:vAlign w:val="bottom"/>
            <w:tcBorders>
              <w:bottom w:val="single" w:sz="8" w:color="225CAB"/>
            </w:tcBorders>
          </w:tcPr>
          <w:p>
            <w:pPr>
              <w:spacing w:after="0"/>
              <w:rPr>
                <w:sz w:val="11"/>
                <w:szCs w:val="11"/>
                <w:color w:val="auto"/>
              </w:rPr>
            </w:pPr>
          </w:p>
        </w:tc>
        <w:tc>
          <w:tcPr>
            <w:tcW w:w="1220" w:type="dxa"/>
            <w:vAlign w:val="bottom"/>
            <w:tcBorders>
              <w:bottom w:val="single" w:sz="8" w:color="225CAB"/>
            </w:tcBorders>
            <w:vMerge w:val="continue"/>
          </w:tcPr>
          <w:p>
            <w:pPr>
              <w:spacing w:after="0"/>
              <w:rPr>
                <w:sz w:val="11"/>
                <w:szCs w:val="11"/>
                <w:color w:val="auto"/>
              </w:rPr>
            </w:pPr>
          </w:p>
        </w:tc>
        <w:tc>
          <w:tcPr>
            <w:tcW w:w="1240" w:type="dxa"/>
            <w:vAlign w:val="bottom"/>
            <w:tcBorders>
              <w:bottom w:val="single" w:sz="8" w:color="225CAB"/>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860" w:type="dxa"/>
            <w:vAlign w:val="bottom"/>
          </w:tcPr>
          <w:p>
            <w:pPr>
              <w:spacing w:after="0" w:line="141" w:lineRule="exact"/>
              <w:rPr>
                <w:sz w:val="20"/>
                <w:szCs w:val="20"/>
                <w:color w:val="auto"/>
              </w:rPr>
            </w:pPr>
            <w:r>
              <w:rPr>
                <w:rFonts w:ascii="Arial" w:cs="Arial" w:eastAsia="Arial" w:hAnsi="Arial"/>
                <w:sz w:val="14"/>
                <w:szCs w:val="14"/>
                <w:color w:val="225CAB"/>
              </w:rPr>
              <w:t>John Humphrey</w:t>
            </w:r>
          </w:p>
        </w:tc>
        <w:tc>
          <w:tcPr>
            <w:tcW w:w="1000" w:type="dxa"/>
            <w:vAlign w:val="bottom"/>
          </w:tcPr>
          <w:p>
            <w:pPr>
              <w:jc w:val="right"/>
              <w:ind w:right="12"/>
              <w:spacing w:after="0" w:line="141" w:lineRule="exact"/>
              <w:rPr>
                <w:sz w:val="20"/>
                <w:szCs w:val="20"/>
                <w:color w:val="auto"/>
              </w:rPr>
            </w:pPr>
            <w:r>
              <w:rPr>
                <w:rFonts w:ascii="Arial" w:cs="Arial" w:eastAsia="Arial" w:hAnsi="Arial"/>
                <w:sz w:val="14"/>
                <w:szCs w:val="14"/>
                <w:color w:val="auto"/>
              </w:rPr>
              <w:t>1,916</w:t>
            </w:r>
          </w:p>
        </w:tc>
        <w:tc>
          <w:tcPr>
            <w:tcW w:w="1140" w:type="dxa"/>
            <w:vAlign w:val="bottom"/>
          </w:tcPr>
          <w:p>
            <w:pPr>
              <w:spacing w:after="0"/>
              <w:rPr>
                <w:sz w:val="12"/>
                <w:szCs w:val="12"/>
                <w:color w:val="auto"/>
              </w:rPr>
            </w:pPr>
          </w:p>
        </w:tc>
        <w:tc>
          <w:tcPr>
            <w:tcW w:w="720" w:type="dxa"/>
            <w:vAlign w:val="bottom"/>
          </w:tcPr>
          <w:p>
            <w:pPr>
              <w:jc w:val="right"/>
              <w:ind w:right="12"/>
              <w:spacing w:after="0" w:line="141" w:lineRule="exact"/>
              <w:rPr>
                <w:sz w:val="20"/>
                <w:szCs w:val="20"/>
                <w:color w:val="auto"/>
              </w:rPr>
            </w:pPr>
            <w:r>
              <w:rPr>
                <w:rFonts w:ascii="Arial" w:cs="Arial" w:eastAsia="Arial" w:hAnsi="Arial"/>
                <w:sz w:val="14"/>
                <w:szCs w:val="14"/>
                <w:color w:val="auto"/>
              </w:rPr>
              <w:t>52.1900</w:t>
            </w:r>
          </w:p>
        </w:tc>
        <w:tc>
          <w:tcPr>
            <w:tcW w:w="760" w:type="dxa"/>
            <w:vAlign w:val="bottom"/>
          </w:tcPr>
          <w:p>
            <w:pPr>
              <w:jc w:val="right"/>
              <w:ind w:right="12"/>
              <w:spacing w:after="0" w:line="141" w:lineRule="exact"/>
              <w:rPr>
                <w:sz w:val="20"/>
                <w:szCs w:val="20"/>
                <w:color w:val="auto"/>
              </w:rPr>
            </w:pPr>
            <w:r>
              <w:rPr>
                <w:rFonts w:ascii="Arial" w:cs="Arial" w:eastAsia="Arial" w:hAnsi="Arial"/>
                <w:sz w:val="14"/>
                <w:szCs w:val="14"/>
                <w:color w:val="auto"/>
              </w:rPr>
              <w:t>02/16/17</w:t>
            </w: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0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40,000</w:t>
            </w:r>
          </w:p>
        </w:tc>
        <w:tc>
          <w:tcPr>
            <w:tcW w:w="1140" w:type="dxa"/>
            <w:vAlign w:val="bottom"/>
          </w:tcPr>
          <w:p>
            <w:pPr>
              <w:spacing w:after="0"/>
              <w:rPr>
                <w:sz w:val="12"/>
                <w:szCs w:val="12"/>
                <w:color w:val="auto"/>
              </w:rPr>
            </w:pP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55.2200</w:t>
            </w: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02/18/18</w:t>
            </w: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0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60,000</w:t>
            </w:r>
          </w:p>
        </w:tc>
        <w:tc>
          <w:tcPr>
            <w:tcW w:w="1140" w:type="dxa"/>
            <w:vAlign w:val="bottom"/>
          </w:tcPr>
          <w:p>
            <w:pPr>
              <w:spacing w:after="0"/>
              <w:rPr>
                <w:sz w:val="12"/>
                <w:szCs w:val="12"/>
                <w:color w:val="auto"/>
              </w:rPr>
            </w:pP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73.5600</w:t>
            </w: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01/20/21</w:t>
            </w: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0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30,000</w:t>
            </w: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10,000</w:t>
            </w:r>
            <w:r>
              <w:rPr>
                <w:rFonts w:ascii="Arial" w:cs="Arial" w:eastAsia="Arial" w:hAnsi="Arial"/>
                <w:sz w:val="22"/>
                <w:szCs w:val="22"/>
                <w:color w:val="auto"/>
                <w:vertAlign w:val="superscript"/>
              </w:rPr>
              <w:t>(2)</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93.6200</w:t>
            </w: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01/18/22</w:t>
            </w: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1000" w:type="dxa"/>
            <w:vAlign w:val="bottom"/>
          </w:tcPr>
          <w:p>
            <w:pPr>
              <w:jc w:val="right"/>
              <w:ind w:right="12"/>
              <w:spacing w:after="0" w:line="129" w:lineRule="exact"/>
              <w:rPr>
                <w:sz w:val="20"/>
                <w:szCs w:val="20"/>
                <w:color w:val="auto"/>
              </w:rPr>
            </w:pPr>
            <w:r>
              <w:rPr>
                <w:rFonts w:ascii="Arial" w:cs="Arial" w:eastAsia="Arial" w:hAnsi="Arial"/>
                <w:sz w:val="14"/>
                <w:szCs w:val="14"/>
                <w:color w:val="auto"/>
              </w:rPr>
              <w:t>20,000</w:t>
            </w:r>
          </w:p>
        </w:tc>
        <w:tc>
          <w:tcPr>
            <w:tcW w:w="1140" w:type="dxa"/>
            <w:vAlign w:val="bottom"/>
            <w:vMerge w:val="continue"/>
          </w:tcPr>
          <w:p>
            <w:pPr>
              <w:spacing w:after="0"/>
              <w:rPr>
                <w:sz w:val="11"/>
                <w:szCs w:val="11"/>
                <w:color w:val="auto"/>
              </w:rPr>
            </w:pPr>
          </w:p>
        </w:tc>
        <w:tc>
          <w:tcPr>
            <w:tcW w:w="720" w:type="dxa"/>
            <w:vAlign w:val="bottom"/>
          </w:tcPr>
          <w:p>
            <w:pPr>
              <w:jc w:val="right"/>
              <w:ind w:right="12"/>
              <w:spacing w:after="0" w:line="129" w:lineRule="exact"/>
              <w:rPr>
                <w:sz w:val="20"/>
                <w:szCs w:val="20"/>
                <w:color w:val="auto"/>
              </w:rPr>
            </w:pPr>
            <w:r>
              <w:rPr>
                <w:rFonts w:ascii="Arial" w:cs="Arial" w:eastAsia="Arial" w:hAnsi="Arial"/>
                <w:sz w:val="14"/>
                <w:szCs w:val="14"/>
                <w:color w:val="auto"/>
              </w:rPr>
              <w:t>115.2200</w:t>
            </w:r>
          </w:p>
        </w:tc>
        <w:tc>
          <w:tcPr>
            <w:tcW w:w="760" w:type="dxa"/>
            <w:vAlign w:val="bottom"/>
          </w:tcPr>
          <w:p>
            <w:pPr>
              <w:jc w:val="right"/>
              <w:ind w:right="12"/>
              <w:spacing w:after="0" w:line="129" w:lineRule="exact"/>
              <w:rPr>
                <w:sz w:val="20"/>
                <w:szCs w:val="20"/>
                <w:color w:val="auto"/>
              </w:rPr>
            </w:pPr>
            <w:r>
              <w:rPr>
                <w:rFonts w:ascii="Arial" w:cs="Arial" w:eastAsia="Arial" w:hAnsi="Arial"/>
                <w:sz w:val="14"/>
                <w:szCs w:val="14"/>
                <w:color w:val="auto"/>
              </w:rPr>
              <w:t>01/17/23</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0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10,000</w:t>
            </w:r>
          </w:p>
        </w:tc>
        <w:tc>
          <w:tcPr>
            <w:tcW w:w="1140" w:type="dxa"/>
            <w:vAlign w:val="bottom"/>
          </w:tcPr>
          <w:p>
            <w:pPr>
              <w:jc w:val="right"/>
              <w:spacing w:after="0" w:line="149" w:lineRule="exact"/>
              <w:rPr>
                <w:sz w:val="20"/>
                <w:szCs w:val="20"/>
                <w:color w:val="auto"/>
              </w:rPr>
            </w:pPr>
            <w:r>
              <w:rPr>
                <w:rFonts w:ascii="Arial" w:cs="Arial" w:eastAsia="Arial" w:hAnsi="Arial"/>
                <w:sz w:val="11"/>
                <w:szCs w:val="11"/>
                <w:color w:val="auto"/>
              </w:rPr>
              <w:t>20,000</w:t>
            </w:r>
            <w:r>
              <w:rPr>
                <w:rFonts w:ascii="Arial" w:cs="Arial" w:eastAsia="Arial" w:hAnsi="Arial"/>
                <w:sz w:val="17"/>
                <w:szCs w:val="17"/>
                <w:color w:val="auto"/>
                <w:vertAlign w:val="superscript"/>
              </w:rPr>
              <w:t>(3)</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140.8600</w:t>
            </w: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01/16/24</w:t>
            </w: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30,000</w:t>
            </w:r>
            <w:r>
              <w:rPr>
                <w:rFonts w:ascii="Arial" w:cs="Arial" w:eastAsia="Arial" w:hAnsi="Arial"/>
                <w:sz w:val="22"/>
                <w:szCs w:val="22"/>
                <w:color w:val="auto"/>
                <w:vertAlign w:val="superscript"/>
              </w:rPr>
              <w:t>(4)</w:t>
            </w:r>
          </w:p>
        </w:tc>
        <w:tc>
          <w:tcPr>
            <w:tcW w:w="720" w:type="dxa"/>
            <w:vAlign w:val="bottom"/>
          </w:tcPr>
          <w:p>
            <w:pPr>
              <w:jc w:val="right"/>
              <w:ind w:right="12"/>
              <w:spacing w:after="0"/>
              <w:rPr>
                <w:sz w:val="20"/>
                <w:szCs w:val="20"/>
                <w:color w:val="auto"/>
              </w:rPr>
            </w:pPr>
            <w:r>
              <w:rPr>
                <w:rFonts w:ascii="Arial" w:cs="Arial" w:eastAsia="Arial" w:hAnsi="Arial"/>
                <w:sz w:val="14"/>
                <w:szCs w:val="14"/>
                <w:color w:val="auto"/>
              </w:rPr>
              <w:t>145.7500</w:t>
            </w: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01/16/25</w:t>
            </w: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40,000</w:t>
            </w:r>
            <w:r>
              <w:rPr>
                <w:rFonts w:ascii="Arial" w:cs="Arial" w:eastAsia="Arial" w:hAnsi="Arial"/>
                <w:sz w:val="22"/>
                <w:szCs w:val="22"/>
                <w:color w:val="auto"/>
                <w:vertAlign w:val="superscript"/>
              </w:rPr>
              <w:t>(6)(8)</w:t>
            </w:r>
          </w:p>
        </w:tc>
        <w:tc>
          <w:tcPr>
            <w:tcW w:w="1240" w:type="dxa"/>
            <w:vAlign w:val="bottom"/>
            <w:vMerge w:val="restart"/>
          </w:tcPr>
          <w:p>
            <w:pPr>
              <w:jc w:val="right"/>
              <w:ind w:right="13"/>
              <w:spacing w:after="0"/>
              <w:rPr>
                <w:sz w:val="20"/>
                <w:szCs w:val="20"/>
                <w:color w:val="auto"/>
              </w:rPr>
            </w:pPr>
            <w:r>
              <w:rPr>
                <w:rFonts w:ascii="Arial" w:cs="Arial" w:eastAsia="Arial" w:hAnsi="Arial"/>
                <w:sz w:val="14"/>
                <w:szCs w:val="14"/>
                <w:color w:val="auto"/>
              </w:rPr>
              <w:t>7,591,600</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3860" w:type="dxa"/>
            <w:vAlign w:val="bottom"/>
            <w:tcBorders>
              <w:bottom w:val="single" w:sz="8" w:color="225CAB"/>
            </w:tcBorders>
          </w:tcPr>
          <w:p>
            <w:pPr>
              <w:spacing w:after="0"/>
              <w:rPr>
                <w:sz w:val="2"/>
                <w:szCs w:val="2"/>
                <w:color w:val="auto"/>
              </w:rPr>
            </w:pPr>
          </w:p>
        </w:tc>
        <w:tc>
          <w:tcPr>
            <w:tcW w:w="1000" w:type="dxa"/>
            <w:vAlign w:val="bottom"/>
            <w:tcBorders>
              <w:bottom w:val="single" w:sz="8" w:color="225CAB"/>
            </w:tcBorders>
          </w:tcPr>
          <w:p>
            <w:pPr>
              <w:spacing w:after="0"/>
              <w:rPr>
                <w:sz w:val="2"/>
                <w:szCs w:val="2"/>
                <w:color w:val="auto"/>
              </w:rPr>
            </w:pPr>
          </w:p>
        </w:tc>
        <w:tc>
          <w:tcPr>
            <w:tcW w:w="1140" w:type="dxa"/>
            <w:vAlign w:val="bottom"/>
            <w:tcBorders>
              <w:bottom w:val="single" w:sz="8" w:color="225CAB"/>
            </w:tcBorders>
          </w:tcPr>
          <w:p>
            <w:pPr>
              <w:spacing w:after="0"/>
              <w:rPr>
                <w:sz w:val="2"/>
                <w:szCs w:val="2"/>
                <w:color w:val="auto"/>
              </w:rPr>
            </w:pPr>
          </w:p>
        </w:tc>
        <w:tc>
          <w:tcPr>
            <w:tcW w:w="720" w:type="dxa"/>
            <w:vAlign w:val="bottom"/>
            <w:tcBorders>
              <w:bottom w:val="single" w:sz="8" w:color="225CAB"/>
            </w:tcBorders>
          </w:tcPr>
          <w:p>
            <w:pPr>
              <w:spacing w:after="0"/>
              <w:rPr>
                <w:sz w:val="2"/>
                <w:szCs w:val="2"/>
                <w:color w:val="auto"/>
              </w:rPr>
            </w:pPr>
          </w:p>
        </w:tc>
        <w:tc>
          <w:tcPr>
            <w:tcW w:w="760" w:type="dxa"/>
            <w:vAlign w:val="bottom"/>
            <w:tcBorders>
              <w:bottom w:val="single" w:sz="8" w:color="225CAB"/>
            </w:tcBorders>
          </w:tcPr>
          <w:p>
            <w:pPr>
              <w:spacing w:after="0"/>
              <w:rPr>
                <w:sz w:val="2"/>
                <w:szCs w:val="2"/>
                <w:color w:val="auto"/>
              </w:rPr>
            </w:pPr>
          </w:p>
        </w:tc>
        <w:tc>
          <w:tcPr>
            <w:tcW w:w="740" w:type="dxa"/>
            <w:vAlign w:val="bottom"/>
            <w:tcBorders>
              <w:bottom w:val="single" w:sz="8" w:color="225CAB"/>
            </w:tcBorders>
          </w:tcPr>
          <w:p>
            <w:pPr>
              <w:spacing w:after="0"/>
              <w:rPr>
                <w:sz w:val="2"/>
                <w:szCs w:val="2"/>
                <w:color w:val="auto"/>
              </w:rPr>
            </w:pPr>
          </w:p>
        </w:tc>
        <w:tc>
          <w:tcPr>
            <w:tcW w:w="720" w:type="dxa"/>
            <w:vAlign w:val="bottom"/>
            <w:tcBorders>
              <w:bottom w:val="single" w:sz="8" w:color="225CAB"/>
            </w:tcBorders>
          </w:tcPr>
          <w:p>
            <w:pPr>
              <w:spacing w:after="0"/>
              <w:rPr>
                <w:sz w:val="2"/>
                <w:szCs w:val="2"/>
                <w:color w:val="auto"/>
              </w:rPr>
            </w:pPr>
          </w:p>
        </w:tc>
        <w:tc>
          <w:tcPr>
            <w:tcW w:w="1220" w:type="dxa"/>
            <w:vAlign w:val="bottom"/>
            <w:tcBorders>
              <w:bottom w:val="single" w:sz="8" w:color="225CAB"/>
            </w:tcBorders>
            <w:vMerge w:val="continue"/>
          </w:tcPr>
          <w:p>
            <w:pPr>
              <w:spacing w:after="0"/>
              <w:rPr>
                <w:sz w:val="2"/>
                <w:szCs w:val="2"/>
                <w:color w:val="auto"/>
              </w:rPr>
            </w:pPr>
          </w:p>
        </w:tc>
        <w:tc>
          <w:tcPr>
            <w:tcW w:w="1240" w:type="dxa"/>
            <w:vAlign w:val="bottom"/>
            <w:tcBorders>
              <w:bottom w:val="single" w:sz="8" w:color="225CAB"/>
            </w:tcBorders>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860" w:type="dxa"/>
            <w:vAlign w:val="bottom"/>
          </w:tcPr>
          <w:p>
            <w:pPr>
              <w:spacing w:after="0" w:line="141" w:lineRule="exact"/>
              <w:rPr>
                <w:sz w:val="20"/>
                <w:szCs w:val="20"/>
                <w:color w:val="auto"/>
              </w:rPr>
            </w:pPr>
            <w:r>
              <w:rPr>
                <w:rFonts w:ascii="Arial" w:cs="Arial" w:eastAsia="Arial" w:hAnsi="Arial"/>
                <w:sz w:val="14"/>
                <w:szCs w:val="14"/>
                <w:color w:val="225CAB"/>
              </w:rPr>
              <w:t>David B. Liner</w:t>
            </w:r>
          </w:p>
        </w:tc>
        <w:tc>
          <w:tcPr>
            <w:tcW w:w="1000" w:type="dxa"/>
            <w:vAlign w:val="bottom"/>
          </w:tcPr>
          <w:p>
            <w:pPr>
              <w:jc w:val="right"/>
              <w:ind w:right="12"/>
              <w:spacing w:after="0" w:line="141" w:lineRule="exact"/>
              <w:rPr>
                <w:sz w:val="20"/>
                <w:szCs w:val="20"/>
                <w:color w:val="auto"/>
              </w:rPr>
            </w:pPr>
            <w:r>
              <w:rPr>
                <w:rFonts w:ascii="Arial" w:cs="Arial" w:eastAsia="Arial" w:hAnsi="Arial"/>
                <w:sz w:val="14"/>
                <w:szCs w:val="14"/>
                <w:color w:val="auto"/>
              </w:rPr>
              <w:t>12,000</w:t>
            </w:r>
          </w:p>
        </w:tc>
        <w:tc>
          <w:tcPr>
            <w:tcW w:w="1140" w:type="dxa"/>
            <w:vAlign w:val="bottom"/>
          </w:tcPr>
          <w:p>
            <w:pPr>
              <w:spacing w:after="0"/>
              <w:rPr>
                <w:sz w:val="12"/>
                <w:szCs w:val="12"/>
                <w:color w:val="auto"/>
              </w:rPr>
            </w:pPr>
          </w:p>
        </w:tc>
        <w:tc>
          <w:tcPr>
            <w:tcW w:w="720" w:type="dxa"/>
            <w:vAlign w:val="bottom"/>
          </w:tcPr>
          <w:p>
            <w:pPr>
              <w:jc w:val="right"/>
              <w:ind w:right="12"/>
              <w:spacing w:after="0" w:line="141" w:lineRule="exact"/>
              <w:rPr>
                <w:sz w:val="20"/>
                <w:szCs w:val="20"/>
                <w:color w:val="auto"/>
              </w:rPr>
            </w:pPr>
            <w:r>
              <w:rPr>
                <w:rFonts w:ascii="Arial" w:cs="Arial" w:eastAsia="Arial" w:hAnsi="Arial"/>
                <w:sz w:val="14"/>
                <w:szCs w:val="14"/>
                <w:color w:val="auto"/>
              </w:rPr>
              <w:t>52.1900</w:t>
            </w:r>
          </w:p>
        </w:tc>
        <w:tc>
          <w:tcPr>
            <w:tcW w:w="760" w:type="dxa"/>
            <w:vAlign w:val="bottom"/>
          </w:tcPr>
          <w:p>
            <w:pPr>
              <w:jc w:val="right"/>
              <w:ind w:right="12"/>
              <w:spacing w:after="0" w:line="141" w:lineRule="exact"/>
              <w:rPr>
                <w:sz w:val="20"/>
                <w:szCs w:val="20"/>
                <w:color w:val="auto"/>
              </w:rPr>
            </w:pPr>
            <w:r>
              <w:rPr>
                <w:rFonts w:ascii="Arial" w:cs="Arial" w:eastAsia="Arial" w:hAnsi="Arial"/>
                <w:sz w:val="14"/>
                <w:szCs w:val="14"/>
                <w:color w:val="auto"/>
              </w:rPr>
              <w:t>02/16/17</w:t>
            </w: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0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12,000</w:t>
            </w:r>
          </w:p>
        </w:tc>
        <w:tc>
          <w:tcPr>
            <w:tcW w:w="1140" w:type="dxa"/>
            <w:vAlign w:val="bottom"/>
          </w:tcPr>
          <w:p>
            <w:pPr>
              <w:spacing w:after="0"/>
              <w:rPr>
                <w:sz w:val="12"/>
                <w:szCs w:val="12"/>
                <w:color w:val="auto"/>
              </w:rPr>
            </w:pP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55.2200</w:t>
            </w: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02/18/18</w:t>
            </w: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0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12,000</w:t>
            </w:r>
          </w:p>
        </w:tc>
        <w:tc>
          <w:tcPr>
            <w:tcW w:w="1140" w:type="dxa"/>
            <w:vAlign w:val="bottom"/>
          </w:tcPr>
          <w:p>
            <w:pPr>
              <w:spacing w:after="0"/>
              <w:rPr>
                <w:sz w:val="12"/>
                <w:szCs w:val="12"/>
                <w:color w:val="auto"/>
              </w:rPr>
            </w:pP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41.9500</w:t>
            </w: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02/12/19</w:t>
            </w: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0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12,000</w:t>
            </w:r>
          </w:p>
        </w:tc>
        <w:tc>
          <w:tcPr>
            <w:tcW w:w="1140" w:type="dxa"/>
            <w:vAlign w:val="bottom"/>
          </w:tcPr>
          <w:p>
            <w:pPr>
              <w:spacing w:after="0"/>
              <w:rPr>
                <w:sz w:val="12"/>
                <w:szCs w:val="12"/>
                <w:color w:val="auto"/>
              </w:rPr>
            </w:pP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51.1100</w:t>
            </w: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01/22/20</w:t>
            </w: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0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12,000</w:t>
            </w:r>
          </w:p>
        </w:tc>
        <w:tc>
          <w:tcPr>
            <w:tcW w:w="1140" w:type="dxa"/>
            <w:vAlign w:val="bottom"/>
          </w:tcPr>
          <w:p>
            <w:pPr>
              <w:spacing w:after="0"/>
              <w:rPr>
                <w:sz w:val="12"/>
                <w:szCs w:val="12"/>
                <w:color w:val="auto"/>
              </w:rPr>
            </w:pP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73.5600</w:t>
            </w: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01/20/21</w:t>
            </w: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0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12,000</w:t>
            </w: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4,000</w:t>
            </w:r>
            <w:r>
              <w:rPr>
                <w:rFonts w:ascii="Arial" w:cs="Arial" w:eastAsia="Arial" w:hAnsi="Arial"/>
                <w:sz w:val="22"/>
                <w:szCs w:val="22"/>
                <w:color w:val="auto"/>
                <w:vertAlign w:val="superscript"/>
              </w:rPr>
              <w:t>(2)</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93.6200</w:t>
            </w: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01/18/22</w:t>
            </w: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1000" w:type="dxa"/>
            <w:vAlign w:val="bottom"/>
          </w:tcPr>
          <w:p>
            <w:pPr>
              <w:jc w:val="right"/>
              <w:ind w:right="12"/>
              <w:spacing w:after="0" w:line="129" w:lineRule="exact"/>
              <w:rPr>
                <w:sz w:val="20"/>
                <w:szCs w:val="20"/>
                <w:color w:val="auto"/>
              </w:rPr>
            </w:pPr>
            <w:r>
              <w:rPr>
                <w:rFonts w:ascii="Arial" w:cs="Arial" w:eastAsia="Arial" w:hAnsi="Arial"/>
                <w:sz w:val="14"/>
                <w:szCs w:val="14"/>
                <w:color w:val="auto"/>
              </w:rPr>
              <w:t>8,000</w:t>
            </w:r>
          </w:p>
        </w:tc>
        <w:tc>
          <w:tcPr>
            <w:tcW w:w="1140" w:type="dxa"/>
            <w:vAlign w:val="bottom"/>
            <w:vMerge w:val="continue"/>
          </w:tcPr>
          <w:p>
            <w:pPr>
              <w:spacing w:after="0"/>
              <w:rPr>
                <w:sz w:val="11"/>
                <w:szCs w:val="11"/>
                <w:color w:val="auto"/>
              </w:rPr>
            </w:pPr>
          </w:p>
        </w:tc>
        <w:tc>
          <w:tcPr>
            <w:tcW w:w="720" w:type="dxa"/>
            <w:vAlign w:val="bottom"/>
          </w:tcPr>
          <w:p>
            <w:pPr>
              <w:jc w:val="right"/>
              <w:ind w:right="12"/>
              <w:spacing w:after="0" w:line="129" w:lineRule="exact"/>
              <w:rPr>
                <w:sz w:val="20"/>
                <w:szCs w:val="20"/>
                <w:color w:val="auto"/>
              </w:rPr>
            </w:pPr>
            <w:r>
              <w:rPr>
                <w:rFonts w:ascii="Arial" w:cs="Arial" w:eastAsia="Arial" w:hAnsi="Arial"/>
                <w:sz w:val="14"/>
                <w:szCs w:val="14"/>
                <w:color w:val="auto"/>
              </w:rPr>
              <w:t>115.2200</w:t>
            </w:r>
          </w:p>
        </w:tc>
        <w:tc>
          <w:tcPr>
            <w:tcW w:w="760" w:type="dxa"/>
            <w:vAlign w:val="bottom"/>
          </w:tcPr>
          <w:p>
            <w:pPr>
              <w:jc w:val="right"/>
              <w:ind w:right="12"/>
              <w:spacing w:after="0" w:line="129" w:lineRule="exact"/>
              <w:rPr>
                <w:sz w:val="20"/>
                <w:szCs w:val="20"/>
                <w:color w:val="auto"/>
              </w:rPr>
            </w:pPr>
            <w:r>
              <w:rPr>
                <w:rFonts w:ascii="Arial" w:cs="Arial" w:eastAsia="Arial" w:hAnsi="Arial"/>
                <w:sz w:val="14"/>
                <w:szCs w:val="14"/>
                <w:color w:val="auto"/>
              </w:rPr>
              <w:t>01/17/23</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0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4,000</w:t>
            </w:r>
          </w:p>
        </w:tc>
        <w:tc>
          <w:tcPr>
            <w:tcW w:w="1140" w:type="dxa"/>
            <w:vAlign w:val="bottom"/>
          </w:tcPr>
          <w:p>
            <w:pPr>
              <w:jc w:val="right"/>
              <w:spacing w:after="0" w:line="149" w:lineRule="exact"/>
              <w:rPr>
                <w:sz w:val="20"/>
                <w:szCs w:val="20"/>
                <w:color w:val="auto"/>
              </w:rPr>
            </w:pPr>
            <w:r>
              <w:rPr>
                <w:rFonts w:ascii="Arial" w:cs="Arial" w:eastAsia="Arial" w:hAnsi="Arial"/>
                <w:sz w:val="11"/>
                <w:szCs w:val="11"/>
                <w:color w:val="auto"/>
              </w:rPr>
              <w:t>8,000</w:t>
            </w:r>
            <w:r>
              <w:rPr>
                <w:rFonts w:ascii="Arial" w:cs="Arial" w:eastAsia="Arial" w:hAnsi="Arial"/>
                <w:sz w:val="17"/>
                <w:szCs w:val="17"/>
                <w:color w:val="auto"/>
                <w:vertAlign w:val="superscript"/>
              </w:rPr>
              <w:t>(3)</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140.8600</w:t>
            </w: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01/16/24</w:t>
            </w: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12,000</w:t>
            </w:r>
            <w:r>
              <w:rPr>
                <w:rFonts w:ascii="Arial" w:cs="Arial" w:eastAsia="Arial" w:hAnsi="Arial"/>
                <w:sz w:val="22"/>
                <w:szCs w:val="22"/>
                <w:color w:val="auto"/>
                <w:vertAlign w:val="superscript"/>
              </w:rPr>
              <w:t>(4)</w:t>
            </w:r>
          </w:p>
        </w:tc>
        <w:tc>
          <w:tcPr>
            <w:tcW w:w="720" w:type="dxa"/>
            <w:vAlign w:val="bottom"/>
          </w:tcPr>
          <w:p>
            <w:pPr>
              <w:jc w:val="right"/>
              <w:ind w:right="12"/>
              <w:spacing w:after="0"/>
              <w:rPr>
                <w:sz w:val="20"/>
                <w:szCs w:val="20"/>
                <w:color w:val="auto"/>
              </w:rPr>
            </w:pPr>
            <w:r>
              <w:rPr>
                <w:rFonts w:ascii="Arial" w:cs="Arial" w:eastAsia="Arial" w:hAnsi="Arial"/>
                <w:sz w:val="14"/>
                <w:szCs w:val="14"/>
                <w:color w:val="auto"/>
              </w:rPr>
              <w:t>145.7500</w:t>
            </w: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01/16/25</w:t>
            </w: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20" w:type="dxa"/>
            <w:vAlign w:val="bottom"/>
            <w:vMerge w:val="restart"/>
          </w:tcPr>
          <w:p>
            <w:pPr>
              <w:jc w:val="right"/>
              <w:spacing w:after="0"/>
              <w:rPr>
                <w:sz w:val="20"/>
                <w:szCs w:val="20"/>
                <w:color w:val="auto"/>
              </w:rPr>
            </w:pPr>
            <w:r>
              <w:rPr>
                <w:rFonts w:ascii="Arial" w:cs="Arial" w:eastAsia="Arial" w:hAnsi="Arial"/>
                <w:sz w:val="27"/>
                <w:szCs w:val="27"/>
                <w:color w:val="auto"/>
                <w:vertAlign w:val="subscript"/>
              </w:rPr>
              <w:t>8,000</w:t>
            </w:r>
            <w:r>
              <w:rPr>
                <w:rFonts w:ascii="Arial" w:cs="Arial" w:eastAsia="Arial" w:hAnsi="Arial"/>
                <w:sz w:val="11"/>
                <w:szCs w:val="11"/>
                <w:color w:val="auto"/>
              </w:rPr>
              <w:t>(7)(8)</w:t>
            </w:r>
          </w:p>
        </w:tc>
        <w:tc>
          <w:tcPr>
            <w:tcW w:w="1240" w:type="dxa"/>
            <w:vAlign w:val="bottom"/>
            <w:vMerge w:val="restart"/>
          </w:tcPr>
          <w:p>
            <w:pPr>
              <w:jc w:val="right"/>
              <w:ind w:right="13"/>
              <w:spacing w:after="0"/>
              <w:rPr>
                <w:sz w:val="20"/>
                <w:szCs w:val="20"/>
                <w:color w:val="auto"/>
              </w:rPr>
            </w:pPr>
            <w:r>
              <w:rPr>
                <w:rFonts w:ascii="Arial" w:cs="Arial" w:eastAsia="Arial" w:hAnsi="Arial"/>
                <w:sz w:val="14"/>
                <w:szCs w:val="14"/>
                <w:color w:val="auto"/>
              </w:rPr>
              <w:t>1,518,320</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3860" w:type="dxa"/>
            <w:vAlign w:val="bottom"/>
            <w:tcBorders>
              <w:bottom w:val="single" w:sz="8" w:color="225CAB"/>
            </w:tcBorders>
          </w:tcPr>
          <w:p>
            <w:pPr>
              <w:spacing w:after="0"/>
              <w:rPr>
                <w:sz w:val="2"/>
                <w:szCs w:val="2"/>
                <w:color w:val="auto"/>
              </w:rPr>
            </w:pPr>
          </w:p>
        </w:tc>
        <w:tc>
          <w:tcPr>
            <w:tcW w:w="1000" w:type="dxa"/>
            <w:vAlign w:val="bottom"/>
            <w:tcBorders>
              <w:bottom w:val="single" w:sz="8" w:color="225CAB"/>
            </w:tcBorders>
          </w:tcPr>
          <w:p>
            <w:pPr>
              <w:spacing w:after="0"/>
              <w:rPr>
                <w:sz w:val="2"/>
                <w:szCs w:val="2"/>
                <w:color w:val="auto"/>
              </w:rPr>
            </w:pPr>
          </w:p>
        </w:tc>
        <w:tc>
          <w:tcPr>
            <w:tcW w:w="1140" w:type="dxa"/>
            <w:vAlign w:val="bottom"/>
            <w:tcBorders>
              <w:bottom w:val="single" w:sz="8" w:color="225CAB"/>
            </w:tcBorders>
          </w:tcPr>
          <w:p>
            <w:pPr>
              <w:spacing w:after="0"/>
              <w:rPr>
                <w:sz w:val="2"/>
                <w:szCs w:val="2"/>
                <w:color w:val="auto"/>
              </w:rPr>
            </w:pPr>
          </w:p>
        </w:tc>
        <w:tc>
          <w:tcPr>
            <w:tcW w:w="720" w:type="dxa"/>
            <w:vAlign w:val="bottom"/>
            <w:tcBorders>
              <w:bottom w:val="single" w:sz="8" w:color="225CAB"/>
            </w:tcBorders>
          </w:tcPr>
          <w:p>
            <w:pPr>
              <w:spacing w:after="0"/>
              <w:rPr>
                <w:sz w:val="2"/>
                <w:szCs w:val="2"/>
                <w:color w:val="auto"/>
              </w:rPr>
            </w:pPr>
          </w:p>
        </w:tc>
        <w:tc>
          <w:tcPr>
            <w:tcW w:w="760" w:type="dxa"/>
            <w:vAlign w:val="bottom"/>
            <w:tcBorders>
              <w:bottom w:val="single" w:sz="8" w:color="225CAB"/>
            </w:tcBorders>
          </w:tcPr>
          <w:p>
            <w:pPr>
              <w:spacing w:after="0"/>
              <w:rPr>
                <w:sz w:val="2"/>
                <w:szCs w:val="2"/>
                <w:color w:val="auto"/>
              </w:rPr>
            </w:pPr>
          </w:p>
        </w:tc>
        <w:tc>
          <w:tcPr>
            <w:tcW w:w="740" w:type="dxa"/>
            <w:vAlign w:val="bottom"/>
            <w:tcBorders>
              <w:bottom w:val="single" w:sz="8" w:color="225CAB"/>
            </w:tcBorders>
          </w:tcPr>
          <w:p>
            <w:pPr>
              <w:spacing w:after="0"/>
              <w:rPr>
                <w:sz w:val="2"/>
                <w:szCs w:val="2"/>
                <w:color w:val="auto"/>
              </w:rPr>
            </w:pPr>
          </w:p>
        </w:tc>
        <w:tc>
          <w:tcPr>
            <w:tcW w:w="720" w:type="dxa"/>
            <w:vAlign w:val="bottom"/>
            <w:tcBorders>
              <w:bottom w:val="single" w:sz="8" w:color="225CAB"/>
            </w:tcBorders>
          </w:tcPr>
          <w:p>
            <w:pPr>
              <w:spacing w:after="0"/>
              <w:rPr>
                <w:sz w:val="2"/>
                <w:szCs w:val="2"/>
                <w:color w:val="auto"/>
              </w:rPr>
            </w:pPr>
          </w:p>
        </w:tc>
        <w:tc>
          <w:tcPr>
            <w:tcW w:w="1220" w:type="dxa"/>
            <w:vAlign w:val="bottom"/>
            <w:tcBorders>
              <w:bottom w:val="single" w:sz="8" w:color="225CAB"/>
            </w:tcBorders>
            <w:vMerge w:val="continue"/>
          </w:tcPr>
          <w:p>
            <w:pPr>
              <w:spacing w:after="0"/>
              <w:rPr>
                <w:sz w:val="2"/>
                <w:szCs w:val="2"/>
                <w:color w:val="auto"/>
              </w:rPr>
            </w:pPr>
          </w:p>
        </w:tc>
        <w:tc>
          <w:tcPr>
            <w:tcW w:w="1240" w:type="dxa"/>
            <w:vAlign w:val="bottom"/>
            <w:tcBorders>
              <w:bottom w:val="single" w:sz="8" w:color="225CAB"/>
            </w:tcBorders>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860" w:type="dxa"/>
            <w:vAlign w:val="bottom"/>
          </w:tcPr>
          <w:p>
            <w:pPr>
              <w:spacing w:after="0" w:line="141" w:lineRule="exact"/>
              <w:rPr>
                <w:sz w:val="20"/>
                <w:szCs w:val="20"/>
                <w:color w:val="auto"/>
              </w:rPr>
            </w:pPr>
            <w:r>
              <w:rPr>
                <w:rFonts w:ascii="Arial" w:cs="Arial" w:eastAsia="Arial" w:hAnsi="Arial"/>
                <w:sz w:val="14"/>
                <w:szCs w:val="14"/>
                <w:color w:val="225CAB"/>
              </w:rPr>
              <w:t>Paul J. Soni</w:t>
            </w:r>
          </w:p>
        </w:tc>
        <w:tc>
          <w:tcPr>
            <w:tcW w:w="1000" w:type="dxa"/>
            <w:vAlign w:val="bottom"/>
          </w:tcPr>
          <w:p>
            <w:pPr>
              <w:jc w:val="right"/>
              <w:ind w:right="12"/>
              <w:spacing w:after="0" w:line="141" w:lineRule="exact"/>
              <w:rPr>
                <w:sz w:val="20"/>
                <w:szCs w:val="20"/>
                <w:color w:val="auto"/>
              </w:rPr>
            </w:pPr>
            <w:r>
              <w:rPr>
                <w:rFonts w:ascii="Arial" w:cs="Arial" w:eastAsia="Arial" w:hAnsi="Arial"/>
                <w:sz w:val="14"/>
                <w:szCs w:val="14"/>
                <w:color w:val="auto"/>
              </w:rPr>
              <w:t>12,000</w:t>
            </w:r>
          </w:p>
        </w:tc>
        <w:tc>
          <w:tcPr>
            <w:tcW w:w="1140" w:type="dxa"/>
            <w:vAlign w:val="bottom"/>
          </w:tcPr>
          <w:p>
            <w:pPr>
              <w:spacing w:after="0"/>
              <w:rPr>
                <w:sz w:val="12"/>
                <w:szCs w:val="12"/>
                <w:color w:val="auto"/>
              </w:rPr>
            </w:pPr>
          </w:p>
        </w:tc>
        <w:tc>
          <w:tcPr>
            <w:tcW w:w="720" w:type="dxa"/>
            <w:vAlign w:val="bottom"/>
          </w:tcPr>
          <w:p>
            <w:pPr>
              <w:jc w:val="right"/>
              <w:ind w:right="12"/>
              <w:spacing w:after="0" w:line="141" w:lineRule="exact"/>
              <w:rPr>
                <w:sz w:val="20"/>
                <w:szCs w:val="20"/>
                <w:color w:val="auto"/>
              </w:rPr>
            </w:pPr>
            <w:r>
              <w:rPr>
                <w:rFonts w:ascii="Arial" w:cs="Arial" w:eastAsia="Arial" w:hAnsi="Arial"/>
                <w:sz w:val="14"/>
                <w:szCs w:val="14"/>
                <w:color w:val="auto"/>
              </w:rPr>
              <w:t>51.1100</w:t>
            </w:r>
          </w:p>
        </w:tc>
        <w:tc>
          <w:tcPr>
            <w:tcW w:w="760" w:type="dxa"/>
            <w:vAlign w:val="bottom"/>
          </w:tcPr>
          <w:p>
            <w:pPr>
              <w:jc w:val="right"/>
              <w:ind w:right="12"/>
              <w:spacing w:after="0" w:line="141" w:lineRule="exact"/>
              <w:rPr>
                <w:sz w:val="20"/>
                <w:szCs w:val="20"/>
                <w:color w:val="auto"/>
              </w:rPr>
            </w:pPr>
            <w:r>
              <w:rPr>
                <w:rFonts w:ascii="Arial" w:cs="Arial" w:eastAsia="Arial" w:hAnsi="Arial"/>
                <w:sz w:val="14"/>
                <w:szCs w:val="14"/>
                <w:color w:val="auto"/>
              </w:rPr>
              <w:t>01/22/20</w:t>
            </w: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0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12,000</w:t>
            </w:r>
          </w:p>
        </w:tc>
        <w:tc>
          <w:tcPr>
            <w:tcW w:w="1140" w:type="dxa"/>
            <w:vAlign w:val="bottom"/>
          </w:tcPr>
          <w:p>
            <w:pPr>
              <w:spacing w:after="0"/>
              <w:rPr>
                <w:sz w:val="12"/>
                <w:szCs w:val="12"/>
                <w:color w:val="auto"/>
              </w:rPr>
            </w:pP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73.5600</w:t>
            </w: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01/20/21</w:t>
            </w: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0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12,000</w:t>
            </w: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4,000</w:t>
            </w:r>
            <w:r>
              <w:rPr>
                <w:rFonts w:ascii="Arial" w:cs="Arial" w:eastAsia="Arial" w:hAnsi="Arial"/>
                <w:sz w:val="22"/>
                <w:szCs w:val="22"/>
                <w:color w:val="auto"/>
                <w:vertAlign w:val="superscript"/>
              </w:rPr>
              <w:t>(2)</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93.6200</w:t>
            </w: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01/18/22</w:t>
            </w: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1000" w:type="dxa"/>
            <w:vAlign w:val="bottom"/>
          </w:tcPr>
          <w:p>
            <w:pPr>
              <w:jc w:val="right"/>
              <w:ind w:right="12"/>
              <w:spacing w:after="0" w:line="129" w:lineRule="exact"/>
              <w:rPr>
                <w:sz w:val="20"/>
                <w:szCs w:val="20"/>
                <w:color w:val="auto"/>
              </w:rPr>
            </w:pPr>
            <w:r>
              <w:rPr>
                <w:rFonts w:ascii="Arial" w:cs="Arial" w:eastAsia="Arial" w:hAnsi="Arial"/>
                <w:sz w:val="14"/>
                <w:szCs w:val="14"/>
                <w:color w:val="auto"/>
              </w:rPr>
              <w:t>8,000</w:t>
            </w:r>
          </w:p>
        </w:tc>
        <w:tc>
          <w:tcPr>
            <w:tcW w:w="1140" w:type="dxa"/>
            <w:vAlign w:val="bottom"/>
            <w:vMerge w:val="continue"/>
          </w:tcPr>
          <w:p>
            <w:pPr>
              <w:spacing w:after="0"/>
              <w:rPr>
                <w:sz w:val="11"/>
                <w:szCs w:val="11"/>
                <w:color w:val="auto"/>
              </w:rPr>
            </w:pPr>
          </w:p>
        </w:tc>
        <w:tc>
          <w:tcPr>
            <w:tcW w:w="720" w:type="dxa"/>
            <w:vAlign w:val="bottom"/>
          </w:tcPr>
          <w:p>
            <w:pPr>
              <w:jc w:val="right"/>
              <w:ind w:right="12"/>
              <w:spacing w:after="0" w:line="129" w:lineRule="exact"/>
              <w:rPr>
                <w:sz w:val="20"/>
                <w:szCs w:val="20"/>
                <w:color w:val="auto"/>
              </w:rPr>
            </w:pPr>
            <w:r>
              <w:rPr>
                <w:rFonts w:ascii="Arial" w:cs="Arial" w:eastAsia="Arial" w:hAnsi="Arial"/>
                <w:sz w:val="14"/>
                <w:szCs w:val="14"/>
                <w:color w:val="auto"/>
              </w:rPr>
              <w:t>115.2200</w:t>
            </w:r>
          </w:p>
        </w:tc>
        <w:tc>
          <w:tcPr>
            <w:tcW w:w="760" w:type="dxa"/>
            <w:vAlign w:val="bottom"/>
          </w:tcPr>
          <w:p>
            <w:pPr>
              <w:jc w:val="right"/>
              <w:ind w:right="12"/>
              <w:spacing w:after="0" w:line="129" w:lineRule="exact"/>
              <w:rPr>
                <w:sz w:val="20"/>
                <w:szCs w:val="20"/>
                <w:color w:val="auto"/>
              </w:rPr>
            </w:pPr>
            <w:r>
              <w:rPr>
                <w:rFonts w:ascii="Arial" w:cs="Arial" w:eastAsia="Arial" w:hAnsi="Arial"/>
                <w:sz w:val="14"/>
                <w:szCs w:val="14"/>
                <w:color w:val="auto"/>
              </w:rPr>
              <w:t>01/17/23</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0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4,000</w:t>
            </w:r>
          </w:p>
        </w:tc>
        <w:tc>
          <w:tcPr>
            <w:tcW w:w="1140" w:type="dxa"/>
            <w:vAlign w:val="bottom"/>
          </w:tcPr>
          <w:p>
            <w:pPr>
              <w:jc w:val="right"/>
              <w:spacing w:after="0" w:line="149" w:lineRule="exact"/>
              <w:rPr>
                <w:sz w:val="20"/>
                <w:szCs w:val="20"/>
                <w:color w:val="auto"/>
              </w:rPr>
            </w:pPr>
            <w:r>
              <w:rPr>
                <w:rFonts w:ascii="Arial" w:cs="Arial" w:eastAsia="Arial" w:hAnsi="Arial"/>
                <w:sz w:val="11"/>
                <w:szCs w:val="11"/>
                <w:color w:val="auto"/>
              </w:rPr>
              <w:t>8,000</w:t>
            </w:r>
            <w:r>
              <w:rPr>
                <w:rFonts w:ascii="Arial" w:cs="Arial" w:eastAsia="Arial" w:hAnsi="Arial"/>
                <w:sz w:val="17"/>
                <w:szCs w:val="17"/>
                <w:color w:val="auto"/>
                <w:vertAlign w:val="superscript"/>
              </w:rPr>
              <w:t>(3)</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140.8600</w:t>
            </w: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01/16/24</w:t>
            </w: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12,000</w:t>
            </w:r>
            <w:r>
              <w:rPr>
                <w:rFonts w:ascii="Arial" w:cs="Arial" w:eastAsia="Arial" w:hAnsi="Arial"/>
                <w:sz w:val="22"/>
                <w:szCs w:val="22"/>
                <w:color w:val="auto"/>
                <w:vertAlign w:val="superscript"/>
              </w:rPr>
              <w:t>(4)</w:t>
            </w:r>
          </w:p>
        </w:tc>
        <w:tc>
          <w:tcPr>
            <w:tcW w:w="720" w:type="dxa"/>
            <w:vAlign w:val="bottom"/>
          </w:tcPr>
          <w:p>
            <w:pPr>
              <w:jc w:val="right"/>
              <w:ind w:right="12"/>
              <w:spacing w:after="0"/>
              <w:rPr>
                <w:sz w:val="20"/>
                <w:szCs w:val="20"/>
                <w:color w:val="auto"/>
              </w:rPr>
            </w:pPr>
            <w:r>
              <w:rPr>
                <w:rFonts w:ascii="Arial" w:cs="Arial" w:eastAsia="Arial" w:hAnsi="Arial"/>
                <w:sz w:val="14"/>
                <w:szCs w:val="14"/>
                <w:color w:val="auto"/>
              </w:rPr>
              <w:t>145.7500</w:t>
            </w: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01/16/25</w:t>
            </w: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20" w:type="dxa"/>
            <w:vAlign w:val="bottom"/>
            <w:vMerge w:val="restart"/>
          </w:tcPr>
          <w:p>
            <w:pPr>
              <w:jc w:val="right"/>
              <w:spacing w:after="0"/>
              <w:rPr>
                <w:sz w:val="20"/>
                <w:szCs w:val="20"/>
                <w:color w:val="auto"/>
              </w:rPr>
            </w:pPr>
            <w:r>
              <w:rPr>
                <w:rFonts w:ascii="Arial" w:cs="Arial" w:eastAsia="Arial" w:hAnsi="Arial"/>
                <w:sz w:val="27"/>
                <w:szCs w:val="27"/>
                <w:color w:val="auto"/>
                <w:vertAlign w:val="subscript"/>
              </w:rPr>
              <w:t>8,000</w:t>
            </w:r>
            <w:r>
              <w:rPr>
                <w:rFonts w:ascii="Arial" w:cs="Arial" w:eastAsia="Arial" w:hAnsi="Arial"/>
                <w:sz w:val="11"/>
                <w:szCs w:val="11"/>
                <w:color w:val="auto"/>
              </w:rPr>
              <w:t>(7)(8)</w:t>
            </w:r>
          </w:p>
        </w:tc>
        <w:tc>
          <w:tcPr>
            <w:tcW w:w="1240" w:type="dxa"/>
            <w:vAlign w:val="bottom"/>
            <w:vMerge w:val="restart"/>
          </w:tcPr>
          <w:p>
            <w:pPr>
              <w:jc w:val="right"/>
              <w:ind w:right="13"/>
              <w:spacing w:after="0"/>
              <w:rPr>
                <w:sz w:val="20"/>
                <w:szCs w:val="20"/>
                <w:color w:val="auto"/>
              </w:rPr>
            </w:pPr>
            <w:r>
              <w:rPr>
                <w:rFonts w:ascii="Arial" w:cs="Arial" w:eastAsia="Arial" w:hAnsi="Arial"/>
                <w:sz w:val="14"/>
                <w:szCs w:val="14"/>
                <w:color w:val="auto"/>
              </w:rPr>
              <w:t>1,518,320</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12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340" w:hanging="332"/>
        <w:spacing w:after="0" w:line="181" w:lineRule="auto"/>
        <w:tabs>
          <w:tab w:leader="none" w:pos="340" w:val="left"/>
        </w:tabs>
        <w:numPr>
          <w:ilvl w:val="0"/>
          <w:numId w:val="60"/>
        </w:numPr>
        <w:rPr>
          <w:rFonts w:ascii="Arial" w:cs="Arial" w:eastAsia="Arial" w:hAnsi="Arial"/>
          <w:sz w:val="21"/>
          <w:szCs w:val="21"/>
          <w:color w:val="auto"/>
          <w:vertAlign w:val="superscript"/>
        </w:rPr>
      </w:pPr>
      <w:r>
        <w:rPr>
          <w:rFonts w:ascii="Arial" w:cs="Arial" w:eastAsia="Arial" w:hAnsi="Arial"/>
          <w:sz w:val="13"/>
          <w:szCs w:val="13"/>
          <w:color w:val="auto"/>
        </w:rPr>
        <w:t>Calculated by multiplying $189.79, the closing market price of our common stock on December 31, 2015, by the number of restricted shares that have not vested.</w:t>
      </w:r>
    </w:p>
    <w:p>
      <w:pPr>
        <w:spacing w:after="0" w:line="67" w:lineRule="exact"/>
        <w:rPr>
          <w:rFonts w:ascii="Arial" w:cs="Arial" w:eastAsia="Arial" w:hAnsi="Arial"/>
          <w:sz w:val="21"/>
          <w:szCs w:val="21"/>
          <w:color w:val="auto"/>
          <w:vertAlign w:val="superscript"/>
        </w:rPr>
      </w:pPr>
    </w:p>
    <w:p>
      <w:pPr>
        <w:ind w:left="340" w:hanging="332"/>
        <w:spacing w:after="0" w:line="188" w:lineRule="auto"/>
        <w:tabs>
          <w:tab w:leader="none" w:pos="340" w:val="left"/>
        </w:tabs>
        <w:numPr>
          <w:ilvl w:val="0"/>
          <w:numId w:val="60"/>
        </w:numPr>
        <w:rPr>
          <w:rFonts w:ascii="Arial" w:cs="Arial" w:eastAsia="Arial" w:hAnsi="Arial"/>
          <w:sz w:val="18"/>
          <w:szCs w:val="18"/>
          <w:color w:val="auto"/>
          <w:vertAlign w:val="superscript"/>
        </w:rPr>
      </w:pPr>
      <w:r>
        <w:rPr>
          <w:rFonts w:ascii="Arial" w:cs="Arial" w:eastAsia="Arial" w:hAnsi="Arial"/>
          <w:sz w:val="12"/>
          <w:szCs w:val="12"/>
          <w:color w:val="auto"/>
        </w:rPr>
        <w:t>These stock options were granted on January 17, 2013 with unexercisable shares vesting in January 2016.</w:t>
      </w:r>
    </w:p>
    <w:p>
      <w:pPr>
        <w:spacing w:after="0" w:line="67" w:lineRule="exact"/>
        <w:rPr>
          <w:rFonts w:ascii="Arial" w:cs="Arial" w:eastAsia="Arial" w:hAnsi="Arial"/>
          <w:sz w:val="18"/>
          <w:szCs w:val="18"/>
          <w:color w:val="auto"/>
          <w:vertAlign w:val="superscript"/>
        </w:rPr>
      </w:pPr>
    </w:p>
    <w:p>
      <w:pPr>
        <w:ind w:left="340" w:hanging="332"/>
        <w:spacing w:after="0" w:line="188" w:lineRule="auto"/>
        <w:tabs>
          <w:tab w:leader="none" w:pos="340" w:val="left"/>
        </w:tabs>
        <w:numPr>
          <w:ilvl w:val="0"/>
          <w:numId w:val="60"/>
        </w:numPr>
        <w:rPr>
          <w:rFonts w:ascii="Arial" w:cs="Arial" w:eastAsia="Arial" w:hAnsi="Arial"/>
          <w:sz w:val="18"/>
          <w:szCs w:val="18"/>
          <w:color w:val="auto"/>
          <w:vertAlign w:val="superscript"/>
        </w:rPr>
      </w:pPr>
      <w:r>
        <w:rPr>
          <w:rFonts w:ascii="Arial" w:cs="Arial" w:eastAsia="Arial" w:hAnsi="Arial"/>
          <w:sz w:val="12"/>
          <w:szCs w:val="12"/>
          <w:color w:val="auto"/>
        </w:rPr>
        <w:t>These stock options were granted on January 16, 2014 with unexercisable shares vesting in two equal installments in January 2016 and 2017.</w:t>
      </w:r>
    </w:p>
    <w:p>
      <w:pPr>
        <w:spacing w:after="0" w:line="67" w:lineRule="exact"/>
        <w:rPr>
          <w:rFonts w:ascii="Arial" w:cs="Arial" w:eastAsia="Arial" w:hAnsi="Arial"/>
          <w:sz w:val="18"/>
          <w:szCs w:val="18"/>
          <w:color w:val="auto"/>
          <w:vertAlign w:val="superscript"/>
        </w:rPr>
      </w:pPr>
    </w:p>
    <w:p>
      <w:pPr>
        <w:ind w:left="340" w:hanging="332"/>
        <w:spacing w:after="0" w:line="188" w:lineRule="auto"/>
        <w:tabs>
          <w:tab w:leader="none" w:pos="340" w:val="left"/>
        </w:tabs>
        <w:numPr>
          <w:ilvl w:val="0"/>
          <w:numId w:val="60"/>
        </w:numPr>
        <w:rPr>
          <w:rFonts w:ascii="Arial" w:cs="Arial" w:eastAsia="Arial" w:hAnsi="Arial"/>
          <w:sz w:val="18"/>
          <w:szCs w:val="18"/>
          <w:color w:val="auto"/>
          <w:vertAlign w:val="superscript"/>
        </w:rPr>
      </w:pPr>
      <w:r>
        <w:rPr>
          <w:rFonts w:ascii="Arial" w:cs="Arial" w:eastAsia="Arial" w:hAnsi="Arial"/>
          <w:sz w:val="12"/>
          <w:szCs w:val="12"/>
          <w:color w:val="auto"/>
        </w:rPr>
        <w:t>These stock options were granted on January 16, 2015 with unexercisable shares vesting in two equal installments in January 2017 and 2018.</w:t>
      </w:r>
    </w:p>
    <w:p>
      <w:pPr>
        <w:spacing w:after="0" w:line="67" w:lineRule="exact"/>
        <w:rPr>
          <w:rFonts w:ascii="Arial" w:cs="Arial" w:eastAsia="Arial" w:hAnsi="Arial"/>
          <w:sz w:val="18"/>
          <w:szCs w:val="18"/>
          <w:color w:val="auto"/>
          <w:vertAlign w:val="superscript"/>
        </w:rPr>
      </w:pPr>
    </w:p>
    <w:p>
      <w:pPr>
        <w:ind w:left="340" w:hanging="332"/>
        <w:spacing w:after="0" w:line="188" w:lineRule="auto"/>
        <w:tabs>
          <w:tab w:leader="none" w:pos="340" w:val="left"/>
        </w:tabs>
        <w:numPr>
          <w:ilvl w:val="0"/>
          <w:numId w:val="60"/>
        </w:numPr>
        <w:rPr>
          <w:rFonts w:ascii="Arial" w:cs="Arial" w:eastAsia="Arial" w:hAnsi="Arial"/>
          <w:sz w:val="18"/>
          <w:szCs w:val="18"/>
          <w:color w:val="auto"/>
          <w:vertAlign w:val="superscript"/>
        </w:rPr>
      </w:pPr>
      <w:r>
        <w:rPr>
          <w:rFonts w:ascii="Arial" w:cs="Arial" w:eastAsia="Arial" w:hAnsi="Arial"/>
          <w:sz w:val="12"/>
          <w:szCs w:val="12"/>
          <w:color w:val="auto"/>
        </w:rPr>
        <w:t>This represents multiple restricted stock awards with the remaining shares of each grant vesting, subject to applicable Company performance conditions, as follows:</w:t>
      </w:r>
    </w:p>
    <w:p>
      <w:pPr>
        <w:spacing w:after="0" w:line="67" w:lineRule="exact"/>
        <w:rPr>
          <w:rFonts w:ascii="Arial" w:cs="Arial" w:eastAsia="Arial" w:hAnsi="Arial"/>
          <w:sz w:val="18"/>
          <w:szCs w:val="18"/>
          <w:color w:val="auto"/>
          <w:vertAlign w:val="superscript"/>
        </w:rPr>
      </w:pPr>
    </w:p>
    <w:p>
      <w:pPr>
        <w:ind w:left="800" w:hanging="454"/>
        <w:spacing w:after="0" w:line="188" w:lineRule="auto"/>
        <w:tabs>
          <w:tab w:leader="none" w:pos="800" w:val="left"/>
        </w:tabs>
        <w:numPr>
          <w:ilvl w:val="1"/>
          <w:numId w:val="60"/>
        </w:numPr>
        <w:rPr>
          <w:rFonts w:ascii="Arial" w:cs="Arial" w:eastAsia="Arial" w:hAnsi="Arial"/>
          <w:sz w:val="18"/>
          <w:szCs w:val="18"/>
          <w:color w:val="auto"/>
          <w:vertAlign w:val="superscript"/>
        </w:rPr>
      </w:pPr>
      <w:r>
        <w:rPr>
          <w:rFonts w:ascii="Arial" w:cs="Arial" w:eastAsia="Arial" w:hAnsi="Arial"/>
          <w:sz w:val="12"/>
          <w:szCs w:val="12"/>
          <w:color w:val="auto"/>
        </w:rPr>
        <w:t>50,000 shares remaining from 150,000 shares granted January 16, 2014 and vesting in November 2016;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-839470</wp:posOffset>
            </wp:positionV>
            <wp:extent cx="72466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800" w:hanging="454"/>
        <w:spacing w:after="0" w:line="217" w:lineRule="auto"/>
        <w:tabs>
          <w:tab w:leader="none" w:pos="800" w:val="left"/>
        </w:tabs>
        <w:numPr>
          <w:ilvl w:val="0"/>
          <w:numId w:val="61"/>
        </w:numPr>
        <w:rPr>
          <w:rFonts w:ascii="Arial" w:cs="Arial" w:eastAsia="Arial" w:hAnsi="Arial"/>
          <w:sz w:val="22"/>
          <w:szCs w:val="22"/>
          <w:color w:val="auto"/>
          <w:vertAlign w:val="superscript"/>
        </w:rPr>
      </w:pPr>
      <w:r>
        <w:rPr>
          <w:rFonts w:ascii="Arial" w:cs="Arial" w:eastAsia="Arial" w:hAnsi="Arial"/>
          <w:sz w:val="14"/>
          <w:szCs w:val="14"/>
          <w:color w:val="auto"/>
        </w:rPr>
        <w:t>150,000 shares remaining from 150,000 shares granted January 16, 2015 and vesting in two equal installments in November 2016 and 2017;</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336"/>
        </w:trPr>
        <w:tc>
          <w:tcPr>
            <w:tcW w:w="340" w:type="dxa"/>
            <w:vAlign w:val="bottom"/>
            <w:tcBorders>
              <w:right w:val="single" w:sz="8" w:color="225CAB"/>
            </w:tcBorders>
          </w:tcPr>
          <w:p>
            <w:pPr>
              <w:jc w:val="right"/>
              <w:ind w:right="52"/>
              <w:spacing w:after="0"/>
              <w:rPr>
                <w:sz w:val="20"/>
                <w:szCs w:val="20"/>
                <w:color w:val="auto"/>
              </w:rPr>
            </w:pPr>
            <w:r>
              <w:rPr>
                <w:rFonts w:ascii="Arial" w:cs="Arial" w:eastAsia="Arial" w:hAnsi="Arial"/>
                <w:sz w:val="18"/>
                <w:szCs w:val="18"/>
                <w:b w:val="1"/>
                <w:bCs w:val="1"/>
                <w:color w:val="225CAB"/>
                <w:w w:val="89"/>
              </w:rPr>
              <w:t>36</w:t>
            </w:r>
          </w:p>
        </w:tc>
        <w:tc>
          <w:tcPr>
            <w:tcW w:w="5180" w:type="dxa"/>
            <w:vAlign w:val="bottom"/>
          </w:tcPr>
          <w:p>
            <w:pPr>
              <w:ind w:left="1240"/>
              <w:spacing w:after="0"/>
              <w:rPr>
                <w:sz w:val="20"/>
                <w:szCs w:val="20"/>
                <w:color w:val="auto"/>
              </w:rPr>
            </w:pPr>
            <w:r>
              <w:rPr>
                <w:rFonts w:ascii="Arial" w:cs="Arial" w:eastAsia="Arial" w:hAnsi="Arial"/>
                <w:sz w:val="18"/>
                <w:szCs w:val="18"/>
                <w:b w:val="1"/>
                <w:bCs w:val="1"/>
                <w:color w:val="225CAB"/>
                <w:w w:val="96"/>
              </w:rPr>
              <w:t>Roper Technologies, Inc. 2016 Proxy Statement</w:t>
            </w:r>
          </w:p>
        </w:tc>
      </w:tr>
      <w:tr>
        <w:trPr>
          <w:trHeight w:val="110"/>
        </w:trPr>
        <w:tc>
          <w:tcPr>
            <w:tcW w:w="340" w:type="dxa"/>
            <w:vAlign w:val="bottom"/>
            <w:tcBorders>
              <w:right w:val="single" w:sz="8" w:color="225CAB"/>
            </w:tcBorders>
          </w:tcPr>
          <w:p>
            <w:pPr>
              <w:spacing w:after="0"/>
              <w:rPr>
                <w:sz w:val="9"/>
                <w:szCs w:val="9"/>
                <w:color w:val="auto"/>
              </w:rPr>
            </w:pPr>
          </w:p>
        </w:tc>
        <w:tc>
          <w:tcPr>
            <w:tcW w:w="518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-248285</wp:posOffset>
            </wp:positionV>
            <wp:extent cx="420370" cy="2057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225CAB"/>
        </w:rPr>
        <w:t xml:space="preserve">EXECUTIVE COMPENSATION </w:t>
      </w:r>
      <w:r>
        <w:rPr>
          <w:rFonts w:ascii="Arial" w:cs="Arial" w:eastAsia="Arial" w:hAnsi="Arial"/>
          <w:sz w:val="18"/>
          <w:szCs w:val="18"/>
          <w:i w:val="1"/>
          <w:iCs w:val="1"/>
          <w:color w:val="225CAB"/>
        </w:rPr>
        <w:t>(CONTINUED)</w:t>
      </w:r>
    </w:p>
    <w:p>
      <w:pPr>
        <w:spacing w:after="0" w:line="149" w:lineRule="exact"/>
        <w:rPr>
          <w:sz w:val="20"/>
          <w:szCs w:val="20"/>
          <w:color w:val="auto"/>
        </w:rPr>
      </w:pPr>
    </w:p>
    <w:p>
      <w:pPr>
        <w:ind w:left="340" w:hanging="332"/>
        <w:spacing w:after="0"/>
        <w:tabs>
          <w:tab w:leader="none" w:pos="340" w:val="left"/>
        </w:tabs>
        <w:numPr>
          <w:ilvl w:val="0"/>
          <w:numId w:val="62"/>
        </w:numPr>
        <w:rPr>
          <w:rFonts w:ascii="Arial" w:cs="Arial" w:eastAsia="Arial" w:hAnsi="Arial"/>
          <w:sz w:val="22"/>
          <w:szCs w:val="22"/>
          <w:color w:val="auto"/>
          <w:vertAlign w:val="superscript"/>
        </w:rPr>
      </w:pPr>
      <w:r>
        <w:rPr>
          <w:rFonts w:ascii="Arial" w:cs="Arial" w:eastAsia="Arial" w:hAnsi="Arial"/>
          <w:sz w:val="14"/>
          <w:szCs w:val="14"/>
          <w:color w:val="auto"/>
        </w:rPr>
        <w:t>This represents multiple restricted stock awards with the remaining shares of each grant vesting, subject to applicable Company performance conditions, as follows:</w:t>
      </w:r>
    </w:p>
    <w:p>
      <w:pPr>
        <w:spacing w:after="0" w:line="67" w:lineRule="exact"/>
        <w:rPr>
          <w:rFonts w:ascii="Arial" w:cs="Arial" w:eastAsia="Arial" w:hAnsi="Arial"/>
          <w:sz w:val="22"/>
          <w:szCs w:val="22"/>
          <w:color w:val="auto"/>
          <w:vertAlign w:val="superscript"/>
        </w:rPr>
      </w:pPr>
    </w:p>
    <w:p>
      <w:pPr>
        <w:ind w:left="800" w:hanging="454"/>
        <w:spacing w:after="0" w:line="188" w:lineRule="auto"/>
        <w:tabs>
          <w:tab w:leader="none" w:pos="800" w:val="left"/>
        </w:tabs>
        <w:numPr>
          <w:ilvl w:val="1"/>
          <w:numId w:val="62"/>
        </w:numPr>
        <w:rPr>
          <w:rFonts w:ascii="Arial" w:cs="Arial" w:eastAsia="Arial" w:hAnsi="Arial"/>
          <w:sz w:val="18"/>
          <w:szCs w:val="18"/>
          <w:color w:val="auto"/>
          <w:vertAlign w:val="superscript"/>
        </w:rPr>
      </w:pPr>
      <w:r>
        <w:rPr>
          <w:rFonts w:ascii="Arial" w:cs="Arial" w:eastAsia="Arial" w:hAnsi="Arial"/>
          <w:sz w:val="12"/>
          <w:szCs w:val="12"/>
          <w:color w:val="auto"/>
        </w:rPr>
        <w:t>10,000 shares remaining from 30,000 shares granted January 16, 2014 and vesting in November 2016;</w:t>
      </w:r>
    </w:p>
    <w:p>
      <w:pPr>
        <w:ind w:left="800" w:hanging="454"/>
        <w:spacing w:after="0" w:line="217" w:lineRule="auto"/>
        <w:tabs>
          <w:tab w:leader="none" w:pos="800" w:val="left"/>
        </w:tabs>
        <w:numPr>
          <w:ilvl w:val="1"/>
          <w:numId w:val="63"/>
        </w:numPr>
        <w:rPr>
          <w:rFonts w:ascii="Arial" w:cs="Arial" w:eastAsia="Arial" w:hAnsi="Arial"/>
          <w:sz w:val="22"/>
          <w:szCs w:val="22"/>
          <w:color w:val="auto"/>
          <w:vertAlign w:val="superscript"/>
        </w:rPr>
      </w:pPr>
      <w:r>
        <w:rPr>
          <w:rFonts w:ascii="Arial" w:cs="Arial" w:eastAsia="Arial" w:hAnsi="Arial"/>
          <w:sz w:val="14"/>
          <w:szCs w:val="14"/>
          <w:color w:val="auto"/>
        </w:rPr>
        <w:t>30,000 shares remaining from 30,000 shares granted January 16, 2015 and vesting in two equal installments in November 2016 and 2017.</w:t>
      </w:r>
    </w:p>
    <w:p>
      <w:pPr>
        <w:spacing w:after="0" w:line="68" w:lineRule="exact"/>
        <w:rPr>
          <w:rFonts w:ascii="Arial" w:cs="Arial" w:eastAsia="Arial" w:hAnsi="Arial"/>
          <w:sz w:val="22"/>
          <w:szCs w:val="22"/>
          <w:color w:val="auto"/>
          <w:vertAlign w:val="superscript"/>
        </w:rPr>
      </w:pPr>
    </w:p>
    <w:p>
      <w:pPr>
        <w:ind w:left="340" w:hanging="332"/>
        <w:spacing w:after="0" w:line="188" w:lineRule="auto"/>
        <w:tabs>
          <w:tab w:leader="none" w:pos="340" w:val="left"/>
        </w:tabs>
        <w:numPr>
          <w:ilvl w:val="0"/>
          <w:numId w:val="64"/>
        </w:numPr>
        <w:rPr>
          <w:rFonts w:ascii="Arial" w:cs="Arial" w:eastAsia="Arial" w:hAnsi="Arial"/>
          <w:sz w:val="18"/>
          <w:szCs w:val="18"/>
          <w:color w:val="auto"/>
          <w:vertAlign w:val="superscript"/>
        </w:rPr>
      </w:pPr>
      <w:r>
        <w:rPr>
          <w:rFonts w:ascii="Arial" w:cs="Arial" w:eastAsia="Arial" w:hAnsi="Arial"/>
          <w:sz w:val="12"/>
          <w:szCs w:val="12"/>
          <w:color w:val="auto"/>
        </w:rPr>
        <w:t>This represents multiple restricted stock awards with the remaining shares of each grant vesting, subject to applicable Company performance conditions, as follows:</w:t>
      </w:r>
    </w:p>
    <w:p>
      <w:pPr>
        <w:spacing w:after="0" w:line="67" w:lineRule="exact"/>
        <w:rPr>
          <w:rFonts w:ascii="Arial" w:cs="Arial" w:eastAsia="Arial" w:hAnsi="Arial"/>
          <w:sz w:val="18"/>
          <w:szCs w:val="18"/>
          <w:color w:val="auto"/>
          <w:vertAlign w:val="superscript"/>
        </w:rPr>
      </w:pPr>
    </w:p>
    <w:p>
      <w:pPr>
        <w:ind w:left="800" w:hanging="454"/>
        <w:spacing w:after="0" w:line="188" w:lineRule="auto"/>
        <w:tabs>
          <w:tab w:leader="none" w:pos="800" w:val="left"/>
        </w:tabs>
        <w:numPr>
          <w:ilvl w:val="1"/>
          <w:numId w:val="64"/>
        </w:numPr>
        <w:rPr>
          <w:rFonts w:ascii="Arial" w:cs="Arial" w:eastAsia="Arial" w:hAnsi="Arial"/>
          <w:sz w:val="18"/>
          <w:szCs w:val="18"/>
          <w:color w:val="auto"/>
          <w:vertAlign w:val="superscript"/>
        </w:rPr>
      </w:pPr>
      <w:r>
        <w:rPr>
          <w:rFonts w:ascii="Arial" w:cs="Arial" w:eastAsia="Arial" w:hAnsi="Arial"/>
          <w:sz w:val="12"/>
          <w:szCs w:val="12"/>
          <w:color w:val="auto"/>
        </w:rPr>
        <w:t>2,000 shares remaining from 6,000 shares granted January 16, 2014 and vesting in November 2016; and</w:t>
      </w:r>
    </w:p>
    <w:p>
      <w:pPr>
        <w:ind w:left="800" w:hanging="454"/>
        <w:spacing w:after="0" w:line="217" w:lineRule="auto"/>
        <w:tabs>
          <w:tab w:leader="none" w:pos="800" w:val="left"/>
        </w:tabs>
        <w:numPr>
          <w:ilvl w:val="1"/>
          <w:numId w:val="65"/>
        </w:numPr>
        <w:rPr>
          <w:rFonts w:ascii="Arial" w:cs="Arial" w:eastAsia="Arial" w:hAnsi="Arial"/>
          <w:sz w:val="22"/>
          <w:szCs w:val="22"/>
          <w:color w:val="auto"/>
          <w:vertAlign w:val="superscript"/>
        </w:rPr>
      </w:pPr>
      <w:r>
        <w:rPr>
          <w:rFonts w:ascii="Arial" w:cs="Arial" w:eastAsia="Arial" w:hAnsi="Arial"/>
          <w:sz w:val="14"/>
          <w:szCs w:val="14"/>
          <w:color w:val="auto"/>
        </w:rPr>
        <w:t>6,000 shares remaining from 6,000 shares granted January 16, 2015 and vesting in two equal installments in November 2016 and 2017.</w:t>
      </w:r>
    </w:p>
    <w:p>
      <w:pPr>
        <w:spacing w:after="0" w:line="68" w:lineRule="exact"/>
        <w:rPr>
          <w:rFonts w:ascii="Arial" w:cs="Arial" w:eastAsia="Arial" w:hAnsi="Arial"/>
          <w:sz w:val="22"/>
          <w:szCs w:val="22"/>
          <w:color w:val="auto"/>
          <w:vertAlign w:val="superscript"/>
        </w:rPr>
      </w:pPr>
    </w:p>
    <w:p>
      <w:pPr>
        <w:ind w:left="340" w:hanging="332"/>
        <w:spacing w:after="0" w:line="188" w:lineRule="auto"/>
        <w:tabs>
          <w:tab w:leader="none" w:pos="340" w:val="left"/>
        </w:tabs>
        <w:numPr>
          <w:ilvl w:val="0"/>
          <w:numId w:val="66"/>
        </w:numPr>
        <w:rPr>
          <w:rFonts w:ascii="Arial" w:cs="Arial" w:eastAsia="Arial" w:hAnsi="Arial"/>
          <w:sz w:val="18"/>
          <w:szCs w:val="18"/>
          <w:color w:val="auto"/>
          <w:vertAlign w:val="superscript"/>
        </w:rPr>
      </w:pPr>
      <w:r>
        <w:rPr>
          <w:rFonts w:ascii="Arial" w:cs="Arial" w:eastAsia="Arial" w:hAnsi="Arial"/>
          <w:sz w:val="12"/>
          <w:szCs w:val="12"/>
          <w:color w:val="auto"/>
        </w:rPr>
        <w:t>For restricted stock granted in January 2014 and 2015, the vesting only occurs if the Compensation Committee certifies our Company’s attainment of related performance goals.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Option Exercises and Stock Vested</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shd w:val="clear" w:color="auto" w:fill="225CAB"/>
          </w:tcPr>
          <w:p>
            <w:pPr>
              <w:spacing w:after="0"/>
              <w:rPr>
                <w:sz w:val="14"/>
                <w:szCs w:val="14"/>
                <w:color w:val="auto"/>
              </w:rPr>
            </w:pPr>
          </w:p>
        </w:tc>
        <w:tc>
          <w:tcPr>
            <w:tcW w:w="2020" w:type="dxa"/>
            <w:vAlign w:val="bottom"/>
            <w:shd w:val="clear" w:color="auto" w:fill="225CAB"/>
          </w:tcPr>
          <w:p>
            <w:pPr>
              <w:spacing w:after="0"/>
              <w:rPr>
                <w:sz w:val="14"/>
                <w:szCs w:val="14"/>
                <w:color w:val="auto"/>
              </w:rPr>
            </w:pPr>
          </w:p>
        </w:tc>
        <w:tc>
          <w:tcPr>
            <w:tcW w:w="2580" w:type="dxa"/>
            <w:vAlign w:val="bottom"/>
            <w:shd w:val="clear" w:color="auto" w:fill="225CAB"/>
          </w:tcPr>
          <w:p>
            <w:pPr>
              <w:jc w:val="right"/>
              <w:ind w:right="1621"/>
              <w:spacing w:after="0"/>
              <w:rPr>
                <w:sz w:val="20"/>
                <w:szCs w:val="20"/>
                <w:color w:val="auto"/>
              </w:rPr>
            </w:pPr>
            <w:r>
              <w:rPr>
                <w:rFonts w:ascii="Arial" w:cs="Arial" w:eastAsia="Arial" w:hAnsi="Arial"/>
                <w:sz w:val="14"/>
                <w:szCs w:val="14"/>
                <w:color w:val="FFFFFF"/>
                <w:w w:val="93"/>
              </w:rPr>
              <w:t>Option Awards</w:t>
            </w:r>
          </w:p>
        </w:tc>
        <w:tc>
          <w:tcPr>
            <w:tcW w:w="3700" w:type="dxa"/>
            <w:vAlign w:val="bottom"/>
            <w:gridSpan w:val="2"/>
            <w:shd w:val="clear" w:color="auto" w:fill="225CAB"/>
          </w:tcPr>
          <w:p>
            <w:pPr>
              <w:jc w:val="right"/>
              <w:ind w:right="1279"/>
              <w:spacing w:after="0"/>
              <w:rPr>
                <w:sz w:val="20"/>
                <w:szCs w:val="20"/>
                <w:color w:val="auto"/>
              </w:rPr>
            </w:pPr>
            <w:r>
              <w:rPr>
                <w:rFonts w:ascii="Arial" w:cs="Arial" w:eastAsia="Arial" w:hAnsi="Arial"/>
                <w:sz w:val="14"/>
                <w:szCs w:val="14"/>
                <w:color w:val="FFFFFF"/>
              </w:rPr>
              <w:t>Stock Awards</w:t>
            </w:r>
          </w:p>
        </w:tc>
      </w:tr>
      <w:tr>
        <w:trPr>
          <w:trHeight w:val="149"/>
        </w:trPr>
        <w:tc>
          <w:tcPr>
            <w:tcW w:w="3120" w:type="dxa"/>
            <w:vAlign w:val="bottom"/>
            <w:shd w:val="clear" w:color="auto" w:fill="225CAB"/>
          </w:tcPr>
          <w:p>
            <w:pPr>
              <w:spacing w:after="0"/>
              <w:rPr>
                <w:sz w:val="12"/>
                <w:szCs w:val="12"/>
                <w:color w:val="auto"/>
              </w:rPr>
            </w:pPr>
          </w:p>
        </w:tc>
        <w:tc>
          <w:tcPr>
            <w:tcW w:w="2020" w:type="dxa"/>
            <w:vAlign w:val="bottom"/>
            <w:shd w:val="clear" w:color="auto" w:fill="225CAB"/>
          </w:tcPr>
          <w:p>
            <w:pPr>
              <w:jc w:val="right"/>
              <w:spacing w:after="0" w:line="149" w:lineRule="exact"/>
              <w:rPr>
                <w:sz w:val="20"/>
                <w:szCs w:val="20"/>
                <w:color w:val="auto"/>
              </w:rPr>
            </w:pPr>
            <w:r>
              <w:rPr>
                <w:rFonts w:ascii="Arial" w:cs="Arial" w:eastAsia="Arial" w:hAnsi="Arial"/>
                <w:sz w:val="14"/>
                <w:szCs w:val="14"/>
                <w:color w:val="FFFFFF"/>
              </w:rPr>
              <w:t># of Shares Acquired</w:t>
            </w:r>
          </w:p>
        </w:tc>
        <w:tc>
          <w:tcPr>
            <w:tcW w:w="2580" w:type="dxa"/>
            <w:vAlign w:val="bottom"/>
            <w:shd w:val="clear" w:color="auto" w:fill="225CAB"/>
          </w:tcPr>
          <w:p>
            <w:pPr>
              <w:jc w:val="right"/>
              <w:ind w:right="361"/>
              <w:spacing w:after="0" w:line="149" w:lineRule="exact"/>
              <w:rPr>
                <w:sz w:val="20"/>
                <w:szCs w:val="20"/>
                <w:color w:val="auto"/>
              </w:rPr>
            </w:pPr>
            <w:r>
              <w:rPr>
                <w:rFonts w:ascii="Arial" w:cs="Arial" w:eastAsia="Arial" w:hAnsi="Arial"/>
                <w:sz w:val="14"/>
                <w:szCs w:val="14"/>
                <w:color w:val="FFFFFF"/>
              </w:rPr>
              <w:t>Value Realized Upon</w:t>
            </w:r>
          </w:p>
        </w:tc>
        <w:tc>
          <w:tcPr>
            <w:tcW w:w="2020" w:type="dxa"/>
            <w:vAlign w:val="bottom"/>
            <w:shd w:val="clear" w:color="auto" w:fill="225CAB"/>
          </w:tcPr>
          <w:p>
            <w:pPr>
              <w:jc w:val="right"/>
              <w:ind w:right="241"/>
              <w:spacing w:after="0" w:line="149" w:lineRule="exact"/>
              <w:rPr>
                <w:sz w:val="20"/>
                <w:szCs w:val="20"/>
                <w:color w:val="auto"/>
              </w:rPr>
            </w:pPr>
            <w:r>
              <w:rPr>
                <w:rFonts w:ascii="Arial" w:cs="Arial" w:eastAsia="Arial" w:hAnsi="Arial"/>
                <w:sz w:val="14"/>
                <w:szCs w:val="14"/>
                <w:color w:val="FFFFFF"/>
              </w:rPr>
              <w:t># of Shares Acquired</w:t>
            </w:r>
          </w:p>
        </w:tc>
        <w:tc>
          <w:tcPr>
            <w:tcW w:w="1680" w:type="dxa"/>
            <w:vAlign w:val="bottom"/>
            <w:shd w:val="clear" w:color="auto" w:fill="225CAB"/>
          </w:tcPr>
          <w:p>
            <w:pPr>
              <w:jc w:val="right"/>
              <w:ind w:right="199"/>
              <w:spacing w:after="0" w:line="149" w:lineRule="exact"/>
              <w:rPr>
                <w:sz w:val="20"/>
                <w:szCs w:val="20"/>
                <w:color w:val="auto"/>
              </w:rPr>
            </w:pPr>
            <w:r>
              <w:rPr>
                <w:rFonts w:ascii="Arial" w:cs="Arial" w:eastAsia="Arial" w:hAnsi="Arial"/>
                <w:sz w:val="14"/>
                <w:szCs w:val="14"/>
                <w:color w:val="FFFFFF"/>
              </w:rPr>
              <w:t>Value Realized on</w:t>
            </w:r>
          </w:p>
        </w:tc>
      </w:tr>
      <w:tr>
        <w:trPr>
          <w:trHeight w:val="149"/>
        </w:trPr>
        <w:tc>
          <w:tcPr>
            <w:tcW w:w="3120" w:type="dxa"/>
            <w:vAlign w:val="bottom"/>
            <w:shd w:val="clear" w:color="auto" w:fill="225CAB"/>
          </w:tcPr>
          <w:p>
            <w:pPr>
              <w:ind w:left="1380"/>
              <w:spacing w:after="0" w:line="149" w:lineRule="exact"/>
              <w:rPr>
                <w:sz w:val="20"/>
                <w:szCs w:val="20"/>
                <w:color w:val="auto"/>
              </w:rPr>
            </w:pPr>
            <w:r>
              <w:rPr>
                <w:rFonts w:ascii="Arial" w:cs="Arial" w:eastAsia="Arial" w:hAnsi="Arial"/>
                <w:sz w:val="14"/>
                <w:szCs w:val="14"/>
                <w:color w:val="FFFFFF"/>
              </w:rPr>
              <w:t>Name</w:t>
            </w:r>
          </w:p>
        </w:tc>
        <w:tc>
          <w:tcPr>
            <w:tcW w:w="2020" w:type="dxa"/>
            <w:vAlign w:val="bottom"/>
            <w:shd w:val="clear" w:color="auto" w:fill="225CAB"/>
          </w:tcPr>
          <w:p>
            <w:pPr>
              <w:jc w:val="right"/>
              <w:ind w:right="199"/>
              <w:spacing w:after="0" w:line="149" w:lineRule="exact"/>
              <w:rPr>
                <w:sz w:val="20"/>
                <w:szCs w:val="20"/>
                <w:color w:val="auto"/>
              </w:rPr>
            </w:pPr>
            <w:r>
              <w:rPr>
                <w:rFonts w:ascii="Arial" w:cs="Arial" w:eastAsia="Arial" w:hAnsi="Arial"/>
                <w:sz w:val="14"/>
                <w:szCs w:val="14"/>
                <w:color w:val="FFFFFF"/>
              </w:rPr>
              <w:t>on Exercise</w:t>
            </w:r>
          </w:p>
        </w:tc>
        <w:tc>
          <w:tcPr>
            <w:tcW w:w="2580" w:type="dxa"/>
            <w:vAlign w:val="bottom"/>
            <w:shd w:val="clear" w:color="auto" w:fill="225CAB"/>
          </w:tcPr>
          <w:p>
            <w:pPr>
              <w:jc w:val="right"/>
              <w:ind w:right="621"/>
              <w:spacing w:after="0" w:line="149" w:lineRule="exact"/>
              <w:rPr>
                <w:sz w:val="20"/>
                <w:szCs w:val="20"/>
                <w:color w:val="auto"/>
              </w:rPr>
            </w:pPr>
            <w:r>
              <w:rPr>
                <w:rFonts w:ascii="Arial" w:cs="Arial" w:eastAsia="Arial" w:hAnsi="Arial"/>
                <w:sz w:val="14"/>
                <w:szCs w:val="14"/>
                <w:color w:val="FFFFFF"/>
              </w:rPr>
              <w:t>Exercise ($)</w:t>
            </w:r>
          </w:p>
        </w:tc>
        <w:tc>
          <w:tcPr>
            <w:tcW w:w="2020" w:type="dxa"/>
            <w:vAlign w:val="bottom"/>
            <w:shd w:val="clear" w:color="auto" w:fill="225CAB"/>
          </w:tcPr>
          <w:p>
            <w:pPr>
              <w:jc w:val="right"/>
              <w:ind w:right="561"/>
              <w:spacing w:after="0" w:line="149" w:lineRule="exact"/>
              <w:rPr>
                <w:sz w:val="20"/>
                <w:szCs w:val="20"/>
                <w:color w:val="auto"/>
              </w:rPr>
            </w:pPr>
            <w:r>
              <w:rPr>
                <w:rFonts w:ascii="Arial" w:cs="Arial" w:eastAsia="Arial" w:hAnsi="Arial"/>
                <w:sz w:val="14"/>
                <w:szCs w:val="14"/>
                <w:color w:val="FFFFFF"/>
              </w:rPr>
              <w:t>on Vesting</w:t>
            </w:r>
          </w:p>
        </w:tc>
        <w:tc>
          <w:tcPr>
            <w:tcW w:w="1680" w:type="dxa"/>
            <w:vAlign w:val="bottom"/>
            <w:shd w:val="clear" w:color="auto" w:fill="225CAB"/>
          </w:tcPr>
          <w:p>
            <w:pPr>
              <w:jc w:val="right"/>
              <w:ind w:right="419"/>
              <w:spacing w:after="0" w:line="149" w:lineRule="exact"/>
              <w:rPr>
                <w:sz w:val="20"/>
                <w:szCs w:val="20"/>
                <w:color w:val="auto"/>
              </w:rPr>
            </w:pPr>
            <w:r>
              <w:rPr>
                <w:rFonts w:ascii="Arial" w:cs="Arial" w:eastAsia="Arial" w:hAnsi="Arial"/>
                <w:sz w:val="14"/>
                <w:szCs w:val="14"/>
                <w:color w:val="FFFFFF"/>
              </w:rPr>
              <w:t>Vesting ($)</w:t>
            </w:r>
          </w:p>
        </w:tc>
      </w:tr>
      <w:tr>
        <w:trPr>
          <w:trHeight w:val="203"/>
        </w:trPr>
        <w:tc>
          <w:tcPr>
            <w:tcW w:w="3120" w:type="dxa"/>
            <w:vAlign w:val="bottom"/>
            <w:tcBorders>
              <w:bottom w:val="single" w:sz="8" w:color="225CAB"/>
            </w:tcBorders>
          </w:tcPr>
          <w:p>
            <w:pPr>
              <w:spacing w:after="0" w:line="202" w:lineRule="exact"/>
              <w:rPr>
                <w:sz w:val="20"/>
                <w:szCs w:val="20"/>
                <w:color w:val="auto"/>
              </w:rPr>
            </w:pPr>
            <w:r>
              <w:rPr>
                <w:rFonts w:ascii="Arial" w:cs="Arial" w:eastAsia="Arial" w:hAnsi="Arial"/>
                <w:sz w:val="18"/>
                <w:szCs w:val="18"/>
                <w:color w:val="225CAB"/>
              </w:rPr>
              <w:t>Brian D. Jellison</w:t>
            </w:r>
          </w:p>
        </w:tc>
        <w:tc>
          <w:tcPr>
            <w:tcW w:w="2020" w:type="dxa"/>
            <w:vAlign w:val="bottom"/>
            <w:tcBorders>
              <w:bottom w:val="single" w:sz="8" w:color="225CAB"/>
            </w:tcBorders>
          </w:tcPr>
          <w:p>
            <w:pPr>
              <w:jc w:val="right"/>
              <w:ind w:right="19"/>
              <w:spacing w:after="0" w:line="202" w:lineRule="exact"/>
              <w:rPr>
                <w:sz w:val="20"/>
                <w:szCs w:val="20"/>
                <w:color w:val="auto"/>
              </w:rPr>
            </w:pPr>
            <w:r>
              <w:rPr>
                <w:rFonts w:ascii="Arial" w:cs="Arial" w:eastAsia="Arial" w:hAnsi="Arial"/>
                <w:sz w:val="18"/>
                <w:szCs w:val="18"/>
                <w:color w:val="auto"/>
              </w:rPr>
              <w:t>-</w:t>
            </w:r>
          </w:p>
        </w:tc>
        <w:tc>
          <w:tcPr>
            <w:tcW w:w="2580" w:type="dxa"/>
            <w:vAlign w:val="bottom"/>
            <w:tcBorders>
              <w:bottom w:val="single" w:sz="8" w:color="225CAB"/>
            </w:tcBorders>
          </w:tcPr>
          <w:p>
            <w:pPr>
              <w:jc w:val="right"/>
              <w:ind w:right="461"/>
              <w:spacing w:after="0" w:line="202" w:lineRule="exact"/>
              <w:rPr>
                <w:sz w:val="20"/>
                <w:szCs w:val="20"/>
                <w:color w:val="auto"/>
              </w:rPr>
            </w:pPr>
            <w:r>
              <w:rPr>
                <w:rFonts w:ascii="Arial" w:cs="Arial" w:eastAsia="Arial" w:hAnsi="Arial"/>
                <w:sz w:val="18"/>
                <w:szCs w:val="18"/>
                <w:color w:val="auto"/>
              </w:rPr>
              <w:t>-</w:t>
            </w:r>
          </w:p>
        </w:tc>
        <w:tc>
          <w:tcPr>
            <w:tcW w:w="2020" w:type="dxa"/>
            <w:vAlign w:val="bottom"/>
            <w:tcBorders>
              <w:bottom w:val="single" w:sz="8" w:color="225CAB"/>
            </w:tcBorders>
          </w:tcPr>
          <w:p>
            <w:pPr>
              <w:jc w:val="right"/>
              <w:ind w:right="241"/>
              <w:spacing w:after="0" w:line="202" w:lineRule="exact"/>
              <w:rPr>
                <w:sz w:val="20"/>
                <w:szCs w:val="20"/>
                <w:color w:val="auto"/>
              </w:rPr>
            </w:pPr>
            <w:r>
              <w:rPr>
                <w:rFonts w:ascii="Arial" w:cs="Arial" w:eastAsia="Arial" w:hAnsi="Arial"/>
                <w:sz w:val="18"/>
                <w:szCs w:val="18"/>
                <w:color w:val="auto"/>
              </w:rPr>
              <w:t>100,000</w:t>
            </w:r>
          </w:p>
        </w:tc>
        <w:tc>
          <w:tcPr>
            <w:tcW w:w="1680" w:type="dxa"/>
            <w:vAlign w:val="bottom"/>
            <w:tcBorders>
              <w:bottom w:val="single" w:sz="8" w:color="225CAB"/>
            </w:tcBorders>
          </w:tcPr>
          <w:p>
            <w:pPr>
              <w:jc w:val="right"/>
              <w:ind w:right="199"/>
              <w:spacing w:after="0" w:line="202" w:lineRule="exact"/>
              <w:rPr>
                <w:sz w:val="20"/>
                <w:szCs w:val="20"/>
                <w:color w:val="auto"/>
              </w:rPr>
            </w:pPr>
            <w:r>
              <w:rPr>
                <w:rFonts w:ascii="Arial" w:cs="Arial" w:eastAsia="Arial" w:hAnsi="Arial"/>
                <w:sz w:val="18"/>
                <w:szCs w:val="18"/>
                <w:color w:val="auto"/>
              </w:rPr>
              <w:t>18,696,000</w:t>
            </w:r>
          </w:p>
        </w:tc>
      </w:tr>
      <w:tr>
        <w:trPr>
          <w:trHeight w:val="196"/>
        </w:trPr>
        <w:tc>
          <w:tcPr>
            <w:tcW w:w="3120" w:type="dxa"/>
            <w:vAlign w:val="bottom"/>
            <w:tcBorders>
              <w:bottom w:val="single" w:sz="8" w:color="225CAB"/>
            </w:tcBorders>
          </w:tcPr>
          <w:p>
            <w:pPr>
              <w:spacing w:after="0" w:line="196" w:lineRule="exact"/>
              <w:rPr>
                <w:sz w:val="20"/>
                <w:szCs w:val="20"/>
                <w:color w:val="auto"/>
              </w:rPr>
            </w:pPr>
            <w:r>
              <w:rPr>
                <w:rFonts w:ascii="Arial" w:cs="Arial" w:eastAsia="Arial" w:hAnsi="Arial"/>
                <w:sz w:val="18"/>
                <w:szCs w:val="18"/>
                <w:color w:val="225CAB"/>
              </w:rPr>
              <w:t>John Humphrey</w:t>
            </w:r>
          </w:p>
        </w:tc>
        <w:tc>
          <w:tcPr>
            <w:tcW w:w="2020" w:type="dxa"/>
            <w:vAlign w:val="bottom"/>
            <w:tcBorders>
              <w:bottom w:val="single" w:sz="8" w:color="225CAB"/>
            </w:tcBorders>
          </w:tcPr>
          <w:p>
            <w:pPr>
              <w:jc w:val="right"/>
              <w:ind w:right="19"/>
              <w:spacing w:after="0" w:line="196" w:lineRule="exact"/>
              <w:rPr>
                <w:sz w:val="20"/>
                <w:szCs w:val="20"/>
                <w:color w:val="auto"/>
              </w:rPr>
            </w:pPr>
            <w:r>
              <w:rPr>
                <w:rFonts w:ascii="Arial" w:cs="Arial" w:eastAsia="Arial" w:hAnsi="Arial"/>
                <w:sz w:val="18"/>
                <w:szCs w:val="18"/>
                <w:color w:val="auto"/>
              </w:rPr>
              <w:t>-</w:t>
            </w:r>
          </w:p>
        </w:tc>
        <w:tc>
          <w:tcPr>
            <w:tcW w:w="2580" w:type="dxa"/>
            <w:vAlign w:val="bottom"/>
            <w:tcBorders>
              <w:bottom w:val="single" w:sz="8" w:color="225CAB"/>
            </w:tcBorders>
          </w:tcPr>
          <w:p>
            <w:pPr>
              <w:jc w:val="right"/>
              <w:ind w:right="461"/>
              <w:spacing w:after="0" w:line="196" w:lineRule="exact"/>
              <w:rPr>
                <w:sz w:val="20"/>
                <w:szCs w:val="20"/>
                <w:color w:val="auto"/>
              </w:rPr>
            </w:pPr>
            <w:r>
              <w:rPr>
                <w:rFonts w:ascii="Arial" w:cs="Arial" w:eastAsia="Arial" w:hAnsi="Arial"/>
                <w:sz w:val="18"/>
                <w:szCs w:val="18"/>
                <w:color w:val="auto"/>
              </w:rPr>
              <w:t>-</w:t>
            </w:r>
          </w:p>
        </w:tc>
        <w:tc>
          <w:tcPr>
            <w:tcW w:w="2020" w:type="dxa"/>
            <w:vAlign w:val="bottom"/>
            <w:tcBorders>
              <w:bottom w:val="single" w:sz="8" w:color="225CAB"/>
            </w:tcBorders>
          </w:tcPr>
          <w:p>
            <w:pPr>
              <w:jc w:val="right"/>
              <w:ind w:right="241"/>
              <w:spacing w:after="0" w:line="196" w:lineRule="exact"/>
              <w:rPr>
                <w:sz w:val="20"/>
                <w:szCs w:val="20"/>
                <w:color w:val="auto"/>
              </w:rPr>
            </w:pPr>
            <w:r>
              <w:rPr>
                <w:rFonts w:ascii="Arial" w:cs="Arial" w:eastAsia="Arial" w:hAnsi="Arial"/>
                <w:sz w:val="18"/>
                <w:szCs w:val="18"/>
                <w:color w:val="auto"/>
              </w:rPr>
              <w:t>20,000</w:t>
            </w:r>
          </w:p>
        </w:tc>
        <w:tc>
          <w:tcPr>
            <w:tcW w:w="1680" w:type="dxa"/>
            <w:vAlign w:val="bottom"/>
            <w:tcBorders>
              <w:bottom w:val="single" w:sz="8" w:color="225CAB"/>
            </w:tcBorders>
          </w:tcPr>
          <w:p>
            <w:pPr>
              <w:jc w:val="right"/>
              <w:ind w:right="199"/>
              <w:spacing w:after="0" w:line="196" w:lineRule="exact"/>
              <w:rPr>
                <w:sz w:val="20"/>
                <w:szCs w:val="20"/>
                <w:color w:val="auto"/>
              </w:rPr>
            </w:pPr>
            <w:r>
              <w:rPr>
                <w:rFonts w:ascii="Arial" w:cs="Arial" w:eastAsia="Arial" w:hAnsi="Arial"/>
                <w:sz w:val="18"/>
                <w:szCs w:val="18"/>
                <w:color w:val="auto"/>
              </w:rPr>
              <w:t>3,739,200</w:t>
            </w:r>
          </w:p>
        </w:tc>
      </w:tr>
      <w:tr>
        <w:trPr>
          <w:trHeight w:val="196"/>
        </w:trPr>
        <w:tc>
          <w:tcPr>
            <w:tcW w:w="3120" w:type="dxa"/>
            <w:vAlign w:val="bottom"/>
            <w:tcBorders>
              <w:bottom w:val="single" w:sz="8" w:color="225CAB"/>
            </w:tcBorders>
          </w:tcPr>
          <w:p>
            <w:pPr>
              <w:spacing w:after="0" w:line="196" w:lineRule="exact"/>
              <w:rPr>
                <w:sz w:val="20"/>
                <w:szCs w:val="20"/>
                <w:color w:val="auto"/>
              </w:rPr>
            </w:pPr>
            <w:r>
              <w:rPr>
                <w:rFonts w:ascii="Arial" w:cs="Arial" w:eastAsia="Arial" w:hAnsi="Arial"/>
                <w:sz w:val="18"/>
                <w:szCs w:val="18"/>
                <w:color w:val="225CAB"/>
              </w:rPr>
              <w:t>David B. Liner</w:t>
            </w:r>
          </w:p>
        </w:tc>
        <w:tc>
          <w:tcPr>
            <w:tcW w:w="2020" w:type="dxa"/>
            <w:vAlign w:val="bottom"/>
            <w:tcBorders>
              <w:bottom w:val="single" w:sz="8" w:color="225CAB"/>
            </w:tcBorders>
          </w:tcPr>
          <w:p>
            <w:pPr>
              <w:jc w:val="right"/>
              <w:ind w:right="19"/>
              <w:spacing w:after="0" w:line="196" w:lineRule="exact"/>
              <w:rPr>
                <w:sz w:val="20"/>
                <w:szCs w:val="20"/>
                <w:color w:val="auto"/>
              </w:rPr>
            </w:pPr>
            <w:r>
              <w:rPr>
                <w:rFonts w:ascii="Arial" w:cs="Arial" w:eastAsia="Arial" w:hAnsi="Arial"/>
                <w:sz w:val="18"/>
                <w:szCs w:val="18"/>
                <w:color w:val="auto"/>
              </w:rPr>
              <w:t>-</w:t>
            </w:r>
          </w:p>
        </w:tc>
        <w:tc>
          <w:tcPr>
            <w:tcW w:w="2580" w:type="dxa"/>
            <w:vAlign w:val="bottom"/>
            <w:tcBorders>
              <w:bottom w:val="single" w:sz="8" w:color="225CAB"/>
            </w:tcBorders>
          </w:tcPr>
          <w:p>
            <w:pPr>
              <w:jc w:val="right"/>
              <w:ind w:right="461"/>
              <w:spacing w:after="0" w:line="196" w:lineRule="exact"/>
              <w:rPr>
                <w:sz w:val="20"/>
                <w:szCs w:val="20"/>
                <w:color w:val="auto"/>
              </w:rPr>
            </w:pPr>
            <w:r>
              <w:rPr>
                <w:rFonts w:ascii="Arial" w:cs="Arial" w:eastAsia="Arial" w:hAnsi="Arial"/>
                <w:sz w:val="18"/>
                <w:szCs w:val="18"/>
                <w:color w:val="auto"/>
              </w:rPr>
              <w:t>-</w:t>
            </w:r>
          </w:p>
        </w:tc>
        <w:tc>
          <w:tcPr>
            <w:tcW w:w="2020" w:type="dxa"/>
            <w:vAlign w:val="bottom"/>
            <w:tcBorders>
              <w:bottom w:val="single" w:sz="8" w:color="225CAB"/>
            </w:tcBorders>
          </w:tcPr>
          <w:p>
            <w:pPr>
              <w:jc w:val="right"/>
              <w:ind w:right="241"/>
              <w:spacing w:after="0" w:line="196" w:lineRule="exact"/>
              <w:rPr>
                <w:sz w:val="20"/>
                <w:szCs w:val="20"/>
                <w:color w:val="auto"/>
              </w:rPr>
            </w:pPr>
            <w:r>
              <w:rPr>
                <w:rFonts w:ascii="Arial" w:cs="Arial" w:eastAsia="Arial" w:hAnsi="Arial"/>
                <w:sz w:val="18"/>
                <w:szCs w:val="18"/>
                <w:color w:val="auto"/>
              </w:rPr>
              <w:t>4,000</w:t>
            </w:r>
          </w:p>
        </w:tc>
        <w:tc>
          <w:tcPr>
            <w:tcW w:w="1680" w:type="dxa"/>
            <w:vAlign w:val="bottom"/>
            <w:tcBorders>
              <w:bottom w:val="single" w:sz="8" w:color="225CAB"/>
            </w:tcBorders>
          </w:tcPr>
          <w:p>
            <w:pPr>
              <w:jc w:val="right"/>
              <w:ind w:right="199"/>
              <w:spacing w:after="0" w:line="196" w:lineRule="exact"/>
              <w:rPr>
                <w:sz w:val="20"/>
                <w:szCs w:val="20"/>
                <w:color w:val="auto"/>
              </w:rPr>
            </w:pPr>
            <w:r>
              <w:rPr>
                <w:rFonts w:ascii="Arial" w:cs="Arial" w:eastAsia="Arial" w:hAnsi="Arial"/>
                <w:sz w:val="18"/>
                <w:szCs w:val="18"/>
                <w:color w:val="auto"/>
              </w:rPr>
              <w:t>747,840</w:t>
            </w:r>
          </w:p>
        </w:tc>
      </w:tr>
      <w:tr>
        <w:trPr>
          <w:trHeight w:val="196"/>
        </w:trPr>
        <w:tc>
          <w:tcPr>
            <w:tcW w:w="3120" w:type="dxa"/>
            <w:vAlign w:val="bottom"/>
            <w:tcBorders>
              <w:bottom w:val="single" w:sz="8" w:color="225CAB"/>
            </w:tcBorders>
          </w:tcPr>
          <w:p>
            <w:pPr>
              <w:spacing w:after="0" w:line="196" w:lineRule="exact"/>
              <w:rPr>
                <w:sz w:val="20"/>
                <w:szCs w:val="20"/>
                <w:color w:val="auto"/>
              </w:rPr>
            </w:pPr>
            <w:r>
              <w:rPr>
                <w:rFonts w:ascii="Arial" w:cs="Arial" w:eastAsia="Arial" w:hAnsi="Arial"/>
                <w:sz w:val="18"/>
                <w:szCs w:val="18"/>
                <w:color w:val="225CAB"/>
              </w:rPr>
              <w:t>Paul J. Soni</w:t>
            </w:r>
          </w:p>
        </w:tc>
        <w:tc>
          <w:tcPr>
            <w:tcW w:w="2020" w:type="dxa"/>
            <w:vAlign w:val="bottom"/>
            <w:tcBorders>
              <w:bottom w:val="single" w:sz="8" w:color="225CAB"/>
            </w:tcBorders>
          </w:tcPr>
          <w:p>
            <w:pPr>
              <w:jc w:val="right"/>
              <w:spacing w:after="0" w:line="196" w:lineRule="exact"/>
              <w:rPr>
                <w:sz w:val="20"/>
                <w:szCs w:val="20"/>
                <w:color w:val="auto"/>
              </w:rPr>
            </w:pPr>
            <w:r>
              <w:rPr>
                <w:rFonts w:ascii="Arial" w:cs="Arial" w:eastAsia="Arial" w:hAnsi="Arial"/>
                <w:sz w:val="18"/>
                <w:szCs w:val="18"/>
                <w:color w:val="auto"/>
              </w:rPr>
              <w:t>36,000</w:t>
            </w:r>
          </w:p>
        </w:tc>
        <w:tc>
          <w:tcPr>
            <w:tcW w:w="2580" w:type="dxa"/>
            <w:vAlign w:val="bottom"/>
            <w:tcBorders>
              <w:bottom w:val="single" w:sz="8" w:color="225CAB"/>
            </w:tcBorders>
          </w:tcPr>
          <w:p>
            <w:pPr>
              <w:jc w:val="right"/>
              <w:ind w:right="361"/>
              <w:spacing w:after="0" w:line="196" w:lineRule="exact"/>
              <w:rPr>
                <w:sz w:val="20"/>
                <w:szCs w:val="20"/>
                <w:color w:val="auto"/>
              </w:rPr>
            </w:pPr>
            <w:r>
              <w:rPr>
                <w:rFonts w:ascii="Arial" w:cs="Arial" w:eastAsia="Arial" w:hAnsi="Arial"/>
                <w:sz w:val="18"/>
                <w:szCs w:val="18"/>
                <w:color w:val="auto"/>
              </w:rPr>
              <w:t>4,709,154</w:t>
            </w:r>
          </w:p>
        </w:tc>
        <w:tc>
          <w:tcPr>
            <w:tcW w:w="2020" w:type="dxa"/>
            <w:vAlign w:val="bottom"/>
            <w:tcBorders>
              <w:bottom w:val="single" w:sz="8" w:color="225CAB"/>
            </w:tcBorders>
          </w:tcPr>
          <w:p>
            <w:pPr>
              <w:jc w:val="right"/>
              <w:ind w:right="241"/>
              <w:spacing w:after="0" w:line="196" w:lineRule="exact"/>
              <w:rPr>
                <w:sz w:val="20"/>
                <w:szCs w:val="20"/>
                <w:color w:val="auto"/>
              </w:rPr>
            </w:pPr>
            <w:r>
              <w:rPr>
                <w:rFonts w:ascii="Arial" w:cs="Arial" w:eastAsia="Arial" w:hAnsi="Arial"/>
                <w:sz w:val="18"/>
                <w:szCs w:val="18"/>
                <w:color w:val="auto"/>
              </w:rPr>
              <w:t>4,000</w:t>
            </w:r>
          </w:p>
        </w:tc>
        <w:tc>
          <w:tcPr>
            <w:tcW w:w="1680" w:type="dxa"/>
            <w:vAlign w:val="bottom"/>
            <w:tcBorders>
              <w:bottom w:val="single" w:sz="8" w:color="225CAB"/>
            </w:tcBorders>
          </w:tcPr>
          <w:p>
            <w:pPr>
              <w:jc w:val="right"/>
              <w:ind w:right="199"/>
              <w:spacing w:after="0" w:line="196" w:lineRule="exact"/>
              <w:rPr>
                <w:sz w:val="20"/>
                <w:szCs w:val="20"/>
                <w:color w:val="auto"/>
              </w:rPr>
            </w:pPr>
            <w:r>
              <w:rPr>
                <w:rFonts w:ascii="Arial" w:cs="Arial" w:eastAsia="Arial" w:hAnsi="Arial"/>
                <w:sz w:val="18"/>
                <w:szCs w:val="18"/>
                <w:color w:val="auto"/>
              </w:rPr>
              <w:t>747,840</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225CAB"/>
        </w:rPr>
        <w:t>No Pension Benefits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None of our named executive officers participate in a Company-sponsored defined-benefit pension plan.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Non-Qualified Deferred Compensation</w:t>
      </w:r>
    </w:p>
    <w:p>
      <w:pPr>
        <w:spacing w:after="0" w:line="97"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Pursuant to our Company’s Non-Qualified Retirement Plan, named executive officers may defer base salary and payments earned under the annual incentive bonus plan. Deferral elections are made by eligible executives before the beginning of each year for amounts to be earned in the following year. The executive may invest such amounts in funds that are substantially similar to those available under the 401(k) Plan.</w:t>
      </w:r>
    </w:p>
    <w:p>
      <w:pPr>
        <w:spacing w:after="0" w:line="73" w:lineRule="exact"/>
        <w:rPr>
          <w:sz w:val="20"/>
          <w:szCs w:val="20"/>
          <w:color w:val="auto"/>
        </w:rPr>
      </w:pPr>
    </w:p>
    <w:p>
      <w:pPr>
        <w:ind w:right="400"/>
        <w:spacing w:after="0" w:line="239" w:lineRule="auto"/>
        <w:rPr>
          <w:sz w:val="20"/>
          <w:szCs w:val="20"/>
          <w:color w:val="auto"/>
        </w:rPr>
      </w:pPr>
      <w:r>
        <w:rPr>
          <w:rFonts w:ascii="Arial" w:cs="Arial" w:eastAsia="Arial" w:hAnsi="Arial"/>
          <w:sz w:val="18"/>
          <w:szCs w:val="18"/>
          <w:color w:val="auto"/>
        </w:rPr>
        <w:t>The following table sets forth certain information with respect to the Non-Qualified Retirement Plan for our named executive officers during the fiscal year ended December 31, 2015.</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shd w:val="clear" w:color="auto" w:fill="225CAB"/>
          </w:tcPr>
          <w:p>
            <w:pPr>
              <w:spacing w:after="0"/>
              <w:rPr>
                <w:sz w:val="14"/>
                <w:szCs w:val="14"/>
                <w:color w:val="auto"/>
              </w:rPr>
            </w:pPr>
          </w:p>
        </w:tc>
        <w:tc>
          <w:tcPr>
            <w:tcW w:w="2360" w:type="dxa"/>
            <w:vAlign w:val="bottom"/>
            <w:shd w:val="clear" w:color="auto" w:fill="225CAB"/>
          </w:tcPr>
          <w:p>
            <w:pPr>
              <w:jc w:val="center"/>
              <w:ind w:left="763"/>
              <w:spacing w:after="0"/>
              <w:rPr>
                <w:sz w:val="20"/>
                <w:szCs w:val="20"/>
                <w:color w:val="auto"/>
              </w:rPr>
            </w:pPr>
            <w:r>
              <w:rPr>
                <w:rFonts w:ascii="Arial" w:cs="Arial" w:eastAsia="Arial" w:hAnsi="Arial"/>
                <w:sz w:val="14"/>
                <w:szCs w:val="14"/>
                <w:color w:val="FFFFFF"/>
                <w:w w:val="98"/>
              </w:rPr>
              <w:t>Executive</w:t>
            </w:r>
          </w:p>
        </w:tc>
        <w:tc>
          <w:tcPr>
            <w:tcW w:w="1480" w:type="dxa"/>
            <w:vAlign w:val="bottom"/>
            <w:shd w:val="clear" w:color="auto" w:fill="225CAB"/>
          </w:tcPr>
          <w:p>
            <w:pPr>
              <w:jc w:val="center"/>
              <w:spacing w:after="0"/>
              <w:rPr>
                <w:sz w:val="20"/>
                <w:szCs w:val="20"/>
                <w:color w:val="auto"/>
              </w:rPr>
            </w:pPr>
            <w:r>
              <w:rPr>
                <w:rFonts w:ascii="Arial" w:cs="Arial" w:eastAsia="Arial" w:hAnsi="Arial"/>
                <w:sz w:val="14"/>
                <w:szCs w:val="14"/>
                <w:color w:val="FFFFFF"/>
                <w:w w:val="97"/>
              </w:rPr>
              <w:t>Registrant</w:t>
            </w:r>
          </w:p>
        </w:tc>
        <w:tc>
          <w:tcPr>
            <w:tcW w:w="1400" w:type="dxa"/>
            <w:vAlign w:val="bottom"/>
            <w:shd w:val="clear" w:color="auto" w:fill="225CAB"/>
          </w:tcPr>
          <w:p>
            <w:pPr>
              <w:jc w:val="center"/>
              <w:spacing w:after="0"/>
              <w:rPr>
                <w:sz w:val="20"/>
                <w:szCs w:val="20"/>
                <w:color w:val="auto"/>
              </w:rPr>
            </w:pPr>
            <w:r>
              <w:rPr>
                <w:rFonts w:ascii="Arial" w:cs="Arial" w:eastAsia="Arial" w:hAnsi="Arial"/>
                <w:sz w:val="14"/>
                <w:szCs w:val="14"/>
                <w:color w:val="FFFFFF"/>
                <w:w w:val="95"/>
              </w:rPr>
              <w:t>Aggregate</w:t>
            </w:r>
          </w:p>
        </w:tc>
        <w:tc>
          <w:tcPr>
            <w:tcW w:w="1320" w:type="dxa"/>
            <w:vAlign w:val="bottom"/>
            <w:shd w:val="clear" w:color="auto" w:fill="225CAB"/>
          </w:tcPr>
          <w:p>
            <w:pPr>
              <w:jc w:val="center"/>
              <w:spacing w:after="0"/>
              <w:rPr>
                <w:sz w:val="20"/>
                <w:szCs w:val="20"/>
                <w:color w:val="auto"/>
              </w:rPr>
            </w:pPr>
            <w:r>
              <w:rPr>
                <w:rFonts w:ascii="Arial" w:cs="Arial" w:eastAsia="Arial" w:hAnsi="Arial"/>
                <w:sz w:val="14"/>
                <w:szCs w:val="14"/>
                <w:color w:val="FFFFFF"/>
                <w:w w:val="95"/>
              </w:rPr>
              <w:t>Aggregate</w:t>
            </w:r>
          </w:p>
        </w:tc>
        <w:tc>
          <w:tcPr>
            <w:tcW w:w="1200" w:type="dxa"/>
            <w:vAlign w:val="bottom"/>
            <w:shd w:val="clear" w:color="auto" w:fill="225CAB"/>
          </w:tcPr>
          <w:p>
            <w:pPr>
              <w:jc w:val="center"/>
              <w:ind w:left="62"/>
              <w:spacing w:after="0"/>
              <w:rPr>
                <w:sz w:val="20"/>
                <w:szCs w:val="20"/>
                <w:color w:val="auto"/>
              </w:rPr>
            </w:pPr>
            <w:r>
              <w:rPr>
                <w:rFonts w:ascii="Arial" w:cs="Arial" w:eastAsia="Arial" w:hAnsi="Arial"/>
                <w:sz w:val="14"/>
                <w:szCs w:val="14"/>
                <w:color w:val="FFFFFF"/>
                <w:w w:val="95"/>
              </w:rPr>
              <w:t>Aggregate</w:t>
            </w:r>
          </w:p>
        </w:tc>
      </w:tr>
      <w:tr>
        <w:trPr>
          <w:trHeight w:val="128"/>
        </w:trPr>
        <w:tc>
          <w:tcPr>
            <w:tcW w:w="3660" w:type="dxa"/>
            <w:vAlign w:val="bottom"/>
            <w:shd w:val="clear" w:color="auto" w:fill="225CAB"/>
          </w:tcPr>
          <w:p>
            <w:pPr>
              <w:spacing w:after="0"/>
              <w:rPr>
                <w:sz w:val="11"/>
                <w:szCs w:val="11"/>
                <w:color w:val="auto"/>
              </w:rPr>
            </w:pPr>
          </w:p>
        </w:tc>
        <w:tc>
          <w:tcPr>
            <w:tcW w:w="2360" w:type="dxa"/>
            <w:vAlign w:val="bottom"/>
            <w:shd w:val="clear" w:color="auto" w:fill="225CAB"/>
          </w:tcPr>
          <w:p>
            <w:pPr>
              <w:jc w:val="center"/>
              <w:ind w:left="763"/>
              <w:spacing w:after="0" w:line="129" w:lineRule="exact"/>
              <w:rPr>
                <w:sz w:val="20"/>
                <w:szCs w:val="20"/>
                <w:color w:val="auto"/>
              </w:rPr>
            </w:pPr>
            <w:r>
              <w:rPr>
                <w:rFonts w:ascii="Arial" w:cs="Arial" w:eastAsia="Arial" w:hAnsi="Arial"/>
                <w:sz w:val="14"/>
                <w:szCs w:val="14"/>
                <w:color w:val="FFFFFF"/>
                <w:w w:val="96"/>
              </w:rPr>
              <w:t>Contributions</w:t>
            </w:r>
          </w:p>
        </w:tc>
        <w:tc>
          <w:tcPr>
            <w:tcW w:w="1480" w:type="dxa"/>
            <w:vAlign w:val="bottom"/>
            <w:shd w:val="clear" w:color="auto" w:fill="225CAB"/>
          </w:tcPr>
          <w:p>
            <w:pPr>
              <w:jc w:val="center"/>
              <w:spacing w:after="0" w:line="129" w:lineRule="exact"/>
              <w:rPr>
                <w:sz w:val="20"/>
                <w:szCs w:val="20"/>
                <w:color w:val="auto"/>
              </w:rPr>
            </w:pPr>
            <w:r>
              <w:rPr>
                <w:rFonts w:ascii="Arial" w:cs="Arial" w:eastAsia="Arial" w:hAnsi="Arial"/>
                <w:sz w:val="14"/>
                <w:szCs w:val="14"/>
                <w:color w:val="FFFFFF"/>
                <w:w w:val="96"/>
              </w:rPr>
              <w:t>Contributions</w:t>
            </w:r>
          </w:p>
        </w:tc>
        <w:tc>
          <w:tcPr>
            <w:tcW w:w="1400" w:type="dxa"/>
            <w:vAlign w:val="bottom"/>
            <w:shd w:val="clear" w:color="auto" w:fill="225CAB"/>
          </w:tcPr>
          <w:p>
            <w:pPr>
              <w:jc w:val="center"/>
              <w:spacing w:after="0" w:line="129" w:lineRule="exact"/>
              <w:rPr>
                <w:sz w:val="20"/>
                <w:szCs w:val="20"/>
                <w:color w:val="auto"/>
              </w:rPr>
            </w:pPr>
            <w:r>
              <w:rPr>
                <w:rFonts w:ascii="Arial" w:cs="Arial" w:eastAsia="Arial" w:hAnsi="Arial"/>
                <w:sz w:val="14"/>
                <w:szCs w:val="14"/>
                <w:color w:val="FFFFFF"/>
                <w:w w:val="97"/>
              </w:rPr>
              <w:t>Earnings</w:t>
            </w:r>
          </w:p>
        </w:tc>
        <w:tc>
          <w:tcPr>
            <w:tcW w:w="1320" w:type="dxa"/>
            <w:vAlign w:val="bottom"/>
            <w:shd w:val="clear" w:color="auto" w:fill="225CAB"/>
          </w:tcPr>
          <w:p>
            <w:pPr>
              <w:jc w:val="center"/>
              <w:spacing w:after="0" w:line="129" w:lineRule="exact"/>
              <w:rPr>
                <w:sz w:val="20"/>
                <w:szCs w:val="20"/>
                <w:color w:val="auto"/>
              </w:rPr>
            </w:pPr>
            <w:r>
              <w:rPr>
                <w:rFonts w:ascii="Arial" w:cs="Arial" w:eastAsia="Arial" w:hAnsi="Arial"/>
                <w:sz w:val="14"/>
                <w:szCs w:val="14"/>
                <w:color w:val="FFFFFF"/>
                <w:w w:val="97"/>
              </w:rPr>
              <w:t>Withdrawals/</w:t>
            </w:r>
          </w:p>
        </w:tc>
        <w:tc>
          <w:tcPr>
            <w:tcW w:w="1200" w:type="dxa"/>
            <w:vAlign w:val="bottom"/>
            <w:shd w:val="clear" w:color="auto" w:fill="225CAB"/>
          </w:tcPr>
          <w:p>
            <w:pPr>
              <w:jc w:val="center"/>
              <w:ind w:left="62"/>
              <w:spacing w:after="0" w:line="129" w:lineRule="exact"/>
              <w:rPr>
                <w:sz w:val="20"/>
                <w:szCs w:val="20"/>
                <w:color w:val="auto"/>
              </w:rPr>
            </w:pPr>
            <w:r>
              <w:rPr>
                <w:rFonts w:ascii="Arial" w:cs="Arial" w:eastAsia="Arial" w:hAnsi="Arial"/>
                <w:sz w:val="14"/>
                <w:szCs w:val="14"/>
                <w:color w:val="FFFFFF"/>
                <w:w w:val="98"/>
              </w:rPr>
              <w:t>Balance</w:t>
            </w:r>
          </w:p>
        </w:tc>
      </w:tr>
      <w:tr>
        <w:trPr>
          <w:trHeight w:val="169"/>
        </w:trPr>
        <w:tc>
          <w:tcPr>
            <w:tcW w:w="3660" w:type="dxa"/>
            <w:vAlign w:val="bottom"/>
            <w:shd w:val="clear" w:color="auto" w:fill="225CAB"/>
          </w:tcPr>
          <w:p>
            <w:pPr>
              <w:spacing w:after="0"/>
              <w:rPr>
                <w:sz w:val="14"/>
                <w:szCs w:val="14"/>
                <w:color w:val="auto"/>
              </w:rPr>
            </w:pPr>
          </w:p>
        </w:tc>
        <w:tc>
          <w:tcPr>
            <w:tcW w:w="2360" w:type="dxa"/>
            <w:vAlign w:val="bottom"/>
            <w:shd w:val="clear" w:color="auto" w:fill="225CAB"/>
          </w:tcPr>
          <w:p>
            <w:pPr>
              <w:jc w:val="center"/>
              <w:ind w:left="763"/>
              <w:spacing w:after="0" w:line="169" w:lineRule="exact"/>
              <w:rPr>
                <w:sz w:val="20"/>
                <w:szCs w:val="20"/>
                <w:color w:val="auto"/>
              </w:rPr>
            </w:pPr>
            <w:r>
              <w:rPr>
                <w:rFonts w:ascii="Arial" w:cs="Arial" w:eastAsia="Arial" w:hAnsi="Arial"/>
                <w:sz w:val="12"/>
                <w:szCs w:val="12"/>
                <w:color w:val="FFFFFF"/>
              </w:rPr>
              <w:t>in Last FY</w:t>
            </w:r>
            <w:r>
              <w:rPr>
                <w:rFonts w:ascii="Arial" w:cs="Arial" w:eastAsia="Arial" w:hAnsi="Arial"/>
                <w:sz w:val="19"/>
                <w:szCs w:val="19"/>
                <w:color w:val="FFFFFF"/>
                <w:vertAlign w:val="superscript"/>
              </w:rPr>
              <w:t>(1)</w:t>
            </w:r>
          </w:p>
        </w:tc>
        <w:tc>
          <w:tcPr>
            <w:tcW w:w="1480" w:type="dxa"/>
            <w:vAlign w:val="bottom"/>
            <w:shd w:val="clear" w:color="auto" w:fill="225CAB"/>
          </w:tcPr>
          <w:p>
            <w:pPr>
              <w:jc w:val="center"/>
              <w:spacing w:after="0" w:line="169" w:lineRule="exact"/>
              <w:rPr>
                <w:sz w:val="20"/>
                <w:szCs w:val="20"/>
                <w:color w:val="auto"/>
              </w:rPr>
            </w:pPr>
            <w:r>
              <w:rPr>
                <w:rFonts w:ascii="Arial" w:cs="Arial" w:eastAsia="Arial" w:hAnsi="Arial"/>
                <w:sz w:val="12"/>
                <w:szCs w:val="12"/>
                <w:color w:val="FFFFFF"/>
              </w:rPr>
              <w:t>in Last FY</w:t>
            </w:r>
            <w:r>
              <w:rPr>
                <w:rFonts w:ascii="Arial" w:cs="Arial" w:eastAsia="Arial" w:hAnsi="Arial"/>
                <w:sz w:val="19"/>
                <w:szCs w:val="19"/>
                <w:color w:val="FFFFFF"/>
                <w:vertAlign w:val="superscript"/>
              </w:rPr>
              <w:t>(2)</w:t>
            </w:r>
          </w:p>
        </w:tc>
        <w:tc>
          <w:tcPr>
            <w:tcW w:w="1400" w:type="dxa"/>
            <w:vAlign w:val="bottom"/>
            <w:shd w:val="clear" w:color="auto" w:fill="225CAB"/>
          </w:tcPr>
          <w:p>
            <w:pPr>
              <w:jc w:val="center"/>
              <w:spacing w:after="0" w:line="169" w:lineRule="exact"/>
              <w:rPr>
                <w:sz w:val="20"/>
                <w:szCs w:val="20"/>
                <w:color w:val="auto"/>
              </w:rPr>
            </w:pPr>
            <w:r>
              <w:rPr>
                <w:rFonts w:ascii="Arial" w:cs="Arial" w:eastAsia="Arial" w:hAnsi="Arial"/>
                <w:sz w:val="12"/>
                <w:szCs w:val="12"/>
                <w:color w:val="FFFFFF"/>
              </w:rPr>
              <w:t>in Last FY</w:t>
            </w:r>
            <w:r>
              <w:rPr>
                <w:rFonts w:ascii="Arial" w:cs="Arial" w:eastAsia="Arial" w:hAnsi="Arial"/>
                <w:sz w:val="19"/>
                <w:szCs w:val="19"/>
                <w:color w:val="FFFFFF"/>
                <w:vertAlign w:val="superscript"/>
              </w:rPr>
              <w:t>(3)</w:t>
            </w:r>
          </w:p>
        </w:tc>
        <w:tc>
          <w:tcPr>
            <w:tcW w:w="1320" w:type="dxa"/>
            <w:vAlign w:val="bottom"/>
            <w:shd w:val="clear" w:color="auto" w:fill="225CAB"/>
          </w:tcPr>
          <w:p>
            <w:pPr>
              <w:jc w:val="center"/>
              <w:spacing w:after="0"/>
              <w:rPr>
                <w:sz w:val="20"/>
                <w:szCs w:val="20"/>
                <w:color w:val="auto"/>
              </w:rPr>
            </w:pPr>
            <w:r>
              <w:rPr>
                <w:rFonts w:ascii="Arial" w:cs="Arial" w:eastAsia="Arial" w:hAnsi="Arial"/>
                <w:sz w:val="14"/>
                <w:szCs w:val="14"/>
                <w:color w:val="FFFFFF"/>
                <w:w w:val="96"/>
              </w:rPr>
              <w:t>Distributions</w:t>
            </w:r>
          </w:p>
        </w:tc>
        <w:tc>
          <w:tcPr>
            <w:tcW w:w="1200" w:type="dxa"/>
            <w:vAlign w:val="bottom"/>
            <w:shd w:val="clear" w:color="auto" w:fill="225CAB"/>
          </w:tcPr>
          <w:p>
            <w:pPr>
              <w:jc w:val="center"/>
              <w:ind w:left="62"/>
              <w:spacing w:after="0"/>
              <w:rPr>
                <w:sz w:val="20"/>
                <w:szCs w:val="20"/>
                <w:color w:val="auto"/>
              </w:rPr>
            </w:pPr>
            <w:r>
              <w:rPr>
                <w:rFonts w:ascii="Arial" w:cs="Arial" w:eastAsia="Arial" w:hAnsi="Arial"/>
                <w:sz w:val="14"/>
                <w:szCs w:val="14"/>
                <w:color w:val="FFFFFF"/>
                <w:w w:val="95"/>
              </w:rPr>
              <w:t>at Last FYE</w:t>
            </w:r>
          </w:p>
        </w:tc>
      </w:tr>
      <w:tr>
        <w:trPr>
          <w:trHeight w:val="149"/>
        </w:trPr>
        <w:tc>
          <w:tcPr>
            <w:tcW w:w="3660" w:type="dxa"/>
            <w:vAlign w:val="bottom"/>
            <w:shd w:val="clear" w:color="auto" w:fill="225CAB"/>
          </w:tcPr>
          <w:p>
            <w:pPr>
              <w:ind w:left="2080"/>
              <w:spacing w:after="0" w:line="149" w:lineRule="exact"/>
              <w:rPr>
                <w:sz w:val="20"/>
                <w:szCs w:val="20"/>
                <w:color w:val="auto"/>
              </w:rPr>
            </w:pPr>
            <w:r>
              <w:rPr>
                <w:rFonts w:ascii="Arial" w:cs="Arial" w:eastAsia="Arial" w:hAnsi="Arial"/>
                <w:sz w:val="14"/>
                <w:szCs w:val="14"/>
                <w:color w:val="FFFFFF"/>
              </w:rPr>
              <w:t>Name</w:t>
            </w:r>
          </w:p>
        </w:tc>
        <w:tc>
          <w:tcPr>
            <w:tcW w:w="2360" w:type="dxa"/>
            <w:vAlign w:val="bottom"/>
            <w:shd w:val="clear" w:color="auto" w:fill="225CAB"/>
          </w:tcPr>
          <w:p>
            <w:pPr>
              <w:jc w:val="center"/>
              <w:ind w:left="763"/>
              <w:spacing w:after="0" w:line="149" w:lineRule="exact"/>
              <w:rPr>
                <w:sz w:val="20"/>
                <w:szCs w:val="20"/>
                <w:color w:val="auto"/>
              </w:rPr>
            </w:pPr>
            <w:r>
              <w:rPr>
                <w:rFonts w:ascii="Arial" w:cs="Arial" w:eastAsia="Arial" w:hAnsi="Arial"/>
                <w:sz w:val="14"/>
                <w:szCs w:val="14"/>
                <w:color w:val="FFFFFF"/>
                <w:w w:val="93"/>
              </w:rPr>
              <w:t>($)</w:t>
            </w:r>
          </w:p>
        </w:tc>
        <w:tc>
          <w:tcPr>
            <w:tcW w:w="148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color w:val="FFFFFF"/>
                <w:w w:val="93"/>
              </w:rPr>
              <w:t>($)</w:t>
            </w:r>
          </w:p>
        </w:tc>
        <w:tc>
          <w:tcPr>
            <w:tcW w:w="140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color w:val="FFFFFF"/>
                <w:w w:val="93"/>
              </w:rPr>
              <w:t>($)</w:t>
            </w:r>
          </w:p>
        </w:tc>
        <w:tc>
          <w:tcPr>
            <w:tcW w:w="132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color w:val="FFFFFF"/>
              </w:rPr>
              <w:t>($)</w:t>
            </w:r>
          </w:p>
        </w:tc>
        <w:tc>
          <w:tcPr>
            <w:tcW w:w="1200" w:type="dxa"/>
            <w:vAlign w:val="bottom"/>
            <w:shd w:val="clear" w:color="auto" w:fill="225CAB"/>
          </w:tcPr>
          <w:p>
            <w:pPr>
              <w:jc w:val="center"/>
              <w:ind w:left="82"/>
              <w:spacing w:after="0" w:line="149" w:lineRule="exact"/>
              <w:rPr>
                <w:sz w:val="20"/>
                <w:szCs w:val="20"/>
                <w:color w:val="auto"/>
              </w:rPr>
            </w:pPr>
            <w:r>
              <w:rPr>
                <w:rFonts w:ascii="Arial" w:cs="Arial" w:eastAsia="Arial" w:hAnsi="Arial"/>
                <w:sz w:val="14"/>
                <w:szCs w:val="14"/>
                <w:color w:val="FFFFFF"/>
                <w:w w:val="93"/>
              </w:rPr>
              <w:t>($)</w:t>
            </w:r>
          </w:p>
        </w:tc>
      </w:tr>
      <w:tr>
        <w:trPr>
          <w:trHeight w:val="203"/>
        </w:trPr>
        <w:tc>
          <w:tcPr>
            <w:tcW w:w="3660" w:type="dxa"/>
            <w:vAlign w:val="bottom"/>
            <w:tcBorders>
              <w:bottom w:val="single" w:sz="8" w:color="225CAB"/>
            </w:tcBorders>
          </w:tcPr>
          <w:p>
            <w:pPr>
              <w:spacing w:after="0" w:line="202" w:lineRule="exact"/>
              <w:rPr>
                <w:sz w:val="20"/>
                <w:szCs w:val="20"/>
                <w:color w:val="auto"/>
              </w:rPr>
            </w:pPr>
            <w:r>
              <w:rPr>
                <w:rFonts w:ascii="Arial" w:cs="Arial" w:eastAsia="Arial" w:hAnsi="Arial"/>
                <w:sz w:val="18"/>
                <w:szCs w:val="18"/>
                <w:color w:val="225CAB"/>
              </w:rPr>
              <w:t>Brian D. Jellison</w:t>
            </w:r>
          </w:p>
        </w:tc>
        <w:tc>
          <w:tcPr>
            <w:tcW w:w="2360" w:type="dxa"/>
            <w:vAlign w:val="bottom"/>
            <w:tcBorders>
              <w:bottom w:val="single" w:sz="8" w:color="225CAB"/>
            </w:tcBorders>
          </w:tcPr>
          <w:p>
            <w:pPr>
              <w:jc w:val="right"/>
              <w:ind w:right="263"/>
              <w:spacing w:after="0" w:line="202" w:lineRule="exact"/>
              <w:rPr>
                <w:sz w:val="20"/>
                <w:szCs w:val="20"/>
                <w:color w:val="auto"/>
              </w:rPr>
            </w:pPr>
            <w:r>
              <w:rPr>
                <w:rFonts w:ascii="Arial" w:cs="Arial" w:eastAsia="Arial" w:hAnsi="Arial"/>
                <w:sz w:val="18"/>
                <w:szCs w:val="18"/>
                <w:color w:val="auto"/>
              </w:rPr>
              <w:t>73,500</w:t>
            </w:r>
          </w:p>
        </w:tc>
        <w:tc>
          <w:tcPr>
            <w:tcW w:w="1480" w:type="dxa"/>
            <w:vAlign w:val="bottom"/>
            <w:tcBorders>
              <w:bottom w:val="single" w:sz="8" w:color="225CAB"/>
            </w:tcBorders>
          </w:tcPr>
          <w:p>
            <w:pPr>
              <w:jc w:val="right"/>
              <w:ind w:right="263"/>
              <w:spacing w:after="0" w:line="202" w:lineRule="exact"/>
              <w:rPr>
                <w:sz w:val="20"/>
                <w:szCs w:val="20"/>
                <w:color w:val="auto"/>
              </w:rPr>
            </w:pPr>
            <w:r>
              <w:rPr>
                <w:rFonts w:ascii="Arial" w:cs="Arial" w:eastAsia="Arial" w:hAnsi="Arial"/>
                <w:sz w:val="18"/>
                <w:szCs w:val="18"/>
                <w:color w:val="auto"/>
              </w:rPr>
              <w:t>72,000</w:t>
            </w:r>
          </w:p>
        </w:tc>
        <w:tc>
          <w:tcPr>
            <w:tcW w:w="1400" w:type="dxa"/>
            <w:vAlign w:val="bottom"/>
            <w:tcBorders>
              <w:bottom w:val="single" w:sz="8" w:color="225CAB"/>
            </w:tcBorders>
          </w:tcPr>
          <w:p>
            <w:pPr>
              <w:jc w:val="right"/>
              <w:ind w:right="243"/>
              <w:spacing w:after="0" w:line="202" w:lineRule="exact"/>
              <w:rPr>
                <w:sz w:val="20"/>
                <w:szCs w:val="20"/>
                <w:color w:val="auto"/>
              </w:rPr>
            </w:pPr>
            <w:r>
              <w:rPr>
                <w:rFonts w:ascii="Arial" w:cs="Arial" w:eastAsia="Arial" w:hAnsi="Arial"/>
                <w:sz w:val="18"/>
                <w:szCs w:val="18"/>
                <w:color w:val="auto"/>
              </w:rPr>
              <w:t>204</w:t>
            </w:r>
          </w:p>
        </w:tc>
        <w:tc>
          <w:tcPr>
            <w:tcW w:w="1320" w:type="dxa"/>
            <w:vAlign w:val="bottom"/>
            <w:tcBorders>
              <w:bottom w:val="single" w:sz="8" w:color="225CAB"/>
            </w:tcBorders>
          </w:tcPr>
          <w:p>
            <w:pPr>
              <w:jc w:val="right"/>
              <w:ind w:right="222"/>
              <w:spacing w:after="0" w:line="202" w:lineRule="exact"/>
              <w:rPr>
                <w:sz w:val="20"/>
                <w:szCs w:val="20"/>
                <w:color w:val="auto"/>
              </w:rPr>
            </w:pPr>
            <w:r>
              <w:rPr>
                <w:rFonts w:ascii="Arial" w:cs="Arial" w:eastAsia="Arial" w:hAnsi="Arial"/>
                <w:sz w:val="18"/>
                <w:szCs w:val="18"/>
                <w:color w:val="auto"/>
              </w:rPr>
              <w:t>337,529</w:t>
            </w:r>
          </w:p>
        </w:tc>
        <w:tc>
          <w:tcPr>
            <w:tcW w:w="1200" w:type="dxa"/>
            <w:vAlign w:val="bottom"/>
            <w:tcBorders>
              <w:bottom w:val="single" w:sz="8" w:color="225CAB"/>
            </w:tcBorders>
          </w:tcPr>
          <w:p>
            <w:pPr>
              <w:jc w:val="right"/>
              <w:ind w:right="22"/>
              <w:spacing w:after="0" w:line="202" w:lineRule="exact"/>
              <w:rPr>
                <w:sz w:val="20"/>
                <w:szCs w:val="20"/>
                <w:color w:val="auto"/>
              </w:rPr>
            </w:pPr>
            <w:r>
              <w:rPr>
                <w:rFonts w:ascii="Arial" w:cs="Arial" w:eastAsia="Arial" w:hAnsi="Arial"/>
                <w:sz w:val="18"/>
                <w:szCs w:val="18"/>
                <w:color w:val="auto"/>
              </w:rPr>
              <w:t>145,613</w:t>
            </w:r>
          </w:p>
        </w:tc>
      </w:tr>
      <w:tr>
        <w:trPr>
          <w:trHeight w:val="196"/>
        </w:trPr>
        <w:tc>
          <w:tcPr>
            <w:tcW w:w="3660" w:type="dxa"/>
            <w:vAlign w:val="bottom"/>
            <w:tcBorders>
              <w:bottom w:val="single" w:sz="8" w:color="225CAB"/>
            </w:tcBorders>
          </w:tcPr>
          <w:p>
            <w:pPr>
              <w:spacing w:after="0" w:line="196" w:lineRule="exact"/>
              <w:rPr>
                <w:sz w:val="20"/>
                <w:szCs w:val="20"/>
                <w:color w:val="auto"/>
              </w:rPr>
            </w:pPr>
            <w:r>
              <w:rPr>
                <w:rFonts w:ascii="Arial" w:cs="Arial" w:eastAsia="Arial" w:hAnsi="Arial"/>
                <w:sz w:val="18"/>
                <w:szCs w:val="18"/>
                <w:color w:val="225CAB"/>
              </w:rPr>
              <w:t>John Humphrey</w:t>
            </w:r>
          </w:p>
        </w:tc>
        <w:tc>
          <w:tcPr>
            <w:tcW w:w="2360" w:type="dxa"/>
            <w:vAlign w:val="bottom"/>
            <w:tcBorders>
              <w:bottom w:val="single" w:sz="8" w:color="225CAB"/>
            </w:tcBorders>
          </w:tcPr>
          <w:p>
            <w:pPr>
              <w:jc w:val="right"/>
              <w:ind w:right="263"/>
              <w:spacing w:after="0" w:line="196" w:lineRule="exact"/>
              <w:rPr>
                <w:sz w:val="20"/>
                <w:szCs w:val="20"/>
                <w:color w:val="auto"/>
              </w:rPr>
            </w:pPr>
            <w:r>
              <w:rPr>
                <w:rFonts w:ascii="Arial" w:cs="Arial" w:eastAsia="Arial" w:hAnsi="Arial"/>
                <w:sz w:val="18"/>
                <w:szCs w:val="18"/>
                <w:color w:val="auto"/>
              </w:rPr>
              <w:t>1,553,175</w:t>
            </w:r>
          </w:p>
        </w:tc>
        <w:tc>
          <w:tcPr>
            <w:tcW w:w="1480" w:type="dxa"/>
            <w:vAlign w:val="bottom"/>
            <w:tcBorders>
              <w:bottom w:val="single" w:sz="8" w:color="225CAB"/>
            </w:tcBorders>
          </w:tcPr>
          <w:p>
            <w:pPr>
              <w:jc w:val="right"/>
              <w:ind w:right="263"/>
              <w:spacing w:after="0" w:line="196" w:lineRule="exact"/>
              <w:rPr>
                <w:sz w:val="20"/>
                <w:szCs w:val="20"/>
                <w:color w:val="auto"/>
              </w:rPr>
            </w:pPr>
            <w:r>
              <w:rPr>
                <w:rFonts w:ascii="Arial" w:cs="Arial" w:eastAsia="Arial" w:hAnsi="Arial"/>
                <w:sz w:val="18"/>
                <w:szCs w:val="18"/>
                <w:color w:val="auto"/>
              </w:rPr>
              <w:t>123,937</w:t>
            </w:r>
          </w:p>
        </w:tc>
        <w:tc>
          <w:tcPr>
            <w:tcW w:w="1400" w:type="dxa"/>
            <w:vAlign w:val="bottom"/>
            <w:tcBorders>
              <w:bottom w:val="single" w:sz="8" w:color="225CAB"/>
            </w:tcBorders>
          </w:tcPr>
          <w:p>
            <w:pPr>
              <w:jc w:val="right"/>
              <w:ind w:right="183"/>
              <w:spacing w:after="0" w:line="196" w:lineRule="exact"/>
              <w:rPr>
                <w:sz w:val="20"/>
                <w:szCs w:val="20"/>
                <w:color w:val="auto"/>
              </w:rPr>
            </w:pPr>
            <w:r>
              <w:rPr>
                <w:rFonts w:ascii="Arial" w:cs="Arial" w:eastAsia="Arial" w:hAnsi="Arial"/>
                <w:sz w:val="18"/>
                <w:szCs w:val="18"/>
                <w:color w:val="auto"/>
              </w:rPr>
              <w:t>(123,722)</w:t>
            </w:r>
          </w:p>
        </w:tc>
        <w:tc>
          <w:tcPr>
            <w:tcW w:w="1320" w:type="dxa"/>
            <w:vAlign w:val="bottom"/>
            <w:tcBorders>
              <w:bottom w:val="single" w:sz="8" w:color="225CAB"/>
            </w:tcBorders>
          </w:tcPr>
          <w:p>
            <w:pPr>
              <w:jc w:val="right"/>
              <w:ind w:right="322"/>
              <w:spacing w:after="0" w:line="196"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225CAB"/>
            </w:tcBorders>
          </w:tcPr>
          <w:p>
            <w:pPr>
              <w:jc w:val="right"/>
              <w:ind w:right="22"/>
              <w:spacing w:after="0" w:line="196" w:lineRule="exact"/>
              <w:rPr>
                <w:sz w:val="20"/>
                <w:szCs w:val="20"/>
                <w:color w:val="auto"/>
              </w:rPr>
            </w:pPr>
            <w:r>
              <w:rPr>
                <w:rFonts w:ascii="Arial" w:cs="Arial" w:eastAsia="Arial" w:hAnsi="Arial"/>
                <w:sz w:val="18"/>
                <w:szCs w:val="18"/>
                <w:color w:val="auto"/>
              </w:rPr>
              <w:t>4,397,886</w:t>
            </w:r>
          </w:p>
        </w:tc>
      </w:tr>
      <w:tr>
        <w:trPr>
          <w:trHeight w:val="196"/>
        </w:trPr>
        <w:tc>
          <w:tcPr>
            <w:tcW w:w="3660" w:type="dxa"/>
            <w:vAlign w:val="bottom"/>
            <w:tcBorders>
              <w:bottom w:val="single" w:sz="8" w:color="225CAB"/>
            </w:tcBorders>
          </w:tcPr>
          <w:p>
            <w:pPr>
              <w:spacing w:after="0" w:line="196" w:lineRule="exact"/>
              <w:rPr>
                <w:sz w:val="20"/>
                <w:szCs w:val="20"/>
                <w:color w:val="auto"/>
              </w:rPr>
            </w:pPr>
            <w:r>
              <w:rPr>
                <w:rFonts w:ascii="Arial" w:cs="Arial" w:eastAsia="Arial" w:hAnsi="Arial"/>
                <w:sz w:val="18"/>
                <w:szCs w:val="18"/>
                <w:color w:val="225CAB"/>
              </w:rPr>
              <w:t>David B. Liner</w:t>
            </w:r>
          </w:p>
        </w:tc>
        <w:tc>
          <w:tcPr>
            <w:tcW w:w="2360" w:type="dxa"/>
            <w:vAlign w:val="bottom"/>
            <w:tcBorders>
              <w:bottom w:val="single" w:sz="8" w:color="225CAB"/>
            </w:tcBorders>
          </w:tcPr>
          <w:p>
            <w:pPr>
              <w:jc w:val="right"/>
              <w:ind w:right="263"/>
              <w:spacing w:after="0" w:line="196" w:lineRule="exact"/>
              <w:rPr>
                <w:sz w:val="20"/>
                <w:szCs w:val="20"/>
                <w:color w:val="auto"/>
              </w:rPr>
            </w:pPr>
            <w:r>
              <w:rPr>
                <w:rFonts w:ascii="Arial" w:cs="Arial" w:eastAsia="Arial" w:hAnsi="Arial"/>
                <w:sz w:val="18"/>
                <w:szCs w:val="18"/>
                <w:color w:val="auto"/>
              </w:rPr>
              <w:t>54,000</w:t>
            </w:r>
          </w:p>
        </w:tc>
        <w:tc>
          <w:tcPr>
            <w:tcW w:w="1480" w:type="dxa"/>
            <w:vAlign w:val="bottom"/>
            <w:tcBorders>
              <w:bottom w:val="single" w:sz="8" w:color="225CAB"/>
            </w:tcBorders>
          </w:tcPr>
          <w:p>
            <w:pPr>
              <w:jc w:val="right"/>
              <w:ind w:right="263"/>
              <w:spacing w:after="0" w:line="196" w:lineRule="exact"/>
              <w:rPr>
                <w:sz w:val="20"/>
                <w:szCs w:val="20"/>
                <w:color w:val="auto"/>
              </w:rPr>
            </w:pPr>
            <w:r>
              <w:rPr>
                <w:rFonts w:ascii="Arial" w:cs="Arial" w:eastAsia="Arial" w:hAnsi="Arial"/>
                <w:sz w:val="18"/>
                <w:szCs w:val="18"/>
                <w:color w:val="auto"/>
              </w:rPr>
              <w:t>47,625</w:t>
            </w:r>
          </w:p>
        </w:tc>
        <w:tc>
          <w:tcPr>
            <w:tcW w:w="1400" w:type="dxa"/>
            <w:vAlign w:val="bottom"/>
            <w:tcBorders>
              <w:bottom w:val="single" w:sz="8" w:color="225CAB"/>
            </w:tcBorders>
          </w:tcPr>
          <w:p>
            <w:pPr>
              <w:jc w:val="right"/>
              <w:ind w:right="183"/>
              <w:spacing w:after="0" w:line="196" w:lineRule="exact"/>
              <w:rPr>
                <w:sz w:val="20"/>
                <w:szCs w:val="20"/>
                <w:color w:val="auto"/>
              </w:rPr>
            </w:pPr>
            <w:r>
              <w:rPr>
                <w:rFonts w:ascii="Arial" w:cs="Arial" w:eastAsia="Arial" w:hAnsi="Arial"/>
                <w:sz w:val="18"/>
                <w:szCs w:val="18"/>
                <w:color w:val="auto"/>
              </w:rPr>
              <w:t>(16,906)</w:t>
            </w:r>
          </w:p>
        </w:tc>
        <w:tc>
          <w:tcPr>
            <w:tcW w:w="1320" w:type="dxa"/>
            <w:vAlign w:val="bottom"/>
            <w:tcBorders>
              <w:bottom w:val="single" w:sz="8" w:color="225CAB"/>
            </w:tcBorders>
          </w:tcPr>
          <w:p>
            <w:pPr>
              <w:jc w:val="right"/>
              <w:ind w:right="322"/>
              <w:spacing w:after="0" w:line="196"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225CAB"/>
            </w:tcBorders>
          </w:tcPr>
          <w:p>
            <w:pPr>
              <w:jc w:val="right"/>
              <w:ind w:right="22"/>
              <w:spacing w:after="0" w:line="196" w:lineRule="exact"/>
              <w:rPr>
                <w:sz w:val="20"/>
                <w:szCs w:val="20"/>
                <w:color w:val="auto"/>
              </w:rPr>
            </w:pPr>
            <w:r>
              <w:rPr>
                <w:rFonts w:ascii="Arial" w:cs="Arial" w:eastAsia="Arial" w:hAnsi="Arial"/>
                <w:sz w:val="18"/>
                <w:szCs w:val="18"/>
                <w:color w:val="auto"/>
              </w:rPr>
              <w:t>869,848</w:t>
            </w:r>
          </w:p>
        </w:tc>
      </w:tr>
      <w:tr>
        <w:trPr>
          <w:trHeight w:val="189"/>
        </w:trPr>
        <w:tc>
          <w:tcPr>
            <w:tcW w:w="3660" w:type="dxa"/>
            <w:vAlign w:val="bottom"/>
          </w:tcPr>
          <w:p>
            <w:pPr>
              <w:spacing w:after="0" w:line="189" w:lineRule="exact"/>
              <w:rPr>
                <w:sz w:val="20"/>
                <w:szCs w:val="20"/>
                <w:color w:val="auto"/>
              </w:rPr>
            </w:pPr>
            <w:r>
              <w:rPr>
                <w:rFonts w:ascii="Arial" w:cs="Arial" w:eastAsia="Arial" w:hAnsi="Arial"/>
                <w:sz w:val="18"/>
                <w:szCs w:val="18"/>
                <w:color w:val="225CAB"/>
              </w:rPr>
              <w:t>Paul J. Soni</w:t>
            </w:r>
          </w:p>
        </w:tc>
        <w:tc>
          <w:tcPr>
            <w:tcW w:w="2360" w:type="dxa"/>
            <w:vAlign w:val="bottom"/>
          </w:tcPr>
          <w:p>
            <w:pPr>
              <w:jc w:val="right"/>
              <w:ind w:right="263"/>
              <w:spacing w:after="0" w:line="189" w:lineRule="exact"/>
              <w:rPr>
                <w:sz w:val="20"/>
                <w:szCs w:val="20"/>
                <w:color w:val="auto"/>
              </w:rPr>
            </w:pPr>
            <w:r>
              <w:rPr>
                <w:rFonts w:ascii="Arial" w:cs="Arial" w:eastAsia="Arial" w:hAnsi="Arial"/>
                <w:sz w:val="18"/>
                <w:szCs w:val="18"/>
                <w:color w:val="auto"/>
              </w:rPr>
              <w:t>73,800</w:t>
            </w:r>
          </w:p>
        </w:tc>
        <w:tc>
          <w:tcPr>
            <w:tcW w:w="1480" w:type="dxa"/>
            <w:vAlign w:val="bottom"/>
          </w:tcPr>
          <w:p>
            <w:pPr>
              <w:jc w:val="right"/>
              <w:ind w:right="263"/>
              <w:spacing w:after="0" w:line="189" w:lineRule="exact"/>
              <w:rPr>
                <w:sz w:val="20"/>
                <w:szCs w:val="20"/>
                <w:color w:val="auto"/>
              </w:rPr>
            </w:pPr>
            <w:r>
              <w:rPr>
                <w:rFonts w:ascii="Arial" w:cs="Arial" w:eastAsia="Arial" w:hAnsi="Arial"/>
                <w:sz w:val="18"/>
                <w:szCs w:val="18"/>
                <w:color w:val="auto"/>
              </w:rPr>
              <w:t>35,475</w:t>
            </w:r>
          </w:p>
        </w:tc>
        <w:tc>
          <w:tcPr>
            <w:tcW w:w="1400" w:type="dxa"/>
            <w:vAlign w:val="bottom"/>
          </w:tcPr>
          <w:p>
            <w:pPr>
              <w:jc w:val="right"/>
              <w:ind w:right="183"/>
              <w:spacing w:after="0" w:line="189" w:lineRule="exact"/>
              <w:rPr>
                <w:sz w:val="20"/>
                <w:szCs w:val="20"/>
                <w:color w:val="auto"/>
              </w:rPr>
            </w:pPr>
            <w:r>
              <w:rPr>
                <w:rFonts w:ascii="Arial" w:cs="Arial" w:eastAsia="Arial" w:hAnsi="Arial"/>
                <w:sz w:val="18"/>
                <w:szCs w:val="18"/>
                <w:color w:val="auto"/>
              </w:rPr>
              <w:t>(1,104)</w:t>
            </w:r>
          </w:p>
        </w:tc>
        <w:tc>
          <w:tcPr>
            <w:tcW w:w="1320" w:type="dxa"/>
            <w:vAlign w:val="bottom"/>
          </w:tcPr>
          <w:p>
            <w:pPr>
              <w:jc w:val="right"/>
              <w:ind w:right="322"/>
              <w:spacing w:after="0" w:line="189"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22"/>
              <w:spacing w:after="0" w:line="189" w:lineRule="exact"/>
              <w:rPr>
                <w:sz w:val="20"/>
                <w:szCs w:val="20"/>
                <w:color w:val="auto"/>
              </w:rPr>
            </w:pPr>
            <w:r>
              <w:rPr>
                <w:rFonts w:ascii="Arial" w:cs="Arial" w:eastAsia="Arial" w:hAnsi="Arial"/>
                <w:sz w:val="18"/>
                <w:szCs w:val="18"/>
                <w:color w:val="auto"/>
              </w:rPr>
              <w:t>574,340</w:t>
            </w:r>
          </w:p>
        </w:tc>
      </w:tr>
    </w:tbl>
    <w:p>
      <w:pPr>
        <w:spacing w:after="0" w:line="20" w:lineRule="exact"/>
        <w:rPr>
          <w:sz w:val="20"/>
          <w:szCs w:val="20"/>
          <w:color w:val="auto"/>
        </w:rPr>
      </w:pPr>
    </w:p>
    <w:p>
      <w:pPr>
        <w:ind w:left="340" w:right="60" w:hanging="332"/>
        <w:spacing w:after="0" w:line="180" w:lineRule="auto"/>
        <w:tabs>
          <w:tab w:leader="none" w:pos="340" w:val="left"/>
        </w:tabs>
        <w:numPr>
          <w:ilvl w:val="0"/>
          <w:numId w:val="67"/>
        </w:numPr>
        <w:rPr>
          <w:rFonts w:ascii="Arial" w:cs="Arial" w:eastAsia="Arial" w:hAnsi="Arial"/>
          <w:sz w:val="22"/>
          <w:szCs w:val="22"/>
          <w:color w:val="auto"/>
          <w:vertAlign w:val="superscript"/>
        </w:rPr>
      </w:pPr>
      <w:r>
        <w:rPr>
          <w:rFonts w:ascii="Arial" w:cs="Arial" w:eastAsia="Arial" w:hAnsi="Arial"/>
          <w:sz w:val="14"/>
          <w:szCs w:val="14"/>
          <w:color w:val="auto"/>
        </w:rPr>
        <w:t>Amounts reflect participant deferrals under the Non-Qualified Retirement Plan during the fiscal year and all of these amounts are included in the Summary Compensation Table above in the “Salary” or “Non-Equity Incentive Plan Compensation” column as applicable.</w:t>
      </w:r>
    </w:p>
    <w:p>
      <w:pPr>
        <w:ind w:left="340" w:hanging="332"/>
        <w:spacing w:after="0" w:line="217" w:lineRule="auto"/>
        <w:tabs>
          <w:tab w:leader="none" w:pos="340" w:val="left"/>
        </w:tabs>
        <w:numPr>
          <w:ilvl w:val="0"/>
          <w:numId w:val="67"/>
        </w:numPr>
        <w:rPr>
          <w:rFonts w:ascii="Arial" w:cs="Arial" w:eastAsia="Arial" w:hAnsi="Arial"/>
          <w:sz w:val="22"/>
          <w:szCs w:val="22"/>
          <w:color w:val="auto"/>
          <w:vertAlign w:val="superscript"/>
        </w:rPr>
      </w:pPr>
      <w:r>
        <w:rPr>
          <w:rFonts w:ascii="Arial" w:cs="Arial" w:eastAsia="Arial" w:hAnsi="Arial"/>
          <w:sz w:val="14"/>
          <w:szCs w:val="14"/>
          <w:color w:val="auto"/>
        </w:rPr>
        <w:t>The amounts are included in the Summary Compensation Table in the “All Other Compensation” column.</w:t>
      </w:r>
    </w:p>
    <w:p>
      <w:pPr>
        <w:spacing w:after="0" w:line="68" w:lineRule="exact"/>
        <w:rPr>
          <w:rFonts w:ascii="Arial" w:cs="Arial" w:eastAsia="Arial" w:hAnsi="Arial"/>
          <w:sz w:val="22"/>
          <w:szCs w:val="22"/>
          <w:color w:val="auto"/>
          <w:vertAlign w:val="superscript"/>
        </w:rPr>
      </w:pPr>
    </w:p>
    <w:p>
      <w:pPr>
        <w:ind w:left="340" w:right="60" w:hanging="332"/>
        <w:spacing w:after="0" w:line="180" w:lineRule="auto"/>
        <w:tabs>
          <w:tab w:leader="none" w:pos="340" w:val="left"/>
        </w:tabs>
        <w:numPr>
          <w:ilvl w:val="0"/>
          <w:numId w:val="67"/>
        </w:numPr>
        <w:rPr>
          <w:rFonts w:ascii="Arial" w:cs="Arial" w:eastAsia="Arial" w:hAnsi="Arial"/>
          <w:sz w:val="22"/>
          <w:szCs w:val="22"/>
          <w:color w:val="auto"/>
          <w:vertAlign w:val="superscript"/>
        </w:rPr>
      </w:pPr>
      <w:r>
        <w:rPr>
          <w:rFonts w:ascii="Arial" w:cs="Arial" w:eastAsia="Arial" w:hAnsi="Arial"/>
          <w:sz w:val="14"/>
          <w:szCs w:val="14"/>
          <w:color w:val="auto"/>
        </w:rPr>
        <w:t>No portion of these earnings was included in the Summary Compensation Table because the Non-Qualified Retirement Plan does not provide for “above-market” or preferential earnings as defined in applicable SEC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-590550</wp:posOffset>
            </wp:positionV>
            <wp:extent cx="72466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6" w:lineRule="exact"/>
        <w:rPr>
          <w:sz w:val="20"/>
          <w:szCs w:val="20"/>
          <w:color w:val="auto"/>
        </w:rPr>
      </w:pPr>
    </w:p>
    <w:tbl>
      <w:tblPr>
        <w:tblLayout w:type="fixed"/>
        <w:tblInd w:w="6900" w:type="dxa"/>
        <w:tblCellMar>
          <w:top w:w="0" w:type="dxa"/>
          <w:left w:w="0" w:type="dxa"/>
          <w:bottom w:w="0" w:type="dxa"/>
          <w:right w:w="0" w:type="dxa"/>
        </w:tblCellMar>
      </w:tblPr>
      <w:tr>
        <w:trPr>
          <w:trHeight w:val="309"/>
        </w:trPr>
        <w:tc>
          <w:tcPr>
            <w:tcW w:w="4080" w:type="dxa"/>
            <w:vAlign w:val="bottom"/>
            <w:tcBorders>
              <w:right w:val="single" w:sz="8" w:color="225CAB"/>
            </w:tcBorders>
          </w:tcPr>
          <w:p>
            <w:pPr>
              <w:spacing w:after="0"/>
              <w:rPr>
                <w:sz w:val="20"/>
                <w:szCs w:val="20"/>
                <w:color w:val="auto"/>
              </w:rPr>
            </w:pPr>
            <w:r>
              <w:rPr>
                <w:rFonts w:ascii="Arial" w:cs="Arial" w:eastAsia="Arial" w:hAnsi="Arial"/>
                <w:sz w:val="18"/>
                <w:szCs w:val="18"/>
                <w:b w:val="1"/>
                <w:bCs w:val="1"/>
                <w:color w:val="225CAB"/>
                <w:w w:val="99"/>
              </w:rPr>
              <w:t>Roper Technologies, Inc. 2016 Proxy Statement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225CAB"/>
              </w:rPr>
              <w:t>37</w:t>
            </w:r>
          </w:p>
        </w:tc>
      </w:tr>
      <w:tr>
        <w:trPr>
          <w:trHeight w:val="83"/>
        </w:trPr>
        <w:tc>
          <w:tcPr>
            <w:tcW w:w="4080" w:type="dxa"/>
            <w:vAlign w:val="bottom"/>
            <w:tcBorders>
              <w:right w:val="single" w:sz="8" w:color="225CAB"/>
            </w:tcBorders>
          </w:tcPr>
          <w:p>
            <w:pPr>
              <w:spacing w:after="0"/>
              <w:rPr>
                <w:sz w:val="7"/>
                <w:szCs w:val="7"/>
                <w:color w:val="auto"/>
              </w:rPr>
            </w:pPr>
          </w:p>
        </w:tc>
        <w:tc>
          <w:tcPr>
            <w:tcW w:w="44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-213995</wp:posOffset>
            </wp:positionV>
            <wp:extent cx="420370" cy="2057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225CAB"/>
        </w:rPr>
        <w:t xml:space="preserve">EXECUTIVE COMPENSATION </w:t>
      </w:r>
      <w:r>
        <w:rPr>
          <w:rFonts w:ascii="Arial" w:cs="Arial" w:eastAsia="Arial" w:hAnsi="Arial"/>
          <w:sz w:val="18"/>
          <w:szCs w:val="18"/>
          <w:i w:val="1"/>
          <w:iCs w:val="1"/>
          <w:color w:val="225CAB"/>
        </w:rPr>
        <w:t>(CONTINUED)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225CAB"/>
        </w:rPr>
        <w:t>Potential Payments upon Termination or Change in Control</w:t>
      </w:r>
    </w:p>
    <w:p>
      <w:pPr>
        <w:spacing w:after="0" w:line="99" w:lineRule="exact"/>
        <w:rPr>
          <w:sz w:val="20"/>
          <w:szCs w:val="20"/>
          <w:color w:val="auto"/>
        </w:rPr>
      </w:pPr>
    </w:p>
    <w:p>
      <w:pPr>
        <w:ind w:right="300"/>
        <w:spacing w:after="0" w:line="281" w:lineRule="auto"/>
        <w:rPr>
          <w:sz w:val="20"/>
          <w:szCs w:val="20"/>
          <w:color w:val="auto"/>
        </w:rPr>
      </w:pPr>
      <w:r>
        <w:rPr>
          <w:rFonts w:ascii="Arial" w:cs="Arial" w:eastAsia="Arial" w:hAnsi="Arial"/>
          <w:sz w:val="16"/>
          <w:szCs w:val="16"/>
          <w:color w:val="auto"/>
        </w:rPr>
        <w:t>The employment agreement with Mr. Jellison and offer letters with Messrs. Humphrey and Liner provide for certain benefits in the event of the termination of the officer’s employment under certain conditions. The amount of the benefits varies depending on the reason for termination, as explained below. In no event will excise tax gross-ups be paid in regard to a termination of employment related to a change in control.</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Employment Agreement with Mr. Jellison</w:t>
      </w:r>
    </w:p>
    <w:p>
      <w:pPr>
        <w:spacing w:after="0" w:line="7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i w:val="1"/>
          <w:iCs w:val="1"/>
          <w:color w:val="auto"/>
        </w:rPr>
        <w:t>Termination for Cause; Resignation Without Good Reason</w:t>
      </w:r>
      <w:r>
        <w:rPr>
          <w:rFonts w:ascii="Arial" w:cs="Arial" w:eastAsia="Arial" w:hAnsi="Arial"/>
          <w:sz w:val="18"/>
          <w:szCs w:val="18"/>
          <w:color w:val="auto"/>
        </w:rPr>
        <w:t>. If Mr. Jellison were terminated for cause or if he were to resign without good reason (as</w:t>
      </w:r>
      <w:r>
        <w:rPr>
          <w:rFonts w:ascii="Arial" w:cs="Arial" w:eastAsia="Arial" w:hAnsi="Arial"/>
          <w:sz w:val="18"/>
          <w:szCs w:val="18"/>
          <w:i w:val="1"/>
          <w:iCs w:val="1"/>
          <w:color w:val="auto"/>
        </w:rPr>
        <w:t xml:space="preserve"> </w:t>
      </w:r>
      <w:r>
        <w:rPr>
          <w:rFonts w:ascii="Arial" w:cs="Arial" w:eastAsia="Arial" w:hAnsi="Arial"/>
          <w:sz w:val="18"/>
          <w:szCs w:val="18"/>
          <w:color w:val="auto"/>
        </w:rPr>
        <w:t>such terms are defined in his agreement), he would receive the salary and vested benefits that had accrued through the date of termination, plus a pro-rata portion of his annual bonus earned through the date of termination, assuming our Company achieved the level of performance for which a bonus would be paid for that year. No special severance benefits would be payable.</w:t>
      </w:r>
    </w:p>
    <w:p>
      <w:pPr>
        <w:spacing w:after="0" w:line="53"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i w:val="1"/>
          <w:iCs w:val="1"/>
          <w:color w:val="auto"/>
        </w:rPr>
        <w:t>Termination Due to Death or Disability</w:t>
      </w:r>
      <w:r>
        <w:rPr>
          <w:rFonts w:ascii="Arial" w:cs="Arial" w:eastAsia="Arial" w:hAnsi="Arial"/>
          <w:sz w:val="18"/>
          <w:szCs w:val="18"/>
          <w:color w:val="auto"/>
        </w:rPr>
        <w:t>. If Mr. Jellison were to die or terminate employment due to disability, he (or his estate) would receive salary</w:t>
      </w:r>
      <w:r>
        <w:rPr>
          <w:rFonts w:ascii="Arial" w:cs="Arial" w:eastAsia="Arial" w:hAnsi="Arial"/>
          <w:sz w:val="18"/>
          <w:szCs w:val="18"/>
          <w:i w:val="1"/>
          <w:iCs w:val="1"/>
          <w:color w:val="auto"/>
        </w:rPr>
        <w:t xml:space="preserve"> </w:t>
      </w:r>
      <w:r>
        <w:rPr>
          <w:rFonts w:ascii="Arial" w:cs="Arial" w:eastAsia="Arial" w:hAnsi="Arial"/>
          <w:sz w:val="18"/>
          <w:szCs w:val="18"/>
          <w:color w:val="auto"/>
        </w:rPr>
        <w:t>and vested benefits accrued through the date of termination, plus a pro-rata portion of his annual bonus earned through the date of termination, assuming our Company achieved the level of performance for which a bonus would be paid for that year. No special severance benefits would be payable.</w:t>
      </w:r>
    </w:p>
    <w:p>
      <w:pPr>
        <w:spacing w:after="0" w:line="53"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i w:val="1"/>
          <w:iCs w:val="1"/>
          <w:color w:val="auto"/>
        </w:rPr>
        <w:t xml:space="preserve">Termination Without Cause; Resignation for Good Reason. </w:t>
      </w:r>
      <w:r>
        <w:rPr>
          <w:rFonts w:ascii="Arial" w:cs="Arial" w:eastAsia="Arial" w:hAnsi="Arial"/>
          <w:sz w:val="18"/>
          <w:szCs w:val="18"/>
          <w:color w:val="auto"/>
        </w:rPr>
        <w:t>If Mr. Jellison were terminated without cause or resigned for good reason, either before</w:t>
      </w:r>
      <w:r>
        <w:rPr>
          <w:rFonts w:ascii="Arial" w:cs="Arial" w:eastAsia="Arial" w:hAnsi="Arial"/>
          <w:sz w:val="18"/>
          <w:szCs w:val="18"/>
          <w:i w:val="1"/>
          <w:iCs w:val="1"/>
          <w:color w:val="auto"/>
        </w:rPr>
        <w:t xml:space="preserve"> </w:t>
      </w:r>
      <w:r>
        <w:rPr>
          <w:rFonts w:ascii="Arial" w:cs="Arial" w:eastAsia="Arial" w:hAnsi="Arial"/>
          <w:sz w:val="18"/>
          <w:szCs w:val="18"/>
          <w:color w:val="auto"/>
        </w:rPr>
        <w:t>a change of control of our Company occurs or more than one year after a change of control, he would receive a severance payment, in addition to accrued salary, earned and unpaid bonus from the prior fiscal year and vested benefits, of two times his annual base salary. He would also receive a pro-rated target bonus for the year and continuation of health and welfare benefits for a period of two years. Any stock option that would have vested during the one-year period following termination would also become immediately exercisable.</w:t>
      </w:r>
    </w:p>
    <w:p>
      <w:pPr>
        <w:spacing w:after="0" w:line="55" w:lineRule="exact"/>
        <w:rPr>
          <w:sz w:val="20"/>
          <w:szCs w:val="20"/>
          <w:color w:val="auto"/>
        </w:rPr>
      </w:pPr>
    </w:p>
    <w:p>
      <w:pPr>
        <w:ind w:right="440"/>
        <w:spacing w:after="0" w:line="322" w:lineRule="auto"/>
        <w:rPr>
          <w:sz w:val="20"/>
          <w:szCs w:val="20"/>
          <w:color w:val="auto"/>
        </w:rPr>
      </w:pPr>
      <w:r>
        <w:rPr>
          <w:rFonts w:ascii="Arial" w:cs="Arial" w:eastAsia="Arial" w:hAnsi="Arial"/>
          <w:sz w:val="16"/>
          <w:szCs w:val="16"/>
          <w:i w:val="1"/>
          <w:iCs w:val="1"/>
          <w:color w:val="auto"/>
        </w:rPr>
        <w:t>In Connection with a Change of Control</w:t>
      </w:r>
      <w:r>
        <w:rPr>
          <w:rFonts w:ascii="Arial" w:cs="Arial" w:eastAsia="Arial" w:hAnsi="Arial"/>
          <w:sz w:val="16"/>
          <w:szCs w:val="16"/>
          <w:color w:val="auto"/>
        </w:rPr>
        <w:t>. If Mr. Jellison were terminated without cause or resigned for good reason within one year following a</w:t>
      </w:r>
      <w:r>
        <w:rPr>
          <w:rFonts w:ascii="Arial" w:cs="Arial" w:eastAsia="Arial" w:hAnsi="Arial"/>
          <w:sz w:val="16"/>
          <w:szCs w:val="16"/>
          <w:i w:val="1"/>
          <w:iCs w:val="1"/>
          <w:color w:val="auto"/>
        </w:rPr>
        <w:t xml:space="preserve"> </w:t>
      </w:r>
      <w:r>
        <w:rPr>
          <w:rFonts w:ascii="Arial" w:cs="Arial" w:eastAsia="Arial" w:hAnsi="Arial"/>
          <w:sz w:val="16"/>
          <w:szCs w:val="16"/>
          <w:color w:val="auto"/>
        </w:rPr>
        <w:t>change of control of our Company, then in addition to accrued salary, prorated bonus and vested benefits, he would be entitled to:</w:t>
      </w:r>
    </w:p>
    <w:p>
      <w:pPr>
        <w:spacing w:after="0" w:line="10" w:lineRule="exact"/>
        <w:rPr>
          <w:sz w:val="20"/>
          <w:szCs w:val="20"/>
          <w:color w:val="auto"/>
        </w:rPr>
      </w:pPr>
    </w:p>
    <w:p>
      <w:pPr>
        <w:ind w:left="220" w:right="460" w:hanging="212"/>
        <w:spacing w:after="0" w:line="239" w:lineRule="auto"/>
        <w:tabs>
          <w:tab w:leader="none" w:pos="2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severance payment equal to two times the sum of (i) his then current base salary and (ii) the greater of the average of his last two years’ annual bonuses or his target bonus for the year of termination,</w:t>
      </w:r>
    </w:p>
    <w:p>
      <w:pPr>
        <w:spacing w:after="0" w:line="73" w:lineRule="exact"/>
        <w:rPr>
          <w:rFonts w:ascii="Arial" w:cs="Arial" w:eastAsia="Arial" w:hAnsi="Arial"/>
          <w:sz w:val="18"/>
          <w:szCs w:val="18"/>
          <w:color w:val="auto"/>
        </w:rPr>
      </w:pPr>
    </w:p>
    <w:p>
      <w:pPr>
        <w:ind w:left="220" w:hanging="212"/>
        <w:spacing w:after="0"/>
        <w:tabs>
          <w:tab w:leader="none" w:pos="2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accelerated vesting of all of his outstanding equity awards, and</w:t>
      </w:r>
    </w:p>
    <w:p>
      <w:pPr>
        <w:spacing w:after="0" w:line="76" w:lineRule="exact"/>
        <w:rPr>
          <w:rFonts w:ascii="Arial" w:cs="Arial" w:eastAsia="Arial" w:hAnsi="Arial"/>
          <w:sz w:val="18"/>
          <w:szCs w:val="18"/>
          <w:color w:val="auto"/>
        </w:rPr>
      </w:pPr>
    </w:p>
    <w:p>
      <w:pPr>
        <w:ind w:left="220" w:hanging="212"/>
        <w:spacing w:after="0"/>
        <w:tabs>
          <w:tab w:leader="none" w:pos="2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continuation of health and welfare benefits for a period of two years.</w:t>
      </w:r>
    </w:p>
    <w:p>
      <w:pPr>
        <w:spacing w:after="0" w:line="59"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i w:val="1"/>
          <w:iCs w:val="1"/>
          <w:color w:val="auto"/>
        </w:rPr>
        <w:t>Restrictive Covenants</w:t>
      </w:r>
      <w:r>
        <w:rPr>
          <w:rFonts w:ascii="Arial" w:cs="Arial" w:eastAsia="Arial" w:hAnsi="Arial"/>
          <w:sz w:val="18"/>
          <w:szCs w:val="18"/>
          <w:color w:val="auto"/>
        </w:rPr>
        <w:t>. Mr. Jellison has also agreed not to compete with our Company for a period of one year after his termination of employment</w:t>
      </w:r>
      <w:r>
        <w:rPr>
          <w:rFonts w:ascii="Arial" w:cs="Arial" w:eastAsia="Arial" w:hAnsi="Arial"/>
          <w:sz w:val="18"/>
          <w:szCs w:val="18"/>
          <w:i w:val="1"/>
          <w:iCs w:val="1"/>
          <w:color w:val="auto"/>
        </w:rPr>
        <w:t xml:space="preserve"> </w:t>
      </w:r>
      <w:r>
        <w:rPr>
          <w:rFonts w:ascii="Arial" w:cs="Arial" w:eastAsia="Arial" w:hAnsi="Arial"/>
          <w:sz w:val="18"/>
          <w:szCs w:val="18"/>
          <w:color w:val="auto"/>
        </w:rPr>
        <w:t>for any reason.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Offer Letters to Messrs. Humphrey and Liner</w:t>
      </w:r>
    </w:p>
    <w:p>
      <w:pPr>
        <w:spacing w:after="0" w:line="79" w:lineRule="exact"/>
        <w:rPr>
          <w:sz w:val="20"/>
          <w:szCs w:val="20"/>
          <w:color w:val="auto"/>
        </w:rPr>
      </w:pPr>
    </w:p>
    <w:p>
      <w:pPr>
        <w:ind w:right="320"/>
        <w:spacing w:after="0" w:line="247" w:lineRule="auto"/>
        <w:rPr>
          <w:sz w:val="20"/>
          <w:szCs w:val="20"/>
          <w:color w:val="auto"/>
        </w:rPr>
      </w:pPr>
      <w:r>
        <w:rPr>
          <w:rFonts w:ascii="Arial" w:cs="Arial" w:eastAsia="Arial" w:hAnsi="Arial"/>
          <w:sz w:val="18"/>
          <w:szCs w:val="18"/>
          <w:i w:val="1"/>
          <w:iCs w:val="1"/>
          <w:color w:val="auto"/>
        </w:rPr>
        <w:t xml:space="preserve">Mr. Humphrey. </w:t>
      </w:r>
      <w:r>
        <w:rPr>
          <w:rFonts w:ascii="Arial" w:cs="Arial" w:eastAsia="Arial" w:hAnsi="Arial"/>
          <w:sz w:val="18"/>
          <w:szCs w:val="18"/>
          <w:color w:val="auto"/>
        </w:rPr>
        <w:t>Pursuant to an offer letter dated April 24, 2006, as amended December 30, 2008, if Mr. Humphrey’s employment is terminated</w:t>
      </w:r>
      <w:r>
        <w:rPr>
          <w:rFonts w:ascii="Arial" w:cs="Arial" w:eastAsia="Arial" w:hAnsi="Arial"/>
          <w:sz w:val="18"/>
          <w:szCs w:val="18"/>
          <w:i w:val="1"/>
          <w:iCs w:val="1"/>
          <w:color w:val="auto"/>
        </w:rPr>
        <w:t xml:space="preserve"> </w:t>
      </w:r>
      <w:r>
        <w:rPr>
          <w:rFonts w:ascii="Arial" w:cs="Arial" w:eastAsia="Arial" w:hAnsi="Arial"/>
          <w:sz w:val="18"/>
          <w:szCs w:val="18"/>
          <w:color w:val="auto"/>
        </w:rPr>
        <w:t>without cause, he would be entitled to receive one year of medical benefit coverage and a severance payment equal to his then-current annual base salary.</w:t>
      </w:r>
    </w:p>
    <w:p>
      <w:pPr>
        <w:spacing w:after="0" w:line="50" w:lineRule="exact"/>
        <w:rPr>
          <w:sz w:val="20"/>
          <w:szCs w:val="20"/>
          <w:color w:val="auto"/>
        </w:rPr>
      </w:pPr>
    </w:p>
    <w:p>
      <w:pPr>
        <w:jc w:val="both"/>
        <w:ind w:right="100"/>
        <w:spacing w:after="0" w:line="247" w:lineRule="auto"/>
        <w:rPr>
          <w:sz w:val="20"/>
          <w:szCs w:val="20"/>
          <w:color w:val="auto"/>
        </w:rPr>
      </w:pPr>
      <w:r>
        <w:rPr>
          <w:rFonts w:ascii="Arial" w:cs="Arial" w:eastAsia="Arial" w:hAnsi="Arial"/>
          <w:sz w:val="18"/>
          <w:szCs w:val="18"/>
          <w:i w:val="1"/>
          <w:iCs w:val="1"/>
          <w:color w:val="auto"/>
        </w:rPr>
        <w:t xml:space="preserve">Mr. Liner. </w:t>
      </w:r>
      <w:r>
        <w:rPr>
          <w:rFonts w:ascii="Arial" w:cs="Arial" w:eastAsia="Arial" w:hAnsi="Arial"/>
          <w:sz w:val="18"/>
          <w:szCs w:val="18"/>
          <w:color w:val="auto"/>
        </w:rPr>
        <w:t>Pursuant to an offer letter dated July 21, 2005, as amended December 30, 2008, if Mr. Liner’s employment is terminated without cause,</w:t>
      </w:r>
      <w:r>
        <w:rPr>
          <w:rFonts w:ascii="Arial" w:cs="Arial" w:eastAsia="Arial" w:hAnsi="Arial"/>
          <w:sz w:val="18"/>
          <w:szCs w:val="18"/>
          <w:i w:val="1"/>
          <w:iCs w:val="1"/>
          <w:color w:val="auto"/>
        </w:rPr>
        <w:t xml:space="preserve"> </w:t>
      </w:r>
      <w:r>
        <w:rPr>
          <w:rFonts w:ascii="Arial" w:cs="Arial" w:eastAsia="Arial" w:hAnsi="Arial"/>
          <w:sz w:val="18"/>
          <w:szCs w:val="18"/>
          <w:color w:val="auto"/>
        </w:rPr>
        <w:t>he would be entitled to receive one year of medical benefit coverage and a severance payment equal to the sum of his then-current annual base salary and annual bonus earned with respect to the last year before the termination occurred.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336"/>
        </w:trPr>
        <w:tc>
          <w:tcPr>
            <w:tcW w:w="340" w:type="dxa"/>
            <w:vAlign w:val="bottom"/>
            <w:tcBorders>
              <w:right w:val="single" w:sz="8" w:color="225CAB"/>
            </w:tcBorders>
          </w:tcPr>
          <w:p>
            <w:pPr>
              <w:jc w:val="right"/>
              <w:ind w:right="52"/>
              <w:spacing w:after="0"/>
              <w:rPr>
                <w:sz w:val="20"/>
                <w:szCs w:val="20"/>
                <w:color w:val="auto"/>
              </w:rPr>
            </w:pPr>
            <w:r>
              <w:rPr>
                <w:rFonts w:ascii="Arial" w:cs="Arial" w:eastAsia="Arial" w:hAnsi="Arial"/>
                <w:sz w:val="18"/>
                <w:szCs w:val="18"/>
                <w:b w:val="1"/>
                <w:bCs w:val="1"/>
                <w:color w:val="225CAB"/>
                <w:w w:val="89"/>
              </w:rPr>
              <w:t>38</w:t>
            </w:r>
          </w:p>
        </w:tc>
        <w:tc>
          <w:tcPr>
            <w:tcW w:w="5180" w:type="dxa"/>
            <w:vAlign w:val="bottom"/>
          </w:tcPr>
          <w:p>
            <w:pPr>
              <w:ind w:left="1240"/>
              <w:spacing w:after="0"/>
              <w:rPr>
                <w:sz w:val="20"/>
                <w:szCs w:val="20"/>
                <w:color w:val="auto"/>
              </w:rPr>
            </w:pPr>
            <w:r>
              <w:rPr>
                <w:rFonts w:ascii="Arial" w:cs="Arial" w:eastAsia="Arial" w:hAnsi="Arial"/>
                <w:sz w:val="18"/>
                <w:szCs w:val="18"/>
                <w:b w:val="1"/>
                <w:bCs w:val="1"/>
                <w:color w:val="225CAB"/>
                <w:w w:val="96"/>
              </w:rPr>
              <w:t>Roper Technologies, Inc. 2016 Proxy Statement</w:t>
            </w:r>
          </w:p>
        </w:tc>
      </w:tr>
      <w:tr>
        <w:trPr>
          <w:trHeight w:val="110"/>
        </w:trPr>
        <w:tc>
          <w:tcPr>
            <w:tcW w:w="340" w:type="dxa"/>
            <w:vAlign w:val="bottom"/>
            <w:tcBorders>
              <w:right w:val="single" w:sz="8" w:color="225CAB"/>
            </w:tcBorders>
          </w:tcPr>
          <w:p>
            <w:pPr>
              <w:spacing w:after="0"/>
              <w:rPr>
                <w:sz w:val="9"/>
                <w:szCs w:val="9"/>
                <w:color w:val="auto"/>
              </w:rPr>
            </w:pPr>
          </w:p>
        </w:tc>
        <w:tc>
          <w:tcPr>
            <w:tcW w:w="518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-248285</wp:posOffset>
            </wp:positionV>
            <wp:extent cx="420370" cy="2057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225CAB"/>
        </w:rPr>
        <w:t xml:space="preserve">EXECUTIVE COMPENSATION </w:t>
      </w:r>
      <w:r>
        <w:rPr>
          <w:rFonts w:ascii="Arial" w:cs="Arial" w:eastAsia="Arial" w:hAnsi="Arial"/>
          <w:sz w:val="18"/>
          <w:szCs w:val="18"/>
          <w:i w:val="1"/>
          <w:iCs w:val="1"/>
          <w:color w:val="225CAB"/>
        </w:rPr>
        <w:t>(CONTINUED)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Summary of Termination Payments and Benefits</w:t>
      </w:r>
    </w:p>
    <w:p>
      <w:pPr>
        <w:spacing w:after="0" w:line="97" w:lineRule="exact"/>
        <w:rPr>
          <w:sz w:val="20"/>
          <w:szCs w:val="20"/>
          <w:color w:val="auto"/>
        </w:rPr>
      </w:pPr>
    </w:p>
    <w:p>
      <w:pPr>
        <w:ind w:right="120"/>
        <w:spacing w:after="0" w:line="273" w:lineRule="auto"/>
        <w:rPr>
          <w:sz w:val="20"/>
          <w:szCs w:val="20"/>
          <w:color w:val="auto"/>
        </w:rPr>
      </w:pPr>
      <w:r>
        <w:rPr>
          <w:rFonts w:ascii="Arial" w:cs="Arial" w:eastAsia="Arial" w:hAnsi="Arial"/>
          <w:sz w:val="16"/>
          <w:szCs w:val="16"/>
          <w:color w:val="auto"/>
        </w:rPr>
        <w:t>The following tables summarize the value of the termination payments and benefits that each of our named executive officers would receive if he had terminated employment on December 31, 2015 under the circumstances shown. Scenarios for termination due to involuntarily for cause, voluntary resignation, and retirement have not been included because, in those circumstances, no severance or other additional payments will be made to named executive officers. Scenarios for termination due to death or disability have not been included because they do not discriminate in scope, terms or operation in favor of named executive officers compared to the benefits offered to all salaried employees.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225CAB"/>
        </w:rPr>
        <w:t>B</w:t>
      </w:r>
      <w:r>
        <w:rPr>
          <w:rFonts w:ascii="Arial" w:cs="Arial" w:eastAsia="Arial" w:hAnsi="Arial"/>
          <w:sz w:val="14"/>
          <w:szCs w:val="14"/>
          <w:b w:val="1"/>
          <w:bCs w:val="1"/>
          <w:color w:val="225CAB"/>
        </w:rPr>
        <w:t>RIAN</w:t>
      </w:r>
      <w:r>
        <w:rPr>
          <w:rFonts w:ascii="Arial" w:cs="Arial" w:eastAsia="Arial" w:hAnsi="Arial"/>
          <w:sz w:val="18"/>
          <w:szCs w:val="18"/>
          <w:b w:val="1"/>
          <w:bCs w:val="1"/>
          <w:color w:val="225CAB"/>
        </w:rPr>
        <w:t xml:space="preserve"> D. J</w:t>
      </w:r>
      <w:r>
        <w:rPr>
          <w:rFonts w:ascii="Arial" w:cs="Arial" w:eastAsia="Arial" w:hAnsi="Arial"/>
          <w:sz w:val="14"/>
          <w:szCs w:val="14"/>
          <w:b w:val="1"/>
          <w:bCs w:val="1"/>
          <w:color w:val="225CAB"/>
        </w:rPr>
        <w:t>ELLISON</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tcPr>
          <w:p>
            <w:pPr>
              <w:jc w:val="center"/>
              <w:ind w:left="40"/>
              <w:spacing w:after="0"/>
              <w:rPr>
                <w:sz w:val="20"/>
                <w:szCs w:val="20"/>
                <w:color w:val="auto"/>
              </w:rPr>
            </w:pPr>
            <w:r>
              <w:rPr>
                <w:rFonts w:ascii="Arial" w:cs="Arial" w:eastAsia="Arial" w:hAnsi="Arial"/>
                <w:sz w:val="14"/>
                <w:szCs w:val="14"/>
                <w:color w:val="auto"/>
                <w:w w:val="96"/>
              </w:rPr>
              <w:t>Termination Scenario</w:t>
            </w:r>
          </w:p>
        </w:tc>
        <w:tc>
          <w:tcPr>
            <w:tcW w:w="4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1"/>
        </w:trPr>
        <w:tc>
          <w:tcPr>
            <w:tcW w:w="86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center"/>
              <w:ind w:right="227"/>
              <w:spacing w:after="0" w:line="141" w:lineRule="exact"/>
              <w:rPr>
                <w:sz w:val="20"/>
                <w:szCs w:val="20"/>
                <w:color w:val="auto"/>
              </w:rPr>
            </w:pPr>
            <w:r>
              <w:rPr>
                <w:rFonts w:ascii="Arial" w:cs="Arial" w:eastAsia="Arial" w:hAnsi="Arial"/>
                <w:sz w:val="14"/>
                <w:szCs w:val="14"/>
                <w:color w:val="auto"/>
                <w:w w:val="96"/>
              </w:rPr>
              <w:t>By Employee</w:t>
            </w:r>
          </w:p>
        </w:tc>
        <w:tc>
          <w:tcPr>
            <w:tcW w:w="2000" w:type="dxa"/>
            <w:vAlign w:val="bottom"/>
          </w:tcPr>
          <w:p>
            <w:pPr>
              <w:jc w:val="center"/>
              <w:ind w:left="60"/>
              <w:spacing w:after="0" w:line="141" w:lineRule="exact"/>
              <w:rPr>
                <w:sz w:val="20"/>
                <w:szCs w:val="20"/>
                <w:color w:val="auto"/>
              </w:rPr>
            </w:pPr>
            <w:r>
              <w:rPr>
                <w:rFonts w:ascii="Arial" w:cs="Arial" w:eastAsia="Arial" w:hAnsi="Arial"/>
                <w:sz w:val="14"/>
                <w:szCs w:val="14"/>
                <w:color w:val="auto"/>
                <w:w w:val="97"/>
              </w:rPr>
              <w:t>By Company</w:t>
            </w: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86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center"/>
              <w:ind w:right="207"/>
              <w:spacing w:after="0" w:line="142" w:lineRule="exact"/>
              <w:rPr>
                <w:sz w:val="20"/>
                <w:szCs w:val="20"/>
                <w:color w:val="auto"/>
              </w:rPr>
            </w:pPr>
            <w:r>
              <w:rPr>
                <w:rFonts w:ascii="Arial" w:cs="Arial" w:eastAsia="Arial" w:hAnsi="Arial"/>
                <w:sz w:val="14"/>
                <w:szCs w:val="14"/>
                <w:color w:val="auto"/>
                <w:w w:val="97"/>
              </w:rPr>
              <w:t>For Good</w:t>
            </w:r>
          </w:p>
        </w:tc>
        <w:tc>
          <w:tcPr>
            <w:tcW w:w="2000" w:type="dxa"/>
            <w:vAlign w:val="bottom"/>
          </w:tcPr>
          <w:p>
            <w:pPr>
              <w:jc w:val="center"/>
              <w:ind w:left="60"/>
              <w:spacing w:after="0" w:line="142" w:lineRule="exact"/>
              <w:rPr>
                <w:sz w:val="20"/>
                <w:szCs w:val="20"/>
                <w:color w:val="auto"/>
              </w:rPr>
            </w:pPr>
            <w:r>
              <w:rPr>
                <w:rFonts w:ascii="Arial" w:cs="Arial" w:eastAsia="Arial" w:hAnsi="Arial"/>
                <w:sz w:val="14"/>
                <w:szCs w:val="14"/>
                <w:color w:val="auto"/>
                <w:w w:val="96"/>
              </w:rPr>
              <w:t>Without</w:t>
            </w:r>
          </w:p>
        </w:tc>
        <w:tc>
          <w:tcPr>
            <w:tcW w:w="400" w:type="dxa"/>
            <w:vAlign w:val="bottom"/>
          </w:tcPr>
          <w:p>
            <w:pPr>
              <w:spacing w:after="0"/>
              <w:rPr>
                <w:sz w:val="12"/>
                <w:szCs w:val="12"/>
                <w:color w:val="auto"/>
              </w:rPr>
            </w:pPr>
          </w:p>
        </w:tc>
        <w:tc>
          <w:tcPr>
            <w:tcW w:w="760" w:type="dxa"/>
            <w:vAlign w:val="bottom"/>
            <w:gridSpan w:val="2"/>
          </w:tcPr>
          <w:p>
            <w:pPr>
              <w:jc w:val="center"/>
              <w:spacing w:after="0" w:line="142" w:lineRule="exact"/>
              <w:rPr>
                <w:sz w:val="20"/>
                <w:szCs w:val="20"/>
                <w:color w:val="auto"/>
              </w:rPr>
            </w:pPr>
            <w:r>
              <w:rPr>
                <w:rFonts w:ascii="Arial" w:cs="Arial" w:eastAsia="Arial" w:hAnsi="Arial"/>
                <w:sz w:val="14"/>
                <w:szCs w:val="14"/>
                <w:color w:val="auto"/>
                <w:w w:val="95"/>
              </w:rPr>
              <w:t>Change-in-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9"/>
        </w:trPr>
        <w:tc>
          <w:tcPr>
            <w:tcW w:w="650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rPr>
              <w:t>Potential Payments Upon Termination or Change-in-Control</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207"/>
              <w:spacing w:after="0"/>
              <w:rPr>
                <w:sz w:val="20"/>
                <w:szCs w:val="20"/>
                <w:color w:val="auto"/>
              </w:rPr>
            </w:pPr>
            <w:r>
              <w:rPr>
                <w:rFonts w:ascii="Arial" w:cs="Arial" w:eastAsia="Arial" w:hAnsi="Arial"/>
                <w:sz w:val="14"/>
                <w:szCs w:val="14"/>
                <w:color w:val="auto"/>
                <w:w w:val="95"/>
              </w:rPr>
              <w:t>Reason</w:t>
            </w:r>
          </w:p>
        </w:tc>
        <w:tc>
          <w:tcPr>
            <w:tcW w:w="2000" w:type="dxa"/>
            <w:vAlign w:val="bottom"/>
            <w:tcBorders>
              <w:bottom w:val="single" w:sz="8" w:color="auto"/>
            </w:tcBorders>
          </w:tcPr>
          <w:p>
            <w:pPr>
              <w:jc w:val="center"/>
              <w:ind w:left="40"/>
              <w:spacing w:after="0"/>
              <w:rPr>
                <w:sz w:val="20"/>
                <w:szCs w:val="20"/>
                <w:color w:val="auto"/>
              </w:rPr>
            </w:pPr>
            <w:r>
              <w:rPr>
                <w:rFonts w:ascii="Arial" w:cs="Arial" w:eastAsia="Arial" w:hAnsi="Arial"/>
                <w:sz w:val="14"/>
                <w:szCs w:val="14"/>
                <w:color w:val="auto"/>
                <w:w w:val="98"/>
              </w:rPr>
              <w:t>Cause</w:t>
            </w:r>
          </w:p>
        </w:tc>
        <w:tc>
          <w:tcPr>
            <w:tcW w:w="4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center"/>
              <w:spacing w:after="0" w:line="170" w:lineRule="exact"/>
              <w:rPr>
                <w:sz w:val="20"/>
                <w:szCs w:val="20"/>
                <w:color w:val="auto"/>
              </w:rPr>
            </w:pPr>
            <w:r>
              <w:rPr>
                <w:rFonts w:ascii="Arial" w:cs="Arial" w:eastAsia="Arial" w:hAnsi="Arial"/>
                <w:sz w:val="12"/>
                <w:szCs w:val="12"/>
                <w:color w:val="auto"/>
              </w:rPr>
              <w:t>Control</w:t>
            </w:r>
            <w:r>
              <w:rPr>
                <w:rFonts w:ascii="Arial" w:cs="Arial" w:eastAsia="Arial" w:hAnsi="Arial"/>
                <w:sz w:val="19"/>
                <w:szCs w:val="19"/>
                <w:color w:val="auto"/>
                <w:vertAlign w:val="superscript"/>
              </w:rPr>
              <w:t>(1)</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r>
      <w:tr>
        <w:trPr>
          <w:trHeight w:val="196"/>
        </w:trPr>
        <w:tc>
          <w:tcPr>
            <w:tcW w:w="6500" w:type="dxa"/>
            <w:vAlign w:val="bottom"/>
            <w:gridSpan w:val="3"/>
            <w:shd w:val="clear" w:color="auto" w:fill="D2DEEE"/>
          </w:tcPr>
          <w:p>
            <w:pPr>
              <w:spacing w:after="0" w:line="196" w:lineRule="exact"/>
              <w:rPr>
                <w:sz w:val="20"/>
                <w:szCs w:val="20"/>
                <w:color w:val="auto"/>
              </w:rPr>
            </w:pPr>
            <w:r>
              <w:rPr>
                <w:rFonts w:ascii="Arial" w:cs="Arial" w:eastAsia="Arial" w:hAnsi="Arial"/>
                <w:sz w:val="18"/>
                <w:szCs w:val="18"/>
                <w:color w:val="auto"/>
              </w:rPr>
              <w:t>Cash payments</w:t>
            </w:r>
          </w:p>
        </w:tc>
        <w:tc>
          <w:tcPr>
            <w:tcW w:w="60" w:type="dxa"/>
            <w:vAlign w:val="bottom"/>
            <w:shd w:val="clear" w:color="auto" w:fill="D2DEEE"/>
          </w:tcPr>
          <w:p>
            <w:pPr>
              <w:spacing w:after="0"/>
              <w:rPr>
                <w:sz w:val="17"/>
                <w:szCs w:val="17"/>
                <w:color w:val="auto"/>
              </w:rPr>
            </w:pPr>
          </w:p>
        </w:tc>
        <w:tc>
          <w:tcPr>
            <w:tcW w:w="100" w:type="dxa"/>
            <w:vAlign w:val="bottom"/>
            <w:shd w:val="clear" w:color="auto" w:fill="D2DEEE"/>
          </w:tcPr>
          <w:p>
            <w:pPr>
              <w:spacing w:after="0"/>
              <w:rPr>
                <w:sz w:val="17"/>
                <w:szCs w:val="17"/>
                <w:color w:val="auto"/>
              </w:rPr>
            </w:pPr>
          </w:p>
        </w:tc>
        <w:tc>
          <w:tcPr>
            <w:tcW w:w="1360" w:type="dxa"/>
            <w:vAlign w:val="bottom"/>
            <w:gridSpan w:val="2"/>
            <w:shd w:val="clear" w:color="auto" w:fill="D2DEEE"/>
          </w:tcPr>
          <w:p>
            <w:pPr>
              <w:jc w:val="center"/>
              <w:ind w:right="27"/>
              <w:spacing w:after="0" w:line="196" w:lineRule="exact"/>
              <w:rPr>
                <w:sz w:val="20"/>
                <w:szCs w:val="20"/>
                <w:color w:val="auto"/>
              </w:rPr>
            </w:pPr>
            <w:r>
              <w:rPr>
                <w:rFonts w:ascii="Arial" w:cs="Arial" w:eastAsia="Arial" w:hAnsi="Arial"/>
                <w:sz w:val="18"/>
                <w:szCs w:val="18"/>
                <w:color w:val="auto"/>
                <w:w w:val="99"/>
              </w:rPr>
              <w:t>$2,450,000</w:t>
            </w:r>
          </w:p>
        </w:tc>
        <w:tc>
          <w:tcPr>
            <w:tcW w:w="2000" w:type="dxa"/>
            <w:vAlign w:val="bottom"/>
            <w:shd w:val="clear" w:color="auto" w:fill="D2DEEE"/>
          </w:tcPr>
          <w:p>
            <w:pPr>
              <w:jc w:val="right"/>
              <w:ind w:right="420"/>
              <w:spacing w:after="0" w:line="196" w:lineRule="exact"/>
              <w:rPr>
                <w:sz w:val="20"/>
                <w:szCs w:val="20"/>
                <w:color w:val="auto"/>
              </w:rPr>
            </w:pPr>
            <w:r>
              <w:rPr>
                <w:rFonts w:ascii="Arial" w:cs="Arial" w:eastAsia="Arial" w:hAnsi="Arial"/>
                <w:sz w:val="18"/>
                <w:szCs w:val="18"/>
                <w:color w:val="auto"/>
              </w:rPr>
              <w:t>$2,450,000</w:t>
            </w:r>
          </w:p>
        </w:tc>
        <w:tc>
          <w:tcPr>
            <w:tcW w:w="400" w:type="dxa"/>
            <w:vAlign w:val="bottom"/>
            <w:shd w:val="clear" w:color="auto" w:fill="D2DEEE"/>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gridSpan w:val="3"/>
            <w:shd w:val="clear" w:color="auto" w:fill="D2DEEE"/>
          </w:tcPr>
          <w:p>
            <w:pPr>
              <w:jc w:val="right"/>
              <w:spacing w:after="0" w:line="196" w:lineRule="exact"/>
              <w:rPr>
                <w:sz w:val="20"/>
                <w:szCs w:val="20"/>
                <w:color w:val="auto"/>
              </w:rPr>
            </w:pPr>
            <w:r>
              <w:rPr>
                <w:rFonts w:ascii="Arial" w:cs="Arial" w:eastAsia="Arial" w:hAnsi="Arial"/>
                <w:sz w:val="18"/>
                <w:szCs w:val="18"/>
                <w:color w:val="auto"/>
              </w:rPr>
              <w:t>2,450,000</w:t>
            </w:r>
          </w:p>
        </w:tc>
        <w:tc>
          <w:tcPr>
            <w:tcW w:w="100" w:type="dxa"/>
            <w:vAlign w:val="bottom"/>
            <w:shd w:val="clear" w:color="auto" w:fill="D2DEEE"/>
          </w:tcPr>
          <w:p>
            <w:pPr>
              <w:spacing w:after="0"/>
              <w:rPr>
                <w:sz w:val="17"/>
                <w:szCs w:val="17"/>
                <w:color w:val="auto"/>
              </w:rPr>
            </w:pPr>
          </w:p>
        </w:tc>
      </w:tr>
      <w:tr>
        <w:trPr>
          <w:trHeight w:val="203"/>
        </w:trPr>
        <w:tc>
          <w:tcPr>
            <w:tcW w:w="6500" w:type="dxa"/>
            <w:vAlign w:val="bottom"/>
            <w:gridSpan w:val="3"/>
          </w:tcPr>
          <w:p>
            <w:pPr>
              <w:spacing w:after="0" w:line="202" w:lineRule="exact"/>
              <w:rPr>
                <w:sz w:val="20"/>
                <w:szCs w:val="20"/>
                <w:color w:val="auto"/>
              </w:rPr>
            </w:pPr>
            <w:r>
              <w:rPr>
                <w:rFonts w:ascii="Arial" w:cs="Arial" w:eastAsia="Arial" w:hAnsi="Arial"/>
                <w:sz w:val="18"/>
                <w:szCs w:val="18"/>
                <w:color w:val="auto"/>
              </w:rPr>
              <w:t>Accelerated Equity Awards</w:t>
            </w:r>
            <w:r>
              <w:rPr>
                <w:rFonts w:ascii="Arial" w:cs="Arial" w:eastAsia="Arial" w:hAnsi="Arial"/>
                <w:sz w:val="11"/>
                <w:szCs w:val="11"/>
                <w:color w:val="auto"/>
              </w:rPr>
              <w:t>(2)(3)</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60" w:type="dxa"/>
            <w:vAlign w:val="bottom"/>
            <w:shd w:val="clear" w:color="auto" w:fill="D2DEEE"/>
          </w:tcPr>
          <w:p>
            <w:pPr>
              <w:ind w:left="440"/>
              <w:spacing w:after="0" w:line="202" w:lineRule="exact"/>
              <w:rPr>
                <w:sz w:val="20"/>
                <w:szCs w:val="20"/>
                <w:color w:val="auto"/>
              </w:rPr>
            </w:pPr>
            <w:r>
              <w:rPr>
                <w:rFonts w:ascii="Arial" w:cs="Arial" w:eastAsia="Arial" w:hAnsi="Arial"/>
                <w:sz w:val="18"/>
                <w:szCs w:val="18"/>
                <w:color w:val="auto"/>
                <w:w w:val="99"/>
              </w:rPr>
              <w:t>2014</w:t>
            </w:r>
          </w:p>
        </w:tc>
        <w:tc>
          <w:tcPr>
            <w:tcW w:w="5640" w:type="dxa"/>
            <w:vAlign w:val="bottom"/>
            <w:gridSpan w:val="2"/>
            <w:shd w:val="clear" w:color="auto" w:fill="D2DEEE"/>
          </w:tcPr>
          <w:p>
            <w:pPr>
              <w:ind w:left="20"/>
              <w:spacing w:after="0" w:line="202" w:lineRule="exact"/>
              <w:rPr>
                <w:sz w:val="20"/>
                <w:szCs w:val="20"/>
                <w:color w:val="auto"/>
              </w:rPr>
            </w:pPr>
            <w:r>
              <w:rPr>
                <w:rFonts w:ascii="Arial" w:cs="Arial" w:eastAsia="Arial" w:hAnsi="Arial"/>
                <w:sz w:val="18"/>
                <w:szCs w:val="18"/>
                <w:color w:val="auto"/>
              </w:rPr>
              <w:t>Restricted Stock Grant</w:t>
            </w:r>
          </w:p>
        </w:tc>
        <w:tc>
          <w:tcPr>
            <w:tcW w:w="60" w:type="dxa"/>
            <w:vAlign w:val="bottom"/>
            <w:shd w:val="clear" w:color="auto" w:fill="D2DEEE"/>
          </w:tcPr>
          <w:p>
            <w:pPr>
              <w:spacing w:after="0"/>
              <w:rPr>
                <w:sz w:val="17"/>
                <w:szCs w:val="17"/>
                <w:color w:val="auto"/>
              </w:rPr>
            </w:pPr>
          </w:p>
        </w:tc>
        <w:tc>
          <w:tcPr>
            <w:tcW w:w="100" w:type="dxa"/>
            <w:vAlign w:val="bottom"/>
            <w:shd w:val="clear" w:color="auto" w:fill="D2DEEE"/>
          </w:tcPr>
          <w:p>
            <w:pPr>
              <w:spacing w:after="0"/>
              <w:rPr>
                <w:sz w:val="17"/>
                <w:szCs w:val="17"/>
                <w:color w:val="auto"/>
              </w:rPr>
            </w:pPr>
          </w:p>
        </w:tc>
        <w:tc>
          <w:tcPr>
            <w:tcW w:w="1360" w:type="dxa"/>
            <w:vAlign w:val="bottom"/>
            <w:gridSpan w:val="2"/>
            <w:shd w:val="clear" w:color="auto" w:fill="D2DEEE"/>
          </w:tcPr>
          <w:p>
            <w:pPr>
              <w:jc w:val="right"/>
              <w:ind w:right="307"/>
              <w:spacing w:after="0" w:line="202" w:lineRule="exact"/>
              <w:rPr>
                <w:sz w:val="20"/>
                <w:szCs w:val="20"/>
                <w:color w:val="auto"/>
              </w:rPr>
            </w:pPr>
            <w:r>
              <w:rPr>
                <w:rFonts w:ascii="Arial" w:cs="Arial" w:eastAsia="Arial" w:hAnsi="Arial"/>
                <w:sz w:val="18"/>
                <w:szCs w:val="18"/>
                <w:color w:val="auto"/>
              </w:rPr>
              <w:t>-</w:t>
            </w:r>
          </w:p>
        </w:tc>
        <w:tc>
          <w:tcPr>
            <w:tcW w:w="2000" w:type="dxa"/>
            <w:vAlign w:val="bottom"/>
            <w:shd w:val="clear" w:color="auto" w:fill="D2DEEE"/>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D2DEEE"/>
          </w:tcPr>
          <w:p>
            <w:pPr>
              <w:spacing w:after="0"/>
              <w:rPr>
                <w:sz w:val="17"/>
                <w:szCs w:val="17"/>
                <w:color w:val="auto"/>
              </w:rPr>
            </w:pPr>
          </w:p>
        </w:tc>
        <w:tc>
          <w:tcPr>
            <w:tcW w:w="900" w:type="dxa"/>
            <w:vAlign w:val="bottom"/>
            <w:gridSpan w:val="3"/>
            <w:shd w:val="clear" w:color="auto" w:fill="D2DEEE"/>
          </w:tcPr>
          <w:p>
            <w:pPr>
              <w:jc w:val="right"/>
              <w:spacing w:after="0" w:line="202" w:lineRule="exact"/>
              <w:rPr>
                <w:sz w:val="20"/>
                <w:szCs w:val="20"/>
                <w:color w:val="auto"/>
              </w:rPr>
            </w:pPr>
            <w:r>
              <w:rPr>
                <w:rFonts w:ascii="Arial" w:cs="Arial" w:eastAsia="Arial" w:hAnsi="Arial"/>
                <w:sz w:val="18"/>
                <w:szCs w:val="18"/>
                <w:color w:val="auto"/>
              </w:rPr>
              <w:t>9,489,500</w:t>
            </w:r>
          </w:p>
        </w:tc>
        <w:tc>
          <w:tcPr>
            <w:tcW w:w="100" w:type="dxa"/>
            <w:vAlign w:val="bottom"/>
            <w:shd w:val="clear" w:color="auto" w:fill="D2DEEE"/>
          </w:tcPr>
          <w:p>
            <w:pPr>
              <w:spacing w:after="0"/>
              <w:rPr>
                <w:sz w:val="17"/>
                <w:szCs w:val="17"/>
                <w:color w:val="auto"/>
              </w:rPr>
            </w:pPr>
          </w:p>
        </w:tc>
      </w:tr>
      <w:tr>
        <w:trPr>
          <w:trHeight w:val="203"/>
        </w:trPr>
        <w:tc>
          <w:tcPr>
            <w:tcW w:w="860" w:type="dxa"/>
            <w:vAlign w:val="bottom"/>
          </w:tcPr>
          <w:p>
            <w:pPr>
              <w:ind w:left="440"/>
              <w:spacing w:after="0" w:line="202" w:lineRule="exact"/>
              <w:rPr>
                <w:sz w:val="20"/>
                <w:szCs w:val="20"/>
                <w:color w:val="auto"/>
              </w:rPr>
            </w:pPr>
            <w:r>
              <w:rPr>
                <w:rFonts w:ascii="Arial" w:cs="Arial" w:eastAsia="Arial" w:hAnsi="Arial"/>
                <w:sz w:val="18"/>
                <w:szCs w:val="18"/>
                <w:color w:val="auto"/>
                <w:w w:val="99"/>
              </w:rPr>
              <w:t>2015</w:t>
            </w:r>
          </w:p>
        </w:tc>
        <w:tc>
          <w:tcPr>
            <w:tcW w:w="56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Restricted Stock Grant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307"/>
              <w:spacing w:after="0" w:line="202" w:lineRule="exact"/>
              <w:rPr>
                <w:sz w:val="20"/>
                <w:szCs w:val="20"/>
                <w:color w:val="auto"/>
              </w:rPr>
            </w:pPr>
            <w:r>
              <w:rPr>
                <w:rFonts w:ascii="Arial" w:cs="Arial" w:eastAsia="Arial" w:hAnsi="Arial"/>
                <w:sz w:val="18"/>
                <w:szCs w:val="18"/>
                <w:color w:val="auto"/>
              </w:rPr>
              <w:t>-</w:t>
            </w:r>
          </w:p>
        </w:tc>
        <w:tc>
          <w:tcPr>
            <w:tcW w:w="2000" w:type="dxa"/>
            <w:vAlign w:val="bottom"/>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900" w:type="dxa"/>
            <w:vAlign w:val="bottom"/>
            <w:gridSpan w:val="3"/>
          </w:tcPr>
          <w:p>
            <w:pPr>
              <w:jc w:val="right"/>
              <w:spacing w:after="0" w:line="202" w:lineRule="exact"/>
              <w:rPr>
                <w:sz w:val="20"/>
                <w:szCs w:val="20"/>
                <w:color w:val="auto"/>
              </w:rPr>
            </w:pPr>
            <w:r>
              <w:rPr>
                <w:rFonts w:ascii="Arial" w:cs="Arial" w:eastAsia="Arial" w:hAnsi="Arial"/>
                <w:sz w:val="18"/>
                <w:szCs w:val="18"/>
                <w:color w:val="auto"/>
                <w:w w:val="97"/>
              </w:rPr>
              <w:t>28,468,500</w:t>
            </w:r>
          </w:p>
        </w:tc>
        <w:tc>
          <w:tcPr>
            <w:tcW w:w="100" w:type="dxa"/>
            <w:vAlign w:val="bottom"/>
          </w:tcPr>
          <w:p>
            <w:pPr>
              <w:spacing w:after="0"/>
              <w:rPr>
                <w:sz w:val="17"/>
                <w:szCs w:val="17"/>
                <w:color w:val="auto"/>
              </w:rPr>
            </w:pPr>
          </w:p>
        </w:tc>
      </w:tr>
      <w:tr>
        <w:trPr>
          <w:trHeight w:val="203"/>
        </w:trPr>
        <w:tc>
          <w:tcPr>
            <w:tcW w:w="6500" w:type="dxa"/>
            <w:vAlign w:val="bottom"/>
            <w:gridSpan w:val="3"/>
            <w:shd w:val="clear" w:color="auto" w:fill="D2DEEE"/>
          </w:tcPr>
          <w:p>
            <w:pPr>
              <w:spacing w:after="0" w:line="202" w:lineRule="exact"/>
              <w:rPr>
                <w:sz w:val="20"/>
                <w:szCs w:val="20"/>
                <w:color w:val="auto"/>
              </w:rPr>
            </w:pPr>
            <w:r>
              <w:rPr>
                <w:rFonts w:ascii="Arial" w:cs="Arial" w:eastAsia="Arial" w:hAnsi="Arial"/>
                <w:sz w:val="18"/>
                <w:szCs w:val="18"/>
                <w:color w:val="auto"/>
              </w:rPr>
              <w:t>Continued Medical Benefits</w:t>
            </w:r>
          </w:p>
        </w:tc>
        <w:tc>
          <w:tcPr>
            <w:tcW w:w="60" w:type="dxa"/>
            <w:vAlign w:val="bottom"/>
            <w:tcBorders>
              <w:bottom w:val="single" w:sz="8" w:color="auto"/>
            </w:tcBorders>
            <w:shd w:val="clear" w:color="auto" w:fill="D2DEEE"/>
          </w:tcPr>
          <w:p>
            <w:pPr>
              <w:spacing w:after="0"/>
              <w:rPr>
                <w:sz w:val="17"/>
                <w:szCs w:val="17"/>
                <w:color w:val="auto"/>
              </w:rPr>
            </w:pPr>
          </w:p>
        </w:tc>
        <w:tc>
          <w:tcPr>
            <w:tcW w:w="100" w:type="dxa"/>
            <w:vAlign w:val="bottom"/>
            <w:tcBorders>
              <w:bottom w:val="single" w:sz="8" w:color="auto"/>
            </w:tcBorders>
            <w:shd w:val="clear" w:color="auto" w:fill="D2DEEE"/>
          </w:tcPr>
          <w:p>
            <w:pPr>
              <w:spacing w:after="0"/>
              <w:rPr>
                <w:sz w:val="17"/>
                <w:szCs w:val="17"/>
                <w:color w:val="auto"/>
              </w:rPr>
            </w:pPr>
          </w:p>
        </w:tc>
        <w:tc>
          <w:tcPr>
            <w:tcW w:w="1360" w:type="dxa"/>
            <w:vAlign w:val="bottom"/>
            <w:tcBorders>
              <w:bottom w:val="single" w:sz="8" w:color="auto"/>
            </w:tcBorders>
            <w:gridSpan w:val="2"/>
            <w:shd w:val="clear" w:color="auto" w:fill="D2DEEE"/>
          </w:tcPr>
          <w:p>
            <w:pPr>
              <w:ind w:left="540"/>
              <w:spacing w:after="0" w:line="202" w:lineRule="exact"/>
              <w:rPr>
                <w:sz w:val="20"/>
                <w:szCs w:val="20"/>
                <w:color w:val="auto"/>
              </w:rPr>
            </w:pPr>
            <w:r>
              <w:rPr>
                <w:rFonts w:ascii="Arial" w:cs="Arial" w:eastAsia="Arial" w:hAnsi="Arial"/>
                <w:sz w:val="18"/>
                <w:szCs w:val="18"/>
                <w:color w:val="auto"/>
              </w:rPr>
              <w:t>26,544</w:t>
            </w:r>
          </w:p>
        </w:tc>
        <w:tc>
          <w:tcPr>
            <w:tcW w:w="2000" w:type="dxa"/>
            <w:vAlign w:val="bottom"/>
            <w:tcBorders>
              <w:bottom w:val="single" w:sz="8" w:color="auto"/>
            </w:tcBorders>
            <w:shd w:val="clear" w:color="auto" w:fill="D2DEEE"/>
          </w:tcPr>
          <w:p>
            <w:pPr>
              <w:jc w:val="right"/>
              <w:ind w:right="420"/>
              <w:spacing w:after="0" w:line="202" w:lineRule="exact"/>
              <w:rPr>
                <w:sz w:val="20"/>
                <w:szCs w:val="20"/>
                <w:color w:val="auto"/>
              </w:rPr>
            </w:pPr>
            <w:r>
              <w:rPr>
                <w:rFonts w:ascii="Arial" w:cs="Arial" w:eastAsia="Arial" w:hAnsi="Arial"/>
                <w:sz w:val="18"/>
                <w:szCs w:val="18"/>
                <w:color w:val="auto"/>
              </w:rPr>
              <w:t>26,544</w:t>
            </w:r>
          </w:p>
        </w:tc>
        <w:tc>
          <w:tcPr>
            <w:tcW w:w="400" w:type="dxa"/>
            <w:vAlign w:val="bottom"/>
            <w:tcBorders>
              <w:bottom w:val="single" w:sz="8" w:color="auto"/>
            </w:tcBorders>
            <w:shd w:val="clear" w:color="auto" w:fill="D2DEEE"/>
          </w:tcPr>
          <w:p>
            <w:pPr>
              <w:spacing w:after="0"/>
              <w:rPr>
                <w:sz w:val="17"/>
                <w:szCs w:val="17"/>
                <w:color w:val="auto"/>
              </w:rPr>
            </w:pPr>
          </w:p>
        </w:tc>
        <w:tc>
          <w:tcPr>
            <w:tcW w:w="1000" w:type="dxa"/>
            <w:vAlign w:val="bottom"/>
            <w:tcBorders>
              <w:bottom w:val="single" w:sz="8" w:color="auto"/>
            </w:tcBorders>
            <w:gridSpan w:val="4"/>
            <w:shd w:val="clear" w:color="auto" w:fill="D2DEEE"/>
          </w:tcPr>
          <w:p>
            <w:pPr>
              <w:jc w:val="right"/>
              <w:ind w:right="100"/>
              <w:spacing w:after="0" w:line="202" w:lineRule="exact"/>
              <w:rPr>
                <w:sz w:val="20"/>
                <w:szCs w:val="20"/>
                <w:color w:val="auto"/>
              </w:rPr>
            </w:pPr>
            <w:r>
              <w:rPr>
                <w:rFonts w:ascii="Arial" w:cs="Arial" w:eastAsia="Arial" w:hAnsi="Arial"/>
                <w:sz w:val="18"/>
                <w:szCs w:val="18"/>
                <w:color w:val="auto"/>
              </w:rPr>
              <w:t>26,544</w:t>
            </w:r>
          </w:p>
        </w:tc>
      </w:tr>
      <w:tr>
        <w:trPr>
          <w:trHeight w:val="196"/>
        </w:trPr>
        <w:tc>
          <w:tcPr>
            <w:tcW w:w="860" w:type="dxa"/>
            <w:vAlign w:val="bottom"/>
            <w:tcBorders>
              <w:bottom w:val="single" w:sz="8" w:color="auto"/>
            </w:tcBorders>
          </w:tcPr>
          <w:p>
            <w:pPr>
              <w:spacing w:after="0" w:line="195" w:lineRule="exact"/>
              <w:rPr>
                <w:sz w:val="20"/>
                <w:szCs w:val="20"/>
                <w:color w:val="auto"/>
              </w:rPr>
            </w:pPr>
            <w:r>
              <w:rPr>
                <w:rFonts w:ascii="Arial" w:cs="Arial" w:eastAsia="Arial" w:hAnsi="Arial"/>
                <w:sz w:val="18"/>
                <w:szCs w:val="18"/>
                <w:color w:val="auto"/>
              </w:rPr>
              <w:t>Total</w:t>
            </w:r>
          </w:p>
        </w:tc>
        <w:tc>
          <w:tcPr>
            <w:tcW w:w="50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jc w:val="center"/>
              <w:ind w:right="27"/>
              <w:spacing w:after="0" w:line="196" w:lineRule="exact"/>
              <w:rPr>
                <w:sz w:val="20"/>
                <w:szCs w:val="20"/>
                <w:color w:val="auto"/>
              </w:rPr>
            </w:pPr>
            <w:r>
              <w:rPr>
                <w:rFonts w:ascii="Arial" w:cs="Arial" w:eastAsia="Arial" w:hAnsi="Arial"/>
                <w:sz w:val="18"/>
                <w:szCs w:val="18"/>
                <w:color w:val="auto"/>
                <w:w w:val="99"/>
              </w:rPr>
              <w:t>$2,476,544</w:t>
            </w:r>
          </w:p>
        </w:tc>
        <w:tc>
          <w:tcPr>
            <w:tcW w:w="2000" w:type="dxa"/>
            <w:vAlign w:val="bottom"/>
            <w:tcBorders>
              <w:bottom w:val="single" w:sz="8" w:color="auto"/>
            </w:tcBorders>
          </w:tcPr>
          <w:p>
            <w:pPr>
              <w:jc w:val="right"/>
              <w:ind w:right="420"/>
              <w:spacing w:after="0" w:line="196" w:lineRule="exact"/>
              <w:rPr>
                <w:sz w:val="20"/>
                <w:szCs w:val="20"/>
                <w:color w:val="auto"/>
              </w:rPr>
            </w:pPr>
            <w:r>
              <w:rPr>
                <w:rFonts w:ascii="Arial" w:cs="Arial" w:eastAsia="Arial" w:hAnsi="Arial"/>
                <w:sz w:val="18"/>
                <w:szCs w:val="18"/>
                <w:color w:val="auto"/>
              </w:rPr>
              <w:t>$2,476,544</w:t>
            </w:r>
          </w:p>
        </w:tc>
        <w:tc>
          <w:tcPr>
            <w:tcW w:w="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w w:val="97"/>
              </w:rPr>
              <w:t>40,434,544</w:t>
            </w:r>
          </w:p>
        </w:tc>
        <w:tc>
          <w:tcPr>
            <w:tcW w:w="100" w:type="dxa"/>
            <w:vAlign w:val="bottom"/>
            <w:tcBorders>
              <w:bottom w:val="single" w:sz="8" w:color="auto"/>
            </w:tcBorders>
          </w:tcPr>
          <w:p>
            <w:pPr>
              <w:spacing w:after="0"/>
              <w:rPr>
                <w:sz w:val="17"/>
                <w:szCs w:val="17"/>
                <w:color w:val="auto"/>
              </w:rPr>
            </w:pPr>
          </w:p>
        </w:tc>
      </w:tr>
      <w:tr>
        <w:trPr>
          <w:trHeight w:val="451"/>
        </w:trPr>
        <w:tc>
          <w:tcPr>
            <w:tcW w:w="6500" w:type="dxa"/>
            <w:vAlign w:val="bottom"/>
            <w:gridSpan w:val="3"/>
          </w:tcPr>
          <w:p>
            <w:pPr>
              <w:spacing w:after="0"/>
              <w:rPr>
                <w:sz w:val="20"/>
                <w:szCs w:val="20"/>
                <w:color w:val="auto"/>
              </w:rPr>
            </w:pPr>
            <w:r>
              <w:rPr>
                <w:rFonts w:ascii="Arial" w:cs="Arial" w:eastAsia="Arial" w:hAnsi="Arial"/>
                <w:sz w:val="18"/>
                <w:szCs w:val="18"/>
                <w:b w:val="1"/>
                <w:bCs w:val="1"/>
                <w:color w:val="225CAB"/>
              </w:rPr>
              <w:t>J</w:t>
            </w:r>
            <w:r>
              <w:rPr>
                <w:rFonts w:ascii="Arial" w:cs="Arial" w:eastAsia="Arial" w:hAnsi="Arial"/>
                <w:sz w:val="14"/>
                <w:szCs w:val="14"/>
                <w:b w:val="1"/>
                <w:bCs w:val="1"/>
                <w:color w:val="225CAB"/>
              </w:rPr>
              <w:t>OHN</w:t>
            </w:r>
            <w:r>
              <w:rPr>
                <w:rFonts w:ascii="Arial" w:cs="Arial" w:eastAsia="Arial" w:hAnsi="Arial"/>
                <w:sz w:val="18"/>
                <w:szCs w:val="18"/>
                <w:b w:val="1"/>
                <w:bCs w:val="1"/>
                <w:color w:val="225CAB"/>
              </w:rPr>
              <w:t xml:space="preserve"> H</w:t>
            </w:r>
            <w:r>
              <w:rPr>
                <w:rFonts w:ascii="Arial" w:cs="Arial" w:eastAsia="Arial" w:hAnsi="Arial"/>
                <w:sz w:val="14"/>
                <w:szCs w:val="14"/>
                <w:b w:val="1"/>
                <w:bCs w:val="1"/>
                <w:color w:val="225CAB"/>
              </w:rPr>
              <w:t>UMPHREY</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86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Termination Scenario</w:t>
            </w:r>
          </w:p>
        </w:tc>
        <w:tc>
          <w:tcPr>
            <w:tcW w:w="4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41"/>
        </w:trPr>
        <w:tc>
          <w:tcPr>
            <w:tcW w:w="86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gridSpan w:val="3"/>
          </w:tcPr>
          <w:p>
            <w:pPr>
              <w:spacing w:after="0" w:line="141" w:lineRule="exact"/>
              <w:rPr>
                <w:sz w:val="20"/>
                <w:szCs w:val="20"/>
                <w:color w:val="auto"/>
              </w:rPr>
            </w:pPr>
            <w:r>
              <w:rPr>
                <w:rFonts w:ascii="Arial" w:cs="Arial" w:eastAsia="Arial" w:hAnsi="Arial"/>
                <w:sz w:val="14"/>
                <w:szCs w:val="14"/>
                <w:color w:val="auto"/>
              </w:rPr>
              <w:t>By Employee</w:t>
            </w:r>
          </w:p>
        </w:tc>
        <w:tc>
          <w:tcPr>
            <w:tcW w:w="2000" w:type="dxa"/>
            <w:vAlign w:val="bottom"/>
          </w:tcPr>
          <w:p>
            <w:pPr>
              <w:jc w:val="center"/>
              <w:ind w:right="200"/>
              <w:spacing w:after="0" w:line="141" w:lineRule="exact"/>
              <w:rPr>
                <w:sz w:val="20"/>
                <w:szCs w:val="20"/>
                <w:color w:val="auto"/>
              </w:rPr>
            </w:pPr>
            <w:r>
              <w:rPr>
                <w:rFonts w:ascii="Arial" w:cs="Arial" w:eastAsia="Arial" w:hAnsi="Arial"/>
                <w:sz w:val="14"/>
                <w:szCs w:val="14"/>
                <w:color w:val="auto"/>
                <w:w w:val="94"/>
              </w:rPr>
              <w:t>By Company</w:t>
            </w: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86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right"/>
              <w:ind w:right="707"/>
              <w:spacing w:after="0" w:line="142" w:lineRule="exact"/>
              <w:rPr>
                <w:sz w:val="20"/>
                <w:szCs w:val="20"/>
                <w:color w:val="auto"/>
              </w:rPr>
            </w:pPr>
            <w:r>
              <w:rPr>
                <w:rFonts w:ascii="Arial" w:cs="Arial" w:eastAsia="Arial" w:hAnsi="Arial"/>
                <w:sz w:val="14"/>
                <w:szCs w:val="14"/>
                <w:color w:val="auto"/>
                <w:w w:val="94"/>
              </w:rPr>
              <w:t>For Good</w:t>
            </w:r>
          </w:p>
        </w:tc>
        <w:tc>
          <w:tcPr>
            <w:tcW w:w="2000" w:type="dxa"/>
            <w:vAlign w:val="bottom"/>
          </w:tcPr>
          <w:p>
            <w:pPr>
              <w:jc w:val="center"/>
              <w:ind w:right="200"/>
              <w:spacing w:after="0" w:line="142" w:lineRule="exact"/>
              <w:rPr>
                <w:sz w:val="20"/>
                <w:szCs w:val="20"/>
                <w:color w:val="auto"/>
              </w:rPr>
            </w:pPr>
            <w:r>
              <w:rPr>
                <w:rFonts w:ascii="Arial" w:cs="Arial" w:eastAsia="Arial" w:hAnsi="Arial"/>
                <w:sz w:val="14"/>
                <w:szCs w:val="14"/>
                <w:color w:val="auto"/>
                <w:w w:val="92"/>
              </w:rPr>
              <w:t>Without</w:t>
            </w:r>
          </w:p>
        </w:tc>
        <w:tc>
          <w:tcPr>
            <w:tcW w:w="400" w:type="dxa"/>
            <w:vAlign w:val="bottom"/>
          </w:tcPr>
          <w:p>
            <w:pPr>
              <w:spacing w:after="0"/>
              <w:rPr>
                <w:sz w:val="12"/>
                <w:szCs w:val="12"/>
                <w:color w:val="auto"/>
              </w:rPr>
            </w:pPr>
          </w:p>
        </w:tc>
        <w:tc>
          <w:tcPr>
            <w:tcW w:w="760" w:type="dxa"/>
            <w:vAlign w:val="bottom"/>
            <w:gridSpan w:val="2"/>
          </w:tcPr>
          <w:p>
            <w:pPr>
              <w:jc w:val="center"/>
              <w:spacing w:after="0" w:line="142" w:lineRule="exact"/>
              <w:rPr>
                <w:sz w:val="20"/>
                <w:szCs w:val="20"/>
                <w:color w:val="auto"/>
              </w:rPr>
            </w:pPr>
            <w:r>
              <w:rPr>
                <w:rFonts w:ascii="Arial" w:cs="Arial" w:eastAsia="Arial" w:hAnsi="Arial"/>
                <w:sz w:val="14"/>
                <w:szCs w:val="14"/>
                <w:color w:val="auto"/>
                <w:w w:val="95"/>
              </w:rPr>
              <w:t>Change-in-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9"/>
        </w:trPr>
        <w:tc>
          <w:tcPr>
            <w:tcW w:w="650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rPr>
              <w:t>Potential Payments Upon Termination or Change-in-Control</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right"/>
              <w:ind w:right="767"/>
              <w:spacing w:after="0"/>
              <w:rPr>
                <w:sz w:val="20"/>
                <w:szCs w:val="20"/>
                <w:color w:val="auto"/>
              </w:rPr>
            </w:pPr>
            <w:r>
              <w:rPr>
                <w:rFonts w:ascii="Arial" w:cs="Arial" w:eastAsia="Arial" w:hAnsi="Arial"/>
                <w:sz w:val="14"/>
                <w:szCs w:val="14"/>
                <w:color w:val="auto"/>
              </w:rPr>
              <w:t>Reason</w:t>
            </w:r>
          </w:p>
        </w:tc>
        <w:tc>
          <w:tcPr>
            <w:tcW w:w="2000" w:type="dxa"/>
            <w:vAlign w:val="bottom"/>
            <w:tcBorders>
              <w:bottom w:val="single" w:sz="8" w:color="auto"/>
            </w:tcBorders>
          </w:tcPr>
          <w:p>
            <w:pPr>
              <w:jc w:val="center"/>
              <w:ind w:right="200"/>
              <w:spacing w:after="0"/>
              <w:rPr>
                <w:sz w:val="20"/>
                <w:szCs w:val="20"/>
                <w:color w:val="auto"/>
              </w:rPr>
            </w:pPr>
            <w:r>
              <w:rPr>
                <w:rFonts w:ascii="Arial" w:cs="Arial" w:eastAsia="Arial" w:hAnsi="Arial"/>
                <w:sz w:val="14"/>
                <w:szCs w:val="14"/>
                <w:color w:val="auto"/>
                <w:w w:val="98"/>
              </w:rPr>
              <w:t>Cause</w:t>
            </w:r>
          </w:p>
        </w:tc>
        <w:tc>
          <w:tcPr>
            <w:tcW w:w="4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center"/>
              <w:spacing w:after="0" w:line="170" w:lineRule="exact"/>
              <w:rPr>
                <w:sz w:val="20"/>
                <w:szCs w:val="20"/>
                <w:color w:val="auto"/>
              </w:rPr>
            </w:pPr>
            <w:r>
              <w:rPr>
                <w:rFonts w:ascii="Arial" w:cs="Arial" w:eastAsia="Arial" w:hAnsi="Arial"/>
                <w:sz w:val="12"/>
                <w:szCs w:val="12"/>
                <w:color w:val="auto"/>
              </w:rPr>
              <w:t>Control</w:t>
            </w:r>
            <w:r>
              <w:rPr>
                <w:rFonts w:ascii="Arial" w:cs="Arial" w:eastAsia="Arial" w:hAnsi="Arial"/>
                <w:sz w:val="19"/>
                <w:szCs w:val="19"/>
                <w:color w:val="auto"/>
                <w:vertAlign w:val="superscript"/>
              </w:rPr>
              <w:t>(1)</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r>
      <w:tr>
        <w:trPr>
          <w:trHeight w:val="196"/>
        </w:trPr>
        <w:tc>
          <w:tcPr>
            <w:tcW w:w="6500" w:type="dxa"/>
            <w:vAlign w:val="bottom"/>
            <w:gridSpan w:val="3"/>
            <w:shd w:val="clear" w:color="auto" w:fill="D2DEEE"/>
          </w:tcPr>
          <w:p>
            <w:pPr>
              <w:spacing w:after="0" w:line="196" w:lineRule="exact"/>
              <w:rPr>
                <w:sz w:val="20"/>
                <w:szCs w:val="20"/>
                <w:color w:val="auto"/>
              </w:rPr>
            </w:pPr>
            <w:r>
              <w:rPr>
                <w:rFonts w:ascii="Arial" w:cs="Arial" w:eastAsia="Arial" w:hAnsi="Arial"/>
                <w:sz w:val="18"/>
                <w:szCs w:val="18"/>
                <w:color w:val="auto"/>
              </w:rPr>
              <w:t>Cash payments</w:t>
            </w:r>
          </w:p>
        </w:tc>
        <w:tc>
          <w:tcPr>
            <w:tcW w:w="160" w:type="dxa"/>
            <w:vAlign w:val="bottom"/>
            <w:gridSpan w:val="2"/>
            <w:shd w:val="clear" w:color="auto" w:fill="D2DEEE"/>
          </w:tcPr>
          <w:p>
            <w:pPr>
              <w:ind w:left="6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D2DEEE"/>
          </w:tcPr>
          <w:p>
            <w:pPr>
              <w:ind w:left="540"/>
              <w:spacing w:after="0" w:line="196" w:lineRule="exact"/>
              <w:rPr>
                <w:sz w:val="20"/>
                <w:szCs w:val="20"/>
                <w:color w:val="auto"/>
              </w:rPr>
            </w:pPr>
            <w:r>
              <w:rPr>
                <w:rFonts w:ascii="Arial" w:cs="Arial" w:eastAsia="Arial" w:hAnsi="Arial"/>
                <w:sz w:val="18"/>
                <w:szCs w:val="18"/>
                <w:color w:val="auto"/>
              </w:rPr>
              <w:t>-</w:t>
            </w:r>
          </w:p>
        </w:tc>
        <w:tc>
          <w:tcPr>
            <w:tcW w:w="2000" w:type="dxa"/>
            <w:vAlign w:val="bottom"/>
            <w:shd w:val="clear" w:color="auto" w:fill="D2DEEE"/>
          </w:tcPr>
          <w:p>
            <w:pPr>
              <w:jc w:val="right"/>
              <w:ind w:right="660"/>
              <w:spacing w:after="0" w:line="196" w:lineRule="exact"/>
              <w:rPr>
                <w:sz w:val="20"/>
                <w:szCs w:val="20"/>
                <w:color w:val="auto"/>
              </w:rPr>
            </w:pPr>
            <w:r>
              <w:rPr>
                <w:rFonts w:ascii="Arial" w:cs="Arial" w:eastAsia="Arial" w:hAnsi="Arial"/>
                <w:sz w:val="18"/>
                <w:szCs w:val="18"/>
                <w:color w:val="auto"/>
              </w:rPr>
              <w:t>$ 767,000</w:t>
            </w:r>
          </w:p>
        </w:tc>
        <w:tc>
          <w:tcPr>
            <w:tcW w:w="400" w:type="dxa"/>
            <w:vAlign w:val="bottom"/>
            <w:shd w:val="clear" w:color="auto" w:fill="D2DEEE"/>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gridSpan w:val="3"/>
            <w:shd w:val="clear" w:color="auto" w:fill="D2DEEE"/>
          </w:tcPr>
          <w:p>
            <w:pPr>
              <w:jc w:val="right"/>
              <w:spacing w:after="0" w:line="196" w:lineRule="exact"/>
              <w:rPr>
                <w:sz w:val="20"/>
                <w:szCs w:val="20"/>
                <w:color w:val="auto"/>
              </w:rPr>
            </w:pPr>
            <w:r>
              <w:rPr>
                <w:rFonts w:ascii="Arial" w:cs="Arial" w:eastAsia="Arial" w:hAnsi="Arial"/>
                <w:sz w:val="18"/>
                <w:szCs w:val="18"/>
                <w:color w:val="auto"/>
              </w:rPr>
              <w:t>767,000</w:t>
            </w:r>
          </w:p>
        </w:tc>
        <w:tc>
          <w:tcPr>
            <w:tcW w:w="100" w:type="dxa"/>
            <w:vAlign w:val="bottom"/>
            <w:shd w:val="clear" w:color="auto" w:fill="D2DEEE"/>
          </w:tcPr>
          <w:p>
            <w:pPr>
              <w:spacing w:after="0"/>
              <w:rPr>
                <w:sz w:val="17"/>
                <w:szCs w:val="17"/>
                <w:color w:val="auto"/>
              </w:rPr>
            </w:pPr>
          </w:p>
        </w:tc>
      </w:tr>
      <w:tr>
        <w:trPr>
          <w:trHeight w:val="203"/>
        </w:trPr>
        <w:tc>
          <w:tcPr>
            <w:tcW w:w="6500" w:type="dxa"/>
            <w:vAlign w:val="bottom"/>
            <w:gridSpan w:val="3"/>
          </w:tcPr>
          <w:p>
            <w:pPr>
              <w:spacing w:after="0" w:line="202" w:lineRule="exact"/>
              <w:rPr>
                <w:sz w:val="20"/>
                <w:szCs w:val="20"/>
                <w:color w:val="auto"/>
              </w:rPr>
            </w:pPr>
            <w:r>
              <w:rPr>
                <w:rFonts w:ascii="Arial" w:cs="Arial" w:eastAsia="Arial" w:hAnsi="Arial"/>
                <w:sz w:val="18"/>
                <w:szCs w:val="18"/>
                <w:color w:val="auto"/>
              </w:rPr>
              <w:t>Accelerated Equity Awards</w:t>
            </w:r>
            <w:r>
              <w:rPr>
                <w:rFonts w:ascii="Arial" w:cs="Arial" w:eastAsia="Arial" w:hAnsi="Arial"/>
                <w:sz w:val="11"/>
                <w:szCs w:val="11"/>
                <w:color w:val="auto"/>
              </w:rPr>
              <w:t>(2)(3)</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60" w:type="dxa"/>
            <w:vAlign w:val="bottom"/>
            <w:shd w:val="clear" w:color="auto" w:fill="D2DEEE"/>
          </w:tcPr>
          <w:p>
            <w:pPr>
              <w:ind w:left="440"/>
              <w:spacing w:after="0" w:line="202" w:lineRule="exact"/>
              <w:rPr>
                <w:sz w:val="20"/>
                <w:szCs w:val="20"/>
                <w:color w:val="auto"/>
              </w:rPr>
            </w:pPr>
            <w:r>
              <w:rPr>
                <w:rFonts w:ascii="Arial" w:cs="Arial" w:eastAsia="Arial" w:hAnsi="Arial"/>
                <w:sz w:val="18"/>
                <w:szCs w:val="18"/>
                <w:color w:val="auto"/>
                <w:w w:val="99"/>
              </w:rPr>
              <w:t>2013</w:t>
            </w:r>
          </w:p>
        </w:tc>
        <w:tc>
          <w:tcPr>
            <w:tcW w:w="5640" w:type="dxa"/>
            <w:vAlign w:val="bottom"/>
            <w:gridSpan w:val="2"/>
            <w:shd w:val="clear" w:color="auto" w:fill="D2DEEE"/>
          </w:tcPr>
          <w:p>
            <w:pPr>
              <w:ind w:left="20"/>
              <w:spacing w:after="0" w:line="202" w:lineRule="exact"/>
              <w:rPr>
                <w:sz w:val="20"/>
                <w:szCs w:val="20"/>
                <w:color w:val="auto"/>
              </w:rPr>
            </w:pPr>
            <w:r>
              <w:rPr>
                <w:rFonts w:ascii="Arial" w:cs="Arial" w:eastAsia="Arial" w:hAnsi="Arial"/>
                <w:sz w:val="18"/>
                <w:szCs w:val="18"/>
                <w:color w:val="auto"/>
              </w:rPr>
              <w:t>Stock Option Grant</w:t>
            </w:r>
          </w:p>
        </w:tc>
        <w:tc>
          <w:tcPr>
            <w:tcW w:w="60" w:type="dxa"/>
            <w:vAlign w:val="bottom"/>
            <w:shd w:val="clear" w:color="auto" w:fill="D2DEEE"/>
          </w:tcPr>
          <w:p>
            <w:pPr>
              <w:spacing w:after="0"/>
              <w:rPr>
                <w:sz w:val="17"/>
                <w:szCs w:val="17"/>
                <w:color w:val="auto"/>
              </w:rPr>
            </w:pPr>
          </w:p>
        </w:tc>
        <w:tc>
          <w:tcPr>
            <w:tcW w:w="100" w:type="dxa"/>
            <w:vAlign w:val="bottom"/>
            <w:shd w:val="clear" w:color="auto" w:fill="D2DEEE"/>
          </w:tcPr>
          <w:p>
            <w:pPr>
              <w:spacing w:after="0"/>
              <w:rPr>
                <w:sz w:val="17"/>
                <w:szCs w:val="17"/>
                <w:color w:val="auto"/>
              </w:rPr>
            </w:pPr>
          </w:p>
        </w:tc>
        <w:tc>
          <w:tcPr>
            <w:tcW w:w="1360" w:type="dxa"/>
            <w:vAlign w:val="bottom"/>
            <w:gridSpan w:val="2"/>
            <w:shd w:val="clear" w:color="auto" w:fill="D2DEEE"/>
          </w:tcPr>
          <w:p>
            <w:pPr>
              <w:ind w:left="540"/>
              <w:spacing w:after="0" w:line="202" w:lineRule="exact"/>
              <w:rPr>
                <w:sz w:val="20"/>
                <w:szCs w:val="20"/>
                <w:color w:val="auto"/>
              </w:rPr>
            </w:pPr>
            <w:r>
              <w:rPr>
                <w:rFonts w:ascii="Arial" w:cs="Arial" w:eastAsia="Arial" w:hAnsi="Arial"/>
                <w:sz w:val="18"/>
                <w:szCs w:val="18"/>
                <w:color w:val="auto"/>
              </w:rPr>
              <w:t>-</w:t>
            </w:r>
          </w:p>
        </w:tc>
        <w:tc>
          <w:tcPr>
            <w:tcW w:w="2000" w:type="dxa"/>
            <w:vAlign w:val="bottom"/>
            <w:shd w:val="clear" w:color="auto" w:fill="D2DEEE"/>
          </w:tcPr>
          <w:p>
            <w:pPr>
              <w:jc w:val="right"/>
              <w:ind w:right="760"/>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D2DEEE"/>
          </w:tcPr>
          <w:p>
            <w:pPr>
              <w:spacing w:after="0"/>
              <w:rPr>
                <w:sz w:val="17"/>
                <w:szCs w:val="17"/>
                <w:color w:val="auto"/>
              </w:rPr>
            </w:pPr>
          </w:p>
        </w:tc>
        <w:tc>
          <w:tcPr>
            <w:tcW w:w="900" w:type="dxa"/>
            <w:vAlign w:val="bottom"/>
            <w:gridSpan w:val="3"/>
            <w:shd w:val="clear" w:color="auto" w:fill="D2DEEE"/>
          </w:tcPr>
          <w:p>
            <w:pPr>
              <w:jc w:val="right"/>
              <w:spacing w:after="0" w:line="202" w:lineRule="exact"/>
              <w:rPr>
                <w:sz w:val="20"/>
                <w:szCs w:val="20"/>
                <w:color w:val="auto"/>
              </w:rPr>
            </w:pPr>
            <w:r>
              <w:rPr>
                <w:rFonts w:ascii="Arial" w:cs="Arial" w:eastAsia="Arial" w:hAnsi="Arial"/>
                <w:sz w:val="18"/>
                <w:szCs w:val="18"/>
                <w:color w:val="auto"/>
              </w:rPr>
              <w:t>745,700</w:t>
            </w:r>
          </w:p>
        </w:tc>
        <w:tc>
          <w:tcPr>
            <w:tcW w:w="100" w:type="dxa"/>
            <w:vAlign w:val="bottom"/>
            <w:shd w:val="clear" w:color="auto" w:fill="D2DEEE"/>
          </w:tcPr>
          <w:p>
            <w:pPr>
              <w:spacing w:after="0"/>
              <w:rPr>
                <w:sz w:val="17"/>
                <w:szCs w:val="17"/>
                <w:color w:val="auto"/>
              </w:rPr>
            </w:pPr>
          </w:p>
        </w:tc>
      </w:tr>
      <w:tr>
        <w:trPr>
          <w:trHeight w:val="203"/>
        </w:trPr>
        <w:tc>
          <w:tcPr>
            <w:tcW w:w="860" w:type="dxa"/>
            <w:vAlign w:val="bottom"/>
          </w:tcPr>
          <w:p>
            <w:pPr>
              <w:ind w:left="440"/>
              <w:spacing w:after="0" w:line="202" w:lineRule="exact"/>
              <w:rPr>
                <w:sz w:val="20"/>
                <w:szCs w:val="20"/>
                <w:color w:val="auto"/>
              </w:rPr>
            </w:pPr>
            <w:r>
              <w:rPr>
                <w:rFonts w:ascii="Arial" w:cs="Arial" w:eastAsia="Arial" w:hAnsi="Arial"/>
                <w:sz w:val="18"/>
                <w:szCs w:val="18"/>
                <w:color w:val="auto"/>
                <w:w w:val="99"/>
              </w:rPr>
              <w:t>2014</w:t>
            </w:r>
          </w:p>
        </w:tc>
        <w:tc>
          <w:tcPr>
            <w:tcW w:w="56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Stock Option Grant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ind w:left="540"/>
              <w:spacing w:after="0" w:line="202" w:lineRule="exact"/>
              <w:rPr>
                <w:sz w:val="20"/>
                <w:szCs w:val="20"/>
                <w:color w:val="auto"/>
              </w:rPr>
            </w:pPr>
            <w:r>
              <w:rPr>
                <w:rFonts w:ascii="Arial" w:cs="Arial" w:eastAsia="Arial" w:hAnsi="Arial"/>
                <w:sz w:val="18"/>
                <w:szCs w:val="18"/>
                <w:color w:val="auto"/>
              </w:rPr>
              <w:t>-</w:t>
            </w:r>
          </w:p>
        </w:tc>
        <w:tc>
          <w:tcPr>
            <w:tcW w:w="2000" w:type="dxa"/>
            <w:vAlign w:val="bottom"/>
          </w:tcPr>
          <w:p>
            <w:pPr>
              <w:jc w:val="right"/>
              <w:ind w:right="760"/>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9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978,600</w:t>
            </w:r>
          </w:p>
        </w:tc>
        <w:tc>
          <w:tcPr>
            <w:tcW w:w="100" w:type="dxa"/>
            <w:vAlign w:val="bottom"/>
          </w:tcPr>
          <w:p>
            <w:pPr>
              <w:spacing w:after="0"/>
              <w:rPr>
                <w:sz w:val="17"/>
                <w:szCs w:val="17"/>
                <w:color w:val="auto"/>
              </w:rPr>
            </w:pPr>
          </w:p>
        </w:tc>
      </w:tr>
      <w:tr>
        <w:trPr>
          <w:trHeight w:val="203"/>
        </w:trPr>
        <w:tc>
          <w:tcPr>
            <w:tcW w:w="860" w:type="dxa"/>
            <w:vAlign w:val="bottom"/>
            <w:shd w:val="clear" w:color="auto" w:fill="D2DEEE"/>
          </w:tcPr>
          <w:p>
            <w:pPr>
              <w:ind w:left="440"/>
              <w:spacing w:after="0" w:line="202" w:lineRule="exact"/>
              <w:rPr>
                <w:sz w:val="20"/>
                <w:szCs w:val="20"/>
                <w:color w:val="auto"/>
              </w:rPr>
            </w:pPr>
            <w:r>
              <w:rPr>
                <w:rFonts w:ascii="Arial" w:cs="Arial" w:eastAsia="Arial" w:hAnsi="Arial"/>
                <w:sz w:val="18"/>
                <w:szCs w:val="18"/>
                <w:color w:val="auto"/>
                <w:w w:val="99"/>
              </w:rPr>
              <w:t>2015</w:t>
            </w:r>
          </w:p>
        </w:tc>
        <w:tc>
          <w:tcPr>
            <w:tcW w:w="5640" w:type="dxa"/>
            <w:vAlign w:val="bottom"/>
            <w:gridSpan w:val="2"/>
            <w:shd w:val="clear" w:color="auto" w:fill="D2DEEE"/>
          </w:tcPr>
          <w:p>
            <w:pPr>
              <w:ind w:left="20"/>
              <w:spacing w:after="0" w:line="202" w:lineRule="exact"/>
              <w:rPr>
                <w:sz w:val="20"/>
                <w:szCs w:val="20"/>
                <w:color w:val="auto"/>
              </w:rPr>
            </w:pPr>
            <w:r>
              <w:rPr>
                <w:rFonts w:ascii="Arial" w:cs="Arial" w:eastAsia="Arial" w:hAnsi="Arial"/>
                <w:sz w:val="18"/>
                <w:szCs w:val="18"/>
                <w:color w:val="auto"/>
              </w:rPr>
              <w:t>Stock Option Grant</w:t>
            </w:r>
          </w:p>
        </w:tc>
        <w:tc>
          <w:tcPr>
            <w:tcW w:w="60" w:type="dxa"/>
            <w:vAlign w:val="bottom"/>
            <w:shd w:val="clear" w:color="auto" w:fill="D2DEEE"/>
          </w:tcPr>
          <w:p>
            <w:pPr>
              <w:spacing w:after="0"/>
              <w:rPr>
                <w:sz w:val="17"/>
                <w:szCs w:val="17"/>
                <w:color w:val="auto"/>
              </w:rPr>
            </w:pPr>
          </w:p>
        </w:tc>
        <w:tc>
          <w:tcPr>
            <w:tcW w:w="100" w:type="dxa"/>
            <w:vAlign w:val="bottom"/>
            <w:shd w:val="clear" w:color="auto" w:fill="D2DEEE"/>
          </w:tcPr>
          <w:p>
            <w:pPr>
              <w:spacing w:after="0"/>
              <w:rPr>
                <w:sz w:val="17"/>
                <w:szCs w:val="17"/>
                <w:color w:val="auto"/>
              </w:rPr>
            </w:pPr>
          </w:p>
        </w:tc>
        <w:tc>
          <w:tcPr>
            <w:tcW w:w="1360" w:type="dxa"/>
            <w:vAlign w:val="bottom"/>
            <w:gridSpan w:val="2"/>
            <w:shd w:val="clear" w:color="auto" w:fill="D2DEEE"/>
          </w:tcPr>
          <w:p>
            <w:pPr>
              <w:ind w:left="540"/>
              <w:spacing w:after="0" w:line="202" w:lineRule="exact"/>
              <w:rPr>
                <w:sz w:val="20"/>
                <w:szCs w:val="20"/>
                <w:color w:val="auto"/>
              </w:rPr>
            </w:pPr>
            <w:r>
              <w:rPr>
                <w:rFonts w:ascii="Arial" w:cs="Arial" w:eastAsia="Arial" w:hAnsi="Arial"/>
                <w:sz w:val="18"/>
                <w:szCs w:val="18"/>
                <w:color w:val="auto"/>
              </w:rPr>
              <w:t>-</w:t>
            </w:r>
          </w:p>
        </w:tc>
        <w:tc>
          <w:tcPr>
            <w:tcW w:w="2000" w:type="dxa"/>
            <w:vAlign w:val="bottom"/>
            <w:shd w:val="clear" w:color="auto" w:fill="D2DEEE"/>
          </w:tcPr>
          <w:p>
            <w:pPr>
              <w:jc w:val="right"/>
              <w:ind w:right="760"/>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D2DEEE"/>
          </w:tcPr>
          <w:p>
            <w:pPr>
              <w:spacing w:after="0"/>
              <w:rPr>
                <w:sz w:val="17"/>
                <w:szCs w:val="17"/>
                <w:color w:val="auto"/>
              </w:rPr>
            </w:pPr>
          </w:p>
        </w:tc>
        <w:tc>
          <w:tcPr>
            <w:tcW w:w="900" w:type="dxa"/>
            <w:vAlign w:val="bottom"/>
            <w:gridSpan w:val="3"/>
            <w:shd w:val="clear" w:color="auto" w:fill="D2DEEE"/>
          </w:tcPr>
          <w:p>
            <w:pPr>
              <w:jc w:val="right"/>
              <w:spacing w:after="0" w:line="202" w:lineRule="exact"/>
              <w:rPr>
                <w:sz w:val="20"/>
                <w:szCs w:val="20"/>
                <w:color w:val="auto"/>
              </w:rPr>
            </w:pPr>
            <w:r>
              <w:rPr>
                <w:rFonts w:ascii="Arial" w:cs="Arial" w:eastAsia="Arial" w:hAnsi="Arial"/>
                <w:sz w:val="18"/>
                <w:szCs w:val="18"/>
                <w:color w:val="auto"/>
              </w:rPr>
              <w:t>1,321,200</w:t>
            </w:r>
          </w:p>
        </w:tc>
        <w:tc>
          <w:tcPr>
            <w:tcW w:w="100" w:type="dxa"/>
            <w:vAlign w:val="bottom"/>
            <w:shd w:val="clear" w:color="auto" w:fill="D2DEEE"/>
          </w:tcPr>
          <w:p>
            <w:pPr>
              <w:spacing w:after="0"/>
              <w:rPr>
                <w:sz w:val="17"/>
                <w:szCs w:val="17"/>
                <w:color w:val="auto"/>
              </w:rPr>
            </w:pPr>
          </w:p>
        </w:tc>
      </w:tr>
      <w:tr>
        <w:trPr>
          <w:trHeight w:val="203"/>
        </w:trPr>
        <w:tc>
          <w:tcPr>
            <w:tcW w:w="860" w:type="dxa"/>
            <w:vAlign w:val="bottom"/>
          </w:tcPr>
          <w:p>
            <w:pPr>
              <w:ind w:left="440"/>
              <w:spacing w:after="0" w:line="202" w:lineRule="exact"/>
              <w:rPr>
                <w:sz w:val="20"/>
                <w:szCs w:val="20"/>
                <w:color w:val="auto"/>
              </w:rPr>
            </w:pPr>
            <w:r>
              <w:rPr>
                <w:rFonts w:ascii="Arial" w:cs="Arial" w:eastAsia="Arial" w:hAnsi="Arial"/>
                <w:sz w:val="18"/>
                <w:szCs w:val="18"/>
                <w:color w:val="auto"/>
                <w:w w:val="99"/>
              </w:rPr>
              <w:t>2014</w:t>
            </w:r>
          </w:p>
        </w:tc>
        <w:tc>
          <w:tcPr>
            <w:tcW w:w="56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Restricted Stock Grants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ind w:left="540"/>
              <w:spacing w:after="0" w:line="202" w:lineRule="exact"/>
              <w:rPr>
                <w:sz w:val="20"/>
                <w:szCs w:val="20"/>
                <w:color w:val="auto"/>
              </w:rPr>
            </w:pPr>
            <w:r>
              <w:rPr>
                <w:rFonts w:ascii="Arial" w:cs="Arial" w:eastAsia="Arial" w:hAnsi="Arial"/>
                <w:sz w:val="18"/>
                <w:szCs w:val="18"/>
                <w:color w:val="auto"/>
              </w:rPr>
              <w:t>-</w:t>
            </w:r>
          </w:p>
        </w:tc>
        <w:tc>
          <w:tcPr>
            <w:tcW w:w="2000" w:type="dxa"/>
            <w:vAlign w:val="bottom"/>
          </w:tcPr>
          <w:p>
            <w:pPr>
              <w:jc w:val="right"/>
              <w:ind w:right="760"/>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9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1,897,900</w:t>
            </w:r>
          </w:p>
        </w:tc>
        <w:tc>
          <w:tcPr>
            <w:tcW w:w="100" w:type="dxa"/>
            <w:vAlign w:val="bottom"/>
          </w:tcPr>
          <w:p>
            <w:pPr>
              <w:spacing w:after="0"/>
              <w:rPr>
                <w:sz w:val="17"/>
                <w:szCs w:val="17"/>
                <w:color w:val="auto"/>
              </w:rPr>
            </w:pPr>
          </w:p>
        </w:tc>
      </w:tr>
      <w:tr>
        <w:trPr>
          <w:trHeight w:val="203"/>
        </w:trPr>
        <w:tc>
          <w:tcPr>
            <w:tcW w:w="860" w:type="dxa"/>
            <w:vAlign w:val="bottom"/>
            <w:shd w:val="clear" w:color="auto" w:fill="D2DEEE"/>
          </w:tcPr>
          <w:p>
            <w:pPr>
              <w:ind w:left="440"/>
              <w:spacing w:after="0" w:line="202" w:lineRule="exact"/>
              <w:rPr>
                <w:sz w:val="20"/>
                <w:szCs w:val="20"/>
                <w:color w:val="auto"/>
              </w:rPr>
            </w:pPr>
            <w:r>
              <w:rPr>
                <w:rFonts w:ascii="Arial" w:cs="Arial" w:eastAsia="Arial" w:hAnsi="Arial"/>
                <w:sz w:val="18"/>
                <w:szCs w:val="18"/>
                <w:color w:val="auto"/>
                <w:w w:val="99"/>
              </w:rPr>
              <w:t>2015</w:t>
            </w:r>
          </w:p>
        </w:tc>
        <w:tc>
          <w:tcPr>
            <w:tcW w:w="5640" w:type="dxa"/>
            <w:vAlign w:val="bottom"/>
            <w:gridSpan w:val="2"/>
            <w:shd w:val="clear" w:color="auto" w:fill="D2DEEE"/>
          </w:tcPr>
          <w:p>
            <w:pPr>
              <w:ind w:left="20"/>
              <w:spacing w:after="0" w:line="202" w:lineRule="exact"/>
              <w:rPr>
                <w:sz w:val="20"/>
                <w:szCs w:val="20"/>
                <w:color w:val="auto"/>
              </w:rPr>
            </w:pPr>
            <w:r>
              <w:rPr>
                <w:rFonts w:ascii="Arial" w:cs="Arial" w:eastAsia="Arial" w:hAnsi="Arial"/>
                <w:sz w:val="18"/>
                <w:szCs w:val="18"/>
                <w:color w:val="auto"/>
              </w:rPr>
              <w:t>Restricted Stock Grants</w:t>
            </w:r>
          </w:p>
        </w:tc>
        <w:tc>
          <w:tcPr>
            <w:tcW w:w="60" w:type="dxa"/>
            <w:vAlign w:val="bottom"/>
            <w:shd w:val="clear" w:color="auto" w:fill="D2DEEE"/>
          </w:tcPr>
          <w:p>
            <w:pPr>
              <w:spacing w:after="0"/>
              <w:rPr>
                <w:sz w:val="17"/>
                <w:szCs w:val="17"/>
                <w:color w:val="auto"/>
              </w:rPr>
            </w:pPr>
          </w:p>
        </w:tc>
        <w:tc>
          <w:tcPr>
            <w:tcW w:w="100" w:type="dxa"/>
            <w:vAlign w:val="bottom"/>
            <w:shd w:val="clear" w:color="auto" w:fill="D2DEEE"/>
          </w:tcPr>
          <w:p>
            <w:pPr>
              <w:spacing w:after="0"/>
              <w:rPr>
                <w:sz w:val="17"/>
                <w:szCs w:val="17"/>
                <w:color w:val="auto"/>
              </w:rPr>
            </w:pPr>
          </w:p>
        </w:tc>
        <w:tc>
          <w:tcPr>
            <w:tcW w:w="1360" w:type="dxa"/>
            <w:vAlign w:val="bottom"/>
            <w:gridSpan w:val="2"/>
            <w:shd w:val="clear" w:color="auto" w:fill="D2DEEE"/>
          </w:tcPr>
          <w:p>
            <w:pPr>
              <w:ind w:left="540"/>
              <w:spacing w:after="0" w:line="202" w:lineRule="exact"/>
              <w:rPr>
                <w:sz w:val="20"/>
                <w:szCs w:val="20"/>
                <w:color w:val="auto"/>
              </w:rPr>
            </w:pPr>
            <w:r>
              <w:rPr>
                <w:rFonts w:ascii="Arial" w:cs="Arial" w:eastAsia="Arial" w:hAnsi="Arial"/>
                <w:sz w:val="18"/>
                <w:szCs w:val="18"/>
                <w:color w:val="auto"/>
              </w:rPr>
              <w:t>-</w:t>
            </w:r>
          </w:p>
        </w:tc>
        <w:tc>
          <w:tcPr>
            <w:tcW w:w="2000" w:type="dxa"/>
            <w:vAlign w:val="bottom"/>
            <w:shd w:val="clear" w:color="auto" w:fill="D2DEEE"/>
          </w:tcPr>
          <w:p>
            <w:pPr>
              <w:jc w:val="right"/>
              <w:ind w:right="760"/>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D2DEEE"/>
          </w:tcPr>
          <w:p>
            <w:pPr>
              <w:spacing w:after="0"/>
              <w:rPr>
                <w:sz w:val="17"/>
                <w:szCs w:val="17"/>
                <w:color w:val="auto"/>
              </w:rPr>
            </w:pPr>
          </w:p>
        </w:tc>
        <w:tc>
          <w:tcPr>
            <w:tcW w:w="900" w:type="dxa"/>
            <w:vAlign w:val="bottom"/>
            <w:gridSpan w:val="3"/>
            <w:shd w:val="clear" w:color="auto" w:fill="D2DEEE"/>
          </w:tcPr>
          <w:p>
            <w:pPr>
              <w:jc w:val="right"/>
              <w:spacing w:after="0" w:line="202" w:lineRule="exact"/>
              <w:rPr>
                <w:sz w:val="20"/>
                <w:szCs w:val="20"/>
                <w:color w:val="auto"/>
              </w:rPr>
            </w:pPr>
            <w:r>
              <w:rPr>
                <w:rFonts w:ascii="Arial" w:cs="Arial" w:eastAsia="Arial" w:hAnsi="Arial"/>
                <w:sz w:val="18"/>
                <w:szCs w:val="18"/>
                <w:color w:val="auto"/>
              </w:rPr>
              <w:t>5,693,700</w:t>
            </w:r>
          </w:p>
        </w:tc>
        <w:tc>
          <w:tcPr>
            <w:tcW w:w="100" w:type="dxa"/>
            <w:vAlign w:val="bottom"/>
            <w:shd w:val="clear" w:color="auto" w:fill="D2DEEE"/>
          </w:tcPr>
          <w:p>
            <w:pPr>
              <w:spacing w:after="0"/>
              <w:rPr>
                <w:sz w:val="17"/>
                <w:szCs w:val="17"/>
                <w:color w:val="auto"/>
              </w:rPr>
            </w:pPr>
          </w:p>
        </w:tc>
      </w:tr>
      <w:tr>
        <w:trPr>
          <w:trHeight w:val="203"/>
        </w:trPr>
        <w:tc>
          <w:tcPr>
            <w:tcW w:w="6500" w:type="dxa"/>
            <w:vAlign w:val="bottom"/>
            <w:gridSpan w:val="3"/>
          </w:tcPr>
          <w:p>
            <w:pPr>
              <w:spacing w:after="0" w:line="202" w:lineRule="exact"/>
              <w:rPr>
                <w:sz w:val="20"/>
                <w:szCs w:val="20"/>
                <w:color w:val="auto"/>
              </w:rPr>
            </w:pPr>
            <w:r>
              <w:rPr>
                <w:rFonts w:ascii="Arial" w:cs="Arial" w:eastAsia="Arial" w:hAnsi="Arial"/>
                <w:sz w:val="18"/>
                <w:szCs w:val="18"/>
                <w:color w:val="auto"/>
              </w:rPr>
              <w:t>Continued Medical Benefits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ind w:left="540"/>
              <w:spacing w:after="0" w:line="202" w:lineRule="exact"/>
              <w:rPr>
                <w:sz w:val="20"/>
                <w:szCs w:val="20"/>
                <w:color w:val="auto"/>
              </w:rPr>
            </w:pPr>
            <w:r>
              <w:rPr>
                <w:rFonts w:ascii="Arial" w:cs="Arial" w:eastAsia="Arial" w:hAnsi="Arial"/>
                <w:sz w:val="18"/>
                <w:szCs w:val="18"/>
                <w:color w:val="auto"/>
              </w:rPr>
              <w:t>-</w:t>
            </w:r>
          </w:p>
        </w:tc>
        <w:tc>
          <w:tcPr>
            <w:tcW w:w="2000" w:type="dxa"/>
            <w:vAlign w:val="bottom"/>
          </w:tcPr>
          <w:p>
            <w:pPr>
              <w:jc w:val="right"/>
              <w:ind w:right="660"/>
              <w:spacing w:after="0" w:line="202" w:lineRule="exact"/>
              <w:rPr>
                <w:sz w:val="20"/>
                <w:szCs w:val="20"/>
                <w:color w:val="auto"/>
              </w:rPr>
            </w:pPr>
            <w:r>
              <w:rPr>
                <w:rFonts w:ascii="Arial" w:cs="Arial" w:eastAsia="Arial" w:hAnsi="Arial"/>
                <w:sz w:val="18"/>
                <w:szCs w:val="18"/>
                <w:color w:val="auto"/>
              </w:rPr>
              <w:t>18,528</w:t>
            </w:r>
          </w:p>
        </w:tc>
        <w:tc>
          <w:tcPr>
            <w:tcW w:w="400" w:type="dxa"/>
            <w:vAlign w:val="bottom"/>
          </w:tcPr>
          <w:p>
            <w:pPr>
              <w:spacing w:after="0"/>
              <w:rPr>
                <w:sz w:val="17"/>
                <w:szCs w:val="17"/>
                <w:color w:val="auto"/>
              </w:rPr>
            </w:pPr>
          </w:p>
        </w:tc>
        <w:tc>
          <w:tcPr>
            <w:tcW w:w="1000" w:type="dxa"/>
            <w:vAlign w:val="bottom"/>
            <w:gridSpan w:val="4"/>
          </w:tcPr>
          <w:p>
            <w:pPr>
              <w:jc w:val="right"/>
              <w:ind w:right="100"/>
              <w:spacing w:after="0" w:line="202" w:lineRule="exact"/>
              <w:rPr>
                <w:sz w:val="20"/>
                <w:szCs w:val="20"/>
                <w:color w:val="auto"/>
              </w:rPr>
            </w:pPr>
            <w:r>
              <w:rPr>
                <w:rFonts w:ascii="Arial" w:cs="Arial" w:eastAsia="Arial" w:hAnsi="Arial"/>
                <w:sz w:val="18"/>
                <w:szCs w:val="18"/>
                <w:color w:val="auto"/>
              </w:rPr>
              <w:t>18,528</w:t>
            </w:r>
          </w:p>
        </w:tc>
      </w:tr>
      <w:tr>
        <w:trPr>
          <w:trHeight w:val="196"/>
        </w:trPr>
        <w:tc>
          <w:tcPr>
            <w:tcW w:w="860" w:type="dxa"/>
            <w:vAlign w:val="bottom"/>
            <w:tcBorders>
              <w:top w:val="single" w:sz="8" w:color="D2DEEE"/>
              <w:bottom w:val="single" w:sz="8" w:color="auto"/>
            </w:tcBorders>
            <w:shd w:val="clear" w:color="auto" w:fill="D2DEEE"/>
          </w:tcPr>
          <w:p>
            <w:pPr>
              <w:spacing w:after="0" w:line="195" w:lineRule="exact"/>
              <w:rPr>
                <w:sz w:val="20"/>
                <w:szCs w:val="20"/>
                <w:color w:val="auto"/>
              </w:rPr>
            </w:pPr>
            <w:r>
              <w:rPr>
                <w:rFonts w:ascii="Arial" w:cs="Arial" w:eastAsia="Arial" w:hAnsi="Arial"/>
                <w:sz w:val="18"/>
                <w:szCs w:val="18"/>
                <w:color w:val="auto"/>
              </w:rPr>
              <w:t>Total</w:t>
            </w:r>
          </w:p>
        </w:tc>
        <w:tc>
          <w:tcPr>
            <w:tcW w:w="5080" w:type="dxa"/>
            <w:vAlign w:val="bottom"/>
            <w:tcBorders>
              <w:top w:val="single" w:sz="8" w:color="D2DEEE"/>
              <w:bottom w:val="single" w:sz="8" w:color="auto"/>
            </w:tcBorders>
            <w:shd w:val="clear" w:color="auto" w:fill="D2DEEE"/>
          </w:tcPr>
          <w:p>
            <w:pPr>
              <w:spacing w:after="0"/>
              <w:rPr>
                <w:sz w:val="17"/>
                <w:szCs w:val="17"/>
                <w:color w:val="auto"/>
              </w:rPr>
            </w:pPr>
          </w:p>
        </w:tc>
        <w:tc>
          <w:tcPr>
            <w:tcW w:w="560" w:type="dxa"/>
            <w:vAlign w:val="bottom"/>
            <w:tcBorders>
              <w:top w:val="single" w:sz="8" w:color="auto"/>
              <w:bottom w:val="single" w:sz="8" w:color="auto"/>
            </w:tcBorders>
            <w:shd w:val="clear" w:color="auto" w:fill="D2DEEE"/>
          </w:tcPr>
          <w:p>
            <w:pPr>
              <w:spacing w:after="0"/>
              <w:rPr>
                <w:sz w:val="17"/>
                <w:szCs w:val="17"/>
                <w:color w:val="auto"/>
              </w:rPr>
            </w:pPr>
          </w:p>
        </w:tc>
        <w:tc>
          <w:tcPr>
            <w:tcW w:w="160" w:type="dxa"/>
            <w:vAlign w:val="bottom"/>
            <w:tcBorders>
              <w:top w:val="single" w:sz="8" w:color="auto"/>
              <w:bottom w:val="single" w:sz="8" w:color="auto"/>
            </w:tcBorders>
            <w:gridSpan w:val="2"/>
            <w:shd w:val="clear" w:color="auto" w:fill="D2DEEE"/>
          </w:tcPr>
          <w:p>
            <w:pPr>
              <w:ind w:left="6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gridSpan w:val="2"/>
            <w:shd w:val="clear" w:color="auto" w:fill="D2DEEE"/>
          </w:tcPr>
          <w:p>
            <w:pPr>
              <w:ind w:left="540"/>
              <w:spacing w:after="0" w:line="196" w:lineRule="exact"/>
              <w:rPr>
                <w:sz w:val="20"/>
                <w:szCs w:val="20"/>
                <w:color w:val="auto"/>
              </w:rPr>
            </w:pPr>
            <w:r>
              <w:rPr>
                <w:rFonts w:ascii="Arial" w:cs="Arial" w:eastAsia="Arial" w:hAnsi="Arial"/>
                <w:sz w:val="18"/>
                <w:szCs w:val="18"/>
                <w:color w:val="auto"/>
              </w:rPr>
              <w:t>-</w:t>
            </w:r>
          </w:p>
        </w:tc>
        <w:tc>
          <w:tcPr>
            <w:tcW w:w="2000" w:type="dxa"/>
            <w:vAlign w:val="bottom"/>
            <w:tcBorders>
              <w:top w:val="single" w:sz="8" w:color="auto"/>
              <w:bottom w:val="single" w:sz="8" w:color="auto"/>
            </w:tcBorders>
            <w:shd w:val="clear" w:color="auto" w:fill="D2DEEE"/>
          </w:tcPr>
          <w:p>
            <w:pPr>
              <w:jc w:val="right"/>
              <w:ind w:right="660"/>
              <w:spacing w:after="0" w:line="196" w:lineRule="exact"/>
              <w:rPr>
                <w:sz w:val="20"/>
                <w:szCs w:val="20"/>
                <w:color w:val="auto"/>
              </w:rPr>
            </w:pPr>
            <w:r>
              <w:rPr>
                <w:rFonts w:ascii="Arial" w:cs="Arial" w:eastAsia="Arial" w:hAnsi="Arial"/>
                <w:sz w:val="18"/>
                <w:szCs w:val="18"/>
                <w:color w:val="auto"/>
              </w:rPr>
              <w:t>$ 785,528</w:t>
            </w:r>
          </w:p>
        </w:tc>
        <w:tc>
          <w:tcPr>
            <w:tcW w:w="400" w:type="dxa"/>
            <w:vAlign w:val="bottom"/>
            <w:tcBorders>
              <w:top w:val="single" w:sz="8" w:color="auto"/>
              <w:bottom w:val="single" w:sz="8" w:color="auto"/>
            </w:tcBorders>
            <w:shd w:val="clear" w:color="auto" w:fill="D2DEEE"/>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gridSpan w:val="3"/>
            <w:shd w:val="clear" w:color="auto" w:fill="D2DEEE"/>
          </w:tcPr>
          <w:p>
            <w:pPr>
              <w:jc w:val="right"/>
              <w:spacing w:after="0" w:line="196" w:lineRule="exact"/>
              <w:rPr>
                <w:sz w:val="20"/>
                <w:szCs w:val="20"/>
                <w:color w:val="auto"/>
              </w:rPr>
            </w:pPr>
            <w:r>
              <w:rPr>
                <w:rFonts w:ascii="Arial" w:cs="Arial" w:eastAsia="Arial" w:hAnsi="Arial"/>
                <w:sz w:val="18"/>
                <w:szCs w:val="18"/>
                <w:color w:val="auto"/>
                <w:w w:val="97"/>
              </w:rPr>
              <w:t>11,422,628</w:t>
            </w:r>
          </w:p>
        </w:tc>
        <w:tc>
          <w:tcPr>
            <w:tcW w:w="100" w:type="dxa"/>
            <w:vAlign w:val="bottom"/>
            <w:tcBorders>
              <w:top w:val="single" w:sz="8" w:color="auto"/>
              <w:bottom w:val="single" w:sz="8" w:color="auto"/>
            </w:tcBorders>
            <w:shd w:val="clear" w:color="auto" w:fill="D2DEEE"/>
          </w:tcPr>
          <w:p>
            <w:pPr>
              <w:spacing w:after="0"/>
              <w:rPr>
                <w:sz w:val="17"/>
                <w:szCs w:val="17"/>
                <w:color w:val="auto"/>
              </w:rPr>
            </w:pPr>
          </w:p>
        </w:tc>
      </w:tr>
      <w:tr>
        <w:trPr>
          <w:trHeight w:val="142"/>
        </w:trPr>
        <w:tc>
          <w:tcPr>
            <w:tcW w:w="86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340" w:type="dxa"/>
            <w:vAlign w:val="bottom"/>
            <w:gridSpan w:val="5"/>
          </w:tcPr>
          <w:p>
            <w:pPr>
              <w:spacing w:after="0"/>
              <w:rPr>
                <w:sz w:val="12"/>
                <w:szCs w:val="12"/>
                <w:color w:val="auto"/>
              </w:rPr>
            </w:pPr>
          </w:p>
        </w:tc>
        <w:tc>
          <w:tcPr>
            <w:tcW w:w="240" w:type="dxa"/>
            <w:vAlign w:val="bottom"/>
            <w:gridSpan w:val="2"/>
          </w:tcPr>
          <w:p>
            <w:pPr>
              <w:spacing w:after="0"/>
              <w:rPr>
                <w:sz w:val="12"/>
                <w:szCs w:val="12"/>
                <w:color w:val="auto"/>
              </w:rPr>
            </w:pPr>
          </w:p>
        </w:tc>
      </w:tr>
      <w:tr>
        <w:trPr>
          <w:trHeight w:val="309"/>
        </w:trPr>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140" w:type="dxa"/>
            <w:vAlign w:val="bottom"/>
            <w:tcBorders>
              <w:right w:val="single" w:sz="8" w:color="225CAB"/>
            </w:tcBorders>
            <w:gridSpan w:val="4"/>
          </w:tcPr>
          <w:p>
            <w:pPr>
              <w:jc w:val="center"/>
              <w:spacing w:after="0"/>
              <w:rPr>
                <w:sz w:val="20"/>
                <w:szCs w:val="20"/>
                <w:color w:val="auto"/>
              </w:rPr>
            </w:pPr>
            <w:r>
              <w:rPr>
                <w:rFonts w:ascii="Arial" w:cs="Arial" w:eastAsia="Arial" w:hAnsi="Arial"/>
                <w:sz w:val="18"/>
                <w:szCs w:val="18"/>
                <w:b w:val="1"/>
                <w:bCs w:val="1"/>
                <w:color w:val="225CAB"/>
                <w:w w:val="97"/>
              </w:rPr>
              <w:t>Roper Technologies, Inc. 2016 Proxy Statement</w:t>
            </w:r>
          </w:p>
        </w:tc>
        <w:tc>
          <w:tcPr>
            <w:tcW w:w="20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225CAB"/>
              </w:rPr>
              <w:t>39</w:t>
            </w:r>
          </w:p>
        </w:tc>
      </w:tr>
      <w:tr>
        <w:trPr>
          <w:trHeight w:val="83"/>
        </w:trPr>
        <w:tc>
          <w:tcPr>
            <w:tcW w:w="860" w:type="dxa"/>
            <w:vAlign w:val="bottom"/>
          </w:tcPr>
          <w:p>
            <w:pPr>
              <w:spacing w:after="0"/>
              <w:rPr>
                <w:sz w:val="7"/>
                <w:szCs w:val="7"/>
                <w:color w:val="auto"/>
              </w:rPr>
            </w:pPr>
          </w:p>
        </w:tc>
        <w:tc>
          <w:tcPr>
            <w:tcW w:w="50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000" w:type="dxa"/>
            <w:vAlign w:val="bottom"/>
          </w:tcPr>
          <w:p>
            <w:pPr>
              <w:spacing w:after="0"/>
              <w:rPr>
                <w:sz w:val="7"/>
                <w:szCs w:val="7"/>
                <w:color w:val="auto"/>
              </w:rPr>
            </w:pPr>
          </w:p>
        </w:tc>
        <w:tc>
          <w:tcPr>
            <w:tcW w:w="400" w:type="dxa"/>
            <w:vAlign w:val="bottom"/>
          </w:tcPr>
          <w:p>
            <w:pPr>
              <w:spacing w:after="0"/>
              <w:rPr>
                <w:sz w:val="7"/>
                <w:szCs w:val="7"/>
                <w:color w:val="auto"/>
              </w:rPr>
            </w:pPr>
          </w:p>
        </w:tc>
        <w:tc>
          <w:tcPr>
            <w:tcW w:w="560" w:type="dxa"/>
            <w:vAlign w:val="bottom"/>
            <w:tcBorders>
              <w:right w:val="single" w:sz="8" w:color="225CAB"/>
            </w:tcBorders>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-213995</wp:posOffset>
            </wp:positionV>
            <wp:extent cx="420370" cy="2057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225CAB"/>
        </w:rPr>
        <w:t xml:space="preserve">EXECUTIVE COMPENSATION </w:t>
      </w:r>
      <w:r>
        <w:rPr>
          <w:rFonts w:ascii="Arial" w:cs="Arial" w:eastAsia="Arial" w:hAnsi="Arial"/>
          <w:sz w:val="18"/>
          <w:szCs w:val="18"/>
          <w:i w:val="1"/>
          <w:iCs w:val="1"/>
          <w:color w:val="225CAB"/>
        </w:rPr>
        <w:t>(CONTINUED)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225CAB"/>
        </w:rPr>
        <w:t>D</w:t>
      </w:r>
      <w:r>
        <w:rPr>
          <w:rFonts w:ascii="Arial" w:cs="Arial" w:eastAsia="Arial" w:hAnsi="Arial"/>
          <w:sz w:val="14"/>
          <w:szCs w:val="14"/>
          <w:b w:val="1"/>
          <w:bCs w:val="1"/>
          <w:color w:val="225CAB"/>
        </w:rPr>
        <w:t>AVID</w:t>
      </w:r>
      <w:r>
        <w:rPr>
          <w:rFonts w:ascii="Arial" w:cs="Arial" w:eastAsia="Arial" w:hAnsi="Arial"/>
          <w:sz w:val="18"/>
          <w:szCs w:val="18"/>
          <w:b w:val="1"/>
          <w:bCs w:val="1"/>
          <w:color w:val="225CAB"/>
        </w:rPr>
        <w:t xml:space="preserve"> B. L</w:t>
      </w:r>
      <w:r>
        <w:rPr>
          <w:rFonts w:ascii="Arial" w:cs="Arial" w:eastAsia="Arial" w:hAnsi="Arial"/>
          <w:sz w:val="14"/>
          <w:szCs w:val="14"/>
          <w:b w:val="1"/>
          <w:bCs w:val="1"/>
          <w:color w:val="225CAB"/>
        </w:rPr>
        <w:t>INER</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2"/>
          </w:tcPr>
          <w:p>
            <w:pPr>
              <w:jc w:val="right"/>
              <w:ind w:right="77"/>
              <w:spacing w:after="0"/>
              <w:rPr>
                <w:sz w:val="20"/>
                <w:szCs w:val="20"/>
                <w:color w:val="auto"/>
              </w:rPr>
            </w:pPr>
            <w:r>
              <w:rPr>
                <w:rFonts w:ascii="Arial" w:cs="Arial" w:eastAsia="Arial" w:hAnsi="Arial"/>
                <w:sz w:val="14"/>
                <w:szCs w:val="14"/>
                <w:color w:val="auto"/>
              </w:rPr>
              <w:t>Termination Scenario</w:t>
            </w:r>
          </w:p>
        </w:tc>
        <w:tc>
          <w:tcPr>
            <w:tcW w:w="2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1"/>
        </w:trPr>
        <w:tc>
          <w:tcPr>
            <w:tcW w:w="86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center"/>
              <w:ind w:right="54"/>
              <w:spacing w:after="0" w:line="141" w:lineRule="exact"/>
              <w:rPr>
                <w:sz w:val="20"/>
                <w:szCs w:val="20"/>
                <w:color w:val="auto"/>
              </w:rPr>
            </w:pPr>
            <w:r>
              <w:rPr>
                <w:rFonts w:ascii="Arial" w:cs="Arial" w:eastAsia="Arial" w:hAnsi="Arial"/>
                <w:sz w:val="14"/>
                <w:szCs w:val="14"/>
                <w:color w:val="auto"/>
                <w:w w:val="96"/>
              </w:rPr>
              <w:t>By Employee</w:t>
            </w:r>
          </w:p>
        </w:tc>
        <w:tc>
          <w:tcPr>
            <w:tcW w:w="560" w:type="dxa"/>
            <w:vAlign w:val="bottom"/>
          </w:tcPr>
          <w:p>
            <w:pPr>
              <w:spacing w:after="0"/>
              <w:rPr>
                <w:sz w:val="12"/>
                <w:szCs w:val="12"/>
                <w:color w:val="auto"/>
              </w:rPr>
            </w:pPr>
          </w:p>
        </w:tc>
        <w:tc>
          <w:tcPr>
            <w:tcW w:w="1160" w:type="dxa"/>
            <w:vAlign w:val="bottom"/>
          </w:tcPr>
          <w:p>
            <w:pPr>
              <w:jc w:val="center"/>
              <w:ind w:right="257"/>
              <w:spacing w:after="0" w:line="141" w:lineRule="exact"/>
              <w:rPr>
                <w:sz w:val="20"/>
                <w:szCs w:val="20"/>
                <w:color w:val="auto"/>
              </w:rPr>
            </w:pPr>
            <w:r>
              <w:rPr>
                <w:rFonts w:ascii="Arial" w:cs="Arial" w:eastAsia="Arial" w:hAnsi="Arial"/>
                <w:sz w:val="14"/>
                <w:szCs w:val="14"/>
                <w:color w:val="auto"/>
                <w:w w:val="97"/>
              </w:rPr>
              <w:t>By Company</w:t>
            </w: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28"/>
        </w:trPr>
        <w:tc>
          <w:tcPr>
            <w:tcW w:w="860" w:type="dxa"/>
            <w:vAlign w:val="bottom"/>
          </w:tcPr>
          <w:p>
            <w:pPr>
              <w:spacing w:after="0"/>
              <w:rPr>
                <w:sz w:val="11"/>
                <w:szCs w:val="11"/>
                <w:color w:val="auto"/>
              </w:rPr>
            </w:pPr>
          </w:p>
        </w:tc>
        <w:tc>
          <w:tcPr>
            <w:tcW w:w="5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center"/>
              <w:ind w:right="174"/>
              <w:spacing w:after="0" w:line="129" w:lineRule="exact"/>
              <w:rPr>
                <w:sz w:val="20"/>
                <w:szCs w:val="20"/>
                <w:color w:val="auto"/>
              </w:rPr>
            </w:pPr>
            <w:r>
              <w:rPr>
                <w:rFonts w:ascii="Arial" w:cs="Arial" w:eastAsia="Arial" w:hAnsi="Arial"/>
                <w:sz w:val="14"/>
                <w:szCs w:val="14"/>
                <w:color w:val="auto"/>
                <w:w w:val="97"/>
              </w:rPr>
              <w:t>For Good</w:t>
            </w:r>
          </w:p>
        </w:tc>
        <w:tc>
          <w:tcPr>
            <w:tcW w:w="560" w:type="dxa"/>
            <w:vAlign w:val="bottom"/>
          </w:tcPr>
          <w:p>
            <w:pPr>
              <w:spacing w:after="0"/>
              <w:rPr>
                <w:sz w:val="11"/>
                <w:szCs w:val="11"/>
                <w:color w:val="auto"/>
              </w:rPr>
            </w:pPr>
          </w:p>
        </w:tc>
        <w:tc>
          <w:tcPr>
            <w:tcW w:w="1160" w:type="dxa"/>
            <w:vAlign w:val="bottom"/>
          </w:tcPr>
          <w:p>
            <w:pPr>
              <w:jc w:val="center"/>
              <w:ind w:right="257"/>
              <w:spacing w:after="0" w:line="129" w:lineRule="exact"/>
              <w:rPr>
                <w:sz w:val="20"/>
                <w:szCs w:val="20"/>
                <w:color w:val="auto"/>
              </w:rPr>
            </w:pPr>
            <w:r>
              <w:rPr>
                <w:rFonts w:ascii="Arial" w:cs="Arial" w:eastAsia="Arial" w:hAnsi="Arial"/>
                <w:sz w:val="14"/>
                <w:szCs w:val="14"/>
                <w:color w:val="auto"/>
                <w:w w:val="96"/>
              </w:rPr>
              <w:t>Without</w:t>
            </w:r>
          </w:p>
        </w:tc>
        <w:tc>
          <w:tcPr>
            <w:tcW w:w="280" w:type="dxa"/>
            <w:vAlign w:val="bottom"/>
          </w:tcPr>
          <w:p>
            <w:pPr>
              <w:spacing w:after="0"/>
              <w:rPr>
                <w:sz w:val="11"/>
                <w:szCs w:val="11"/>
                <w:color w:val="auto"/>
              </w:rPr>
            </w:pPr>
          </w:p>
        </w:tc>
        <w:tc>
          <w:tcPr>
            <w:tcW w:w="1000" w:type="dxa"/>
            <w:vAlign w:val="bottom"/>
            <w:gridSpan w:val="3"/>
          </w:tcPr>
          <w:p>
            <w:pPr>
              <w:jc w:val="center"/>
              <w:ind w:right="320"/>
              <w:spacing w:after="0" w:line="129" w:lineRule="exact"/>
              <w:rPr>
                <w:sz w:val="20"/>
                <w:szCs w:val="20"/>
                <w:color w:val="auto"/>
              </w:rPr>
            </w:pPr>
            <w:r>
              <w:rPr>
                <w:rFonts w:ascii="Arial" w:cs="Arial" w:eastAsia="Arial" w:hAnsi="Arial"/>
                <w:sz w:val="14"/>
                <w:szCs w:val="14"/>
                <w:color w:val="auto"/>
                <w:w w:val="98"/>
              </w:rPr>
              <w:t>Change-in-</w:t>
            </w:r>
          </w:p>
        </w:tc>
      </w:tr>
      <w:tr>
        <w:trPr>
          <w:trHeight w:val="183"/>
        </w:trPr>
        <w:tc>
          <w:tcPr>
            <w:tcW w:w="686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rPr>
              <w:t>Potential Payments Upon Termination or Change-in-Control</w:t>
            </w:r>
          </w:p>
        </w:tc>
        <w:tc>
          <w:tcPr>
            <w:tcW w:w="3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color w:val="auto"/>
                <w:w w:val="95"/>
              </w:rPr>
              <w:t>Reason</w:t>
            </w:r>
          </w:p>
        </w:tc>
        <w:tc>
          <w:tcPr>
            <w:tcW w:w="5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257"/>
              <w:spacing w:after="0"/>
              <w:rPr>
                <w:sz w:val="20"/>
                <w:szCs w:val="20"/>
                <w:color w:val="auto"/>
              </w:rPr>
            </w:pPr>
            <w:r>
              <w:rPr>
                <w:rFonts w:ascii="Arial" w:cs="Arial" w:eastAsia="Arial" w:hAnsi="Arial"/>
                <w:sz w:val="14"/>
                <w:szCs w:val="14"/>
                <w:color w:val="auto"/>
                <w:w w:val="93"/>
              </w:rPr>
              <w:t>Cause</w:t>
            </w: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jc w:val="center"/>
              <w:ind w:right="320"/>
              <w:spacing w:after="0" w:line="183" w:lineRule="exact"/>
              <w:rPr>
                <w:sz w:val="20"/>
                <w:szCs w:val="20"/>
                <w:color w:val="auto"/>
              </w:rPr>
            </w:pPr>
            <w:r>
              <w:rPr>
                <w:rFonts w:ascii="Arial" w:cs="Arial" w:eastAsia="Arial" w:hAnsi="Arial"/>
                <w:sz w:val="13"/>
                <w:szCs w:val="13"/>
                <w:color w:val="auto"/>
                <w:w w:val="94"/>
              </w:rPr>
              <w:t>Control</w:t>
            </w:r>
            <w:r>
              <w:rPr>
                <w:rFonts w:ascii="Arial" w:cs="Arial" w:eastAsia="Arial" w:hAnsi="Arial"/>
                <w:sz w:val="21"/>
                <w:szCs w:val="21"/>
                <w:color w:val="auto"/>
                <w:w w:val="94"/>
                <w:vertAlign w:val="superscript"/>
              </w:rPr>
              <w:t>(1)</w:t>
            </w:r>
          </w:p>
        </w:tc>
      </w:tr>
      <w:tr>
        <w:trPr>
          <w:trHeight w:val="196"/>
        </w:trPr>
        <w:tc>
          <w:tcPr>
            <w:tcW w:w="6860" w:type="dxa"/>
            <w:vAlign w:val="bottom"/>
            <w:gridSpan w:val="3"/>
            <w:shd w:val="clear" w:color="auto" w:fill="D2DEEE"/>
          </w:tcPr>
          <w:p>
            <w:pPr>
              <w:spacing w:after="0" w:line="196" w:lineRule="exact"/>
              <w:rPr>
                <w:sz w:val="20"/>
                <w:szCs w:val="20"/>
                <w:color w:val="auto"/>
              </w:rPr>
            </w:pPr>
            <w:r>
              <w:rPr>
                <w:rFonts w:ascii="Arial" w:cs="Arial" w:eastAsia="Arial" w:hAnsi="Arial"/>
                <w:sz w:val="18"/>
                <w:szCs w:val="18"/>
                <w:color w:val="auto"/>
              </w:rPr>
              <w:t>Cash payments</w:t>
            </w:r>
          </w:p>
        </w:tc>
        <w:tc>
          <w:tcPr>
            <w:tcW w:w="720" w:type="dxa"/>
            <w:vAlign w:val="bottom"/>
            <w:gridSpan w:val="3"/>
            <w:shd w:val="clear" w:color="auto" w:fill="D2DEEE"/>
          </w:tcPr>
          <w:p>
            <w:pPr>
              <w:jc w:val="right"/>
              <w:spacing w:after="0" w:line="196" w:lineRule="exact"/>
              <w:rPr>
                <w:sz w:val="20"/>
                <w:szCs w:val="20"/>
                <w:color w:val="auto"/>
              </w:rPr>
            </w:pPr>
            <w:r>
              <w:rPr>
                <w:rFonts w:ascii="Arial" w:cs="Arial" w:eastAsia="Arial" w:hAnsi="Arial"/>
                <w:sz w:val="18"/>
                <w:szCs w:val="18"/>
                <w:color w:val="auto"/>
              </w:rPr>
              <w:t>$</w:t>
            </w:r>
          </w:p>
        </w:tc>
        <w:tc>
          <w:tcPr>
            <w:tcW w:w="840" w:type="dxa"/>
            <w:vAlign w:val="bottom"/>
            <w:shd w:val="clear" w:color="auto" w:fill="D2DEEE"/>
          </w:tcPr>
          <w:p>
            <w:pPr>
              <w:jc w:val="right"/>
              <w:ind w:right="154"/>
              <w:spacing w:after="0" w:line="196" w:lineRule="exact"/>
              <w:rPr>
                <w:sz w:val="20"/>
                <w:szCs w:val="20"/>
                <w:color w:val="auto"/>
              </w:rPr>
            </w:pPr>
            <w:r>
              <w:rPr>
                <w:rFonts w:ascii="Arial" w:cs="Arial" w:eastAsia="Arial" w:hAnsi="Arial"/>
                <w:sz w:val="18"/>
                <w:szCs w:val="18"/>
                <w:color w:val="auto"/>
              </w:rPr>
              <w:t>-</w:t>
            </w:r>
          </w:p>
        </w:tc>
        <w:tc>
          <w:tcPr>
            <w:tcW w:w="560" w:type="dxa"/>
            <w:vAlign w:val="bottom"/>
            <w:shd w:val="clear" w:color="auto" w:fill="D2DEEE"/>
          </w:tcPr>
          <w:p>
            <w:pPr>
              <w:spacing w:after="0"/>
              <w:rPr>
                <w:sz w:val="17"/>
                <w:szCs w:val="17"/>
                <w:color w:val="auto"/>
              </w:rPr>
            </w:pPr>
          </w:p>
        </w:tc>
        <w:tc>
          <w:tcPr>
            <w:tcW w:w="1160" w:type="dxa"/>
            <w:vAlign w:val="bottom"/>
            <w:shd w:val="clear" w:color="auto" w:fill="D2DEEE"/>
          </w:tcPr>
          <w:p>
            <w:pPr>
              <w:jc w:val="right"/>
              <w:ind w:right="277"/>
              <w:spacing w:after="0" w:line="196" w:lineRule="exact"/>
              <w:rPr>
                <w:sz w:val="20"/>
                <w:szCs w:val="20"/>
                <w:color w:val="auto"/>
              </w:rPr>
            </w:pPr>
            <w:r>
              <w:rPr>
                <w:rFonts w:ascii="Arial" w:cs="Arial" w:eastAsia="Arial" w:hAnsi="Arial"/>
                <w:sz w:val="18"/>
                <w:szCs w:val="18"/>
                <w:color w:val="auto"/>
                <w:w w:val="97"/>
              </w:rPr>
              <w:t>$ 684,000</w:t>
            </w:r>
          </w:p>
        </w:tc>
        <w:tc>
          <w:tcPr>
            <w:tcW w:w="280" w:type="dxa"/>
            <w:vAlign w:val="bottom"/>
            <w:shd w:val="clear" w:color="auto" w:fill="D2DEEE"/>
          </w:tcPr>
          <w:p>
            <w:pPr>
              <w:jc w:val="right"/>
              <w:spacing w:after="0" w:line="196" w:lineRule="exact"/>
              <w:rPr>
                <w:sz w:val="20"/>
                <w:szCs w:val="20"/>
                <w:color w:val="auto"/>
              </w:rPr>
            </w:pPr>
            <w:r>
              <w:rPr>
                <w:rFonts w:ascii="Arial" w:cs="Arial" w:eastAsia="Arial" w:hAnsi="Arial"/>
                <w:sz w:val="18"/>
                <w:szCs w:val="18"/>
                <w:color w:val="auto"/>
              </w:rPr>
              <w:t>$</w:t>
            </w:r>
          </w:p>
        </w:tc>
        <w:tc>
          <w:tcPr>
            <w:tcW w:w="780" w:type="dxa"/>
            <w:vAlign w:val="bottom"/>
            <w:shd w:val="clear" w:color="auto" w:fill="D2DEEE"/>
          </w:tcPr>
          <w:p>
            <w:pPr>
              <w:jc w:val="right"/>
              <w:spacing w:after="0" w:line="196" w:lineRule="exact"/>
              <w:rPr>
                <w:sz w:val="20"/>
                <w:szCs w:val="20"/>
                <w:color w:val="auto"/>
              </w:rPr>
            </w:pPr>
            <w:r>
              <w:rPr>
                <w:rFonts w:ascii="Arial" w:cs="Arial" w:eastAsia="Arial" w:hAnsi="Arial"/>
                <w:sz w:val="18"/>
                <w:szCs w:val="18"/>
                <w:color w:val="auto"/>
              </w:rPr>
              <w:t>684,000</w:t>
            </w:r>
          </w:p>
        </w:tc>
        <w:tc>
          <w:tcPr>
            <w:tcW w:w="20" w:type="dxa"/>
            <w:vAlign w:val="bottom"/>
            <w:shd w:val="clear" w:color="auto" w:fill="D2DEEE"/>
          </w:tcPr>
          <w:p>
            <w:pPr>
              <w:spacing w:after="0"/>
              <w:rPr>
                <w:sz w:val="17"/>
                <w:szCs w:val="17"/>
                <w:color w:val="auto"/>
              </w:rPr>
            </w:pPr>
          </w:p>
        </w:tc>
        <w:tc>
          <w:tcPr>
            <w:tcW w:w="200" w:type="dxa"/>
            <w:vAlign w:val="bottom"/>
            <w:shd w:val="clear" w:color="auto" w:fill="D2DEEE"/>
          </w:tcPr>
          <w:p>
            <w:pPr>
              <w:spacing w:after="0"/>
              <w:rPr>
                <w:sz w:val="17"/>
                <w:szCs w:val="17"/>
                <w:color w:val="auto"/>
              </w:rPr>
            </w:pPr>
          </w:p>
        </w:tc>
      </w:tr>
      <w:tr>
        <w:trPr>
          <w:trHeight w:val="203"/>
        </w:trPr>
        <w:tc>
          <w:tcPr>
            <w:tcW w:w="6860" w:type="dxa"/>
            <w:vAlign w:val="bottom"/>
            <w:gridSpan w:val="3"/>
          </w:tcPr>
          <w:p>
            <w:pPr>
              <w:spacing w:after="0" w:line="202" w:lineRule="exact"/>
              <w:rPr>
                <w:sz w:val="20"/>
                <w:szCs w:val="20"/>
                <w:color w:val="auto"/>
              </w:rPr>
            </w:pPr>
            <w:r>
              <w:rPr>
                <w:rFonts w:ascii="Arial" w:cs="Arial" w:eastAsia="Arial" w:hAnsi="Arial"/>
                <w:sz w:val="18"/>
                <w:szCs w:val="18"/>
                <w:color w:val="auto"/>
              </w:rPr>
              <w:t>Accelerated Equity Awards</w:t>
            </w:r>
            <w:r>
              <w:rPr>
                <w:rFonts w:ascii="Arial" w:cs="Arial" w:eastAsia="Arial" w:hAnsi="Arial"/>
                <w:sz w:val="11"/>
                <w:szCs w:val="11"/>
                <w:color w:val="auto"/>
              </w:rPr>
              <w:t>(2)(3)</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860" w:type="dxa"/>
            <w:vAlign w:val="bottom"/>
            <w:shd w:val="clear" w:color="auto" w:fill="D2DEEE"/>
          </w:tcPr>
          <w:p>
            <w:pPr>
              <w:ind w:left="440"/>
              <w:spacing w:after="0" w:line="202" w:lineRule="exact"/>
              <w:rPr>
                <w:sz w:val="20"/>
                <w:szCs w:val="20"/>
                <w:color w:val="auto"/>
              </w:rPr>
            </w:pPr>
            <w:r>
              <w:rPr>
                <w:rFonts w:ascii="Arial" w:cs="Arial" w:eastAsia="Arial" w:hAnsi="Arial"/>
                <w:sz w:val="18"/>
                <w:szCs w:val="18"/>
                <w:color w:val="auto"/>
                <w:w w:val="99"/>
              </w:rPr>
              <w:t>2013</w:t>
            </w:r>
          </w:p>
        </w:tc>
        <w:tc>
          <w:tcPr>
            <w:tcW w:w="6000" w:type="dxa"/>
            <w:vAlign w:val="bottom"/>
            <w:gridSpan w:val="2"/>
            <w:shd w:val="clear" w:color="auto" w:fill="D2DEEE"/>
          </w:tcPr>
          <w:p>
            <w:pPr>
              <w:ind w:left="20"/>
              <w:spacing w:after="0" w:line="202" w:lineRule="exact"/>
              <w:rPr>
                <w:sz w:val="20"/>
                <w:szCs w:val="20"/>
                <w:color w:val="auto"/>
              </w:rPr>
            </w:pPr>
            <w:r>
              <w:rPr>
                <w:rFonts w:ascii="Arial" w:cs="Arial" w:eastAsia="Arial" w:hAnsi="Arial"/>
                <w:sz w:val="18"/>
                <w:szCs w:val="18"/>
                <w:color w:val="auto"/>
              </w:rPr>
              <w:t>Stock Option Grant</w:t>
            </w:r>
          </w:p>
        </w:tc>
        <w:tc>
          <w:tcPr>
            <w:tcW w:w="340" w:type="dxa"/>
            <w:vAlign w:val="bottom"/>
            <w:shd w:val="clear" w:color="auto" w:fill="D2DEEE"/>
          </w:tcPr>
          <w:p>
            <w:pPr>
              <w:spacing w:after="0"/>
              <w:rPr>
                <w:sz w:val="17"/>
                <w:szCs w:val="17"/>
                <w:color w:val="auto"/>
              </w:rPr>
            </w:pPr>
          </w:p>
        </w:tc>
        <w:tc>
          <w:tcPr>
            <w:tcW w:w="280" w:type="dxa"/>
            <w:vAlign w:val="bottom"/>
            <w:shd w:val="clear" w:color="auto" w:fill="D2DEEE"/>
          </w:tcPr>
          <w:p>
            <w:pPr>
              <w:spacing w:after="0"/>
              <w:rPr>
                <w:sz w:val="17"/>
                <w:szCs w:val="17"/>
                <w:color w:val="auto"/>
              </w:rPr>
            </w:pPr>
          </w:p>
        </w:tc>
        <w:tc>
          <w:tcPr>
            <w:tcW w:w="100" w:type="dxa"/>
            <w:vAlign w:val="bottom"/>
            <w:shd w:val="clear" w:color="auto" w:fill="D2DEEE"/>
          </w:tcPr>
          <w:p>
            <w:pPr>
              <w:spacing w:after="0"/>
              <w:rPr>
                <w:sz w:val="17"/>
                <w:szCs w:val="17"/>
                <w:color w:val="auto"/>
              </w:rPr>
            </w:pPr>
          </w:p>
        </w:tc>
        <w:tc>
          <w:tcPr>
            <w:tcW w:w="840" w:type="dxa"/>
            <w:vAlign w:val="bottom"/>
            <w:shd w:val="clear" w:color="auto" w:fill="D2DEEE"/>
          </w:tcPr>
          <w:p>
            <w:pPr>
              <w:jc w:val="right"/>
              <w:ind w:right="154"/>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D2DEEE"/>
          </w:tcPr>
          <w:p>
            <w:pPr>
              <w:spacing w:after="0"/>
              <w:rPr>
                <w:sz w:val="17"/>
                <w:szCs w:val="17"/>
                <w:color w:val="auto"/>
              </w:rPr>
            </w:pPr>
          </w:p>
        </w:tc>
        <w:tc>
          <w:tcPr>
            <w:tcW w:w="1160" w:type="dxa"/>
            <w:vAlign w:val="bottom"/>
            <w:shd w:val="clear" w:color="auto" w:fill="D2DEEE"/>
          </w:tcPr>
          <w:p>
            <w:pPr>
              <w:jc w:val="right"/>
              <w:ind w:right="377"/>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D2DEEE"/>
          </w:tcPr>
          <w:p>
            <w:pPr>
              <w:spacing w:after="0"/>
              <w:rPr>
                <w:sz w:val="17"/>
                <w:szCs w:val="17"/>
                <w:color w:val="auto"/>
              </w:rPr>
            </w:pPr>
          </w:p>
        </w:tc>
        <w:tc>
          <w:tcPr>
            <w:tcW w:w="780" w:type="dxa"/>
            <w:vAlign w:val="bottom"/>
            <w:shd w:val="clear" w:color="auto" w:fill="D2DEEE"/>
          </w:tcPr>
          <w:p>
            <w:pPr>
              <w:jc w:val="right"/>
              <w:spacing w:after="0" w:line="202" w:lineRule="exact"/>
              <w:rPr>
                <w:sz w:val="20"/>
                <w:szCs w:val="20"/>
                <w:color w:val="auto"/>
              </w:rPr>
            </w:pPr>
            <w:r>
              <w:rPr>
                <w:rFonts w:ascii="Arial" w:cs="Arial" w:eastAsia="Arial" w:hAnsi="Arial"/>
                <w:sz w:val="18"/>
                <w:szCs w:val="18"/>
                <w:color w:val="auto"/>
              </w:rPr>
              <w:t>298,280</w:t>
            </w:r>
          </w:p>
        </w:tc>
        <w:tc>
          <w:tcPr>
            <w:tcW w:w="20" w:type="dxa"/>
            <w:vAlign w:val="bottom"/>
            <w:shd w:val="clear" w:color="auto" w:fill="D2DEEE"/>
          </w:tcPr>
          <w:p>
            <w:pPr>
              <w:spacing w:after="0"/>
              <w:rPr>
                <w:sz w:val="17"/>
                <w:szCs w:val="17"/>
                <w:color w:val="auto"/>
              </w:rPr>
            </w:pPr>
          </w:p>
        </w:tc>
        <w:tc>
          <w:tcPr>
            <w:tcW w:w="200" w:type="dxa"/>
            <w:vAlign w:val="bottom"/>
            <w:shd w:val="clear" w:color="auto" w:fill="D2DEEE"/>
          </w:tcPr>
          <w:p>
            <w:pPr>
              <w:spacing w:after="0"/>
              <w:rPr>
                <w:sz w:val="17"/>
                <w:szCs w:val="17"/>
                <w:color w:val="auto"/>
              </w:rPr>
            </w:pPr>
          </w:p>
        </w:tc>
      </w:tr>
      <w:tr>
        <w:trPr>
          <w:trHeight w:val="203"/>
        </w:trPr>
        <w:tc>
          <w:tcPr>
            <w:tcW w:w="860" w:type="dxa"/>
            <w:vAlign w:val="bottom"/>
          </w:tcPr>
          <w:p>
            <w:pPr>
              <w:ind w:left="440"/>
              <w:spacing w:after="0" w:line="202" w:lineRule="exact"/>
              <w:rPr>
                <w:sz w:val="20"/>
                <w:szCs w:val="20"/>
                <w:color w:val="auto"/>
              </w:rPr>
            </w:pPr>
            <w:r>
              <w:rPr>
                <w:rFonts w:ascii="Arial" w:cs="Arial" w:eastAsia="Arial" w:hAnsi="Arial"/>
                <w:sz w:val="18"/>
                <w:szCs w:val="18"/>
                <w:color w:val="auto"/>
                <w:w w:val="99"/>
              </w:rPr>
              <w:t>2014</w:t>
            </w:r>
          </w:p>
        </w:tc>
        <w:tc>
          <w:tcPr>
            <w:tcW w:w="60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Stock Option Grant</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154"/>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1160" w:type="dxa"/>
            <w:vAlign w:val="bottom"/>
          </w:tcPr>
          <w:p>
            <w:pPr>
              <w:jc w:val="right"/>
              <w:ind w:right="377"/>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391,440</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860" w:type="dxa"/>
            <w:vAlign w:val="bottom"/>
            <w:shd w:val="clear" w:color="auto" w:fill="D2DEEE"/>
          </w:tcPr>
          <w:p>
            <w:pPr>
              <w:ind w:left="440"/>
              <w:spacing w:after="0" w:line="202" w:lineRule="exact"/>
              <w:rPr>
                <w:sz w:val="20"/>
                <w:szCs w:val="20"/>
                <w:color w:val="auto"/>
              </w:rPr>
            </w:pPr>
            <w:r>
              <w:rPr>
                <w:rFonts w:ascii="Arial" w:cs="Arial" w:eastAsia="Arial" w:hAnsi="Arial"/>
                <w:sz w:val="18"/>
                <w:szCs w:val="18"/>
                <w:color w:val="auto"/>
                <w:w w:val="99"/>
              </w:rPr>
              <w:t>2015</w:t>
            </w:r>
          </w:p>
        </w:tc>
        <w:tc>
          <w:tcPr>
            <w:tcW w:w="6000" w:type="dxa"/>
            <w:vAlign w:val="bottom"/>
            <w:gridSpan w:val="2"/>
            <w:shd w:val="clear" w:color="auto" w:fill="D2DEEE"/>
          </w:tcPr>
          <w:p>
            <w:pPr>
              <w:ind w:left="20"/>
              <w:spacing w:after="0" w:line="202" w:lineRule="exact"/>
              <w:rPr>
                <w:sz w:val="20"/>
                <w:szCs w:val="20"/>
                <w:color w:val="auto"/>
              </w:rPr>
            </w:pPr>
            <w:r>
              <w:rPr>
                <w:rFonts w:ascii="Arial" w:cs="Arial" w:eastAsia="Arial" w:hAnsi="Arial"/>
                <w:sz w:val="18"/>
                <w:szCs w:val="18"/>
                <w:color w:val="auto"/>
              </w:rPr>
              <w:t>Stock Option Grant</w:t>
            </w:r>
          </w:p>
        </w:tc>
        <w:tc>
          <w:tcPr>
            <w:tcW w:w="340" w:type="dxa"/>
            <w:vAlign w:val="bottom"/>
            <w:shd w:val="clear" w:color="auto" w:fill="D2DEEE"/>
          </w:tcPr>
          <w:p>
            <w:pPr>
              <w:spacing w:after="0"/>
              <w:rPr>
                <w:sz w:val="17"/>
                <w:szCs w:val="17"/>
                <w:color w:val="auto"/>
              </w:rPr>
            </w:pPr>
          </w:p>
        </w:tc>
        <w:tc>
          <w:tcPr>
            <w:tcW w:w="280" w:type="dxa"/>
            <w:vAlign w:val="bottom"/>
            <w:shd w:val="clear" w:color="auto" w:fill="D2DEEE"/>
          </w:tcPr>
          <w:p>
            <w:pPr>
              <w:spacing w:after="0"/>
              <w:rPr>
                <w:sz w:val="17"/>
                <w:szCs w:val="17"/>
                <w:color w:val="auto"/>
              </w:rPr>
            </w:pPr>
          </w:p>
        </w:tc>
        <w:tc>
          <w:tcPr>
            <w:tcW w:w="100" w:type="dxa"/>
            <w:vAlign w:val="bottom"/>
            <w:shd w:val="clear" w:color="auto" w:fill="D2DEEE"/>
          </w:tcPr>
          <w:p>
            <w:pPr>
              <w:spacing w:after="0"/>
              <w:rPr>
                <w:sz w:val="17"/>
                <w:szCs w:val="17"/>
                <w:color w:val="auto"/>
              </w:rPr>
            </w:pPr>
          </w:p>
        </w:tc>
        <w:tc>
          <w:tcPr>
            <w:tcW w:w="840" w:type="dxa"/>
            <w:vAlign w:val="bottom"/>
            <w:shd w:val="clear" w:color="auto" w:fill="D2DEEE"/>
          </w:tcPr>
          <w:p>
            <w:pPr>
              <w:jc w:val="right"/>
              <w:ind w:right="154"/>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D2DEEE"/>
          </w:tcPr>
          <w:p>
            <w:pPr>
              <w:spacing w:after="0"/>
              <w:rPr>
                <w:sz w:val="17"/>
                <w:szCs w:val="17"/>
                <w:color w:val="auto"/>
              </w:rPr>
            </w:pPr>
          </w:p>
        </w:tc>
        <w:tc>
          <w:tcPr>
            <w:tcW w:w="1160" w:type="dxa"/>
            <w:vAlign w:val="bottom"/>
            <w:shd w:val="clear" w:color="auto" w:fill="D2DEEE"/>
          </w:tcPr>
          <w:p>
            <w:pPr>
              <w:jc w:val="right"/>
              <w:ind w:right="377"/>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D2DEEE"/>
          </w:tcPr>
          <w:p>
            <w:pPr>
              <w:spacing w:after="0"/>
              <w:rPr>
                <w:sz w:val="17"/>
                <w:szCs w:val="17"/>
                <w:color w:val="auto"/>
              </w:rPr>
            </w:pPr>
          </w:p>
        </w:tc>
        <w:tc>
          <w:tcPr>
            <w:tcW w:w="780" w:type="dxa"/>
            <w:vAlign w:val="bottom"/>
            <w:shd w:val="clear" w:color="auto" w:fill="D2DEEE"/>
          </w:tcPr>
          <w:p>
            <w:pPr>
              <w:jc w:val="right"/>
              <w:spacing w:after="0" w:line="202" w:lineRule="exact"/>
              <w:rPr>
                <w:sz w:val="20"/>
                <w:szCs w:val="20"/>
                <w:color w:val="auto"/>
              </w:rPr>
            </w:pPr>
            <w:r>
              <w:rPr>
                <w:rFonts w:ascii="Arial" w:cs="Arial" w:eastAsia="Arial" w:hAnsi="Arial"/>
                <w:sz w:val="18"/>
                <w:szCs w:val="18"/>
                <w:color w:val="auto"/>
              </w:rPr>
              <w:t>528,480</w:t>
            </w:r>
          </w:p>
        </w:tc>
        <w:tc>
          <w:tcPr>
            <w:tcW w:w="20" w:type="dxa"/>
            <w:vAlign w:val="bottom"/>
            <w:shd w:val="clear" w:color="auto" w:fill="D2DEEE"/>
          </w:tcPr>
          <w:p>
            <w:pPr>
              <w:spacing w:after="0"/>
              <w:rPr>
                <w:sz w:val="17"/>
                <w:szCs w:val="17"/>
                <w:color w:val="auto"/>
              </w:rPr>
            </w:pPr>
          </w:p>
        </w:tc>
        <w:tc>
          <w:tcPr>
            <w:tcW w:w="200" w:type="dxa"/>
            <w:vAlign w:val="bottom"/>
            <w:shd w:val="clear" w:color="auto" w:fill="D2DEEE"/>
          </w:tcPr>
          <w:p>
            <w:pPr>
              <w:spacing w:after="0"/>
              <w:rPr>
                <w:sz w:val="17"/>
                <w:szCs w:val="17"/>
                <w:color w:val="auto"/>
              </w:rPr>
            </w:pPr>
          </w:p>
        </w:tc>
      </w:tr>
      <w:tr>
        <w:trPr>
          <w:trHeight w:val="203"/>
        </w:trPr>
        <w:tc>
          <w:tcPr>
            <w:tcW w:w="860" w:type="dxa"/>
            <w:vAlign w:val="bottom"/>
          </w:tcPr>
          <w:p>
            <w:pPr>
              <w:ind w:left="440"/>
              <w:spacing w:after="0" w:line="202" w:lineRule="exact"/>
              <w:rPr>
                <w:sz w:val="20"/>
                <w:szCs w:val="20"/>
                <w:color w:val="auto"/>
              </w:rPr>
            </w:pPr>
            <w:r>
              <w:rPr>
                <w:rFonts w:ascii="Arial" w:cs="Arial" w:eastAsia="Arial" w:hAnsi="Arial"/>
                <w:sz w:val="18"/>
                <w:szCs w:val="18"/>
                <w:color w:val="auto"/>
                <w:w w:val="99"/>
              </w:rPr>
              <w:t>2014</w:t>
            </w:r>
          </w:p>
        </w:tc>
        <w:tc>
          <w:tcPr>
            <w:tcW w:w="60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Restricted Stock Grant</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154"/>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1160" w:type="dxa"/>
            <w:vAlign w:val="bottom"/>
          </w:tcPr>
          <w:p>
            <w:pPr>
              <w:jc w:val="right"/>
              <w:ind w:right="377"/>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379,580</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860" w:type="dxa"/>
            <w:vAlign w:val="bottom"/>
            <w:shd w:val="clear" w:color="auto" w:fill="D2DEEE"/>
          </w:tcPr>
          <w:p>
            <w:pPr>
              <w:ind w:left="440"/>
              <w:spacing w:after="0" w:line="202" w:lineRule="exact"/>
              <w:rPr>
                <w:sz w:val="20"/>
                <w:szCs w:val="20"/>
                <w:color w:val="auto"/>
              </w:rPr>
            </w:pPr>
            <w:r>
              <w:rPr>
                <w:rFonts w:ascii="Arial" w:cs="Arial" w:eastAsia="Arial" w:hAnsi="Arial"/>
                <w:sz w:val="18"/>
                <w:szCs w:val="18"/>
                <w:color w:val="auto"/>
                <w:w w:val="99"/>
              </w:rPr>
              <w:t>2015</w:t>
            </w:r>
          </w:p>
        </w:tc>
        <w:tc>
          <w:tcPr>
            <w:tcW w:w="6000" w:type="dxa"/>
            <w:vAlign w:val="bottom"/>
            <w:gridSpan w:val="2"/>
            <w:shd w:val="clear" w:color="auto" w:fill="D2DEEE"/>
          </w:tcPr>
          <w:p>
            <w:pPr>
              <w:ind w:left="20"/>
              <w:spacing w:after="0" w:line="202" w:lineRule="exact"/>
              <w:rPr>
                <w:sz w:val="20"/>
                <w:szCs w:val="20"/>
                <w:color w:val="auto"/>
              </w:rPr>
            </w:pPr>
            <w:r>
              <w:rPr>
                <w:rFonts w:ascii="Arial" w:cs="Arial" w:eastAsia="Arial" w:hAnsi="Arial"/>
                <w:sz w:val="18"/>
                <w:szCs w:val="18"/>
                <w:color w:val="auto"/>
              </w:rPr>
              <w:t>Restricted Stock Grant</w:t>
            </w:r>
          </w:p>
        </w:tc>
        <w:tc>
          <w:tcPr>
            <w:tcW w:w="340" w:type="dxa"/>
            <w:vAlign w:val="bottom"/>
            <w:shd w:val="clear" w:color="auto" w:fill="D2DEEE"/>
          </w:tcPr>
          <w:p>
            <w:pPr>
              <w:spacing w:after="0"/>
              <w:rPr>
                <w:sz w:val="17"/>
                <w:szCs w:val="17"/>
                <w:color w:val="auto"/>
              </w:rPr>
            </w:pPr>
          </w:p>
        </w:tc>
        <w:tc>
          <w:tcPr>
            <w:tcW w:w="280" w:type="dxa"/>
            <w:vAlign w:val="bottom"/>
            <w:shd w:val="clear" w:color="auto" w:fill="D2DEEE"/>
          </w:tcPr>
          <w:p>
            <w:pPr>
              <w:spacing w:after="0"/>
              <w:rPr>
                <w:sz w:val="17"/>
                <w:szCs w:val="17"/>
                <w:color w:val="auto"/>
              </w:rPr>
            </w:pPr>
          </w:p>
        </w:tc>
        <w:tc>
          <w:tcPr>
            <w:tcW w:w="100" w:type="dxa"/>
            <w:vAlign w:val="bottom"/>
            <w:shd w:val="clear" w:color="auto" w:fill="D2DEEE"/>
          </w:tcPr>
          <w:p>
            <w:pPr>
              <w:spacing w:after="0"/>
              <w:rPr>
                <w:sz w:val="17"/>
                <w:szCs w:val="17"/>
                <w:color w:val="auto"/>
              </w:rPr>
            </w:pPr>
          </w:p>
        </w:tc>
        <w:tc>
          <w:tcPr>
            <w:tcW w:w="840" w:type="dxa"/>
            <w:vAlign w:val="bottom"/>
            <w:shd w:val="clear" w:color="auto" w:fill="D2DEEE"/>
          </w:tcPr>
          <w:p>
            <w:pPr>
              <w:jc w:val="right"/>
              <w:ind w:right="154"/>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D2DEEE"/>
          </w:tcPr>
          <w:p>
            <w:pPr>
              <w:spacing w:after="0"/>
              <w:rPr>
                <w:sz w:val="17"/>
                <w:szCs w:val="17"/>
                <w:color w:val="auto"/>
              </w:rPr>
            </w:pPr>
          </w:p>
        </w:tc>
        <w:tc>
          <w:tcPr>
            <w:tcW w:w="1160" w:type="dxa"/>
            <w:vAlign w:val="bottom"/>
            <w:shd w:val="clear" w:color="auto" w:fill="D2DEEE"/>
          </w:tcPr>
          <w:p>
            <w:pPr>
              <w:jc w:val="right"/>
              <w:ind w:right="377"/>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D2DEEE"/>
          </w:tcPr>
          <w:p>
            <w:pPr>
              <w:spacing w:after="0"/>
              <w:rPr>
                <w:sz w:val="17"/>
                <w:szCs w:val="17"/>
                <w:color w:val="auto"/>
              </w:rPr>
            </w:pPr>
          </w:p>
        </w:tc>
        <w:tc>
          <w:tcPr>
            <w:tcW w:w="780" w:type="dxa"/>
            <w:vAlign w:val="bottom"/>
            <w:shd w:val="clear" w:color="auto" w:fill="D2DEEE"/>
          </w:tcPr>
          <w:p>
            <w:pPr>
              <w:jc w:val="right"/>
              <w:spacing w:after="0" w:line="202" w:lineRule="exact"/>
              <w:rPr>
                <w:sz w:val="20"/>
                <w:szCs w:val="20"/>
                <w:color w:val="auto"/>
              </w:rPr>
            </w:pPr>
            <w:r>
              <w:rPr>
                <w:rFonts w:ascii="Arial" w:cs="Arial" w:eastAsia="Arial" w:hAnsi="Arial"/>
                <w:sz w:val="18"/>
                <w:szCs w:val="18"/>
                <w:color w:val="auto"/>
                <w:w w:val="94"/>
              </w:rPr>
              <w:t>1,138,740</w:t>
            </w:r>
          </w:p>
        </w:tc>
        <w:tc>
          <w:tcPr>
            <w:tcW w:w="20" w:type="dxa"/>
            <w:vAlign w:val="bottom"/>
            <w:shd w:val="clear" w:color="auto" w:fill="D2DEEE"/>
          </w:tcPr>
          <w:p>
            <w:pPr>
              <w:spacing w:after="0"/>
              <w:rPr>
                <w:sz w:val="17"/>
                <w:szCs w:val="17"/>
                <w:color w:val="auto"/>
              </w:rPr>
            </w:pPr>
          </w:p>
        </w:tc>
        <w:tc>
          <w:tcPr>
            <w:tcW w:w="200" w:type="dxa"/>
            <w:vAlign w:val="bottom"/>
            <w:shd w:val="clear" w:color="auto" w:fill="D2DEEE"/>
          </w:tcPr>
          <w:p>
            <w:pPr>
              <w:spacing w:after="0"/>
              <w:rPr>
                <w:sz w:val="17"/>
                <w:szCs w:val="17"/>
                <w:color w:val="auto"/>
              </w:rPr>
            </w:pPr>
          </w:p>
        </w:tc>
      </w:tr>
      <w:tr>
        <w:trPr>
          <w:trHeight w:val="203"/>
        </w:trPr>
        <w:tc>
          <w:tcPr>
            <w:tcW w:w="6860" w:type="dxa"/>
            <w:vAlign w:val="bottom"/>
            <w:tcBorders>
              <w:bottom w:val="single" w:sz="8" w:color="D2DEEE"/>
            </w:tcBorders>
            <w:gridSpan w:val="3"/>
          </w:tcPr>
          <w:p>
            <w:pPr>
              <w:spacing w:after="0" w:line="202" w:lineRule="exact"/>
              <w:rPr>
                <w:sz w:val="20"/>
                <w:szCs w:val="20"/>
                <w:color w:val="auto"/>
              </w:rPr>
            </w:pPr>
            <w:r>
              <w:rPr>
                <w:rFonts w:ascii="Arial" w:cs="Arial" w:eastAsia="Arial" w:hAnsi="Arial"/>
                <w:sz w:val="18"/>
                <w:szCs w:val="18"/>
                <w:color w:val="auto"/>
              </w:rPr>
              <w:t>Continued Medical Benefits</w:t>
            </w:r>
          </w:p>
        </w:tc>
        <w:tc>
          <w:tcPr>
            <w:tcW w:w="3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54"/>
              <w:spacing w:after="0" w:line="202" w:lineRule="exact"/>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77"/>
              <w:spacing w:after="0" w:line="202" w:lineRule="exact"/>
              <w:rPr>
                <w:sz w:val="20"/>
                <w:szCs w:val="20"/>
                <w:color w:val="auto"/>
              </w:rPr>
            </w:pPr>
            <w:r>
              <w:rPr>
                <w:rFonts w:ascii="Arial" w:cs="Arial" w:eastAsia="Arial" w:hAnsi="Arial"/>
                <w:sz w:val="18"/>
                <w:szCs w:val="18"/>
                <w:color w:val="auto"/>
              </w:rPr>
              <w:t>13,272</w:t>
            </w: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jc w:val="right"/>
              <w:ind w:right="20"/>
              <w:spacing w:after="0" w:line="202" w:lineRule="exact"/>
              <w:rPr>
                <w:sz w:val="20"/>
                <w:szCs w:val="20"/>
                <w:color w:val="auto"/>
              </w:rPr>
            </w:pPr>
            <w:r>
              <w:rPr>
                <w:rFonts w:ascii="Arial" w:cs="Arial" w:eastAsia="Arial" w:hAnsi="Arial"/>
                <w:sz w:val="18"/>
                <w:szCs w:val="18"/>
                <w:color w:val="auto"/>
              </w:rPr>
              <w:t>13,272</w:t>
            </w:r>
          </w:p>
        </w:tc>
        <w:tc>
          <w:tcPr>
            <w:tcW w:w="200" w:type="dxa"/>
            <w:vAlign w:val="bottom"/>
            <w:tcBorders>
              <w:bottom w:val="single" w:sz="8" w:color="auto"/>
            </w:tcBorders>
          </w:tcPr>
          <w:p>
            <w:pPr>
              <w:spacing w:after="0"/>
              <w:rPr>
                <w:sz w:val="17"/>
                <w:szCs w:val="17"/>
                <w:color w:val="auto"/>
              </w:rPr>
            </w:pPr>
          </w:p>
        </w:tc>
      </w:tr>
      <w:tr>
        <w:trPr>
          <w:trHeight w:val="196"/>
        </w:trPr>
        <w:tc>
          <w:tcPr>
            <w:tcW w:w="860" w:type="dxa"/>
            <w:vAlign w:val="bottom"/>
            <w:tcBorders>
              <w:bottom w:val="single" w:sz="8" w:color="auto"/>
            </w:tcBorders>
            <w:shd w:val="clear" w:color="auto" w:fill="D2DEEE"/>
          </w:tcPr>
          <w:p>
            <w:pPr>
              <w:spacing w:after="0" w:line="195" w:lineRule="exact"/>
              <w:rPr>
                <w:sz w:val="20"/>
                <w:szCs w:val="20"/>
                <w:color w:val="auto"/>
              </w:rPr>
            </w:pPr>
            <w:r>
              <w:rPr>
                <w:rFonts w:ascii="Arial" w:cs="Arial" w:eastAsia="Arial" w:hAnsi="Arial"/>
                <w:sz w:val="18"/>
                <w:szCs w:val="18"/>
                <w:color w:val="auto"/>
              </w:rPr>
              <w:t>Total</w:t>
            </w:r>
          </w:p>
        </w:tc>
        <w:tc>
          <w:tcPr>
            <w:tcW w:w="5580" w:type="dxa"/>
            <w:vAlign w:val="bottom"/>
            <w:tcBorders>
              <w:bottom w:val="single" w:sz="8" w:color="auto"/>
            </w:tcBorders>
            <w:shd w:val="clear" w:color="auto" w:fill="D2DEEE"/>
          </w:tcPr>
          <w:p>
            <w:pPr>
              <w:spacing w:after="0"/>
              <w:rPr>
                <w:sz w:val="17"/>
                <w:szCs w:val="17"/>
                <w:color w:val="auto"/>
              </w:rPr>
            </w:pPr>
          </w:p>
        </w:tc>
        <w:tc>
          <w:tcPr>
            <w:tcW w:w="420" w:type="dxa"/>
            <w:vAlign w:val="bottom"/>
            <w:tcBorders>
              <w:bottom w:val="single" w:sz="8" w:color="auto"/>
            </w:tcBorders>
            <w:shd w:val="clear" w:color="auto" w:fill="D2DEEE"/>
          </w:tcPr>
          <w:p>
            <w:pPr>
              <w:spacing w:after="0"/>
              <w:rPr>
                <w:sz w:val="17"/>
                <w:szCs w:val="17"/>
                <w:color w:val="auto"/>
              </w:rPr>
            </w:pPr>
          </w:p>
        </w:tc>
        <w:tc>
          <w:tcPr>
            <w:tcW w:w="720" w:type="dxa"/>
            <w:vAlign w:val="bottom"/>
            <w:tcBorders>
              <w:bottom w:val="single" w:sz="8" w:color="auto"/>
            </w:tcBorders>
            <w:gridSpan w:val="3"/>
            <w:shd w:val="clear" w:color="auto" w:fill="D2DEEE"/>
          </w:tcPr>
          <w:p>
            <w:pPr>
              <w:jc w:val="right"/>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D2DEEE"/>
          </w:tcPr>
          <w:p>
            <w:pPr>
              <w:jc w:val="right"/>
              <w:ind w:right="154"/>
              <w:spacing w:after="0" w:line="196" w:lineRule="exact"/>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D2DEEE"/>
          </w:tcPr>
          <w:p>
            <w:pPr>
              <w:spacing w:after="0"/>
              <w:rPr>
                <w:sz w:val="17"/>
                <w:szCs w:val="17"/>
                <w:color w:val="auto"/>
              </w:rPr>
            </w:pPr>
          </w:p>
        </w:tc>
        <w:tc>
          <w:tcPr>
            <w:tcW w:w="1160" w:type="dxa"/>
            <w:vAlign w:val="bottom"/>
            <w:tcBorders>
              <w:bottom w:val="single" w:sz="8" w:color="auto"/>
            </w:tcBorders>
            <w:shd w:val="clear" w:color="auto" w:fill="D2DEEE"/>
          </w:tcPr>
          <w:p>
            <w:pPr>
              <w:jc w:val="right"/>
              <w:ind w:right="277"/>
              <w:spacing w:after="0" w:line="196" w:lineRule="exact"/>
              <w:rPr>
                <w:sz w:val="20"/>
                <w:szCs w:val="20"/>
                <w:color w:val="auto"/>
              </w:rPr>
            </w:pPr>
            <w:r>
              <w:rPr>
                <w:rFonts w:ascii="Arial" w:cs="Arial" w:eastAsia="Arial" w:hAnsi="Arial"/>
                <w:sz w:val="18"/>
                <w:szCs w:val="18"/>
                <w:color w:val="auto"/>
                <w:w w:val="97"/>
              </w:rPr>
              <w:t>$ 697,272</w:t>
            </w:r>
          </w:p>
        </w:tc>
        <w:tc>
          <w:tcPr>
            <w:tcW w:w="280" w:type="dxa"/>
            <w:vAlign w:val="bottom"/>
            <w:tcBorders>
              <w:bottom w:val="single" w:sz="8" w:color="auto"/>
            </w:tcBorders>
            <w:shd w:val="clear" w:color="auto" w:fill="D2DEEE"/>
          </w:tcPr>
          <w:p>
            <w:pPr>
              <w:jc w:val="right"/>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D2DEEE"/>
          </w:tcPr>
          <w:p>
            <w:pPr>
              <w:jc w:val="right"/>
              <w:spacing w:after="0" w:line="196" w:lineRule="exact"/>
              <w:rPr>
                <w:sz w:val="20"/>
                <w:szCs w:val="20"/>
                <w:color w:val="auto"/>
              </w:rPr>
            </w:pPr>
            <w:r>
              <w:rPr>
                <w:rFonts w:ascii="Arial" w:cs="Arial" w:eastAsia="Arial" w:hAnsi="Arial"/>
                <w:sz w:val="18"/>
                <w:szCs w:val="18"/>
                <w:color w:val="auto"/>
                <w:w w:val="94"/>
              </w:rPr>
              <w:t>3,433,792</w:t>
            </w:r>
          </w:p>
        </w:tc>
        <w:tc>
          <w:tcPr>
            <w:tcW w:w="20" w:type="dxa"/>
            <w:vAlign w:val="bottom"/>
            <w:tcBorders>
              <w:bottom w:val="single" w:sz="8" w:color="auto"/>
            </w:tcBorders>
            <w:shd w:val="clear" w:color="auto" w:fill="D2DEEE"/>
          </w:tcPr>
          <w:p>
            <w:pPr>
              <w:spacing w:after="0"/>
              <w:rPr>
                <w:sz w:val="17"/>
                <w:szCs w:val="17"/>
                <w:color w:val="auto"/>
              </w:rPr>
            </w:pPr>
          </w:p>
        </w:tc>
        <w:tc>
          <w:tcPr>
            <w:tcW w:w="200" w:type="dxa"/>
            <w:vAlign w:val="bottom"/>
            <w:tcBorders>
              <w:bottom w:val="single" w:sz="8" w:color="auto"/>
            </w:tcBorders>
            <w:shd w:val="clear" w:color="auto" w:fill="D2DEEE"/>
          </w:tcPr>
          <w:p>
            <w:pPr>
              <w:spacing w:after="0"/>
              <w:rPr>
                <w:sz w:val="17"/>
                <w:szCs w:val="17"/>
                <w:color w:val="auto"/>
              </w:rPr>
            </w:pPr>
          </w:p>
        </w:tc>
      </w:tr>
      <w:tr>
        <w:trPr>
          <w:trHeight w:val="451"/>
        </w:trPr>
        <w:tc>
          <w:tcPr>
            <w:tcW w:w="6860" w:type="dxa"/>
            <w:vAlign w:val="bottom"/>
            <w:gridSpan w:val="3"/>
          </w:tcPr>
          <w:p>
            <w:pPr>
              <w:spacing w:after="0"/>
              <w:rPr>
                <w:sz w:val="20"/>
                <w:szCs w:val="20"/>
                <w:color w:val="auto"/>
              </w:rPr>
            </w:pPr>
            <w:r>
              <w:rPr>
                <w:rFonts w:ascii="Arial" w:cs="Arial" w:eastAsia="Arial" w:hAnsi="Arial"/>
                <w:sz w:val="18"/>
                <w:szCs w:val="18"/>
                <w:b w:val="1"/>
                <w:bCs w:val="1"/>
                <w:color w:val="225CAB"/>
              </w:rPr>
              <w:t>P</w:t>
            </w:r>
            <w:r>
              <w:rPr>
                <w:rFonts w:ascii="Arial" w:cs="Arial" w:eastAsia="Arial" w:hAnsi="Arial"/>
                <w:sz w:val="14"/>
                <w:szCs w:val="14"/>
                <w:b w:val="1"/>
                <w:bCs w:val="1"/>
                <w:color w:val="225CAB"/>
              </w:rPr>
              <w:t>AUL</w:t>
            </w:r>
            <w:r>
              <w:rPr>
                <w:rFonts w:ascii="Arial" w:cs="Arial" w:eastAsia="Arial" w:hAnsi="Arial"/>
                <w:sz w:val="18"/>
                <w:szCs w:val="18"/>
                <w:b w:val="1"/>
                <w:bCs w:val="1"/>
                <w:color w:val="225CAB"/>
              </w:rPr>
              <w:t xml:space="preserve"> J. S</w:t>
            </w:r>
            <w:r>
              <w:rPr>
                <w:rFonts w:ascii="Arial" w:cs="Arial" w:eastAsia="Arial" w:hAnsi="Arial"/>
                <w:sz w:val="14"/>
                <w:szCs w:val="14"/>
                <w:b w:val="1"/>
                <w:bCs w:val="1"/>
                <w:color w:val="225CAB"/>
              </w:rPr>
              <w:t>ONI</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18"/>
        </w:trPr>
        <w:tc>
          <w:tcPr>
            <w:tcW w:w="86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2"/>
          </w:tcPr>
          <w:p>
            <w:pPr>
              <w:jc w:val="right"/>
              <w:ind w:right="217"/>
              <w:spacing w:after="0"/>
              <w:rPr>
                <w:sz w:val="20"/>
                <w:szCs w:val="20"/>
                <w:color w:val="auto"/>
              </w:rPr>
            </w:pPr>
            <w:r>
              <w:rPr>
                <w:rFonts w:ascii="Arial" w:cs="Arial" w:eastAsia="Arial" w:hAnsi="Arial"/>
                <w:sz w:val="14"/>
                <w:szCs w:val="14"/>
                <w:color w:val="auto"/>
              </w:rPr>
              <w:t>Termination Scenario</w:t>
            </w: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141"/>
        </w:trPr>
        <w:tc>
          <w:tcPr>
            <w:tcW w:w="86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gridSpan w:val="3"/>
          </w:tcPr>
          <w:p>
            <w:pPr>
              <w:spacing w:after="0" w:line="141" w:lineRule="exact"/>
              <w:rPr>
                <w:sz w:val="20"/>
                <w:szCs w:val="20"/>
                <w:color w:val="auto"/>
              </w:rPr>
            </w:pPr>
            <w:r>
              <w:rPr>
                <w:rFonts w:ascii="Arial" w:cs="Arial" w:eastAsia="Arial" w:hAnsi="Arial"/>
                <w:sz w:val="14"/>
                <w:szCs w:val="14"/>
                <w:color w:val="auto"/>
              </w:rPr>
              <w:t>By Employee</w:t>
            </w:r>
          </w:p>
        </w:tc>
        <w:tc>
          <w:tcPr>
            <w:tcW w:w="1720" w:type="dxa"/>
            <w:vAlign w:val="bottom"/>
            <w:gridSpan w:val="2"/>
          </w:tcPr>
          <w:p>
            <w:pPr>
              <w:ind w:left="440"/>
              <w:spacing w:after="0" w:line="141" w:lineRule="exact"/>
              <w:rPr>
                <w:sz w:val="20"/>
                <w:szCs w:val="20"/>
                <w:color w:val="auto"/>
              </w:rPr>
            </w:pPr>
            <w:r>
              <w:rPr>
                <w:rFonts w:ascii="Arial" w:cs="Arial" w:eastAsia="Arial" w:hAnsi="Arial"/>
                <w:sz w:val="14"/>
                <w:szCs w:val="14"/>
                <w:color w:val="auto"/>
              </w:rPr>
              <w:t>By Company</w:t>
            </w: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28"/>
        </w:trPr>
        <w:tc>
          <w:tcPr>
            <w:tcW w:w="860" w:type="dxa"/>
            <w:vAlign w:val="bottom"/>
          </w:tcPr>
          <w:p>
            <w:pPr>
              <w:spacing w:after="0"/>
              <w:rPr>
                <w:sz w:val="11"/>
                <w:szCs w:val="11"/>
                <w:color w:val="auto"/>
              </w:rPr>
            </w:pPr>
          </w:p>
        </w:tc>
        <w:tc>
          <w:tcPr>
            <w:tcW w:w="5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gridSpan w:val="3"/>
          </w:tcPr>
          <w:p>
            <w:pPr>
              <w:jc w:val="right"/>
              <w:ind w:right="454"/>
              <w:spacing w:after="0" w:line="129" w:lineRule="exact"/>
              <w:rPr>
                <w:sz w:val="20"/>
                <w:szCs w:val="20"/>
                <w:color w:val="auto"/>
              </w:rPr>
            </w:pPr>
            <w:r>
              <w:rPr>
                <w:rFonts w:ascii="Arial" w:cs="Arial" w:eastAsia="Arial" w:hAnsi="Arial"/>
                <w:sz w:val="14"/>
                <w:szCs w:val="14"/>
                <w:color w:val="auto"/>
              </w:rPr>
              <w:t>For Good</w:t>
            </w:r>
          </w:p>
        </w:tc>
        <w:tc>
          <w:tcPr>
            <w:tcW w:w="560" w:type="dxa"/>
            <w:vAlign w:val="bottom"/>
          </w:tcPr>
          <w:p>
            <w:pPr>
              <w:spacing w:after="0"/>
              <w:rPr>
                <w:sz w:val="11"/>
                <w:szCs w:val="11"/>
                <w:color w:val="auto"/>
              </w:rPr>
            </w:pPr>
          </w:p>
        </w:tc>
        <w:tc>
          <w:tcPr>
            <w:tcW w:w="1160" w:type="dxa"/>
            <w:vAlign w:val="bottom"/>
          </w:tcPr>
          <w:p>
            <w:pPr>
              <w:jc w:val="right"/>
              <w:ind w:right="577"/>
              <w:spacing w:after="0" w:line="129" w:lineRule="exact"/>
              <w:rPr>
                <w:sz w:val="20"/>
                <w:szCs w:val="20"/>
                <w:color w:val="auto"/>
              </w:rPr>
            </w:pPr>
            <w:r>
              <w:rPr>
                <w:rFonts w:ascii="Arial" w:cs="Arial" w:eastAsia="Arial" w:hAnsi="Arial"/>
                <w:sz w:val="14"/>
                <w:szCs w:val="14"/>
                <w:color w:val="auto"/>
              </w:rPr>
              <w:t>Without</w:t>
            </w:r>
          </w:p>
        </w:tc>
        <w:tc>
          <w:tcPr>
            <w:tcW w:w="280" w:type="dxa"/>
            <w:vAlign w:val="bottom"/>
          </w:tcPr>
          <w:p>
            <w:pPr>
              <w:spacing w:after="0"/>
              <w:rPr>
                <w:sz w:val="11"/>
                <w:szCs w:val="11"/>
                <w:color w:val="auto"/>
              </w:rPr>
            </w:pPr>
          </w:p>
        </w:tc>
        <w:tc>
          <w:tcPr>
            <w:tcW w:w="1000" w:type="dxa"/>
            <w:vAlign w:val="bottom"/>
            <w:gridSpan w:val="3"/>
          </w:tcPr>
          <w:p>
            <w:pPr>
              <w:jc w:val="center"/>
              <w:ind w:right="300"/>
              <w:spacing w:after="0" w:line="129" w:lineRule="exact"/>
              <w:rPr>
                <w:sz w:val="20"/>
                <w:szCs w:val="20"/>
                <w:color w:val="auto"/>
              </w:rPr>
            </w:pPr>
            <w:r>
              <w:rPr>
                <w:rFonts w:ascii="Arial" w:cs="Arial" w:eastAsia="Arial" w:hAnsi="Arial"/>
                <w:sz w:val="14"/>
                <w:szCs w:val="14"/>
                <w:color w:val="auto"/>
                <w:w w:val="95"/>
              </w:rPr>
              <w:t>Change-in-</w:t>
            </w:r>
          </w:p>
        </w:tc>
      </w:tr>
      <w:tr>
        <w:trPr>
          <w:trHeight w:val="183"/>
        </w:trPr>
        <w:tc>
          <w:tcPr>
            <w:tcW w:w="686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rPr>
              <w:t>Potential Payments Upon Termination or Change-in-Control</w:t>
            </w: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right"/>
              <w:ind w:right="514"/>
              <w:spacing w:after="0"/>
              <w:rPr>
                <w:sz w:val="20"/>
                <w:szCs w:val="20"/>
                <w:color w:val="auto"/>
              </w:rPr>
            </w:pPr>
            <w:r>
              <w:rPr>
                <w:rFonts w:ascii="Arial" w:cs="Arial" w:eastAsia="Arial" w:hAnsi="Arial"/>
                <w:sz w:val="14"/>
                <w:szCs w:val="14"/>
                <w:color w:val="auto"/>
              </w:rPr>
              <w:t>Reason</w:t>
            </w:r>
          </w:p>
        </w:tc>
        <w:tc>
          <w:tcPr>
            <w:tcW w:w="5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color w:val="auto"/>
              </w:rPr>
              <w:t>Cause</w:t>
            </w: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jc w:val="center"/>
              <w:ind w:right="300"/>
              <w:spacing w:after="0" w:line="183" w:lineRule="exact"/>
              <w:rPr>
                <w:sz w:val="20"/>
                <w:szCs w:val="20"/>
                <w:color w:val="auto"/>
              </w:rPr>
            </w:pPr>
            <w:r>
              <w:rPr>
                <w:rFonts w:ascii="Arial" w:cs="Arial" w:eastAsia="Arial" w:hAnsi="Arial"/>
                <w:sz w:val="13"/>
                <w:szCs w:val="13"/>
                <w:color w:val="auto"/>
                <w:w w:val="98"/>
              </w:rPr>
              <w:t>Control</w:t>
            </w:r>
            <w:r>
              <w:rPr>
                <w:rFonts w:ascii="Arial" w:cs="Arial" w:eastAsia="Arial" w:hAnsi="Arial"/>
                <w:sz w:val="21"/>
                <w:szCs w:val="21"/>
                <w:color w:val="auto"/>
                <w:w w:val="98"/>
                <w:vertAlign w:val="superscript"/>
              </w:rPr>
              <w:t>(1)</w:t>
            </w:r>
          </w:p>
        </w:tc>
      </w:tr>
      <w:tr>
        <w:trPr>
          <w:trHeight w:val="196"/>
        </w:trPr>
        <w:tc>
          <w:tcPr>
            <w:tcW w:w="6860" w:type="dxa"/>
            <w:vAlign w:val="bottom"/>
            <w:gridSpan w:val="3"/>
            <w:shd w:val="clear" w:color="auto" w:fill="D2DEEE"/>
          </w:tcPr>
          <w:p>
            <w:pPr>
              <w:spacing w:after="0" w:line="196" w:lineRule="exact"/>
              <w:rPr>
                <w:sz w:val="20"/>
                <w:szCs w:val="20"/>
                <w:color w:val="auto"/>
              </w:rPr>
            </w:pPr>
            <w:r>
              <w:rPr>
                <w:rFonts w:ascii="Arial" w:cs="Arial" w:eastAsia="Arial" w:hAnsi="Arial"/>
                <w:sz w:val="18"/>
                <w:szCs w:val="18"/>
                <w:color w:val="auto"/>
              </w:rPr>
              <w:t>Cash payments</w:t>
            </w:r>
          </w:p>
        </w:tc>
        <w:tc>
          <w:tcPr>
            <w:tcW w:w="620" w:type="dxa"/>
            <w:vAlign w:val="bottom"/>
            <w:gridSpan w:val="2"/>
            <w:shd w:val="clear" w:color="auto" w:fill="D2DEEE"/>
          </w:tcPr>
          <w:p>
            <w:pPr>
              <w:ind w:left="340"/>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D2DEEE"/>
          </w:tcPr>
          <w:p>
            <w:pPr>
              <w:spacing w:after="0"/>
              <w:rPr>
                <w:sz w:val="17"/>
                <w:szCs w:val="17"/>
                <w:color w:val="auto"/>
              </w:rPr>
            </w:pPr>
          </w:p>
        </w:tc>
        <w:tc>
          <w:tcPr>
            <w:tcW w:w="840" w:type="dxa"/>
            <w:vAlign w:val="bottom"/>
            <w:shd w:val="clear" w:color="auto" w:fill="D2DEEE"/>
          </w:tcPr>
          <w:p>
            <w:pPr>
              <w:jc w:val="center"/>
              <w:ind w:right="174"/>
              <w:spacing w:after="0" w:line="196" w:lineRule="exact"/>
              <w:rPr>
                <w:sz w:val="20"/>
                <w:szCs w:val="20"/>
                <w:color w:val="auto"/>
              </w:rPr>
            </w:pPr>
            <w:r>
              <w:rPr>
                <w:rFonts w:ascii="Arial" w:cs="Arial" w:eastAsia="Arial" w:hAnsi="Arial"/>
                <w:sz w:val="18"/>
                <w:szCs w:val="18"/>
                <w:color w:val="auto"/>
                <w:w w:val="99"/>
              </w:rPr>
              <w:t>-</w:t>
            </w:r>
          </w:p>
        </w:tc>
        <w:tc>
          <w:tcPr>
            <w:tcW w:w="560" w:type="dxa"/>
            <w:vAlign w:val="bottom"/>
            <w:shd w:val="clear" w:color="auto" w:fill="D2DEEE"/>
          </w:tcPr>
          <w:p>
            <w:pPr>
              <w:ind w:left="440"/>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shd w:val="clear" w:color="auto" w:fill="D2DEEE"/>
          </w:tcPr>
          <w:p>
            <w:pPr>
              <w:jc w:val="right"/>
              <w:ind w:right="517"/>
              <w:spacing w:after="0" w:line="196" w:lineRule="exact"/>
              <w:rPr>
                <w:sz w:val="20"/>
                <w:szCs w:val="20"/>
                <w:color w:val="auto"/>
              </w:rPr>
            </w:pPr>
            <w:r>
              <w:rPr>
                <w:rFonts w:ascii="Arial" w:cs="Arial" w:eastAsia="Arial" w:hAnsi="Arial"/>
                <w:sz w:val="18"/>
                <w:szCs w:val="18"/>
                <w:color w:val="auto"/>
              </w:rPr>
              <w:t>-</w:t>
            </w:r>
          </w:p>
        </w:tc>
        <w:tc>
          <w:tcPr>
            <w:tcW w:w="280" w:type="dxa"/>
            <w:vAlign w:val="bottom"/>
            <w:shd w:val="clear" w:color="auto" w:fill="D2DEEE"/>
          </w:tcPr>
          <w:p>
            <w:pPr>
              <w:jc w:val="right"/>
              <w:spacing w:after="0" w:line="196" w:lineRule="exact"/>
              <w:rPr>
                <w:sz w:val="20"/>
                <w:szCs w:val="20"/>
                <w:color w:val="auto"/>
              </w:rPr>
            </w:pPr>
            <w:r>
              <w:rPr>
                <w:rFonts w:ascii="Arial" w:cs="Arial" w:eastAsia="Arial" w:hAnsi="Arial"/>
                <w:sz w:val="18"/>
                <w:szCs w:val="18"/>
                <w:color w:val="auto"/>
              </w:rPr>
              <w:t>$</w:t>
            </w:r>
          </w:p>
        </w:tc>
        <w:tc>
          <w:tcPr>
            <w:tcW w:w="780" w:type="dxa"/>
            <w:vAlign w:val="bottom"/>
            <w:shd w:val="clear" w:color="auto" w:fill="D2DEEE"/>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shd w:val="clear" w:color="auto" w:fill="D2DEEE"/>
          </w:tcPr>
          <w:p>
            <w:pPr>
              <w:spacing w:after="0"/>
              <w:rPr>
                <w:sz w:val="17"/>
                <w:szCs w:val="17"/>
                <w:color w:val="auto"/>
              </w:rPr>
            </w:pPr>
          </w:p>
        </w:tc>
        <w:tc>
          <w:tcPr>
            <w:tcW w:w="200" w:type="dxa"/>
            <w:vAlign w:val="bottom"/>
            <w:shd w:val="clear" w:color="auto" w:fill="D2DEEE"/>
          </w:tcPr>
          <w:p>
            <w:pPr>
              <w:spacing w:after="0"/>
              <w:rPr>
                <w:sz w:val="17"/>
                <w:szCs w:val="17"/>
                <w:color w:val="auto"/>
              </w:rPr>
            </w:pPr>
          </w:p>
        </w:tc>
      </w:tr>
      <w:tr>
        <w:trPr>
          <w:trHeight w:val="203"/>
        </w:trPr>
        <w:tc>
          <w:tcPr>
            <w:tcW w:w="6860" w:type="dxa"/>
            <w:vAlign w:val="bottom"/>
            <w:gridSpan w:val="3"/>
          </w:tcPr>
          <w:p>
            <w:pPr>
              <w:spacing w:after="0" w:line="202" w:lineRule="exact"/>
              <w:rPr>
                <w:sz w:val="20"/>
                <w:szCs w:val="20"/>
                <w:color w:val="auto"/>
              </w:rPr>
            </w:pPr>
            <w:r>
              <w:rPr>
                <w:rFonts w:ascii="Arial" w:cs="Arial" w:eastAsia="Arial" w:hAnsi="Arial"/>
                <w:sz w:val="18"/>
                <w:szCs w:val="18"/>
                <w:color w:val="auto"/>
              </w:rPr>
              <w:t>Accelerated Equity Awards</w:t>
            </w:r>
            <w:r>
              <w:rPr>
                <w:rFonts w:ascii="Arial" w:cs="Arial" w:eastAsia="Arial" w:hAnsi="Arial"/>
                <w:sz w:val="11"/>
                <w:szCs w:val="11"/>
                <w:color w:val="auto"/>
              </w:rPr>
              <w:t>(2)(3)</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860" w:type="dxa"/>
            <w:vAlign w:val="bottom"/>
            <w:shd w:val="clear" w:color="auto" w:fill="D2DEEE"/>
          </w:tcPr>
          <w:p>
            <w:pPr>
              <w:ind w:left="440"/>
              <w:spacing w:after="0" w:line="202" w:lineRule="exact"/>
              <w:rPr>
                <w:sz w:val="20"/>
                <w:szCs w:val="20"/>
                <w:color w:val="auto"/>
              </w:rPr>
            </w:pPr>
            <w:r>
              <w:rPr>
                <w:rFonts w:ascii="Arial" w:cs="Arial" w:eastAsia="Arial" w:hAnsi="Arial"/>
                <w:sz w:val="18"/>
                <w:szCs w:val="18"/>
                <w:color w:val="auto"/>
                <w:w w:val="99"/>
              </w:rPr>
              <w:t>2013</w:t>
            </w:r>
          </w:p>
        </w:tc>
        <w:tc>
          <w:tcPr>
            <w:tcW w:w="6000" w:type="dxa"/>
            <w:vAlign w:val="bottom"/>
            <w:gridSpan w:val="2"/>
            <w:shd w:val="clear" w:color="auto" w:fill="D2DEEE"/>
          </w:tcPr>
          <w:p>
            <w:pPr>
              <w:ind w:left="20"/>
              <w:spacing w:after="0" w:line="202" w:lineRule="exact"/>
              <w:rPr>
                <w:sz w:val="20"/>
                <w:szCs w:val="20"/>
                <w:color w:val="auto"/>
              </w:rPr>
            </w:pPr>
            <w:r>
              <w:rPr>
                <w:rFonts w:ascii="Arial" w:cs="Arial" w:eastAsia="Arial" w:hAnsi="Arial"/>
                <w:sz w:val="18"/>
                <w:szCs w:val="18"/>
                <w:color w:val="auto"/>
              </w:rPr>
              <w:t>Stock Option Grant</w:t>
            </w:r>
          </w:p>
        </w:tc>
        <w:tc>
          <w:tcPr>
            <w:tcW w:w="340" w:type="dxa"/>
            <w:vAlign w:val="bottom"/>
            <w:shd w:val="clear" w:color="auto" w:fill="D2DEEE"/>
          </w:tcPr>
          <w:p>
            <w:pPr>
              <w:spacing w:after="0"/>
              <w:rPr>
                <w:sz w:val="17"/>
                <w:szCs w:val="17"/>
                <w:color w:val="auto"/>
              </w:rPr>
            </w:pPr>
          </w:p>
        </w:tc>
        <w:tc>
          <w:tcPr>
            <w:tcW w:w="280" w:type="dxa"/>
            <w:vAlign w:val="bottom"/>
            <w:shd w:val="clear" w:color="auto" w:fill="D2DEEE"/>
          </w:tcPr>
          <w:p>
            <w:pPr>
              <w:spacing w:after="0"/>
              <w:rPr>
                <w:sz w:val="17"/>
                <w:szCs w:val="17"/>
                <w:color w:val="auto"/>
              </w:rPr>
            </w:pPr>
          </w:p>
        </w:tc>
        <w:tc>
          <w:tcPr>
            <w:tcW w:w="100" w:type="dxa"/>
            <w:vAlign w:val="bottom"/>
            <w:shd w:val="clear" w:color="auto" w:fill="D2DEEE"/>
          </w:tcPr>
          <w:p>
            <w:pPr>
              <w:spacing w:after="0"/>
              <w:rPr>
                <w:sz w:val="17"/>
                <w:szCs w:val="17"/>
                <w:color w:val="auto"/>
              </w:rPr>
            </w:pPr>
          </w:p>
        </w:tc>
        <w:tc>
          <w:tcPr>
            <w:tcW w:w="840" w:type="dxa"/>
            <w:vAlign w:val="bottom"/>
            <w:shd w:val="clear" w:color="auto" w:fill="D2DEEE"/>
          </w:tcPr>
          <w:p>
            <w:pPr>
              <w:jc w:val="center"/>
              <w:ind w:right="174"/>
              <w:spacing w:after="0" w:line="202" w:lineRule="exact"/>
              <w:rPr>
                <w:sz w:val="20"/>
                <w:szCs w:val="20"/>
                <w:color w:val="auto"/>
              </w:rPr>
            </w:pPr>
            <w:r>
              <w:rPr>
                <w:rFonts w:ascii="Arial" w:cs="Arial" w:eastAsia="Arial" w:hAnsi="Arial"/>
                <w:sz w:val="18"/>
                <w:szCs w:val="18"/>
                <w:color w:val="auto"/>
                <w:w w:val="99"/>
              </w:rPr>
              <w:t>-</w:t>
            </w:r>
          </w:p>
        </w:tc>
        <w:tc>
          <w:tcPr>
            <w:tcW w:w="560" w:type="dxa"/>
            <w:vAlign w:val="bottom"/>
            <w:shd w:val="clear" w:color="auto" w:fill="D2DEEE"/>
          </w:tcPr>
          <w:p>
            <w:pPr>
              <w:spacing w:after="0"/>
              <w:rPr>
                <w:sz w:val="17"/>
                <w:szCs w:val="17"/>
                <w:color w:val="auto"/>
              </w:rPr>
            </w:pPr>
          </w:p>
        </w:tc>
        <w:tc>
          <w:tcPr>
            <w:tcW w:w="1160" w:type="dxa"/>
            <w:vAlign w:val="bottom"/>
            <w:shd w:val="clear" w:color="auto" w:fill="D2DEEE"/>
          </w:tcPr>
          <w:p>
            <w:pPr>
              <w:jc w:val="right"/>
              <w:ind w:right="517"/>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D2DEEE"/>
          </w:tcPr>
          <w:p>
            <w:pPr>
              <w:spacing w:after="0"/>
              <w:rPr>
                <w:sz w:val="17"/>
                <w:szCs w:val="17"/>
                <w:color w:val="auto"/>
              </w:rPr>
            </w:pPr>
          </w:p>
        </w:tc>
        <w:tc>
          <w:tcPr>
            <w:tcW w:w="1000" w:type="dxa"/>
            <w:vAlign w:val="bottom"/>
            <w:gridSpan w:val="3"/>
            <w:shd w:val="clear" w:color="auto" w:fill="D2DEEE"/>
          </w:tcPr>
          <w:p>
            <w:pPr>
              <w:jc w:val="right"/>
              <w:ind w:right="200"/>
              <w:spacing w:after="0" w:line="202" w:lineRule="exact"/>
              <w:rPr>
                <w:sz w:val="20"/>
                <w:szCs w:val="20"/>
                <w:color w:val="auto"/>
              </w:rPr>
            </w:pPr>
            <w:r>
              <w:rPr>
                <w:rFonts w:ascii="Arial" w:cs="Arial" w:eastAsia="Arial" w:hAnsi="Arial"/>
                <w:sz w:val="18"/>
                <w:szCs w:val="18"/>
                <w:color w:val="auto"/>
              </w:rPr>
              <w:t>298,280</w:t>
            </w:r>
          </w:p>
        </w:tc>
      </w:tr>
      <w:tr>
        <w:trPr>
          <w:trHeight w:val="203"/>
        </w:trPr>
        <w:tc>
          <w:tcPr>
            <w:tcW w:w="860" w:type="dxa"/>
            <w:vAlign w:val="bottom"/>
          </w:tcPr>
          <w:p>
            <w:pPr>
              <w:ind w:left="440"/>
              <w:spacing w:after="0" w:line="202" w:lineRule="exact"/>
              <w:rPr>
                <w:sz w:val="20"/>
                <w:szCs w:val="20"/>
                <w:color w:val="auto"/>
              </w:rPr>
            </w:pPr>
            <w:r>
              <w:rPr>
                <w:rFonts w:ascii="Arial" w:cs="Arial" w:eastAsia="Arial" w:hAnsi="Arial"/>
                <w:sz w:val="18"/>
                <w:szCs w:val="18"/>
                <w:color w:val="auto"/>
                <w:w w:val="99"/>
              </w:rPr>
              <w:t>2014</w:t>
            </w:r>
          </w:p>
        </w:tc>
        <w:tc>
          <w:tcPr>
            <w:tcW w:w="60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Stock Option Grant</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center"/>
              <w:ind w:right="174"/>
              <w:spacing w:after="0" w:line="202" w:lineRule="exact"/>
              <w:rPr>
                <w:sz w:val="20"/>
                <w:szCs w:val="20"/>
                <w:color w:val="auto"/>
              </w:rPr>
            </w:pPr>
            <w:r>
              <w:rPr>
                <w:rFonts w:ascii="Arial" w:cs="Arial" w:eastAsia="Arial" w:hAnsi="Arial"/>
                <w:sz w:val="18"/>
                <w:szCs w:val="18"/>
                <w:color w:val="auto"/>
                <w:w w:val="99"/>
              </w:rPr>
              <w:t>-</w:t>
            </w:r>
          </w:p>
        </w:tc>
        <w:tc>
          <w:tcPr>
            <w:tcW w:w="560" w:type="dxa"/>
            <w:vAlign w:val="bottom"/>
          </w:tcPr>
          <w:p>
            <w:pPr>
              <w:spacing w:after="0"/>
              <w:rPr>
                <w:sz w:val="17"/>
                <w:szCs w:val="17"/>
                <w:color w:val="auto"/>
              </w:rPr>
            </w:pPr>
          </w:p>
        </w:tc>
        <w:tc>
          <w:tcPr>
            <w:tcW w:w="1160" w:type="dxa"/>
            <w:vAlign w:val="bottom"/>
          </w:tcPr>
          <w:p>
            <w:pPr>
              <w:jc w:val="right"/>
              <w:ind w:right="517"/>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00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391,440</w:t>
            </w:r>
          </w:p>
        </w:tc>
      </w:tr>
      <w:tr>
        <w:trPr>
          <w:trHeight w:val="203"/>
        </w:trPr>
        <w:tc>
          <w:tcPr>
            <w:tcW w:w="860" w:type="dxa"/>
            <w:vAlign w:val="bottom"/>
            <w:shd w:val="clear" w:color="auto" w:fill="D2DEEE"/>
          </w:tcPr>
          <w:p>
            <w:pPr>
              <w:ind w:left="440"/>
              <w:spacing w:after="0" w:line="202" w:lineRule="exact"/>
              <w:rPr>
                <w:sz w:val="20"/>
                <w:szCs w:val="20"/>
                <w:color w:val="auto"/>
              </w:rPr>
            </w:pPr>
            <w:r>
              <w:rPr>
                <w:rFonts w:ascii="Arial" w:cs="Arial" w:eastAsia="Arial" w:hAnsi="Arial"/>
                <w:sz w:val="18"/>
                <w:szCs w:val="18"/>
                <w:color w:val="auto"/>
                <w:w w:val="99"/>
              </w:rPr>
              <w:t>2015</w:t>
            </w:r>
          </w:p>
        </w:tc>
        <w:tc>
          <w:tcPr>
            <w:tcW w:w="6000" w:type="dxa"/>
            <w:vAlign w:val="bottom"/>
            <w:gridSpan w:val="2"/>
            <w:shd w:val="clear" w:color="auto" w:fill="D2DEEE"/>
          </w:tcPr>
          <w:p>
            <w:pPr>
              <w:ind w:left="20"/>
              <w:spacing w:after="0" w:line="202" w:lineRule="exact"/>
              <w:rPr>
                <w:sz w:val="20"/>
                <w:szCs w:val="20"/>
                <w:color w:val="auto"/>
              </w:rPr>
            </w:pPr>
            <w:r>
              <w:rPr>
                <w:rFonts w:ascii="Arial" w:cs="Arial" w:eastAsia="Arial" w:hAnsi="Arial"/>
                <w:sz w:val="18"/>
                <w:szCs w:val="18"/>
                <w:color w:val="auto"/>
              </w:rPr>
              <w:t>Stock Option Grant</w:t>
            </w:r>
          </w:p>
        </w:tc>
        <w:tc>
          <w:tcPr>
            <w:tcW w:w="340" w:type="dxa"/>
            <w:vAlign w:val="bottom"/>
            <w:shd w:val="clear" w:color="auto" w:fill="D2DEEE"/>
          </w:tcPr>
          <w:p>
            <w:pPr>
              <w:spacing w:after="0"/>
              <w:rPr>
                <w:sz w:val="17"/>
                <w:szCs w:val="17"/>
                <w:color w:val="auto"/>
              </w:rPr>
            </w:pPr>
          </w:p>
        </w:tc>
        <w:tc>
          <w:tcPr>
            <w:tcW w:w="280" w:type="dxa"/>
            <w:vAlign w:val="bottom"/>
            <w:shd w:val="clear" w:color="auto" w:fill="D2DEEE"/>
          </w:tcPr>
          <w:p>
            <w:pPr>
              <w:spacing w:after="0"/>
              <w:rPr>
                <w:sz w:val="17"/>
                <w:szCs w:val="17"/>
                <w:color w:val="auto"/>
              </w:rPr>
            </w:pPr>
          </w:p>
        </w:tc>
        <w:tc>
          <w:tcPr>
            <w:tcW w:w="100" w:type="dxa"/>
            <w:vAlign w:val="bottom"/>
            <w:shd w:val="clear" w:color="auto" w:fill="D2DEEE"/>
          </w:tcPr>
          <w:p>
            <w:pPr>
              <w:spacing w:after="0"/>
              <w:rPr>
                <w:sz w:val="17"/>
                <w:szCs w:val="17"/>
                <w:color w:val="auto"/>
              </w:rPr>
            </w:pPr>
          </w:p>
        </w:tc>
        <w:tc>
          <w:tcPr>
            <w:tcW w:w="840" w:type="dxa"/>
            <w:vAlign w:val="bottom"/>
            <w:shd w:val="clear" w:color="auto" w:fill="D2DEEE"/>
          </w:tcPr>
          <w:p>
            <w:pPr>
              <w:jc w:val="center"/>
              <w:ind w:right="174"/>
              <w:spacing w:after="0" w:line="202" w:lineRule="exact"/>
              <w:rPr>
                <w:sz w:val="20"/>
                <w:szCs w:val="20"/>
                <w:color w:val="auto"/>
              </w:rPr>
            </w:pPr>
            <w:r>
              <w:rPr>
                <w:rFonts w:ascii="Arial" w:cs="Arial" w:eastAsia="Arial" w:hAnsi="Arial"/>
                <w:sz w:val="18"/>
                <w:szCs w:val="18"/>
                <w:color w:val="auto"/>
                <w:w w:val="99"/>
              </w:rPr>
              <w:t>-</w:t>
            </w:r>
          </w:p>
        </w:tc>
        <w:tc>
          <w:tcPr>
            <w:tcW w:w="560" w:type="dxa"/>
            <w:vAlign w:val="bottom"/>
            <w:shd w:val="clear" w:color="auto" w:fill="D2DEEE"/>
          </w:tcPr>
          <w:p>
            <w:pPr>
              <w:spacing w:after="0"/>
              <w:rPr>
                <w:sz w:val="17"/>
                <w:szCs w:val="17"/>
                <w:color w:val="auto"/>
              </w:rPr>
            </w:pPr>
          </w:p>
        </w:tc>
        <w:tc>
          <w:tcPr>
            <w:tcW w:w="1160" w:type="dxa"/>
            <w:vAlign w:val="bottom"/>
            <w:shd w:val="clear" w:color="auto" w:fill="D2DEEE"/>
          </w:tcPr>
          <w:p>
            <w:pPr>
              <w:jc w:val="right"/>
              <w:ind w:right="517"/>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D2DEEE"/>
          </w:tcPr>
          <w:p>
            <w:pPr>
              <w:spacing w:after="0"/>
              <w:rPr>
                <w:sz w:val="17"/>
                <w:szCs w:val="17"/>
                <w:color w:val="auto"/>
              </w:rPr>
            </w:pPr>
          </w:p>
        </w:tc>
        <w:tc>
          <w:tcPr>
            <w:tcW w:w="1000" w:type="dxa"/>
            <w:vAlign w:val="bottom"/>
            <w:gridSpan w:val="3"/>
            <w:shd w:val="clear" w:color="auto" w:fill="D2DEEE"/>
          </w:tcPr>
          <w:p>
            <w:pPr>
              <w:jc w:val="right"/>
              <w:ind w:right="200"/>
              <w:spacing w:after="0" w:line="202" w:lineRule="exact"/>
              <w:rPr>
                <w:sz w:val="20"/>
                <w:szCs w:val="20"/>
                <w:color w:val="auto"/>
              </w:rPr>
            </w:pPr>
            <w:r>
              <w:rPr>
                <w:rFonts w:ascii="Arial" w:cs="Arial" w:eastAsia="Arial" w:hAnsi="Arial"/>
                <w:sz w:val="18"/>
                <w:szCs w:val="18"/>
                <w:color w:val="auto"/>
              </w:rPr>
              <w:t>528,480</w:t>
            </w:r>
          </w:p>
        </w:tc>
      </w:tr>
      <w:tr>
        <w:trPr>
          <w:trHeight w:val="203"/>
        </w:trPr>
        <w:tc>
          <w:tcPr>
            <w:tcW w:w="860" w:type="dxa"/>
            <w:vAlign w:val="bottom"/>
          </w:tcPr>
          <w:p>
            <w:pPr>
              <w:ind w:left="440"/>
              <w:spacing w:after="0" w:line="202" w:lineRule="exact"/>
              <w:rPr>
                <w:sz w:val="20"/>
                <w:szCs w:val="20"/>
                <w:color w:val="auto"/>
              </w:rPr>
            </w:pPr>
            <w:r>
              <w:rPr>
                <w:rFonts w:ascii="Arial" w:cs="Arial" w:eastAsia="Arial" w:hAnsi="Arial"/>
                <w:sz w:val="18"/>
                <w:szCs w:val="18"/>
                <w:color w:val="auto"/>
                <w:w w:val="99"/>
              </w:rPr>
              <w:t>2014</w:t>
            </w:r>
          </w:p>
        </w:tc>
        <w:tc>
          <w:tcPr>
            <w:tcW w:w="60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Restricted Stock Grant</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center"/>
              <w:ind w:right="174"/>
              <w:spacing w:after="0" w:line="202" w:lineRule="exact"/>
              <w:rPr>
                <w:sz w:val="20"/>
                <w:szCs w:val="20"/>
                <w:color w:val="auto"/>
              </w:rPr>
            </w:pPr>
            <w:r>
              <w:rPr>
                <w:rFonts w:ascii="Arial" w:cs="Arial" w:eastAsia="Arial" w:hAnsi="Arial"/>
                <w:sz w:val="18"/>
                <w:szCs w:val="18"/>
                <w:color w:val="auto"/>
                <w:w w:val="99"/>
              </w:rPr>
              <w:t>-</w:t>
            </w:r>
          </w:p>
        </w:tc>
        <w:tc>
          <w:tcPr>
            <w:tcW w:w="560" w:type="dxa"/>
            <w:vAlign w:val="bottom"/>
          </w:tcPr>
          <w:p>
            <w:pPr>
              <w:spacing w:after="0"/>
              <w:rPr>
                <w:sz w:val="17"/>
                <w:szCs w:val="17"/>
                <w:color w:val="auto"/>
              </w:rPr>
            </w:pPr>
          </w:p>
        </w:tc>
        <w:tc>
          <w:tcPr>
            <w:tcW w:w="1160" w:type="dxa"/>
            <w:vAlign w:val="bottom"/>
          </w:tcPr>
          <w:p>
            <w:pPr>
              <w:jc w:val="right"/>
              <w:ind w:right="517"/>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00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379,580</w:t>
            </w:r>
          </w:p>
        </w:tc>
      </w:tr>
      <w:tr>
        <w:trPr>
          <w:trHeight w:val="203"/>
        </w:trPr>
        <w:tc>
          <w:tcPr>
            <w:tcW w:w="860" w:type="dxa"/>
            <w:vAlign w:val="bottom"/>
            <w:shd w:val="clear" w:color="auto" w:fill="D2DEEE"/>
          </w:tcPr>
          <w:p>
            <w:pPr>
              <w:ind w:left="440"/>
              <w:spacing w:after="0" w:line="202" w:lineRule="exact"/>
              <w:rPr>
                <w:sz w:val="20"/>
                <w:szCs w:val="20"/>
                <w:color w:val="auto"/>
              </w:rPr>
            </w:pPr>
            <w:r>
              <w:rPr>
                <w:rFonts w:ascii="Arial" w:cs="Arial" w:eastAsia="Arial" w:hAnsi="Arial"/>
                <w:sz w:val="18"/>
                <w:szCs w:val="18"/>
                <w:color w:val="auto"/>
                <w:w w:val="99"/>
              </w:rPr>
              <w:t>2015</w:t>
            </w:r>
          </w:p>
        </w:tc>
        <w:tc>
          <w:tcPr>
            <w:tcW w:w="6000" w:type="dxa"/>
            <w:vAlign w:val="bottom"/>
            <w:gridSpan w:val="2"/>
            <w:shd w:val="clear" w:color="auto" w:fill="D2DEEE"/>
          </w:tcPr>
          <w:p>
            <w:pPr>
              <w:ind w:left="20"/>
              <w:spacing w:after="0" w:line="202" w:lineRule="exact"/>
              <w:rPr>
                <w:sz w:val="20"/>
                <w:szCs w:val="20"/>
                <w:color w:val="auto"/>
              </w:rPr>
            </w:pPr>
            <w:r>
              <w:rPr>
                <w:rFonts w:ascii="Arial" w:cs="Arial" w:eastAsia="Arial" w:hAnsi="Arial"/>
                <w:sz w:val="18"/>
                <w:szCs w:val="18"/>
                <w:color w:val="auto"/>
              </w:rPr>
              <w:t>Restricted Stock Grant</w:t>
            </w:r>
          </w:p>
        </w:tc>
        <w:tc>
          <w:tcPr>
            <w:tcW w:w="340" w:type="dxa"/>
            <w:vAlign w:val="bottom"/>
            <w:shd w:val="clear" w:color="auto" w:fill="D2DEEE"/>
          </w:tcPr>
          <w:p>
            <w:pPr>
              <w:spacing w:after="0"/>
              <w:rPr>
                <w:sz w:val="17"/>
                <w:szCs w:val="17"/>
                <w:color w:val="auto"/>
              </w:rPr>
            </w:pPr>
          </w:p>
        </w:tc>
        <w:tc>
          <w:tcPr>
            <w:tcW w:w="280" w:type="dxa"/>
            <w:vAlign w:val="bottom"/>
            <w:shd w:val="clear" w:color="auto" w:fill="D2DEEE"/>
          </w:tcPr>
          <w:p>
            <w:pPr>
              <w:spacing w:after="0"/>
              <w:rPr>
                <w:sz w:val="17"/>
                <w:szCs w:val="17"/>
                <w:color w:val="auto"/>
              </w:rPr>
            </w:pPr>
          </w:p>
        </w:tc>
        <w:tc>
          <w:tcPr>
            <w:tcW w:w="100" w:type="dxa"/>
            <w:vAlign w:val="bottom"/>
            <w:shd w:val="clear" w:color="auto" w:fill="D2DEEE"/>
          </w:tcPr>
          <w:p>
            <w:pPr>
              <w:spacing w:after="0"/>
              <w:rPr>
                <w:sz w:val="17"/>
                <w:szCs w:val="17"/>
                <w:color w:val="auto"/>
              </w:rPr>
            </w:pPr>
          </w:p>
        </w:tc>
        <w:tc>
          <w:tcPr>
            <w:tcW w:w="840" w:type="dxa"/>
            <w:vAlign w:val="bottom"/>
            <w:shd w:val="clear" w:color="auto" w:fill="D2DEEE"/>
          </w:tcPr>
          <w:p>
            <w:pPr>
              <w:jc w:val="center"/>
              <w:ind w:right="174"/>
              <w:spacing w:after="0" w:line="202" w:lineRule="exact"/>
              <w:rPr>
                <w:sz w:val="20"/>
                <w:szCs w:val="20"/>
                <w:color w:val="auto"/>
              </w:rPr>
            </w:pPr>
            <w:r>
              <w:rPr>
                <w:rFonts w:ascii="Arial" w:cs="Arial" w:eastAsia="Arial" w:hAnsi="Arial"/>
                <w:sz w:val="18"/>
                <w:szCs w:val="18"/>
                <w:color w:val="auto"/>
                <w:w w:val="99"/>
              </w:rPr>
              <w:t>-</w:t>
            </w:r>
          </w:p>
        </w:tc>
        <w:tc>
          <w:tcPr>
            <w:tcW w:w="560" w:type="dxa"/>
            <w:vAlign w:val="bottom"/>
            <w:shd w:val="clear" w:color="auto" w:fill="D2DEEE"/>
          </w:tcPr>
          <w:p>
            <w:pPr>
              <w:spacing w:after="0"/>
              <w:rPr>
                <w:sz w:val="17"/>
                <w:szCs w:val="17"/>
                <w:color w:val="auto"/>
              </w:rPr>
            </w:pPr>
          </w:p>
        </w:tc>
        <w:tc>
          <w:tcPr>
            <w:tcW w:w="1160" w:type="dxa"/>
            <w:vAlign w:val="bottom"/>
            <w:shd w:val="clear" w:color="auto" w:fill="D2DEEE"/>
          </w:tcPr>
          <w:p>
            <w:pPr>
              <w:jc w:val="right"/>
              <w:ind w:right="517"/>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D2DEEE"/>
          </w:tcPr>
          <w:p>
            <w:pPr>
              <w:spacing w:after="0"/>
              <w:rPr>
                <w:sz w:val="17"/>
                <w:szCs w:val="17"/>
                <w:color w:val="auto"/>
              </w:rPr>
            </w:pPr>
          </w:p>
        </w:tc>
        <w:tc>
          <w:tcPr>
            <w:tcW w:w="1000" w:type="dxa"/>
            <w:vAlign w:val="bottom"/>
            <w:gridSpan w:val="3"/>
            <w:shd w:val="clear" w:color="auto" w:fill="D2DEEE"/>
          </w:tcPr>
          <w:p>
            <w:pPr>
              <w:jc w:val="right"/>
              <w:ind w:right="200"/>
              <w:spacing w:after="0" w:line="202" w:lineRule="exact"/>
              <w:rPr>
                <w:sz w:val="20"/>
                <w:szCs w:val="20"/>
                <w:color w:val="auto"/>
              </w:rPr>
            </w:pPr>
            <w:r>
              <w:rPr>
                <w:rFonts w:ascii="Arial" w:cs="Arial" w:eastAsia="Arial" w:hAnsi="Arial"/>
                <w:sz w:val="18"/>
                <w:szCs w:val="18"/>
                <w:color w:val="auto"/>
                <w:w w:val="97"/>
              </w:rPr>
              <w:t>1,138,740</w:t>
            </w:r>
          </w:p>
        </w:tc>
      </w:tr>
      <w:tr>
        <w:trPr>
          <w:trHeight w:val="203"/>
        </w:trPr>
        <w:tc>
          <w:tcPr>
            <w:tcW w:w="6860" w:type="dxa"/>
            <w:vAlign w:val="bottom"/>
            <w:gridSpan w:val="3"/>
          </w:tcPr>
          <w:p>
            <w:pPr>
              <w:spacing w:after="0" w:line="202" w:lineRule="exact"/>
              <w:rPr>
                <w:sz w:val="20"/>
                <w:szCs w:val="20"/>
                <w:color w:val="auto"/>
              </w:rPr>
            </w:pPr>
            <w:r>
              <w:rPr>
                <w:rFonts w:ascii="Arial" w:cs="Arial" w:eastAsia="Arial" w:hAnsi="Arial"/>
                <w:sz w:val="18"/>
                <w:szCs w:val="18"/>
                <w:color w:val="auto"/>
              </w:rPr>
              <w:t>Continued Medical Benefits</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center"/>
              <w:ind w:right="174"/>
              <w:spacing w:after="0" w:line="202" w:lineRule="exact"/>
              <w:rPr>
                <w:sz w:val="20"/>
                <w:szCs w:val="20"/>
                <w:color w:val="auto"/>
              </w:rPr>
            </w:pPr>
            <w:r>
              <w:rPr>
                <w:rFonts w:ascii="Arial" w:cs="Arial" w:eastAsia="Arial" w:hAnsi="Arial"/>
                <w:sz w:val="18"/>
                <w:szCs w:val="18"/>
                <w:color w:val="auto"/>
                <w:w w:val="99"/>
              </w:rPr>
              <w:t>-</w:t>
            </w:r>
          </w:p>
        </w:tc>
        <w:tc>
          <w:tcPr>
            <w:tcW w:w="560" w:type="dxa"/>
            <w:vAlign w:val="bottom"/>
          </w:tcPr>
          <w:p>
            <w:pPr>
              <w:spacing w:after="0"/>
              <w:rPr>
                <w:sz w:val="17"/>
                <w:szCs w:val="17"/>
                <w:color w:val="auto"/>
              </w:rPr>
            </w:pPr>
          </w:p>
        </w:tc>
        <w:tc>
          <w:tcPr>
            <w:tcW w:w="1160" w:type="dxa"/>
            <w:vAlign w:val="bottom"/>
          </w:tcPr>
          <w:p>
            <w:pPr>
              <w:jc w:val="right"/>
              <w:ind w:right="517"/>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189"/>
        </w:trPr>
        <w:tc>
          <w:tcPr>
            <w:tcW w:w="860" w:type="dxa"/>
            <w:vAlign w:val="bottom"/>
          </w:tcPr>
          <w:p>
            <w:pPr>
              <w:spacing w:after="0" w:line="189" w:lineRule="exact"/>
              <w:rPr>
                <w:sz w:val="20"/>
                <w:szCs w:val="20"/>
                <w:color w:val="auto"/>
              </w:rPr>
            </w:pPr>
            <w:r>
              <w:rPr>
                <w:rFonts w:ascii="Arial" w:cs="Arial" w:eastAsia="Arial" w:hAnsi="Arial"/>
                <w:sz w:val="18"/>
                <w:szCs w:val="18"/>
                <w:color w:val="auto"/>
              </w:rPr>
              <w:t>Total</w:t>
            </w:r>
          </w:p>
        </w:tc>
        <w:tc>
          <w:tcPr>
            <w:tcW w:w="558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gridSpan w:val="2"/>
          </w:tcPr>
          <w:p>
            <w:pPr>
              <w:ind w:left="340"/>
              <w:spacing w:after="0" w:line="189"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center"/>
              <w:ind w:right="174"/>
              <w:spacing w:after="0" w:line="189" w:lineRule="exact"/>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ind w:left="440"/>
              <w:spacing w:after="0" w:line="189" w:lineRule="exact"/>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517"/>
              <w:spacing w:after="0" w:line="189"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gridSpan w:val="3"/>
          </w:tcPr>
          <w:p>
            <w:pPr>
              <w:jc w:val="right"/>
              <w:ind w:right="200"/>
              <w:spacing w:after="0" w:line="189" w:lineRule="exact"/>
              <w:rPr>
                <w:sz w:val="20"/>
                <w:szCs w:val="20"/>
                <w:color w:val="auto"/>
              </w:rPr>
            </w:pPr>
            <w:r>
              <w:rPr>
                <w:rFonts w:ascii="Arial" w:cs="Arial" w:eastAsia="Arial" w:hAnsi="Arial"/>
                <w:sz w:val="18"/>
                <w:szCs w:val="18"/>
                <w:color w:val="auto"/>
                <w:w w:val="97"/>
              </w:rPr>
              <w:t>2,736,520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46620" cy="1371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340" w:hanging="332"/>
        <w:spacing w:after="0" w:line="181" w:lineRule="auto"/>
        <w:tabs>
          <w:tab w:leader="none" w:pos="340" w:val="left"/>
        </w:tabs>
        <w:numPr>
          <w:ilvl w:val="0"/>
          <w:numId w:val="69"/>
        </w:numPr>
        <w:rPr>
          <w:rFonts w:ascii="Arial" w:cs="Arial" w:eastAsia="Arial" w:hAnsi="Arial"/>
          <w:sz w:val="21"/>
          <w:szCs w:val="21"/>
          <w:color w:val="auto"/>
          <w:vertAlign w:val="superscript"/>
        </w:rPr>
      </w:pPr>
      <w:r>
        <w:rPr>
          <w:rFonts w:ascii="Arial" w:cs="Arial" w:eastAsia="Arial" w:hAnsi="Arial"/>
          <w:sz w:val="13"/>
          <w:szCs w:val="13"/>
          <w:color w:val="auto"/>
        </w:rPr>
        <w:t>Assumes employment is terminated involuntarily without cause, or also with respect to Mr. Jellison, he resigns for good reason.</w:t>
      </w:r>
    </w:p>
    <w:p>
      <w:pPr>
        <w:spacing w:after="0" w:line="67" w:lineRule="exact"/>
        <w:rPr>
          <w:rFonts w:ascii="Arial" w:cs="Arial" w:eastAsia="Arial" w:hAnsi="Arial"/>
          <w:sz w:val="21"/>
          <w:szCs w:val="21"/>
          <w:color w:val="auto"/>
          <w:vertAlign w:val="superscript"/>
        </w:rPr>
      </w:pPr>
    </w:p>
    <w:p>
      <w:pPr>
        <w:ind w:left="340" w:hanging="332"/>
        <w:spacing w:after="0" w:line="188" w:lineRule="auto"/>
        <w:tabs>
          <w:tab w:leader="none" w:pos="340" w:val="left"/>
        </w:tabs>
        <w:numPr>
          <w:ilvl w:val="0"/>
          <w:numId w:val="69"/>
        </w:numPr>
        <w:rPr>
          <w:rFonts w:ascii="Arial" w:cs="Arial" w:eastAsia="Arial" w:hAnsi="Arial"/>
          <w:sz w:val="18"/>
          <w:szCs w:val="18"/>
          <w:color w:val="auto"/>
          <w:vertAlign w:val="superscript"/>
        </w:rPr>
      </w:pPr>
      <w:r>
        <w:rPr>
          <w:rFonts w:ascii="Arial" w:cs="Arial" w:eastAsia="Arial" w:hAnsi="Arial"/>
          <w:sz w:val="12"/>
          <w:szCs w:val="12"/>
          <w:color w:val="auto"/>
        </w:rPr>
        <w:t>Based on $189.79 closing price as of December 31, 2015.</w:t>
      </w:r>
    </w:p>
    <w:p>
      <w:pPr>
        <w:spacing w:after="0" w:line="67" w:lineRule="exact"/>
        <w:rPr>
          <w:rFonts w:ascii="Arial" w:cs="Arial" w:eastAsia="Arial" w:hAnsi="Arial"/>
          <w:sz w:val="18"/>
          <w:szCs w:val="18"/>
          <w:color w:val="auto"/>
          <w:vertAlign w:val="superscript"/>
        </w:rPr>
      </w:pPr>
    </w:p>
    <w:p>
      <w:pPr>
        <w:ind w:left="340" w:right="80" w:hanging="332"/>
        <w:spacing w:after="0" w:line="198" w:lineRule="auto"/>
        <w:tabs>
          <w:tab w:leader="none" w:pos="340" w:val="left"/>
        </w:tabs>
        <w:numPr>
          <w:ilvl w:val="0"/>
          <w:numId w:val="69"/>
        </w:numPr>
        <w:rPr>
          <w:rFonts w:ascii="Arial" w:cs="Arial" w:eastAsia="Arial" w:hAnsi="Arial"/>
          <w:sz w:val="22"/>
          <w:szCs w:val="22"/>
          <w:color w:val="auto"/>
          <w:vertAlign w:val="superscript"/>
        </w:rPr>
      </w:pPr>
      <w:r>
        <w:rPr>
          <w:rFonts w:ascii="Arial" w:cs="Arial" w:eastAsia="Arial" w:hAnsi="Arial"/>
          <w:sz w:val="14"/>
          <w:szCs w:val="14"/>
          <w:color w:val="auto"/>
        </w:rPr>
        <w:t>Under the terms of our 2006 Incentive Plan, if within two years after a change of control, employment is terminated by the employee for good reason or by the acquirer without cause, or if the acquirer does not assume the awards upon a change in control, (i) outstanding stock options become fully exercisable, (ii) time-based vesting restrictions on outstanding restricted stock awards lapse, and (iii) the target payout opportunities on outstanding performance-based restricted stock awards shall be deemed to have been fully earned (subject to the conditions provided in the 2006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-684530</wp:posOffset>
            </wp:positionV>
            <wp:extent cx="72466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336"/>
        </w:trPr>
        <w:tc>
          <w:tcPr>
            <w:tcW w:w="340" w:type="dxa"/>
            <w:vAlign w:val="bottom"/>
            <w:tcBorders>
              <w:right w:val="single" w:sz="8" w:color="225CAB"/>
            </w:tcBorders>
          </w:tcPr>
          <w:p>
            <w:pPr>
              <w:jc w:val="right"/>
              <w:ind w:right="52"/>
              <w:spacing w:after="0"/>
              <w:rPr>
                <w:sz w:val="20"/>
                <w:szCs w:val="20"/>
                <w:color w:val="auto"/>
              </w:rPr>
            </w:pPr>
            <w:r>
              <w:rPr>
                <w:rFonts w:ascii="Arial" w:cs="Arial" w:eastAsia="Arial" w:hAnsi="Arial"/>
                <w:sz w:val="18"/>
                <w:szCs w:val="18"/>
                <w:b w:val="1"/>
                <w:bCs w:val="1"/>
                <w:color w:val="225CAB"/>
                <w:w w:val="89"/>
              </w:rPr>
              <w:t>40</w:t>
            </w:r>
          </w:p>
        </w:tc>
        <w:tc>
          <w:tcPr>
            <w:tcW w:w="5180" w:type="dxa"/>
            <w:vAlign w:val="bottom"/>
          </w:tcPr>
          <w:p>
            <w:pPr>
              <w:ind w:left="1240"/>
              <w:spacing w:after="0"/>
              <w:rPr>
                <w:sz w:val="20"/>
                <w:szCs w:val="20"/>
                <w:color w:val="auto"/>
              </w:rPr>
            </w:pPr>
            <w:r>
              <w:rPr>
                <w:rFonts w:ascii="Arial" w:cs="Arial" w:eastAsia="Arial" w:hAnsi="Arial"/>
                <w:sz w:val="18"/>
                <w:szCs w:val="18"/>
                <w:b w:val="1"/>
                <w:bCs w:val="1"/>
                <w:color w:val="225CAB"/>
                <w:w w:val="96"/>
              </w:rPr>
              <w:t>Roper Technologies, Inc. 2016 Proxy Statement</w:t>
            </w:r>
          </w:p>
        </w:tc>
      </w:tr>
      <w:tr>
        <w:trPr>
          <w:trHeight w:val="110"/>
        </w:trPr>
        <w:tc>
          <w:tcPr>
            <w:tcW w:w="340" w:type="dxa"/>
            <w:vAlign w:val="bottom"/>
            <w:tcBorders>
              <w:right w:val="single" w:sz="8" w:color="225CAB"/>
            </w:tcBorders>
          </w:tcPr>
          <w:p>
            <w:pPr>
              <w:spacing w:after="0"/>
              <w:rPr>
                <w:sz w:val="9"/>
                <w:szCs w:val="9"/>
                <w:color w:val="auto"/>
              </w:rPr>
            </w:pPr>
          </w:p>
        </w:tc>
        <w:tc>
          <w:tcPr>
            <w:tcW w:w="518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-248285</wp:posOffset>
            </wp:positionV>
            <wp:extent cx="420370" cy="2057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ind w:right="1980"/>
        <w:spacing w:after="0" w:line="260" w:lineRule="auto"/>
        <w:rPr>
          <w:sz w:val="20"/>
          <w:szCs w:val="20"/>
          <w:color w:val="auto"/>
        </w:rPr>
      </w:pPr>
      <w:r>
        <w:rPr>
          <w:rFonts w:ascii="Arial" w:cs="Arial" w:eastAsia="Arial" w:hAnsi="Arial"/>
          <w:sz w:val="32"/>
          <w:szCs w:val="32"/>
          <w:color w:val="225CAB"/>
        </w:rPr>
        <w:t>PROPOSAL 2: ADVISORY VOTE ON THE COMPENSATION OF THE COMPANY’S NAMED EXECUTIVE OFFICERS</w:t>
      </w:r>
    </w:p>
    <w:p>
      <w:pPr>
        <w:spacing w:after="0" w:line="202"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We are seeking your advisory vote approving the compensation of our named executive officers as disclosed in this Proxy Statement. We believe that our executive compensation programs are structured in the best manner possible to support our business objectives, evidenced by the superior returns we have delivered to our shareholders. Over the past 10 years, our total return to shareholders was 17.7% compounded annually, compared to 7.3% annually for the S&amp;P 500. Over the past five years, our return was 20.6% annually, compared to 12.6% for the S&amp;P 500.</w:t>
      </w:r>
    </w:p>
    <w:p>
      <w:pPr>
        <w:spacing w:after="0" w:line="48" w:lineRule="exact"/>
        <w:rPr>
          <w:sz w:val="20"/>
          <w:szCs w:val="20"/>
          <w:color w:val="auto"/>
        </w:rPr>
      </w:pPr>
    </w:p>
    <w:p>
      <w:pPr>
        <w:ind w:right="640"/>
        <w:spacing w:after="0" w:line="281" w:lineRule="auto"/>
        <w:rPr>
          <w:sz w:val="20"/>
          <w:szCs w:val="20"/>
          <w:color w:val="auto"/>
        </w:rPr>
      </w:pPr>
      <w:r>
        <w:rPr>
          <w:rFonts w:ascii="Arial" w:cs="Arial" w:eastAsia="Arial" w:hAnsi="Arial"/>
          <w:sz w:val="16"/>
          <w:szCs w:val="16"/>
          <w:color w:val="auto"/>
        </w:rPr>
        <w:t>Our executive compensation programs are designed to provide competitive total compensation that is tied to the achievement of Company performance objectives and to attract, motivate and retain individuals who will build long-term value for our shareholders. See the “Proxy Statement Summary” and “Compensation Discussion and Analysis” above for key characteristics of our executive compensation programs.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We are seeking shareholder approval of the following resolution:</w:t>
      </w:r>
    </w:p>
    <w:p>
      <w:pPr>
        <w:spacing w:after="0" w:line="77" w:lineRule="exact"/>
        <w:rPr>
          <w:sz w:val="20"/>
          <w:szCs w:val="20"/>
          <w:color w:val="auto"/>
        </w:rPr>
      </w:pPr>
    </w:p>
    <w:p>
      <w:pPr>
        <w:ind w:left="460" w:right="200"/>
        <w:spacing w:after="0" w:line="238" w:lineRule="auto"/>
        <w:rPr>
          <w:sz w:val="20"/>
          <w:szCs w:val="20"/>
          <w:color w:val="auto"/>
        </w:rPr>
      </w:pPr>
      <w:r>
        <w:rPr>
          <w:rFonts w:ascii="Arial" w:cs="Arial" w:eastAsia="Arial" w:hAnsi="Arial"/>
          <w:sz w:val="18"/>
          <w:szCs w:val="18"/>
          <w:color w:val="auto"/>
        </w:rPr>
        <w:t>RESOLVED, that the compensation paid to the Company’s named executive officers as disclosed pursuant to the compensation disclosure rules of the SEC, including the Compensation Discussion and Analysis, the compensation tables and the related material disclosed in this Proxy Statement is hereby APPROVED.</w:t>
      </w:r>
    </w:p>
    <w:p>
      <w:pPr>
        <w:spacing w:after="0" w:line="73"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vote on this proposal is advisory and non-binding; however, the Compensation Committee and our Board will review the results of the vote and consider them when making future determinations regarding our executive compensation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3003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300355"/>
                    </a:xfrm>
                    <a:prstGeom prst="rect">
                      <a:avLst/>
                    </a:prstGeom>
                    <a:noFill/>
                  </pic:spPr>
                </pic:pic>
              </a:graphicData>
            </a:graphic>
          </wp:anchor>
        </w:drawing>
      </w:r>
    </w:p>
    <w:p>
      <w:pPr>
        <w:spacing w:after="0" w:line="181" w:lineRule="exact"/>
        <w:rPr>
          <w:sz w:val="20"/>
          <w:szCs w:val="20"/>
          <w:color w:val="auto"/>
        </w:rPr>
      </w:pPr>
    </w:p>
    <w:p>
      <w:pPr>
        <w:ind w:left="460" w:right="1380"/>
        <w:spacing w:after="0" w:line="264" w:lineRule="auto"/>
        <w:rPr>
          <w:sz w:val="20"/>
          <w:szCs w:val="20"/>
          <w:color w:val="auto"/>
        </w:rPr>
      </w:pPr>
      <w:r>
        <w:rPr>
          <w:rFonts w:ascii="Arial" w:cs="Arial" w:eastAsia="Arial" w:hAnsi="Arial"/>
          <w:sz w:val="18"/>
          <w:szCs w:val="18"/>
          <w:b w:val="1"/>
          <w:bCs w:val="1"/>
          <w:color w:val="auto"/>
        </w:rPr>
        <w:t>The Board of Directors recommends a vote “FOR” the resolution providing an advisory approval of the Company’s compensation of executive officers.</w:t>
      </w:r>
    </w:p>
    <w:p>
      <w:pPr>
        <w:spacing w:after="0" w:line="306" w:lineRule="exact"/>
        <w:rPr>
          <w:sz w:val="20"/>
          <w:szCs w:val="20"/>
          <w:color w:val="auto"/>
        </w:rPr>
      </w:pPr>
    </w:p>
    <w:tbl>
      <w:tblPr>
        <w:tblLayout w:type="fixed"/>
        <w:tblInd w:w="6900" w:type="dxa"/>
        <w:tblCellMar>
          <w:top w:w="0" w:type="dxa"/>
          <w:left w:w="0" w:type="dxa"/>
          <w:bottom w:w="0" w:type="dxa"/>
          <w:right w:w="0" w:type="dxa"/>
        </w:tblCellMar>
      </w:tblPr>
      <w:tr>
        <w:trPr>
          <w:trHeight w:val="309"/>
        </w:trPr>
        <w:tc>
          <w:tcPr>
            <w:tcW w:w="4080" w:type="dxa"/>
            <w:vAlign w:val="bottom"/>
            <w:tcBorders>
              <w:right w:val="single" w:sz="8" w:color="225CAB"/>
            </w:tcBorders>
          </w:tcPr>
          <w:p>
            <w:pPr>
              <w:spacing w:after="0"/>
              <w:rPr>
                <w:sz w:val="20"/>
                <w:szCs w:val="20"/>
                <w:color w:val="auto"/>
              </w:rPr>
            </w:pPr>
            <w:r>
              <w:rPr>
                <w:rFonts w:ascii="Arial" w:cs="Arial" w:eastAsia="Arial" w:hAnsi="Arial"/>
                <w:sz w:val="18"/>
                <w:szCs w:val="18"/>
                <w:b w:val="1"/>
                <w:bCs w:val="1"/>
                <w:color w:val="225CAB"/>
                <w:w w:val="99"/>
              </w:rPr>
              <w:t>Roper Technologies, Inc. 2016 Proxy Statement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225CAB"/>
              </w:rPr>
              <w:t>41</w:t>
            </w:r>
          </w:p>
        </w:tc>
      </w:tr>
      <w:tr>
        <w:trPr>
          <w:trHeight w:val="83"/>
        </w:trPr>
        <w:tc>
          <w:tcPr>
            <w:tcW w:w="4080" w:type="dxa"/>
            <w:vAlign w:val="bottom"/>
            <w:tcBorders>
              <w:right w:val="single" w:sz="8" w:color="225CAB"/>
            </w:tcBorders>
          </w:tcPr>
          <w:p>
            <w:pPr>
              <w:spacing w:after="0"/>
              <w:rPr>
                <w:sz w:val="7"/>
                <w:szCs w:val="7"/>
                <w:color w:val="auto"/>
              </w:rPr>
            </w:pPr>
          </w:p>
        </w:tc>
        <w:tc>
          <w:tcPr>
            <w:tcW w:w="44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-213995</wp:posOffset>
            </wp:positionV>
            <wp:extent cx="420370" cy="2057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spacing w:after="0"/>
        <w:rPr>
          <w:sz w:val="20"/>
          <w:szCs w:val="20"/>
          <w:color w:val="auto"/>
        </w:rPr>
      </w:pPr>
      <w:r>
        <w:rPr>
          <w:rFonts w:ascii="Arial" w:cs="Arial" w:eastAsia="Arial" w:hAnsi="Arial"/>
          <w:sz w:val="32"/>
          <w:szCs w:val="32"/>
          <w:color w:val="225CAB"/>
        </w:rPr>
        <w:t>AUDIT COMMITTEE REPORT</w:t>
      </w:r>
    </w:p>
    <w:p>
      <w:pPr>
        <w:spacing w:after="0" w:line="253" w:lineRule="exact"/>
        <w:rPr>
          <w:sz w:val="20"/>
          <w:szCs w:val="20"/>
          <w:color w:val="auto"/>
        </w:rPr>
      </w:pPr>
    </w:p>
    <w:p>
      <w:pPr>
        <w:ind w:right="200"/>
        <w:spacing w:after="0" w:line="299" w:lineRule="auto"/>
        <w:rPr>
          <w:sz w:val="20"/>
          <w:szCs w:val="20"/>
          <w:color w:val="auto"/>
        </w:rPr>
      </w:pPr>
      <w:r>
        <w:rPr>
          <w:rFonts w:ascii="Arial" w:cs="Arial" w:eastAsia="Arial" w:hAnsi="Arial"/>
          <w:sz w:val="16"/>
          <w:szCs w:val="16"/>
          <w:color w:val="auto"/>
        </w:rPr>
        <w:t>The Audit Committee of the Board of Directors is comprised of four non-employee directors, each of whom has been determined by the Board of Directors to be independent under the rules of the NYSE and the SEC. The Audit Committee’s responsibilities are set forth in its charter.</w:t>
      </w:r>
    </w:p>
    <w:p>
      <w:pPr>
        <w:spacing w:after="0" w:line="28"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The Audit Committee oversees and reviews with the full Board of Directors any issues with respect to the Company’s financial statements, the structure of the Company’s legal and regulatory compliance, the performance and independence of the Company’s Independent Certified Public Accountants and the performance of the Company’s internal audit function. The Committee retains the Company’s Independent Certified Public Accountants to undertake appropriate reviews and audits of the Company’s financial statements, determines the compensation of the Independent Certified Public Accountants, and pre-approves all of their services. The Company’s management is primarily responsible for the Company’s financial reporting process and for the preparation of the Company’s financial statements in accordance with accounting principles generally accepted in the United States. The Audit Committee maintains oversight of the Independent Certified Public Accountants by discussing the overall scope and specific plans for their audits, the results of their examinations, their evaluations of the Company’s internal accounting controls and the overall quality of the Company’s financial reporting. The Audit Committee may delegate its duties and responsibilities to a subcommittee of the Committee.</w:t>
      </w:r>
    </w:p>
    <w:p>
      <w:pPr>
        <w:spacing w:after="0" w:line="80"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Audit Committee maintains oversight of the Company’s internal audit function by evaluating the appointment and performance of the Company’s Vice President of Internal Auditing and periodically meeting with the Vice President of Internal Auditing to receive and review reports of the work of the Company’s internal audit department. The Audit Committee meets with management on a regular basis to discuss any significant matters, internal audit recommendations, policy or procedural changes and risks or exposures, if any, that may have a material effect on the Company’s financial statements.</w:t>
      </w:r>
    </w:p>
    <w:p>
      <w:pPr>
        <w:spacing w:after="0" w:line="76"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 xml:space="preserve">The Audit Committee: (i) appointed and retained PricewaterhouseCoopers LLP (“PwC”) as the Company’s independent accounting firm for the fiscal year ended December 31, 2015; (ii) reviewed and discussed with the Company’s management the Company’s audited financial statements for the fiscal year ended December 31, 2015; (iii) discussed with PwC the matters required to be discussed by the statements on Auditing Standards No. 61, as amended (AICPA, </w:t>
      </w:r>
      <w:r>
        <w:rPr>
          <w:rFonts w:ascii="Arial" w:cs="Arial" w:eastAsia="Arial" w:hAnsi="Arial"/>
          <w:sz w:val="18"/>
          <w:szCs w:val="18"/>
          <w:i w:val="1"/>
          <w:iCs w:val="1"/>
          <w:color w:val="auto"/>
        </w:rPr>
        <w:t>Professional Standards</w:t>
      </w:r>
      <w:r>
        <w:rPr>
          <w:rFonts w:ascii="Arial" w:cs="Arial" w:eastAsia="Arial" w:hAnsi="Arial"/>
          <w:sz w:val="18"/>
          <w:szCs w:val="18"/>
          <w:color w:val="auto"/>
        </w:rPr>
        <w:t xml:space="preserve">, Vol. 1. </w:t>
      </w:r>
      <w:r>
        <w:rPr>
          <w:rFonts w:ascii="Arial" w:cs="Arial" w:eastAsia="Arial" w:hAnsi="Arial"/>
          <w:sz w:val="18"/>
          <w:szCs w:val="18"/>
          <w:i w:val="1"/>
          <w:iCs w:val="1"/>
          <w:color w:val="auto"/>
        </w:rPr>
        <w:t>AU Section 380</w:t>
      </w:r>
      <w:r>
        <w:rPr>
          <w:rFonts w:ascii="Arial" w:cs="Arial" w:eastAsia="Arial" w:hAnsi="Arial"/>
          <w:sz w:val="18"/>
          <w:szCs w:val="18"/>
          <w:color w:val="auto"/>
        </w:rPr>
        <w:t>), as adopted by the Public Company Accounting Oversight Board in Rule 3200T; (iv) received the written disclosures and the letter from the Independent Certified Public Accountants required by applicable requirements of the Public Company Accounting Oversight Board regarding the Independent Certified Public Accountants’ communications with the audit committee concerning independence, and has discussed with the Independent Certified Public Accountants its independence; (v) discussed matters with PwC outside the presence of management; (vi) reviewed internal audit recommendations; (vii) discussed with PwC the quality of the Company’s financial reporting; and (viii) reviewed and discussed with PwC the results of the audit of the effectiveness of internal control over financial reporting in accordance with § 404 of the Sarbanes-Oxley Act.</w:t>
      </w:r>
    </w:p>
    <w:p>
      <w:pPr>
        <w:spacing w:after="0" w:line="80"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In reliance on the reviews, reports and discussions referred to above, the Audit Committee recommended to the Company’s Board of Directors, and the Board of Directors has approved, that the audited financial statements be included in the Company’s Annual Report on Form 10-K for the year ended December 31, 2015, for filing with the Securities and Exchange Commission.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AUDIT COMMITTEE*</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Christopher Wright, Chairman</w:t>
      </w:r>
    </w:p>
    <w:p>
      <w:pPr>
        <w:ind w:left="460"/>
        <w:spacing w:after="0" w:line="234" w:lineRule="auto"/>
        <w:rPr>
          <w:sz w:val="20"/>
          <w:szCs w:val="20"/>
          <w:color w:val="auto"/>
        </w:rPr>
      </w:pPr>
      <w:r>
        <w:rPr>
          <w:rFonts w:ascii="Arial" w:cs="Arial" w:eastAsia="Arial" w:hAnsi="Arial"/>
          <w:sz w:val="18"/>
          <w:szCs w:val="18"/>
          <w:color w:val="auto"/>
        </w:rPr>
        <w:t>Amy Woods Brinkley</w:t>
      </w:r>
    </w:p>
    <w:p>
      <w:pPr>
        <w:ind w:left="460"/>
        <w:spacing w:after="0" w:line="235" w:lineRule="auto"/>
        <w:rPr>
          <w:sz w:val="20"/>
          <w:szCs w:val="20"/>
          <w:color w:val="auto"/>
        </w:rPr>
      </w:pPr>
      <w:r>
        <w:rPr>
          <w:rFonts w:ascii="Arial" w:cs="Arial" w:eastAsia="Arial" w:hAnsi="Arial"/>
          <w:sz w:val="18"/>
          <w:szCs w:val="18"/>
          <w:color w:val="auto"/>
        </w:rPr>
        <w:t>John F. Fort III</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Laura G. Thatcher</w:t>
      </w:r>
    </w:p>
    <w:p>
      <w:pPr>
        <w:spacing w:after="0" w:line="73" w:lineRule="exact"/>
        <w:rPr>
          <w:sz w:val="20"/>
          <w:szCs w:val="20"/>
          <w:color w:val="auto"/>
        </w:rPr>
      </w:pPr>
    </w:p>
    <w:p>
      <w:pPr>
        <w:ind w:left="340" w:right="40" w:hanging="332"/>
        <w:spacing w:after="0" w:line="231" w:lineRule="auto"/>
        <w:tabs>
          <w:tab w:leader="none" w:pos="3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Ms. Thatcher joined our Audit Committee on March 9, 2016, subsequent to the filing of our audited financial statements in our Form 10-K and the approval of the foregoing Report by the Audit Committee.</w:t>
      </w:r>
    </w:p>
    <w:p>
      <w:pPr>
        <w:spacing w:after="0" w:line="297"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i w:val="1"/>
          <w:iCs w:val="1"/>
          <w:color w:val="225CAB"/>
        </w:rPr>
        <w:t>The foregoing report and other information provided above regarding the Audit Committee should not be deemed incorporated by reference by any general statement incorporating by reference this Proxy Statement into any filing under the Securities Act of 1933, as amended, or Securities Exchange Act of 1934, as amended, except to the extent that Roper specifically incorporates this information by reference, and shall not otherwise be deemed filed under such Acts.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336"/>
        </w:trPr>
        <w:tc>
          <w:tcPr>
            <w:tcW w:w="340" w:type="dxa"/>
            <w:vAlign w:val="bottom"/>
            <w:tcBorders>
              <w:right w:val="single" w:sz="8" w:color="225CAB"/>
            </w:tcBorders>
          </w:tcPr>
          <w:p>
            <w:pPr>
              <w:jc w:val="right"/>
              <w:ind w:right="52"/>
              <w:spacing w:after="0"/>
              <w:rPr>
                <w:sz w:val="20"/>
                <w:szCs w:val="20"/>
                <w:color w:val="auto"/>
              </w:rPr>
            </w:pPr>
            <w:r>
              <w:rPr>
                <w:rFonts w:ascii="Arial" w:cs="Arial" w:eastAsia="Arial" w:hAnsi="Arial"/>
                <w:sz w:val="18"/>
                <w:szCs w:val="18"/>
                <w:b w:val="1"/>
                <w:bCs w:val="1"/>
                <w:color w:val="225CAB"/>
                <w:w w:val="89"/>
              </w:rPr>
              <w:t>42</w:t>
            </w:r>
          </w:p>
        </w:tc>
        <w:tc>
          <w:tcPr>
            <w:tcW w:w="5180" w:type="dxa"/>
            <w:vAlign w:val="bottom"/>
          </w:tcPr>
          <w:p>
            <w:pPr>
              <w:ind w:left="1240"/>
              <w:spacing w:after="0"/>
              <w:rPr>
                <w:sz w:val="20"/>
                <w:szCs w:val="20"/>
                <w:color w:val="auto"/>
              </w:rPr>
            </w:pPr>
            <w:r>
              <w:rPr>
                <w:rFonts w:ascii="Arial" w:cs="Arial" w:eastAsia="Arial" w:hAnsi="Arial"/>
                <w:sz w:val="18"/>
                <w:szCs w:val="18"/>
                <w:b w:val="1"/>
                <w:bCs w:val="1"/>
                <w:color w:val="225CAB"/>
                <w:w w:val="96"/>
              </w:rPr>
              <w:t>Roper Technologies, Inc. 2016 Proxy Statement</w:t>
            </w:r>
          </w:p>
        </w:tc>
      </w:tr>
      <w:tr>
        <w:trPr>
          <w:trHeight w:val="110"/>
        </w:trPr>
        <w:tc>
          <w:tcPr>
            <w:tcW w:w="340" w:type="dxa"/>
            <w:vAlign w:val="bottom"/>
            <w:tcBorders>
              <w:right w:val="single" w:sz="8" w:color="225CAB"/>
            </w:tcBorders>
          </w:tcPr>
          <w:p>
            <w:pPr>
              <w:spacing w:after="0"/>
              <w:rPr>
                <w:sz w:val="9"/>
                <w:szCs w:val="9"/>
                <w:color w:val="auto"/>
              </w:rPr>
            </w:pPr>
          </w:p>
        </w:tc>
        <w:tc>
          <w:tcPr>
            <w:tcW w:w="518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-248285</wp:posOffset>
            </wp:positionV>
            <wp:extent cx="420370" cy="2057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spacing w:after="0"/>
        <w:rPr>
          <w:sz w:val="20"/>
          <w:szCs w:val="20"/>
          <w:color w:val="auto"/>
        </w:rPr>
      </w:pPr>
      <w:r>
        <w:rPr>
          <w:rFonts w:ascii="Arial" w:cs="Arial" w:eastAsia="Arial" w:hAnsi="Arial"/>
          <w:sz w:val="32"/>
          <w:szCs w:val="32"/>
          <w:color w:val="225CAB"/>
        </w:rPr>
        <w:t>INDEPENDENT PUBLIC ACCOUNTANTS FEES</w:t>
      </w:r>
    </w:p>
    <w:p>
      <w:pPr>
        <w:spacing w:after="0" w:line="253"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Set forth below are the professional fees billed by PwC for the fiscal years ended December 31, 2015 and 2014. It is the Audit Committee’s policy that all services performed by and all fees paid to the independent auditor require the Audit Committee’s prior approval. As such, all audit, audit-related tax and other fees were pre-approved by the Audit Committee.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vMerge w:val="restart"/>
          </w:tcPr>
          <w:p>
            <w:pPr>
              <w:spacing w:after="0"/>
              <w:rPr>
                <w:sz w:val="20"/>
                <w:szCs w:val="20"/>
                <w:color w:val="auto"/>
              </w:rPr>
            </w:pPr>
            <w:r>
              <w:rPr>
                <w:rFonts w:ascii="Arial" w:cs="Arial" w:eastAsia="Arial" w:hAnsi="Arial"/>
                <w:sz w:val="14"/>
                <w:szCs w:val="14"/>
                <w:color w:val="auto"/>
              </w:rPr>
              <w:t>Fees</w:t>
            </w:r>
          </w:p>
        </w:tc>
        <w:tc>
          <w:tcPr>
            <w:tcW w:w="420" w:type="dxa"/>
            <w:vAlign w:val="bottom"/>
          </w:tcPr>
          <w:p>
            <w:pPr>
              <w:spacing w:after="0"/>
              <w:rPr>
                <w:sz w:val="14"/>
                <w:szCs w:val="14"/>
                <w:color w:val="auto"/>
              </w:rPr>
            </w:pPr>
          </w:p>
        </w:tc>
        <w:tc>
          <w:tcPr>
            <w:tcW w:w="1760" w:type="dxa"/>
            <w:vAlign w:val="bottom"/>
            <w:gridSpan w:val="3"/>
          </w:tcPr>
          <w:p>
            <w:pPr>
              <w:ind w:left="200"/>
              <w:spacing w:after="0"/>
              <w:rPr>
                <w:sz w:val="20"/>
                <w:szCs w:val="20"/>
                <w:color w:val="auto"/>
              </w:rPr>
            </w:pPr>
            <w:r>
              <w:rPr>
                <w:rFonts w:ascii="Arial" w:cs="Arial" w:eastAsia="Arial" w:hAnsi="Arial"/>
                <w:sz w:val="14"/>
                <w:szCs w:val="14"/>
                <w:color w:val="auto"/>
              </w:rPr>
              <w:t>Dollars in Thousands</w:t>
            </w:r>
          </w:p>
        </w:tc>
        <w:tc>
          <w:tcPr>
            <w:tcW w:w="0" w:type="dxa"/>
            <w:vAlign w:val="bottom"/>
          </w:tcPr>
          <w:p>
            <w:pPr>
              <w:spacing w:after="0"/>
              <w:rPr>
                <w:sz w:val="1"/>
                <w:szCs w:val="1"/>
                <w:color w:val="auto"/>
              </w:rPr>
            </w:pPr>
          </w:p>
        </w:tc>
      </w:tr>
      <w:tr>
        <w:trPr>
          <w:trHeight w:val="142"/>
        </w:trPr>
        <w:tc>
          <w:tcPr>
            <w:tcW w:w="9240" w:type="dxa"/>
            <w:vAlign w:val="bottom"/>
            <w:tcBorders>
              <w:bottom w:val="single" w:sz="8" w:color="auto"/>
            </w:tcBorders>
            <w:vMerge w:val="continue"/>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color w:val="auto"/>
                <w:w w:val="98"/>
              </w:rPr>
              <w:t>FY 2015</w:t>
            </w: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FY 2014</w:t>
            </w: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240" w:type="dxa"/>
            <w:vAlign w:val="bottom"/>
            <w:shd w:val="clear" w:color="auto" w:fill="D2DEEE"/>
          </w:tcPr>
          <w:p>
            <w:pPr>
              <w:spacing w:after="0" w:line="196" w:lineRule="exact"/>
              <w:rPr>
                <w:sz w:val="20"/>
                <w:szCs w:val="20"/>
                <w:color w:val="auto"/>
              </w:rPr>
            </w:pPr>
            <w:r>
              <w:rPr>
                <w:rFonts w:ascii="Arial" w:cs="Arial" w:eastAsia="Arial" w:hAnsi="Arial"/>
                <w:sz w:val="18"/>
                <w:szCs w:val="18"/>
                <w:color w:val="auto"/>
              </w:rPr>
              <w:t>Audit Fees</w:t>
            </w:r>
            <w:r>
              <w:rPr>
                <w:rFonts w:ascii="Arial" w:cs="Arial" w:eastAsia="Arial" w:hAnsi="Arial"/>
                <w:sz w:val="11"/>
                <w:szCs w:val="11"/>
                <w:color w:val="auto"/>
              </w:rPr>
              <w:t>(1)</w:t>
            </w:r>
          </w:p>
        </w:tc>
        <w:tc>
          <w:tcPr>
            <w:tcW w:w="1240" w:type="dxa"/>
            <w:vAlign w:val="bottom"/>
            <w:gridSpan w:val="2"/>
            <w:shd w:val="clear" w:color="auto" w:fill="D2DEEE"/>
          </w:tcPr>
          <w:p>
            <w:pPr>
              <w:jc w:val="right"/>
              <w:ind w:right="192"/>
              <w:spacing w:after="0" w:line="196" w:lineRule="exact"/>
              <w:rPr>
                <w:sz w:val="20"/>
                <w:szCs w:val="20"/>
                <w:color w:val="auto"/>
              </w:rPr>
            </w:pPr>
            <w:r>
              <w:rPr>
                <w:rFonts w:ascii="Arial" w:cs="Arial" w:eastAsia="Arial" w:hAnsi="Arial"/>
                <w:sz w:val="18"/>
                <w:szCs w:val="18"/>
                <w:color w:val="auto"/>
              </w:rPr>
              <w:t>$4,514</w:t>
            </w:r>
          </w:p>
        </w:tc>
        <w:tc>
          <w:tcPr>
            <w:tcW w:w="840" w:type="dxa"/>
            <w:vAlign w:val="bottom"/>
            <w:shd w:val="clear" w:color="auto" w:fill="D2DEEE"/>
          </w:tcPr>
          <w:p>
            <w:pPr>
              <w:jc w:val="right"/>
              <w:spacing w:after="0" w:line="196" w:lineRule="exact"/>
              <w:rPr>
                <w:sz w:val="20"/>
                <w:szCs w:val="20"/>
                <w:color w:val="auto"/>
              </w:rPr>
            </w:pPr>
            <w:r>
              <w:rPr>
                <w:rFonts w:ascii="Arial" w:cs="Arial" w:eastAsia="Arial" w:hAnsi="Arial"/>
                <w:sz w:val="18"/>
                <w:szCs w:val="18"/>
                <w:color w:val="auto"/>
              </w:rPr>
              <w:t>$3,940</w:t>
            </w:r>
          </w:p>
        </w:tc>
        <w:tc>
          <w:tcPr>
            <w:tcW w:w="100" w:type="dxa"/>
            <w:vAlign w:val="bottom"/>
            <w:shd w:val="clear" w:color="auto" w:fill="D2DEE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40" w:type="dxa"/>
            <w:vAlign w:val="bottom"/>
          </w:tcPr>
          <w:p>
            <w:pPr>
              <w:spacing w:after="0" w:line="202" w:lineRule="exact"/>
              <w:rPr>
                <w:sz w:val="20"/>
                <w:szCs w:val="20"/>
                <w:color w:val="auto"/>
              </w:rPr>
            </w:pPr>
            <w:r>
              <w:rPr>
                <w:rFonts w:ascii="Arial" w:cs="Arial" w:eastAsia="Arial" w:hAnsi="Arial"/>
                <w:sz w:val="18"/>
                <w:szCs w:val="18"/>
                <w:color w:val="auto"/>
              </w:rPr>
              <w:t>Audit-Related Fees</w:t>
            </w:r>
            <w:r>
              <w:rPr>
                <w:rFonts w:ascii="Arial" w:cs="Arial" w:eastAsia="Arial" w:hAnsi="Arial"/>
                <w:sz w:val="11"/>
                <w:szCs w:val="11"/>
                <w:color w:val="auto"/>
              </w:rPr>
              <w:t>(2)</w:t>
            </w:r>
          </w:p>
        </w:tc>
        <w:tc>
          <w:tcPr>
            <w:tcW w:w="1240" w:type="dxa"/>
            <w:vAlign w:val="bottom"/>
            <w:gridSpan w:val="2"/>
          </w:tcPr>
          <w:p>
            <w:pPr>
              <w:jc w:val="right"/>
              <w:ind w:right="192"/>
              <w:spacing w:after="0" w:line="202" w:lineRule="exact"/>
              <w:rPr>
                <w:sz w:val="20"/>
                <w:szCs w:val="20"/>
                <w:color w:val="auto"/>
              </w:rPr>
            </w:pPr>
            <w:r>
              <w:rPr>
                <w:rFonts w:ascii="Arial" w:cs="Arial" w:eastAsia="Arial" w:hAnsi="Arial"/>
                <w:sz w:val="18"/>
                <w:szCs w:val="18"/>
                <w:color w:val="auto"/>
              </w:rPr>
              <w:t>1,148</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845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40" w:type="dxa"/>
            <w:vAlign w:val="bottom"/>
            <w:shd w:val="clear" w:color="auto" w:fill="D2DEEE"/>
          </w:tcPr>
          <w:p>
            <w:pPr>
              <w:spacing w:after="0" w:line="202" w:lineRule="exact"/>
              <w:rPr>
                <w:sz w:val="20"/>
                <w:szCs w:val="20"/>
                <w:color w:val="auto"/>
              </w:rPr>
            </w:pPr>
            <w:r>
              <w:rPr>
                <w:rFonts w:ascii="Arial" w:cs="Arial" w:eastAsia="Arial" w:hAnsi="Arial"/>
                <w:sz w:val="18"/>
                <w:szCs w:val="18"/>
                <w:color w:val="auto"/>
              </w:rPr>
              <w:t>Tax Fees</w:t>
            </w:r>
            <w:r>
              <w:rPr>
                <w:rFonts w:ascii="Arial" w:cs="Arial" w:eastAsia="Arial" w:hAnsi="Arial"/>
                <w:sz w:val="11"/>
                <w:szCs w:val="11"/>
                <w:color w:val="auto"/>
              </w:rPr>
              <w:t>(3)</w:t>
            </w:r>
          </w:p>
        </w:tc>
        <w:tc>
          <w:tcPr>
            <w:tcW w:w="1240" w:type="dxa"/>
            <w:vAlign w:val="bottom"/>
            <w:gridSpan w:val="2"/>
            <w:shd w:val="clear" w:color="auto" w:fill="D2DEEE"/>
          </w:tcPr>
          <w:p>
            <w:pPr>
              <w:jc w:val="right"/>
              <w:ind w:right="192"/>
              <w:spacing w:after="0" w:line="202" w:lineRule="exact"/>
              <w:rPr>
                <w:sz w:val="20"/>
                <w:szCs w:val="20"/>
                <w:color w:val="auto"/>
              </w:rPr>
            </w:pPr>
            <w:r>
              <w:rPr>
                <w:rFonts w:ascii="Arial" w:cs="Arial" w:eastAsia="Arial" w:hAnsi="Arial"/>
                <w:sz w:val="18"/>
                <w:szCs w:val="18"/>
                <w:color w:val="auto"/>
              </w:rPr>
              <w:t>1,205</w:t>
            </w:r>
          </w:p>
        </w:tc>
        <w:tc>
          <w:tcPr>
            <w:tcW w:w="840" w:type="dxa"/>
            <w:vAlign w:val="bottom"/>
            <w:shd w:val="clear" w:color="auto" w:fill="D2DEEE"/>
          </w:tcPr>
          <w:p>
            <w:pPr>
              <w:jc w:val="right"/>
              <w:spacing w:after="0" w:line="202" w:lineRule="exact"/>
              <w:rPr>
                <w:sz w:val="20"/>
                <w:szCs w:val="20"/>
                <w:color w:val="auto"/>
              </w:rPr>
            </w:pPr>
            <w:r>
              <w:rPr>
                <w:rFonts w:ascii="Arial" w:cs="Arial" w:eastAsia="Arial" w:hAnsi="Arial"/>
                <w:sz w:val="18"/>
                <w:szCs w:val="18"/>
                <w:color w:val="auto"/>
              </w:rPr>
              <w:t>884</w:t>
            </w:r>
          </w:p>
        </w:tc>
        <w:tc>
          <w:tcPr>
            <w:tcW w:w="100" w:type="dxa"/>
            <w:vAlign w:val="bottom"/>
            <w:shd w:val="clear" w:color="auto" w:fill="D2DEE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40" w:type="dxa"/>
            <w:vAlign w:val="bottom"/>
            <w:tcBorders>
              <w:bottom w:val="single" w:sz="8" w:color="D2DEEE"/>
            </w:tcBorders>
          </w:tcPr>
          <w:p>
            <w:pPr>
              <w:spacing w:after="0" w:line="202" w:lineRule="exact"/>
              <w:rPr>
                <w:sz w:val="20"/>
                <w:szCs w:val="20"/>
                <w:color w:val="auto"/>
              </w:rPr>
            </w:pPr>
            <w:r>
              <w:rPr>
                <w:rFonts w:ascii="Arial" w:cs="Arial" w:eastAsia="Arial" w:hAnsi="Arial"/>
                <w:sz w:val="18"/>
                <w:szCs w:val="18"/>
                <w:color w:val="auto"/>
              </w:rPr>
              <w:t>All Other Fees</w:t>
            </w:r>
          </w:p>
        </w:tc>
        <w:tc>
          <w:tcPr>
            <w:tcW w:w="1240" w:type="dxa"/>
            <w:vAlign w:val="bottom"/>
            <w:tcBorders>
              <w:bottom w:val="single" w:sz="8" w:color="auto"/>
            </w:tcBorders>
            <w:gridSpan w:val="2"/>
          </w:tcPr>
          <w:p>
            <w:pPr>
              <w:jc w:val="right"/>
              <w:ind w:right="192"/>
              <w:spacing w:after="0" w:line="202" w:lineRule="exact"/>
              <w:rPr>
                <w:sz w:val="20"/>
                <w:szCs w:val="20"/>
                <w:color w:val="auto"/>
              </w:rPr>
            </w:pPr>
            <w:r>
              <w:rPr>
                <w:rFonts w:ascii="Arial" w:cs="Arial" w:eastAsia="Arial" w:hAnsi="Arial"/>
                <w:sz w:val="18"/>
                <w:szCs w:val="18"/>
                <w:color w:val="auto"/>
              </w:rPr>
              <w:t>14</w:t>
            </w:r>
          </w:p>
        </w:tc>
        <w:tc>
          <w:tcPr>
            <w:tcW w:w="94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9240" w:type="dxa"/>
            <w:vAlign w:val="bottom"/>
            <w:tcBorders>
              <w:bottom w:val="single" w:sz="8" w:color="auto"/>
            </w:tcBorders>
            <w:shd w:val="clear" w:color="auto" w:fill="D2DEEE"/>
          </w:tcPr>
          <w:p>
            <w:pPr>
              <w:spacing w:after="0" w:line="195" w:lineRule="exact"/>
              <w:rPr>
                <w:sz w:val="20"/>
                <w:szCs w:val="20"/>
                <w:color w:val="auto"/>
              </w:rPr>
            </w:pPr>
            <w:r>
              <w:rPr>
                <w:rFonts w:ascii="Arial" w:cs="Arial" w:eastAsia="Arial" w:hAnsi="Arial"/>
                <w:sz w:val="18"/>
                <w:szCs w:val="18"/>
                <w:color w:val="auto"/>
              </w:rPr>
              <w:t>Total Fees</w:t>
            </w:r>
          </w:p>
        </w:tc>
        <w:tc>
          <w:tcPr>
            <w:tcW w:w="1240" w:type="dxa"/>
            <w:vAlign w:val="bottom"/>
            <w:tcBorders>
              <w:bottom w:val="single" w:sz="8" w:color="auto"/>
            </w:tcBorders>
            <w:gridSpan w:val="2"/>
            <w:shd w:val="clear" w:color="auto" w:fill="D2DEEE"/>
          </w:tcPr>
          <w:p>
            <w:pPr>
              <w:jc w:val="right"/>
              <w:ind w:right="192"/>
              <w:spacing w:after="0" w:line="196" w:lineRule="exact"/>
              <w:rPr>
                <w:sz w:val="20"/>
                <w:szCs w:val="20"/>
                <w:color w:val="auto"/>
              </w:rPr>
            </w:pPr>
            <w:r>
              <w:rPr>
                <w:rFonts w:ascii="Arial" w:cs="Arial" w:eastAsia="Arial" w:hAnsi="Arial"/>
                <w:sz w:val="18"/>
                <w:szCs w:val="18"/>
                <w:color w:val="auto"/>
              </w:rPr>
              <w:t>$6,881</w:t>
            </w:r>
          </w:p>
        </w:tc>
        <w:tc>
          <w:tcPr>
            <w:tcW w:w="840" w:type="dxa"/>
            <w:vAlign w:val="bottom"/>
            <w:tcBorders>
              <w:bottom w:val="single" w:sz="8" w:color="auto"/>
            </w:tcBorders>
            <w:shd w:val="clear" w:color="auto" w:fill="D2DEEE"/>
          </w:tcPr>
          <w:p>
            <w:pPr>
              <w:jc w:val="right"/>
              <w:spacing w:after="0" w:line="196" w:lineRule="exact"/>
              <w:rPr>
                <w:sz w:val="20"/>
                <w:szCs w:val="20"/>
                <w:color w:val="auto"/>
              </w:rPr>
            </w:pPr>
            <w:r>
              <w:rPr>
                <w:rFonts w:ascii="Arial" w:cs="Arial" w:eastAsia="Arial" w:hAnsi="Arial"/>
                <w:sz w:val="18"/>
                <w:szCs w:val="18"/>
                <w:color w:val="auto"/>
              </w:rPr>
              <w:t>$5,675</w:t>
            </w:r>
          </w:p>
        </w:tc>
        <w:tc>
          <w:tcPr>
            <w:tcW w:w="100" w:type="dxa"/>
            <w:vAlign w:val="bottom"/>
            <w:tcBorders>
              <w:bottom w:val="single" w:sz="8" w:color="auto"/>
            </w:tcBorders>
            <w:shd w:val="clear" w:color="auto" w:fill="D2DEEE"/>
          </w:tcPr>
          <w:p>
            <w:pPr>
              <w:spacing w:after="0"/>
              <w:rPr>
                <w:sz w:val="17"/>
                <w:szCs w:val="17"/>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340" w:right="40" w:hanging="332"/>
        <w:spacing w:after="0" w:line="191" w:lineRule="auto"/>
        <w:tabs>
          <w:tab w:leader="none" w:pos="340" w:val="left"/>
        </w:tabs>
        <w:numPr>
          <w:ilvl w:val="0"/>
          <w:numId w:val="71"/>
        </w:numPr>
        <w:rPr>
          <w:rFonts w:ascii="Arial" w:cs="Arial" w:eastAsia="Arial" w:hAnsi="Arial"/>
          <w:sz w:val="22"/>
          <w:szCs w:val="22"/>
          <w:color w:val="auto"/>
          <w:vertAlign w:val="superscript"/>
        </w:rPr>
      </w:pPr>
      <w:r>
        <w:rPr>
          <w:rFonts w:ascii="Arial" w:cs="Arial" w:eastAsia="Arial" w:hAnsi="Arial"/>
          <w:sz w:val="14"/>
          <w:szCs w:val="14"/>
          <w:color w:val="auto"/>
        </w:rPr>
        <w:t>Aggregate fees from PwC for audit or review services in accordance with the standards of the Public Company Accounting Oversight Board (United States) and fees for services, such as statutory audits and review of documents filed with SEC. Audit fees also include fees paid in connection with services required for compliance with Section 404 of the Sarbanes-Oxley Act.</w:t>
      </w:r>
    </w:p>
    <w:p>
      <w:pPr>
        <w:spacing w:after="0" w:line="1" w:lineRule="exact"/>
        <w:rPr>
          <w:rFonts w:ascii="Arial" w:cs="Arial" w:eastAsia="Arial" w:hAnsi="Arial"/>
          <w:sz w:val="22"/>
          <w:szCs w:val="22"/>
          <w:color w:val="auto"/>
          <w:vertAlign w:val="superscript"/>
        </w:rPr>
      </w:pPr>
    </w:p>
    <w:p>
      <w:pPr>
        <w:ind w:left="340" w:hanging="332"/>
        <w:spacing w:after="0" w:line="217" w:lineRule="auto"/>
        <w:tabs>
          <w:tab w:leader="none" w:pos="340" w:val="left"/>
        </w:tabs>
        <w:numPr>
          <w:ilvl w:val="0"/>
          <w:numId w:val="71"/>
        </w:numPr>
        <w:rPr>
          <w:rFonts w:ascii="Arial" w:cs="Arial" w:eastAsia="Arial" w:hAnsi="Arial"/>
          <w:sz w:val="22"/>
          <w:szCs w:val="22"/>
          <w:color w:val="auto"/>
          <w:vertAlign w:val="superscript"/>
        </w:rPr>
      </w:pPr>
      <w:r>
        <w:rPr>
          <w:rFonts w:ascii="Arial" w:cs="Arial" w:eastAsia="Arial" w:hAnsi="Arial"/>
          <w:sz w:val="14"/>
          <w:szCs w:val="14"/>
          <w:color w:val="auto"/>
        </w:rPr>
        <w:t>Aggregate fees from PwC for assurance and related services which primarily include due diligence on acquisition targets.</w:t>
      </w:r>
    </w:p>
    <w:p>
      <w:pPr>
        <w:spacing w:after="0" w:line="68" w:lineRule="exact"/>
        <w:rPr>
          <w:rFonts w:ascii="Arial" w:cs="Arial" w:eastAsia="Arial" w:hAnsi="Arial"/>
          <w:sz w:val="22"/>
          <w:szCs w:val="22"/>
          <w:color w:val="auto"/>
          <w:vertAlign w:val="superscript"/>
        </w:rPr>
      </w:pPr>
    </w:p>
    <w:p>
      <w:pPr>
        <w:ind w:left="340" w:hanging="332"/>
        <w:spacing w:after="0" w:line="188" w:lineRule="auto"/>
        <w:tabs>
          <w:tab w:leader="none" w:pos="340" w:val="left"/>
        </w:tabs>
        <w:numPr>
          <w:ilvl w:val="0"/>
          <w:numId w:val="71"/>
        </w:numPr>
        <w:rPr>
          <w:rFonts w:ascii="Arial" w:cs="Arial" w:eastAsia="Arial" w:hAnsi="Arial"/>
          <w:sz w:val="18"/>
          <w:szCs w:val="18"/>
          <w:color w:val="auto"/>
          <w:vertAlign w:val="superscript"/>
        </w:rPr>
      </w:pPr>
      <w:r>
        <w:rPr>
          <w:rFonts w:ascii="Arial" w:cs="Arial" w:eastAsia="Arial" w:hAnsi="Arial"/>
          <w:sz w:val="12"/>
          <w:szCs w:val="12"/>
          <w:color w:val="auto"/>
        </w:rPr>
        <w:t>Tax fees include tax compliance, assistance with tax audits, tax advice and tax planning.</w:t>
      </w:r>
    </w:p>
    <w:p>
      <w:pPr>
        <w:spacing w:after="0" w:line="136" w:lineRule="exact"/>
        <w:rPr>
          <w:sz w:val="20"/>
          <w:szCs w:val="20"/>
          <w:color w:val="auto"/>
        </w:rPr>
      </w:pPr>
    </w:p>
    <w:tbl>
      <w:tblPr>
        <w:tblLayout w:type="fixed"/>
        <w:tblInd w:w="6900" w:type="dxa"/>
        <w:tblCellMar>
          <w:top w:w="0" w:type="dxa"/>
          <w:left w:w="0" w:type="dxa"/>
          <w:bottom w:w="0" w:type="dxa"/>
          <w:right w:w="0" w:type="dxa"/>
        </w:tblCellMar>
      </w:tblPr>
      <w:tr>
        <w:trPr>
          <w:trHeight w:val="309"/>
        </w:trPr>
        <w:tc>
          <w:tcPr>
            <w:tcW w:w="4080" w:type="dxa"/>
            <w:vAlign w:val="bottom"/>
            <w:tcBorders>
              <w:right w:val="single" w:sz="8" w:color="225CAB"/>
            </w:tcBorders>
          </w:tcPr>
          <w:p>
            <w:pPr>
              <w:spacing w:after="0"/>
              <w:rPr>
                <w:sz w:val="20"/>
                <w:szCs w:val="20"/>
                <w:color w:val="auto"/>
              </w:rPr>
            </w:pPr>
            <w:r>
              <w:rPr>
                <w:rFonts w:ascii="Arial" w:cs="Arial" w:eastAsia="Arial" w:hAnsi="Arial"/>
                <w:sz w:val="18"/>
                <w:szCs w:val="18"/>
                <w:b w:val="1"/>
                <w:bCs w:val="1"/>
                <w:color w:val="225CAB"/>
                <w:w w:val="99"/>
              </w:rPr>
              <w:t>Roper Technologies, Inc. 2016 Proxy Statement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225CAB"/>
              </w:rPr>
              <w:t>43</w:t>
            </w:r>
          </w:p>
        </w:tc>
      </w:tr>
      <w:tr>
        <w:trPr>
          <w:trHeight w:val="83"/>
        </w:trPr>
        <w:tc>
          <w:tcPr>
            <w:tcW w:w="4080" w:type="dxa"/>
            <w:vAlign w:val="bottom"/>
            <w:tcBorders>
              <w:right w:val="single" w:sz="8" w:color="225CAB"/>
            </w:tcBorders>
          </w:tcPr>
          <w:p>
            <w:pPr>
              <w:spacing w:after="0"/>
              <w:rPr>
                <w:sz w:val="7"/>
                <w:szCs w:val="7"/>
                <w:color w:val="auto"/>
              </w:rPr>
            </w:pPr>
          </w:p>
        </w:tc>
        <w:tc>
          <w:tcPr>
            <w:tcW w:w="44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-213995</wp:posOffset>
            </wp:positionV>
            <wp:extent cx="420370" cy="2057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ind w:right="2100"/>
        <w:spacing w:after="0" w:line="251" w:lineRule="auto"/>
        <w:rPr>
          <w:sz w:val="20"/>
          <w:szCs w:val="20"/>
          <w:color w:val="auto"/>
        </w:rPr>
      </w:pPr>
      <w:r>
        <w:rPr>
          <w:rFonts w:ascii="Arial" w:cs="Arial" w:eastAsia="Arial" w:hAnsi="Arial"/>
          <w:sz w:val="32"/>
          <w:szCs w:val="32"/>
          <w:color w:val="225CAB"/>
        </w:rPr>
        <w:t>PROPOSAL 3: RATIFICATION OF THE APPOINTMENT OF PRICEWATERHOUSECOOPERS LLP AS OUR INDEPENDENT REGISTERED ACCOUNTING FIRM FOR THE YEAR ENDING DECEMBER 31, 2016</w:t>
      </w:r>
    </w:p>
    <w:p>
      <w:pPr>
        <w:spacing w:after="0" w:line="21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Audit Committee has appointed PricewaterhouseCoopers LLP (“PwC”) as our independent registered accounting firm for the year ending December 31, 2016. Our Board of Directors recommends that the shareholders ratify this appointment. PwC has been our Company’s independent auditor since May 2002. One or more representatives of PwC are expected to be present at the Annual Meeting and will be given the opportunity to make a statement if they so desire, and to respond to appropriate questions of shareholders in attendance. If this proposal does not pass, the selection of our independent registered accounting firm will be reconsidered by the Audit Committee and the Board of Directors. Even if the proposal passes, the Audit Committee may decide to select another firm at any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3003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300355"/>
                    </a:xfrm>
                    <a:prstGeom prst="rect">
                      <a:avLst/>
                    </a:prstGeom>
                    <a:noFill/>
                  </pic:spPr>
                </pic:pic>
              </a:graphicData>
            </a:graphic>
          </wp:anchor>
        </w:drawing>
      </w:r>
    </w:p>
    <w:p>
      <w:pPr>
        <w:spacing w:after="0" w:line="182" w:lineRule="exact"/>
        <w:rPr>
          <w:sz w:val="20"/>
          <w:szCs w:val="20"/>
          <w:color w:val="auto"/>
        </w:rPr>
      </w:pPr>
    </w:p>
    <w:p>
      <w:pPr>
        <w:ind w:left="460" w:right="580"/>
        <w:spacing w:after="0" w:line="264" w:lineRule="auto"/>
        <w:rPr>
          <w:sz w:val="20"/>
          <w:szCs w:val="20"/>
          <w:color w:val="auto"/>
        </w:rPr>
      </w:pPr>
      <w:r>
        <w:rPr>
          <w:rFonts w:ascii="Arial" w:cs="Arial" w:eastAsia="Arial" w:hAnsi="Arial"/>
          <w:sz w:val="18"/>
          <w:szCs w:val="18"/>
          <w:b w:val="1"/>
          <w:bCs w:val="1"/>
          <w:color w:val="auto"/>
        </w:rPr>
        <w:t>The Board recommends a vote “FOR” approval of the ratification of the appointment of PricewaterhouseCoopers LLP as our independent registered accounting firm for the year ending December 31, 2016.</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336"/>
        </w:trPr>
        <w:tc>
          <w:tcPr>
            <w:tcW w:w="340" w:type="dxa"/>
            <w:vAlign w:val="bottom"/>
            <w:tcBorders>
              <w:right w:val="single" w:sz="8" w:color="225CAB"/>
            </w:tcBorders>
          </w:tcPr>
          <w:p>
            <w:pPr>
              <w:jc w:val="right"/>
              <w:ind w:right="52"/>
              <w:spacing w:after="0"/>
              <w:rPr>
                <w:sz w:val="20"/>
                <w:szCs w:val="20"/>
                <w:color w:val="auto"/>
              </w:rPr>
            </w:pPr>
            <w:r>
              <w:rPr>
                <w:rFonts w:ascii="Arial" w:cs="Arial" w:eastAsia="Arial" w:hAnsi="Arial"/>
                <w:sz w:val="18"/>
                <w:szCs w:val="18"/>
                <w:b w:val="1"/>
                <w:bCs w:val="1"/>
                <w:color w:val="225CAB"/>
                <w:w w:val="89"/>
              </w:rPr>
              <w:t>44</w:t>
            </w:r>
          </w:p>
        </w:tc>
        <w:tc>
          <w:tcPr>
            <w:tcW w:w="5180" w:type="dxa"/>
            <w:vAlign w:val="bottom"/>
          </w:tcPr>
          <w:p>
            <w:pPr>
              <w:ind w:left="1240"/>
              <w:spacing w:after="0"/>
              <w:rPr>
                <w:sz w:val="20"/>
                <w:szCs w:val="20"/>
                <w:color w:val="auto"/>
              </w:rPr>
            </w:pPr>
            <w:r>
              <w:rPr>
                <w:rFonts w:ascii="Arial" w:cs="Arial" w:eastAsia="Arial" w:hAnsi="Arial"/>
                <w:sz w:val="18"/>
                <w:szCs w:val="18"/>
                <w:b w:val="1"/>
                <w:bCs w:val="1"/>
                <w:color w:val="225CAB"/>
                <w:w w:val="96"/>
              </w:rPr>
              <w:t>Roper Technologies, Inc. 2016 Proxy Statement</w:t>
            </w:r>
          </w:p>
        </w:tc>
      </w:tr>
      <w:tr>
        <w:trPr>
          <w:trHeight w:val="110"/>
        </w:trPr>
        <w:tc>
          <w:tcPr>
            <w:tcW w:w="340" w:type="dxa"/>
            <w:vAlign w:val="bottom"/>
            <w:tcBorders>
              <w:right w:val="single" w:sz="8" w:color="225CAB"/>
            </w:tcBorders>
          </w:tcPr>
          <w:p>
            <w:pPr>
              <w:spacing w:after="0"/>
              <w:rPr>
                <w:sz w:val="9"/>
                <w:szCs w:val="9"/>
                <w:color w:val="auto"/>
              </w:rPr>
            </w:pPr>
          </w:p>
        </w:tc>
        <w:tc>
          <w:tcPr>
            <w:tcW w:w="518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-248285</wp:posOffset>
            </wp:positionV>
            <wp:extent cx="420370" cy="2057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ind w:right="620"/>
        <w:spacing w:after="0" w:line="260" w:lineRule="auto"/>
        <w:rPr>
          <w:sz w:val="20"/>
          <w:szCs w:val="20"/>
          <w:color w:val="auto"/>
        </w:rPr>
      </w:pPr>
      <w:r>
        <w:rPr>
          <w:rFonts w:ascii="Arial" w:cs="Arial" w:eastAsia="Arial" w:hAnsi="Arial"/>
          <w:sz w:val="32"/>
          <w:szCs w:val="32"/>
          <w:color w:val="225CAB"/>
        </w:rPr>
        <w:t>PROPOSAL 4: APPROVAL OF THE ROPER TECHNOLOGIES, INC. 2016 INCENTIVE PLAN</w:t>
      </w:r>
    </w:p>
    <w:p>
      <w:pPr>
        <w:spacing w:after="0" w:line="202"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Our Board of Directors adopted the Roper Technologies, Inc. 2016 Incentive Plan (the “2016 Plan”) in March 2016, subject to approval by our shareholders at this Annual Meeting. If approved by shareholders, the 2016 Plan will become effective on May 27, 2016 (the “Effective Date”) and will replace our 2006 Incentive Plan, as amended (the “Prior Plan”). The 2016 Plan will have 7,924,932 new shares reserved for issuance, plus up to 2,075,068 shares available under the Prior Plan immediately prior to the Effective Date.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Shareholders’ Approval of the 2016 Plan</w:t>
      </w:r>
    </w:p>
    <w:p>
      <w:pPr>
        <w:spacing w:after="0" w:line="81" w:lineRule="exact"/>
        <w:rPr>
          <w:sz w:val="20"/>
          <w:szCs w:val="20"/>
          <w:color w:val="auto"/>
        </w:rPr>
      </w:pPr>
    </w:p>
    <w:p>
      <w:pPr>
        <w:jc w:val="both"/>
        <w:ind w:right="40" w:firstLine="456"/>
        <w:spacing w:after="0" w:line="247" w:lineRule="auto"/>
        <w:rPr>
          <w:sz w:val="20"/>
          <w:szCs w:val="20"/>
          <w:color w:val="auto"/>
        </w:rPr>
      </w:pPr>
      <w:r>
        <w:rPr>
          <w:rFonts w:ascii="Arial" w:cs="Arial" w:eastAsia="Arial" w:hAnsi="Arial"/>
          <w:sz w:val="18"/>
          <w:szCs w:val="18"/>
          <w:i w:val="1"/>
          <w:iCs w:val="1"/>
          <w:color w:val="auto"/>
        </w:rPr>
        <w:t xml:space="preserve">The 2016 Plan will allow us to continue to grant equity awards. </w:t>
      </w:r>
      <w:r>
        <w:rPr>
          <w:rFonts w:ascii="Arial" w:cs="Arial" w:eastAsia="Arial" w:hAnsi="Arial"/>
          <w:sz w:val="18"/>
          <w:szCs w:val="18"/>
          <w:color w:val="auto"/>
        </w:rPr>
        <w:t>Our Prior Plan expires in June 2016. The Compensation Committee believes</w:t>
      </w:r>
      <w:r>
        <w:rPr>
          <w:rFonts w:ascii="Arial" w:cs="Arial" w:eastAsia="Arial" w:hAnsi="Arial"/>
          <w:sz w:val="18"/>
          <w:szCs w:val="18"/>
          <w:i w:val="1"/>
          <w:iCs w:val="1"/>
          <w:color w:val="auto"/>
        </w:rPr>
        <w:t xml:space="preserve"> </w:t>
      </w:r>
      <w:r>
        <w:rPr>
          <w:rFonts w:ascii="Arial" w:cs="Arial" w:eastAsia="Arial" w:hAnsi="Arial"/>
          <w:sz w:val="18"/>
          <w:szCs w:val="18"/>
          <w:color w:val="auto"/>
        </w:rPr>
        <w:t>that the Company must continue to grant equity compensation in order to attract, retain and motivate our key employees. The ability to grant equity awards keeps us competitive for talent and is fundamental to the effectiveness of our compensation program.</w:t>
      </w:r>
    </w:p>
    <w:p>
      <w:pPr>
        <w:spacing w:after="0" w:line="131" w:lineRule="exact"/>
        <w:rPr>
          <w:sz w:val="20"/>
          <w:szCs w:val="20"/>
          <w:color w:val="auto"/>
        </w:rPr>
      </w:pPr>
    </w:p>
    <w:p>
      <w:pPr>
        <w:ind w:right="120" w:firstLine="456"/>
        <w:spacing w:after="0" w:line="247" w:lineRule="auto"/>
        <w:rPr>
          <w:sz w:val="20"/>
          <w:szCs w:val="20"/>
          <w:color w:val="auto"/>
        </w:rPr>
      </w:pPr>
      <w:r>
        <w:rPr>
          <w:rFonts w:ascii="Arial" w:cs="Arial" w:eastAsia="Arial" w:hAnsi="Arial"/>
          <w:sz w:val="18"/>
          <w:szCs w:val="18"/>
          <w:i w:val="1"/>
          <w:iCs w:val="1"/>
          <w:color w:val="auto"/>
        </w:rPr>
        <w:t xml:space="preserve">Equity awards align employees’ interests with shareholders’ long-term interests. </w:t>
      </w:r>
      <w:r>
        <w:rPr>
          <w:rFonts w:ascii="Arial" w:cs="Arial" w:eastAsia="Arial" w:hAnsi="Arial"/>
          <w:sz w:val="18"/>
          <w:szCs w:val="18"/>
          <w:color w:val="auto"/>
        </w:rPr>
        <w:t>Equity awards promote the success and enhance the value</w:t>
      </w:r>
      <w:r>
        <w:rPr>
          <w:rFonts w:ascii="Arial" w:cs="Arial" w:eastAsia="Arial" w:hAnsi="Arial"/>
          <w:sz w:val="18"/>
          <w:szCs w:val="18"/>
          <w:i w:val="1"/>
          <w:iCs w:val="1"/>
          <w:color w:val="auto"/>
        </w:rPr>
        <w:t xml:space="preserve"> </w:t>
      </w:r>
      <w:r>
        <w:rPr>
          <w:rFonts w:ascii="Arial" w:cs="Arial" w:eastAsia="Arial" w:hAnsi="Arial"/>
          <w:sz w:val="18"/>
          <w:szCs w:val="18"/>
          <w:color w:val="auto"/>
        </w:rPr>
        <w:t>of our Company by aligning the personal interests of our directors, officers and employees with those of our shareholders and by retaining executives through multi-year service requirements for vesting in awards.</w:t>
      </w:r>
    </w:p>
    <w:p>
      <w:pPr>
        <w:spacing w:after="0" w:line="131" w:lineRule="exact"/>
        <w:rPr>
          <w:sz w:val="20"/>
          <w:szCs w:val="20"/>
          <w:color w:val="auto"/>
        </w:rPr>
      </w:pPr>
    </w:p>
    <w:p>
      <w:pPr>
        <w:ind w:right="60" w:firstLine="456"/>
        <w:spacing w:after="0" w:line="260" w:lineRule="auto"/>
        <w:rPr>
          <w:sz w:val="20"/>
          <w:szCs w:val="20"/>
          <w:color w:val="auto"/>
        </w:rPr>
      </w:pPr>
      <w:r>
        <w:rPr>
          <w:rFonts w:ascii="Arial" w:cs="Arial" w:eastAsia="Arial" w:hAnsi="Arial"/>
          <w:sz w:val="18"/>
          <w:szCs w:val="18"/>
          <w:i w:val="1"/>
          <w:iCs w:val="1"/>
          <w:color w:val="auto"/>
        </w:rPr>
        <w:t>Equity awards reflect the Compensation Committee’s pay-for-performance philosophy</w:t>
      </w:r>
      <w:r>
        <w:rPr>
          <w:rFonts w:ascii="Arial" w:cs="Arial" w:eastAsia="Arial" w:hAnsi="Arial"/>
          <w:sz w:val="18"/>
          <w:szCs w:val="18"/>
          <w:color w:val="auto"/>
        </w:rPr>
        <w:t>. The value ultimately received by participants from our</w:t>
      </w:r>
      <w:r>
        <w:rPr>
          <w:rFonts w:ascii="Arial" w:cs="Arial" w:eastAsia="Arial" w:hAnsi="Arial"/>
          <w:sz w:val="18"/>
          <w:szCs w:val="18"/>
          <w:i w:val="1"/>
          <w:iCs w:val="1"/>
          <w:color w:val="auto"/>
        </w:rPr>
        <w:t xml:space="preserve"> </w:t>
      </w:r>
      <w:r>
        <w:rPr>
          <w:rFonts w:ascii="Arial" w:cs="Arial" w:eastAsia="Arial" w:hAnsi="Arial"/>
          <w:sz w:val="18"/>
          <w:szCs w:val="18"/>
          <w:color w:val="auto"/>
        </w:rPr>
        <w:t>equity awards is linked to the value of our common stock.</w:t>
      </w:r>
    </w:p>
    <w:p>
      <w:pPr>
        <w:spacing w:after="0" w:line="119" w:lineRule="exact"/>
        <w:rPr>
          <w:sz w:val="20"/>
          <w:szCs w:val="20"/>
          <w:color w:val="auto"/>
        </w:rPr>
      </w:pPr>
    </w:p>
    <w:p>
      <w:pPr>
        <w:jc w:val="both"/>
        <w:ind w:right="400" w:firstLine="456"/>
        <w:spacing w:after="0" w:line="283" w:lineRule="auto"/>
        <w:rPr>
          <w:sz w:val="20"/>
          <w:szCs w:val="20"/>
          <w:color w:val="auto"/>
        </w:rPr>
      </w:pPr>
      <w:r>
        <w:rPr>
          <w:rFonts w:ascii="Arial" w:cs="Arial" w:eastAsia="Arial" w:hAnsi="Arial"/>
          <w:sz w:val="16"/>
          <w:szCs w:val="16"/>
          <w:i w:val="1"/>
          <w:iCs w:val="1"/>
          <w:color w:val="auto"/>
        </w:rPr>
        <w:t>Approval will facilitate the tax deductibility of performance-based compensation</w:t>
      </w:r>
      <w:r>
        <w:rPr>
          <w:rFonts w:ascii="Arial" w:cs="Arial" w:eastAsia="Arial" w:hAnsi="Arial"/>
          <w:sz w:val="16"/>
          <w:szCs w:val="16"/>
          <w:color w:val="auto"/>
        </w:rPr>
        <w:t>. Shareholder approval of the 2016 Plan will preserve our</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ability to continue to grant performance-based awards that are intended to be fully deductible without regard to the deduction limit imposed under Section 162(m) of the U.S. Internal Revenue Code of 1986, as amended (the “Code”). Shareholder approval of the 2016 Plan includes shareholder approval of the business criteria listed below under “Performance Goals” for purposes of Code Section 162(m).</w:t>
      </w:r>
    </w:p>
    <w:p>
      <w:pPr>
        <w:spacing w:after="0" w:line="105" w:lineRule="exact"/>
        <w:rPr>
          <w:sz w:val="20"/>
          <w:szCs w:val="20"/>
          <w:color w:val="auto"/>
        </w:rPr>
      </w:pPr>
    </w:p>
    <w:p>
      <w:pPr>
        <w:ind w:right="780" w:firstLine="456"/>
        <w:spacing w:after="0" w:line="260" w:lineRule="auto"/>
        <w:rPr>
          <w:sz w:val="20"/>
          <w:szCs w:val="20"/>
          <w:color w:val="auto"/>
        </w:rPr>
      </w:pPr>
      <w:r>
        <w:rPr>
          <w:rFonts w:ascii="Arial" w:cs="Arial" w:eastAsia="Arial" w:hAnsi="Arial"/>
          <w:sz w:val="18"/>
          <w:szCs w:val="18"/>
          <w:i w:val="1"/>
          <w:iCs w:val="1"/>
          <w:color w:val="auto"/>
        </w:rPr>
        <w:t>Our burn rate and dilution is low</w:t>
      </w:r>
      <w:r>
        <w:rPr>
          <w:rFonts w:ascii="Arial" w:cs="Arial" w:eastAsia="Arial" w:hAnsi="Arial"/>
          <w:sz w:val="18"/>
          <w:szCs w:val="18"/>
          <w:color w:val="auto"/>
        </w:rPr>
        <w:t>. The awards we make annually and that are outstanding and available for future grants are a lower</w:t>
      </w:r>
      <w:r>
        <w:rPr>
          <w:rFonts w:ascii="Arial" w:cs="Arial" w:eastAsia="Arial" w:hAnsi="Arial"/>
          <w:sz w:val="18"/>
          <w:szCs w:val="18"/>
          <w:i w:val="1"/>
          <w:iCs w:val="1"/>
          <w:color w:val="auto"/>
        </w:rPr>
        <w:t xml:space="preserve"> </w:t>
      </w:r>
      <w:r>
        <w:rPr>
          <w:rFonts w:ascii="Arial" w:cs="Arial" w:eastAsia="Arial" w:hAnsi="Arial"/>
          <w:sz w:val="18"/>
          <w:szCs w:val="18"/>
          <w:color w:val="auto"/>
        </w:rPr>
        <w:t>percentage of total shares outstanding than is typical among our peer group.</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Features of the 2016 Plan</w:t>
      </w:r>
    </w:p>
    <w:p>
      <w:pPr>
        <w:spacing w:after="0" w:line="81" w:lineRule="exact"/>
        <w:rPr>
          <w:sz w:val="20"/>
          <w:szCs w:val="20"/>
          <w:color w:val="auto"/>
        </w:rPr>
      </w:pPr>
    </w:p>
    <w:p>
      <w:pPr>
        <w:ind w:right="20" w:firstLine="456"/>
        <w:spacing w:after="0" w:line="247" w:lineRule="auto"/>
        <w:rPr>
          <w:sz w:val="20"/>
          <w:szCs w:val="20"/>
          <w:color w:val="auto"/>
        </w:rPr>
      </w:pPr>
      <w:r>
        <w:rPr>
          <w:rFonts w:ascii="Arial" w:cs="Arial" w:eastAsia="Arial" w:hAnsi="Arial"/>
          <w:sz w:val="18"/>
          <w:szCs w:val="18"/>
          <w:i w:val="1"/>
          <w:iCs w:val="1"/>
          <w:color w:val="auto"/>
        </w:rPr>
        <w:t xml:space="preserve">Conservative share counting provisions. </w:t>
      </w:r>
      <w:r>
        <w:rPr>
          <w:rFonts w:ascii="Arial" w:cs="Arial" w:eastAsia="Arial" w:hAnsi="Arial"/>
          <w:sz w:val="18"/>
          <w:szCs w:val="18"/>
          <w:color w:val="auto"/>
        </w:rPr>
        <w:t>We count the full number of shares issued, rather than the net number of shares, where shares are</w:t>
      </w:r>
      <w:r>
        <w:rPr>
          <w:rFonts w:ascii="Arial" w:cs="Arial" w:eastAsia="Arial" w:hAnsi="Arial"/>
          <w:sz w:val="18"/>
          <w:szCs w:val="18"/>
          <w:i w:val="1"/>
          <w:iCs w:val="1"/>
          <w:color w:val="auto"/>
        </w:rPr>
        <w:t xml:space="preserve"> </w:t>
      </w:r>
      <w:r>
        <w:rPr>
          <w:rFonts w:ascii="Arial" w:cs="Arial" w:eastAsia="Arial" w:hAnsi="Arial"/>
          <w:sz w:val="18"/>
          <w:szCs w:val="18"/>
          <w:color w:val="auto"/>
        </w:rPr>
        <w:t>withheld from an award to satisfy tax withholding requirements or delivered or withheld to pay the exercise price of an option. We also count the full number of shares underlying stock appreciation rights.</w:t>
      </w:r>
    </w:p>
    <w:p>
      <w:pPr>
        <w:spacing w:after="0" w:line="131" w:lineRule="exact"/>
        <w:rPr>
          <w:sz w:val="20"/>
          <w:szCs w:val="20"/>
          <w:color w:val="auto"/>
        </w:rPr>
      </w:pPr>
    </w:p>
    <w:p>
      <w:pPr>
        <w:ind w:right="640" w:firstLine="456"/>
        <w:spacing w:after="0" w:line="260" w:lineRule="auto"/>
        <w:rPr>
          <w:sz w:val="20"/>
          <w:szCs w:val="20"/>
          <w:color w:val="auto"/>
        </w:rPr>
      </w:pPr>
      <w:r>
        <w:rPr>
          <w:rFonts w:ascii="Arial" w:cs="Arial" w:eastAsia="Arial" w:hAnsi="Arial"/>
          <w:sz w:val="18"/>
          <w:szCs w:val="18"/>
          <w:i w:val="1"/>
          <w:iCs w:val="1"/>
          <w:color w:val="auto"/>
        </w:rPr>
        <w:t>No repricing of options</w:t>
      </w:r>
      <w:r>
        <w:rPr>
          <w:rFonts w:ascii="Arial" w:cs="Arial" w:eastAsia="Arial" w:hAnsi="Arial"/>
          <w:sz w:val="18"/>
          <w:szCs w:val="18"/>
          <w:color w:val="auto"/>
        </w:rPr>
        <w:t>. The 2016 Plan does not permit the repricing of options or stock appreciation rights, either directly or indirectly</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replacement with new awards or cash buyouts, without stockholder approval.</w:t>
      </w:r>
    </w:p>
    <w:p>
      <w:pPr>
        <w:spacing w:after="0" w:line="119" w:lineRule="exact"/>
        <w:rPr>
          <w:sz w:val="20"/>
          <w:szCs w:val="20"/>
          <w:color w:val="auto"/>
        </w:rPr>
      </w:pPr>
    </w:p>
    <w:p>
      <w:pPr>
        <w:ind w:right="20" w:firstLine="456"/>
        <w:spacing w:after="0" w:line="247" w:lineRule="auto"/>
        <w:rPr>
          <w:sz w:val="20"/>
          <w:szCs w:val="20"/>
          <w:color w:val="auto"/>
        </w:rPr>
      </w:pPr>
      <w:r>
        <w:rPr>
          <w:rFonts w:ascii="Arial" w:cs="Arial" w:eastAsia="Arial" w:hAnsi="Arial"/>
          <w:sz w:val="18"/>
          <w:szCs w:val="18"/>
          <w:i w:val="1"/>
          <w:iCs w:val="1"/>
          <w:color w:val="auto"/>
        </w:rPr>
        <w:t>“Double trigger” change in control provisions</w:t>
      </w:r>
      <w:r>
        <w:rPr>
          <w:rFonts w:ascii="Arial" w:cs="Arial" w:eastAsia="Arial" w:hAnsi="Arial"/>
          <w:sz w:val="18"/>
          <w:szCs w:val="18"/>
          <w:color w:val="auto"/>
        </w:rPr>
        <w:t>. If an acquirer assumes our awards in connection with a change in control, accelerated vesting</w:t>
      </w:r>
      <w:r>
        <w:rPr>
          <w:rFonts w:ascii="Arial" w:cs="Arial" w:eastAsia="Arial" w:hAnsi="Arial"/>
          <w:sz w:val="18"/>
          <w:szCs w:val="18"/>
          <w:i w:val="1"/>
          <w:iCs w:val="1"/>
          <w:color w:val="auto"/>
        </w:rPr>
        <w:t xml:space="preserve"> </w:t>
      </w:r>
      <w:r>
        <w:rPr>
          <w:rFonts w:ascii="Arial" w:cs="Arial" w:eastAsia="Arial" w:hAnsi="Arial"/>
          <w:sz w:val="18"/>
          <w:szCs w:val="18"/>
          <w:color w:val="auto"/>
        </w:rPr>
        <w:t>of a participant’s awards occurs only if the participant’s employment is terminated without “cause” or the participant resigns for “good reason” within two years after the change in control.</w:t>
      </w:r>
    </w:p>
    <w:p>
      <w:pPr>
        <w:spacing w:after="0" w:line="131" w:lineRule="exact"/>
        <w:rPr>
          <w:sz w:val="20"/>
          <w:szCs w:val="20"/>
          <w:color w:val="auto"/>
        </w:rPr>
      </w:pPr>
    </w:p>
    <w:p>
      <w:pPr>
        <w:ind w:right="940" w:firstLine="456"/>
        <w:spacing w:after="0" w:line="260" w:lineRule="auto"/>
        <w:rPr>
          <w:sz w:val="20"/>
          <w:szCs w:val="20"/>
          <w:color w:val="auto"/>
        </w:rPr>
      </w:pPr>
      <w:r>
        <w:rPr>
          <w:rFonts w:ascii="Arial" w:cs="Arial" w:eastAsia="Arial" w:hAnsi="Arial"/>
          <w:sz w:val="18"/>
          <w:szCs w:val="18"/>
          <w:i w:val="1"/>
          <w:iCs w:val="1"/>
          <w:color w:val="auto"/>
        </w:rPr>
        <w:t xml:space="preserve">Independent committee administration. </w:t>
      </w:r>
      <w:r>
        <w:rPr>
          <w:rFonts w:ascii="Arial" w:cs="Arial" w:eastAsia="Arial" w:hAnsi="Arial"/>
          <w:sz w:val="18"/>
          <w:szCs w:val="18"/>
          <w:color w:val="auto"/>
        </w:rPr>
        <w:t>The Plan is administered by our Compensation Committee, which is comprised entirely of</w:t>
      </w:r>
      <w:r>
        <w:rPr>
          <w:rFonts w:ascii="Arial" w:cs="Arial" w:eastAsia="Arial" w:hAnsi="Arial"/>
          <w:sz w:val="18"/>
          <w:szCs w:val="18"/>
          <w:i w:val="1"/>
          <w:iCs w:val="1"/>
          <w:color w:val="auto"/>
        </w:rPr>
        <w:t xml:space="preserve"> </w:t>
      </w:r>
      <w:r>
        <w:rPr>
          <w:rFonts w:ascii="Arial" w:cs="Arial" w:eastAsia="Arial" w:hAnsi="Arial"/>
          <w:sz w:val="18"/>
          <w:szCs w:val="18"/>
          <w:color w:val="auto"/>
        </w:rPr>
        <w:t>independent directors.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Usage Information</w:t>
      </w:r>
    </w:p>
    <w:p>
      <w:pPr>
        <w:spacing w:after="0" w:line="81" w:lineRule="exact"/>
        <w:rPr>
          <w:sz w:val="20"/>
          <w:szCs w:val="20"/>
          <w:color w:val="auto"/>
        </w:rPr>
      </w:pPr>
    </w:p>
    <w:p>
      <w:pPr>
        <w:ind w:right="100" w:firstLine="456"/>
        <w:spacing w:after="0" w:line="243" w:lineRule="auto"/>
        <w:rPr>
          <w:sz w:val="20"/>
          <w:szCs w:val="20"/>
          <w:color w:val="auto"/>
        </w:rPr>
      </w:pPr>
      <w:r>
        <w:rPr>
          <w:rFonts w:ascii="Arial" w:cs="Arial" w:eastAsia="Arial" w:hAnsi="Arial"/>
          <w:sz w:val="18"/>
          <w:szCs w:val="18"/>
          <w:i w:val="1"/>
          <w:iCs w:val="1"/>
          <w:color w:val="auto"/>
        </w:rPr>
        <w:t>Outstanding Awards</w:t>
      </w:r>
      <w:r>
        <w:rPr>
          <w:rFonts w:ascii="Arial" w:cs="Arial" w:eastAsia="Arial" w:hAnsi="Arial"/>
          <w:sz w:val="18"/>
          <w:szCs w:val="18"/>
          <w:color w:val="auto"/>
        </w:rPr>
        <w:t>. As of March 31, 2016, under the Prior Plan (which is the only plan under which awards remained outstanding), there</w:t>
      </w:r>
      <w:r>
        <w:rPr>
          <w:rFonts w:ascii="Arial" w:cs="Arial" w:eastAsia="Arial" w:hAnsi="Arial"/>
          <w:sz w:val="18"/>
          <w:szCs w:val="18"/>
          <w:i w:val="1"/>
          <w:iCs w:val="1"/>
          <w:color w:val="auto"/>
        </w:rPr>
        <w:t xml:space="preserve"> </w:t>
      </w:r>
      <w:r>
        <w:rPr>
          <w:rFonts w:ascii="Arial" w:cs="Arial" w:eastAsia="Arial" w:hAnsi="Arial"/>
          <w:sz w:val="18"/>
          <w:szCs w:val="18"/>
          <w:color w:val="auto"/>
        </w:rPr>
        <w:t>were (i) 4,616,583 shares of our common stock subject to outstanding awards, of which 3,625,510 shares were subject to stock options outstanding with a weighted average exercise price per share of $114.29 and a weighted average remaining term of 6.4 years; (ii) 991,073 shares were subject to restricted stock awards and restricted stock units outstanding and unvested, and (iii) 2,075,068 shares of our</w:t>
      </w:r>
    </w:p>
    <w:p>
      <w:pPr>
        <w:spacing w:after="0" w:line="135" w:lineRule="exact"/>
        <w:rPr>
          <w:sz w:val="20"/>
          <w:szCs w:val="20"/>
          <w:color w:val="auto"/>
        </w:rPr>
      </w:pPr>
    </w:p>
    <w:tbl>
      <w:tblPr>
        <w:tblLayout w:type="fixed"/>
        <w:tblInd w:w="6900" w:type="dxa"/>
        <w:tblCellMar>
          <w:top w:w="0" w:type="dxa"/>
          <w:left w:w="0" w:type="dxa"/>
          <w:bottom w:w="0" w:type="dxa"/>
          <w:right w:w="0" w:type="dxa"/>
        </w:tblCellMar>
      </w:tblPr>
      <w:tr>
        <w:trPr>
          <w:trHeight w:val="309"/>
        </w:trPr>
        <w:tc>
          <w:tcPr>
            <w:tcW w:w="4080" w:type="dxa"/>
            <w:vAlign w:val="bottom"/>
            <w:tcBorders>
              <w:right w:val="single" w:sz="8" w:color="225CAB"/>
            </w:tcBorders>
          </w:tcPr>
          <w:p>
            <w:pPr>
              <w:spacing w:after="0"/>
              <w:rPr>
                <w:sz w:val="20"/>
                <w:szCs w:val="20"/>
                <w:color w:val="auto"/>
              </w:rPr>
            </w:pPr>
            <w:r>
              <w:rPr>
                <w:rFonts w:ascii="Arial" w:cs="Arial" w:eastAsia="Arial" w:hAnsi="Arial"/>
                <w:sz w:val="18"/>
                <w:szCs w:val="18"/>
                <w:b w:val="1"/>
                <w:bCs w:val="1"/>
                <w:color w:val="225CAB"/>
                <w:w w:val="99"/>
              </w:rPr>
              <w:t>Roper Technologies, Inc. 2016 Proxy Statement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225CAB"/>
              </w:rPr>
              <w:t>45</w:t>
            </w:r>
          </w:p>
        </w:tc>
      </w:tr>
      <w:tr>
        <w:trPr>
          <w:trHeight w:val="83"/>
        </w:trPr>
        <w:tc>
          <w:tcPr>
            <w:tcW w:w="4080" w:type="dxa"/>
            <w:vAlign w:val="bottom"/>
            <w:tcBorders>
              <w:right w:val="single" w:sz="8" w:color="225CAB"/>
            </w:tcBorders>
          </w:tcPr>
          <w:p>
            <w:pPr>
              <w:spacing w:after="0"/>
              <w:rPr>
                <w:sz w:val="7"/>
                <w:szCs w:val="7"/>
                <w:color w:val="auto"/>
              </w:rPr>
            </w:pPr>
          </w:p>
        </w:tc>
        <w:tc>
          <w:tcPr>
            <w:tcW w:w="44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-213995</wp:posOffset>
            </wp:positionV>
            <wp:extent cx="420370" cy="2057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common stock reserved and available for future awards under the Prior Plan. On March 31, 2016, the closing price of Roper common stock on the New York Stock Exchange was $182.77.</w:t>
      </w:r>
    </w:p>
    <w:p>
      <w:pPr>
        <w:spacing w:after="0" w:line="137" w:lineRule="exact"/>
        <w:rPr>
          <w:sz w:val="20"/>
          <w:szCs w:val="20"/>
          <w:color w:val="auto"/>
        </w:rPr>
      </w:pPr>
    </w:p>
    <w:p>
      <w:pPr>
        <w:ind w:right="160" w:firstLine="456"/>
        <w:spacing w:after="0" w:line="247" w:lineRule="auto"/>
        <w:rPr>
          <w:sz w:val="20"/>
          <w:szCs w:val="20"/>
          <w:color w:val="auto"/>
        </w:rPr>
      </w:pPr>
      <w:r>
        <w:rPr>
          <w:rFonts w:ascii="Arial" w:cs="Arial" w:eastAsia="Arial" w:hAnsi="Arial"/>
          <w:sz w:val="18"/>
          <w:szCs w:val="18"/>
          <w:i w:val="1"/>
          <w:iCs w:val="1"/>
          <w:color w:val="auto"/>
        </w:rPr>
        <w:t>Burn Rate</w:t>
      </w:r>
      <w:r>
        <w:rPr>
          <w:rFonts w:ascii="Arial" w:cs="Arial" w:eastAsia="Arial" w:hAnsi="Arial"/>
          <w:sz w:val="18"/>
          <w:szCs w:val="18"/>
          <w:color w:val="auto"/>
        </w:rPr>
        <w:t>. Over the past three years (2015, 2014 and 2013), our annual burn rates have been 1.45%, 1.36%, and 1.37%, respectively.</w:t>
      </w:r>
      <w:r>
        <w:rPr>
          <w:rFonts w:ascii="Arial" w:cs="Arial" w:eastAsia="Arial" w:hAnsi="Arial"/>
          <w:sz w:val="18"/>
          <w:szCs w:val="18"/>
          <w:i w:val="1"/>
          <w:iCs w:val="1"/>
          <w:color w:val="auto"/>
        </w:rPr>
        <w:t xml:space="preserve"> </w:t>
      </w:r>
      <w:r>
        <w:rPr>
          <w:rFonts w:ascii="Arial" w:cs="Arial" w:eastAsia="Arial" w:hAnsi="Arial"/>
          <w:sz w:val="18"/>
          <w:szCs w:val="18"/>
          <w:color w:val="auto"/>
        </w:rPr>
        <w:t>These burn rates were calculated by the number of stock options and full-value awards granted during the applicable year (using a 1.9 multiplier for full-value awards) as a percentage of weighted average shares outstanding.</w:t>
      </w:r>
    </w:p>
    <w:p>
      <w:pPr>
        <w:spacing w:after="0" w:line="131" w:lineRule="exact"/>
        <w:rPr>
          <w:sz w:val="20"/>
          <w:szCs w:val="20"/>
          <w:color w:val="auto"/>
        </w:rPr>
      </w:pPr>
    </w:p>
    <w:p>
      <w:pPr>
        <w:ind w:right="160" w:firstLine="456"/>
        <w:spacing w:after="0" w:line="322" w:lineRule="auto"/>
        <w:rPr>
          <w:sz w:val="20"/>
          <w:szCs w:val="20"/>
          <w:color w:val="auto"/>
        </w:rPr>
      </w:pPr>
      <w:r>
        <w:rPr>
          <w:rFonts w:ascii="Arial" w:cs="Arial" w:eastAsia="Arial" w:hAnsi="Arial"/>
          <w:sz w:val="16"/>
          <w:szCs w:val="16"/>
          <w:i w:val="1"/>
          <w:iCs w:val="1"/>
          <w:color w:val="auto"/>
        </w:rPr>
        <w:t>Equity Overhang</w:t>
      </w:r>
      <w:r>
        <w:rPr>
          <w:rFonts w:ascii="Arial" w:cs="Arial" w:eastAsia="Arial" w:hAnsi="Arial"/>
          <w:sz w:val="16"/>
          <w:szCs w:val="16"/>
          <w:color w:val="auto"/>
        </w:rPr>
        <w:t>. We define “overhang” as the sum of outstanding equity awards under our Prior Plan plus the number of shares available</w:t>
      </w:r>
      <w:r>
        <w:rPr>
          <w:rFonts w:ascii="Arial" w:cs="Arial" w:eastAsia="Arial" w:hAnsi="Arial"/>
          <w:sz w:val="16"/>
          <w:szCs w:val="16"/>
          <w:i w:val="1"/>
          <w:iCs w:val="1"/>
          <w:color w:val="auto"/>
        </w:rPr>
        <w:t xml:space="preserve"> </w:t>
      </w:r>
      <w:r>
        <w:rPr>
          <w:rFonts w:ascii="Arial" w:cs="Arial" w:eastAsia="Arial" w:hAnsi="Arial"/>
          <w:sz w:val="16"/>
          <w:szCs w:val="16"/>
          <w:color w:val="auto"/>
        </w:rPr>
        <w:t>for future grant, divided by the sum of the foregoing plus the number of shares outstanding. As of March 31, 2016, our overhang was 6.2%.</w:t>
      </w:r>
    </w:p>
    <w:p>
      <w:pPr>
        <w:spacing w:after="0" w:line="74" w:lineRule="exact"/>
        <w:rPr>
          <w:sz w:val="20"/>
          <w:szCs w:val="20"/>
          <w:color w:val="auto"/>
        </w:rPr>
      </w:pPr>
    </w:p>
    <w:p>
      <w:pPr>
        <w:ind w:right="280" w:firstLine="456"/>
        <w:spacing w:after="0" w:line="260" w:lineRule="auto"/>
        <w:rPr>
          <w:sz w:val="20"/>
          <w:szCs w:val="20"/>
          <w:color w:val="auto"/>
        </w:rPr>
      </w:pPr>
      <w:r>
        <w:rPr>
          <w:rFonts w:ascii="Arial" w:cs="Arial" w:eastAsia="Arial" w:hAnsi="Arial"/>
          <w:sz w:val="18"/>
          <w:szCs w:val="18"/>
          <w:i w:val="1"/>
          <w:iCs w:val="1"/>
          <w:color w:val="auto"/>
        </w:rPr>
        <w:t>Dilution</w:t>
      </w:r>
      <w:r>
        <w:rPr>
          <w:rFonts w:ascii="Arial" w:cs="Arial" w:eastAsia="Arial" w:hAnsi="Arial"/>
          <w:sz w:val="18"/>
          <w:szCs w:val="18"/>
          <w:color w:val="auto"/>
        </w:rPr>
        <w:t>. The 7,924,932 million new shares requested under the 2016 Plan represent approximately 7.8% of our shares of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as of March 31, 2016.</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2016 Plan</w:t>
      </w:r>
    </w:p>
    <w:p>
      <w:pPr>
        <w:spacing w:after="0" w:line="99" w:lineRule="exact"/>
        <w:rPr>
          <w:sz w:val="20"/>
          <w:szCs w:val="20"/>
          <w:color w:val="auto"/>
        </w:rPr>
      </w:pPr>
    </w:p>
    <w:p>
      <w:pPr>
        <w:ind w:right="480" w:firstLine="456"/>
        <w:spacing w:after="0" w:line="239" w:lineRule="auto"/>
        <w:rPr>
          <w:sz w:val="20"/>
          <w:szCs w:val="20"/>
          <w:color w:val="auto"/>
        </w:rPr>
      </w:pPr>
      <w:r>
        <w:rPr>
          <w:rFonts w:ascii="Arial" w:cs="Arial" w:eastAsia="Arial" w:hAnsi="Arial"/>
          <w:sz w:val="18"/>
          <w:szCs w:val="18"/>
          <w:color w:val="auto"/>
        </w:rPr>
        <w:t>The following is a summary of the provisions of the 2016 Plan. This summary is qualified in its entirety by the full text of the 2016 Plan, attached to this Proxy Statement as Appendix B.</w:t>
      </w:r>
    </w:p>
    <w:p>
      <w:pPr>
        <w:spacing w:after="0" w:line="137" w:lineRule="exact"/>
        <w:rPr>
          <w:sz w:val="20"/>
          <w:szCs w:val="20"/>
          <w:color w:val="auto"/>
        </w:rPr>
      </w:pPr>
    </w:p>
    <w:p>
      <w:pPr>
        <w:ind w:right="320" w:firstLine="456"/>
        <w:spacing w:after="0" w:line="260" w:lineRule="auto"/>
        <w:rPr>
          <w:sz w:val="20"/>
          <w:szCs w:val="20"/>
          <w:color w:val="auto"/>
        </w:rPr>
      </w:pPr>
      <w:r>
        <w:rPr>
          <w:rFonts w:ascii="Arial" w:cs="Arial" w:eastAsia="Arial" w:hAnsi="Arial"/>
          <w:sz w:val="18"/>
          <w:szCs w:val="18"/>
          <w:i w:val="1"/>
          <w:iCs w:val="1"/>
          <w:color w:val="auto"/>
        </w:rPr>
        <w:t>Purpose</w:t>
      </w:r>
      <w:r>
        <w:rPr>
          <w:rFonts w:ascii="Arial" w:cs="Arial" w:eastAsia="Arial" w:hAnsi="Arial"/>
          <w:sz w:val="18"/>
          <w:szCs w:val="18"/>
          <w:color w:val="auto"/>
        </w:rPr>
        <w:t>. The purpose of the 2016 Plan is to promote the Company’s success by linking the personal interests of its employees, officers,</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and consultants to those of its shareholders, and by providing participants with an incentive for outstanding performance.</w:t>
      </w:r>
    </w:p>
    <w:p>
      <w:pPr>
        <w:spacing w:after="0" w:line="119" w:lineRule="exact"/>
        <w:rPr>
          <w:sz w:val="20"/>
          <w:szCs w:val="20"/>
          <w:color w:val="auto"/>
        </w:rPr>
      </w:pPr>
    </w:p>
    <w:p>
      <w:pPr>
        <w:ind w:right="280" w:firstLine="456"/>
        <w:spacing w:after="0" w:line="243"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The 2016 Plan will be administered by the Compensation Committee of the Board of Directors, which has the authority to</w:t>
      </w:r>
      <w:r>
        <w:rPr>
          <w:rFonts w:ascii="Arial" w:cs="Arial" w:eastAsia="Arial" w:hAnsi="Arial"/>
          <w:sz w:val="18"/>
          <w:szCs w:val="18"/>
          <w:i w:val="1"/>
          <w:iCs w:val="1"/>
          <w:color w:val="auto"/>
        </w:rPr>
        <w:t xml:space="preserve"> </w:t>
      </w:r>
      <w:r>
        <w:rPr>
          <w:rFonts w:ascii="Arial" w:cs="Arial" w:eastAsia="Arial" w:hAnsi="Arial"/>
          <w:sz w:val="18"/>
          <w:szCs w:val="18"/>
          <w:color w:val="auto"/>
        </w:rPr>
        <w:t>designate participants; determine the type or types of awards to be granted to each participant and the number, terms and conditions thereof; establish, adopt or revise any rules and regulations as it may deem advisable to administer the 2016 Plan; and make all other decisions and determinations that may be required under the 2016 Plan.</w:t>
      </w:r>
    </w:p>
    <w:p>
      <w:pPr>
        <w:spacing w:after="0" w:line="134" w:lineRule="exact"/>
        <w:rPr>
          <w:sz w:val="20"/>
          <w:szCs w:val="20"/>
          <w:color w:val="auto"/>
        </w:rPr>
      </w:pPr>
    </w:p>
    <w:p>
      <w:pPr>
        <w:ind w:right="120" w:firstLine="456"/>
        <w:spacing w:after="0" w:line="243" w:lineRule="auto"/>
        <w:rPr>
          <w:sz w:val="20"/>
          <w:szCs w:val="20"/>
          <w:color w:val="auto"/>
        </w:rPr>
      </w:pPr>
      <w:r>
        <w:rPr>
          <w:rFonts w:ascii="Arial" w:cs="Arial" w:eastAsia="Arial" w:hAnsi="Arial"/>
          <w:sz w:val="18"/>
          <w:szCs w:val="18"/>
          <w:i w:val="1"/>
          <w:iCs w:val="1"/>
          <w:color w:val="auto"/>
        </w:rPr>
        <w:t>Shares Available for Awards</w:t>
      </w:r>
      <w:r>
        <w:rPr>
          <w:rFonts w:ascii="Arial" w:cs="Arial" w:eastAsia="Arial" w:hAnsi="Arial"/>
          <w:sz w:val="18"/>
          <w:szCs w:val="18"/>
          <w:color w:val="auto"/>
        </w:rPr>
        <w:t>. The 2016 Plan will have 7,924,932 new shares available for issuance, plus up to 2,075,068 shares remaining</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under the Prior Plan immediately prior to the Effective Date. In addition, up to 4,616,583 shares subject to awards previously granted under the Prior Plan that are outstanding as of the Effective Date and thereafter terminate or expire unexercised, or are cancelled, forfeited or lapse for any reason will become available under the 2016 Plan.</w:t>
      </w:r>
    </w:p>
    <w:p>
      <w:pPr>
        <w:spacing w:after="0" w:line="134" w:lineRule="exact"/>
        <w:rPr>
          <w:sz w:val="20"/>
          <w:szCs w:val="20"/>
          <w:color w:val="auto"/>
        </w:rPr>
      </w:pPr>
    </w:p>
    <w:p>
      <w:pPr>
        <w:ind w:firstLine="456"/>
        <w:spacing w:after="0" w:line="239" w:lineRule="auto"/>
        <w:rPr>
          <w:sz w:val="20"/>
          <w:szCs w:val="20"/>
          <w:color w:val="auto"/>
        </w:rPr>
      </w:pPr>
      <w:r>
        <w:rPr>
          <w:rFonts w:ascii="Arial" w:cs="Arial" w:eastAsia="Arial" w:hAnsi="Arial"/>
          <w:sz w:val="18"/>
          <w:szCs w:val="18"/>
          <w:i w:val="1"/>
          <w:iCs w:val="1"/>
          <w:color w:val="auto"/>
        </w:rPr>
        <w:t>Share Counting</w:t>
      </w:r>
      <w:r>
        <w:rPr>
          <w:rFonts w:ascii="Arial" w:cs="Arial" w:eastAsia="Arial" w:hAnsi="Arial"/>
          <w:sz w:val="18"/>
          <w:szCs w:val="18"/>
          <w:color w:val="auto"/>
        </w:rPr>
        <w:t>. Shares underlying options and stock appreciation rights count as one share, while shares underlying all other awards count</w:t>
      </w:r>
      <w:r>
        <w:rPr>
          <w:rFonts w:ascii="Arial" w:cs="Arial" w:eastAsia="Arial" w:hAnsi="Arial"/>
          <w:sz w:val="18"/>
          <w:szCs w:val="18"/>
          <w:i w:val="1"/>
          <w:iCs w:val="1"/>
          <w:color w:val="auto"/>
        </w:rPr>
        <w:t xml:space="preserve"> </w:t>
      </w:r>
      <w:r>
        <w:rPr>
          <w:rFonts w:ascii="Arial" w:cs="Arial" w:eastAsia="Arial" w:hAnsi="Arial"/>
          <w:sz w:val="18"/>
          <w:szCs w:val="18"/>
          <w:color w:val="auto"/>
        </w:rPr>
        <w:t>as three shares, against the number of shares available for issuance under the 2016 Plan. Shares withheld from an award to satisfy tax withholding requirements, shares delivered or withheld to pay the exercise price of an option, and the full number of shares underlying stock appreciation rights, rather than the net number of shares actually issued, are counted against the shares available under the 2016 Plan. The 2016 Plan provides that shares subject to awards that terminate or expire unexercised, or are cancelled, forfeited or lapse for any reason, and shares underlying awards that are ultimately settled in cash, will again be available for future grants of awards under the 2016 Plan.</w:t>
      </w:r>
    </w:p>
    <w:p>
      <w:pPr>
        <w:spacing w:after="0" w:line="141" w:lineRule="exact"/>
        <w:rPr>
          <w:sz w:val="20"/>
          <w:szCs w:val="20"/>
          <w:color w:val="auto"/>
        </w:rPr>
      </w:pPr>
    </w:p>
    <w:p>
      <w:pPr>
        <w:ind w:right="380" w:firstLine="456"/>
        <w:spacing w:after="0" w:line="293" w:lineRule="auto"/>
        <w:rPr>
          <w:sz w:val="20"/>
          <w:szCs w:val="20"/>
          <w:color w:val="auto"/>
        </w:rPr>
      </w:pPr>
      <w:r>
        <w:rPr>
          <w:rFonts w:ascii="Arial" w:cs="Arial" w:eastAsia="Arial" w:hAnsi="Arial"/>
          <w:sz w:val="16"/>
          <w:szCs w:val="16"/>
          <w:i w:val="1"/>
          <w:iCs w:val="1"/>
          <w:color w:val="auto"/>
        </w:rPr>
        <w:t>Eligibility</w:t>
      </w:r>
      <w:r>
        <w:rPr>
          <w:rFonts w:ascii="Arial" w:cs="Arial" w:eastAsia="Arial" w:hAnsi="Arial"/>
          <w:sz w:val="16"/>
          <w:szCs w:val="16"/>
          <w:color w:val="auto"/>
        </w:rPr>
        <w:t>. The 2016 Plan permits the grant of equity awards to employees, officers, directors and consultants of the Company and its</w:t>
      </w:r>
      <w:r>
        <w:rPr>
          <w:rFonts w:ascii="Arial" w:cs="Arial" w:eastAsia="Arial" w:hAnsi="Arial"/>
          <w:sz w:val="16"/>
          <w:szCs w:val="16"/>
          <w:i w:val="1"/>
          <w:iCs w:val="1"/>
          <w:color w:val="auto"/>
        </w:rPr>
        <w:t xml:space="preserve"> </w:t>
      </w:r>
      <w:r>
        <w:rPr>
          <w:rFonts w:ascii="Arial" w:cs="Arial" w:eastAsia="Arial" w:hAnsi="Arial"/>
          <w:sz w:val="16"/>
          <w:szCs w:val="16"/>
          <w:color w:val="auto"/>
        </w:rPr>
        <w:t>affiliates as selected by the Compensation Committee. As of March 31, 2016, the Company had approximately 11,000 employees and 8 non-employee directors. The number of eligible participants may change over time based upon future growth of the Company and its affiliates.</w:t>
      </w:r>
    </w:p>
    <w:p>
      <w:pPr>
        <w:spacing w:after="0" w:line="96" w:lineRule="exact"/>
        <w:rPr>
          <w:sz w:val="20"/>
          <w:szCs w:val="20"/>
          <w:color w:val="auto"/>
        </w:rPr>
      </w:pPr>
    </w:p>
    <w:p>
      <w:pPr>
        <w:ind w:right="20" w:firstLine="456"/>
        <w:spacing w:after="0" w:line="247" w:lineRule="auto"/>
        <w:rPr>
          <w:sz w:val="20"/>
          <w:szCs w:val="20"/>
          <w:color w:val="auto"/>
        </w:rPr>
      </w:pPr>
      <w:r>
        <w:rPr>
          <w:rFonts w:ascii="Arial" w:cs="Arial" w:eastAsia="Arial" w:hAnsi="Arial"/>
          <w:sz w:val="18"/>
          <w:szCs w:val="18"/>
          <w:i w:val="1"/>
          <w:iCs w:val="1"/>
          <w:color w:val="auto"/>
        </w:rPr>
        <w:t>Awards to Non-Employee Directors</w:t>
      </w:r>
      <w:r>
        <w:rPr>
          <w:rFonts w:ascii="Arial" w:cs="Arial" w:eastAsia="Arial" w:hAnsi="Arial"/>
          <w:sz w:val="18"/>
          <w:szCs w:val="18"/>
          <w:color w:val="auto"/>
        </w:rPr>
        <w:t>. Awards granted to the Company’s non-employee directors will be made only in accordance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terms, conditions and parameters of the Company’s director compensation plan as in effect from time to time. In no event will the awards that may be granted to any non-employee director (other than a non-executive chairman) during any calendar year exceed 6,000 shares.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336"/>
        </w:trPr>
        <w:tc>
          <w:tcPr>
            <w:tcW w:w="340" w:type="dxa"/>
            <w:vAlign w:val="bottom"/>
            <w:tcBorders>
              <w:right w:val="single" w:sz="8" w:color="225CAB"/>
            </w:tcBorders>
          </w:tcPr>
          <w:p>
            <w:pPr>
              <w:jc w:val="right"/>
              <w:ind w:right="52"/>
              <w:spacing w:after="0"/>
              <w:rPr>
                <w:sz w:val="20"/>
                <w:szCs w:val="20"/>
                <w:color w:val="auto"/>
              </w:rPr>
            </w:pPr>
            <w:r>
              <w:rPr>
                <w:rFonts w:ascii="Arial" w:cs="Arial" w:eastAsia="Arial" w:hAnsi="Arial"/>
                <w:sz w:val="18"/>
                <w:szCs w:val="18"/>
                <w:b w:val="1"/>
                <w:bCs w:val="1"/>
                <w:color w:val="225CAB"/>
                <w:w w:val="89"/>
              </w:rPr>
              <w:t>46</w:t>
            </w:r>
          </w:p>
        </w:tc>
        <w:tc>
          <w:tcPr>
            <w:tcW w:w="5180" w:type="dxa"/>
            <w:vAlign w:val="bottom"/>
          </w:tcPr>
          <w:p>
            <w:pPr>
              <w:ind w:left="1240"/>
              <w:spacing w:after="0"/>
              <w:rPr>
                <w:sz w:val="20"/>
                <w:szCs w:val="20"/>
                <w:color w:val="auto"/>
              </w:rPr>
            </w:pPr>
            <w:r>
              <w:rPr>
                <w:rFonts w:ascii="Arial" w:cs="Arial" w:eastAsia="Arial" w:hAnsi="Arial"/>
                <w:sz w:val="18"/>
                <w:szCs w:val="18"/>
                <w:b w:val="1"/>
                <w:bCs w:val="1"/>
                <w:color w:val="225CAB"/>
                <w:w w:val="96"/>
              </w:rPr>
              <w:t>Roper Technologies, Inc. 2016 Proxy Statement</w:t>
            </w:r>
          </w:p>
        </w:tc>
      </w:tr>
      <w:tr>
        <w:trPr>
          <w:trHeight w:val="110"/>
        </w:trPr>
        <w:tc>
          <w:tcPr>
            <w:tcW w:w="340" w:type="dxa"/>
            <w:vAlign w:val="bottom"/>
            <w:tcBorders>
              <w:right w:val="single" w:sz="8" w:color="225CAB"/>
            </w:tcBorders>
          </w:tcPr>
          <w:p>
            <w:pPr>
              <w:spacing w:after="0"/>
              <w:rPr>
                <w:sz w:val="9"/>
                <w:szCs w:val="9"/>
                <w:color w:val="auto"/>
              </w:rPr>
            </w:pPr>
          </w:p>
        </w:tc>
        <w:tc>
          <w:tcPr>
            <w:tcW w:w="518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-248285</wp:posOffset>
            </wp:positionV>
            <wp:extent cx="420370" cy="2057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ectPr>
          <w:pgSz w:w="11900" w:h="16838" w:orient="portrait"/>
          <w:cols w:equalWidth="0" w:num="1">
            <w:col w:w="11340"/>
          </w:cols>
          <w:pgMar w:left="240" w:top="459" w:right="31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Types of Equity Awards</w:t>
      </w:r>
      <w:r>
        <w:rPr>
          <w:rFonts w:ascii="Arial" w:cs="Arial" w:eastAsia="Arial" w:hAnsi="Arial"/>
          <w:sz w:val="18"/>
          <w:szCs w:val="18"/>
          <w:color w:val="auto"/>
        </w:rPr>
        <w:t>. The 2016 Plan authorizes the following types of awards:</w:t>
      </w:r>
    </w:p>
    <w:p>
      <w:pPr>
        <w:spacing w:after="0" w:line="95" w:lineRule="exact"/>
        <w:rPr>
          <w:sz w:val="20"/>
          <w:szCs w:val="20"/>
          <w:color w:val="auto"/>
        </w:rPr>
      </w:pPr>
    </w:p>
    <w:p>
      <w:pPr>
        <w:ind w:left="900" w:right="400" w:hanging="325"/>
        <w:spacing w:after="0" w:line="239"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stock options that give the holder the right to purchase shares of our common stock at a price not less than the fair market value at grant;</w:t>
      </w:r>
    </w:p>
    <w:p>
      <w:pPr>
        <w:spacing w:after="0" w:line="73" w:lineRule="exact"/>
        <w:rPr>
          <w:rFonts w:ascii="Arial" w:cs="Arial" w:eastAsia="Arial" w:hAnsi="Arial"/>
          <w:sz w:val="18"/>
          <w:szCs w:val="18"/>
          <w:color w:val="auto"/>
        </w:rPr>
      </w:pPr>
    </w:p>
    <w:p>
      <w:pPr>
        <w:ind w:left="900" w:right="260" w:hanging="325"/>
        <w:spacing w:after="0" w:line="238"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stock appreciation rights, which give the holder the right to receive the difference (payable in cash or stock, as specified in the award certificate) between the fair market value per share of our common stock on the date of exercise over the base price of the award (which cannot be less than the fair market value of a share of our common stock as of the grant date);</w:t>
      </w:r>
    </w:p>
    <w:p>
      <w:pPr>
        <w:spacing w:after="0" w:line="72" w:lineRule="exact"/>
        <w:rPr>
          <w:rFonts w:ascii="Arial" w:cs="Arial" w:eastAsia="Arial" w:hAnsi="Arial"/>
          <w:sz w:val="18"/>
          <w:szCs w:val="18"/>
          <w:color w:val="auto"/>
        </w:rPr>
      </w:pPr>
    </w:p>
    <w:p>
      <w:pPr>
        <w:ind w:left="900" w:right="60" w:hanging="325"/>
        <w:spacing w:after="0" w:line="239"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restricted stock, which gives the holder the rights of a holder of common stock, subject to restrictions on transferability and forfeiture on terms set by the Compensation Committee;</w:t>
      </w:r>
    </w:p>
    <w:p>
      <w:pPr>
        <w:spacing w:after="0" w:line="73" w:lineRule="exact"/>
        <w:rPr>
          <w:rFonts w:ascii="Arial" w:cs="Arial" w:eastAsia="Arial" w:hAnsi="Arial"/>
          <w:sz w:val="18"/>
          <w:szCs w:val="18"/>
          <w:color w:val="auto"/>
        </w:rPr>
      </w:pPr>
    </w:p>
    <w:p>
      <w:pPr>
        <w:ind w:left="900" w:right="140" w:hanging="325"/>
        <w:spacing w:after="0" w:line="239"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restricted or deferred stock units, which represent the right to receive shares of common stock (or an equivalent value in cash or other property, as specified in the award certificate) at a designated time in the future;</w:t>
      </w:r>
    </w:p>
    <w:p>
      <w:pPr>
        <w:spacing w:after="0" w:line="73" w:lineRule="exact"/>
        <w:rPr>
          <w:rFonts w:ascii="Arial" w:cs="Arial" w:eastAsia="Arial" w:hAnsi="Arial"/>
          <w:sz w:val="18"/>
          <w:szCs w:val="18"/>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performance awards, which are awards payable in cash or stock upon the attainment of specified performance goals;</w:t>
      </w:r>
    </w:p>
    <w:p>
      <w:pPr>
        <w:spacing w:after="0" w:line="76" w:lineRule="exact"/>
        <w:rPr>
          <w:rFonts w:ascii="Arial" w:cs="Arial" w:eastAsia="Arial" w:hAnsi="Arial"/>
          <w:sz w:val="18"/>
          <w:szCs w:val="18"/>
          <w:color w:val="auto"/>
        </w:rPr>
      </w:pPr>
    </w:p>
    <w:p>
      <w:pPr>
        <w:ind w:left="900" w:right="160" w:hanging="325"/>
        <w:spacing w:after="0" w:line="238"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dividend equivalents, which entitle the participant to payments (or an equivalent value payable in stock or other property) equal to any dividends paid on the shares of stock underlying a full-value award, except that dividends or dividend equivalents will not be paid on performance-based awards unless and until the performance conditions have been met; and</w:t>
      </w:r>
    </w:p>
    <w:p>
      <w:pPr>
        <w:spacing w:after="0" w:line="72" w:lineRule="exact"/>
        <w:rPr>
          <w:rFonts w:ascii="Arial" w:cs="Arial" w:eastAsia="Arial" w:hAnsi="Arial"/>
          <w:sz w:val="18"/>
          <w:szCs w:val="18"/>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other cash and stock-based awards in the discretion of the Compensation Committee.</w:t>
      </w:r>
    </w:p>
    <w:p>
      <w:pPr>
        <w:spacing w:after="0" w:line="140" w:lineRule="exact"/>
        <w:rPr>
          <w:sz w:val="20"/>
          <w:szCs w:val="20"/>
          <w:color w:val="auto"/>
        </w:rPr>
      </w:pPr>
    </w:p>
    <w:p>
      <w:pPr>
        <w:ind w:right="80" w:firstLine="456"/>
        <w:spacing w:after="0" w:line="247" w:lineRule="auto"/>
        <w:rPr>
          <w:sz w:val="20"/>
          <w:szCs w:val="20"/>
          <w:color w:val="auto"/>
        </w:rPr>
      </w:pPr>
      <w:r>
        <w:rPr>
          <w:rFonts w:ascii="Arial" w:cs="Arial" w:eastAsia="Arial" w:hAnsi="Arial"/>
          <w:sz w:val="18"/>
          <w:szCs w:val="18"/>
          <w:i w:val="1"/>
          <w:iCs w:val="1"/>
          <w:color w:val="auto"/>
        </w:rPr>
        <w:t xml:space="preserve">Minimum Vesting Restrictions. </w:t>
      </w:r>
      <w:r>
        <w:rPr>
          <w:rFonts w:ascii="Arial" w:cs="Arial" w:eastAsia="Arial" w:hAnsi="Arial"/>
          <w:sz w:val="18"/>
          <w:szCs w:val="18"/>
          <w:color w:val="auto"/>
        </w:rPr>
        <w:t>Options and SARs granted under the 2016 Plan generally may not vest less than one year following the grant</w:t>
      </w:r>
      <w:r>
        <w:rPr>
          <w:rFonts w:ascii="Arial" w:cs="Arial" w:eastAsia="Arial" w:hAnsi="Arial"/>
          <w:sz w:val="18"/>
          <w:szCs w:val="18"/>
          <w:i w:val="1"/>
          <w:iCs w:val="1"/>
          <w:color w:val="auto"/>
        </w:rPr>
        <w:t xml:space="preserve"> </w:t>
      </w:r>
      <w:r>
        <w:rPr>
          <w:rFonts w:ascii="Arial" w:cs="Arial" w:eastAsia="Arial" w:hAnsi="Arial"/>
          <w:sz w:val="18"/>
          <w:szCs w:val="18"/>
          <w:color w:val="auto"/>
        </w:rPr>
        <w:t>date, except with respect to up to 5% of the total number of shares authorized under the 2016 Plan or as a result of a participant’s death or disability or upon, or in connection with, a participant’s termination of service following, a change in control.</w:t>
      </w:r>
    </w:p>
    <w:p>
      <w:pPr>
        <w:spacing w:after="0" w:line="131" w:lineRule="exact"/>
        <w:rPr>
          <w:sz w:val="20"/>
          <w:szCs w:val="20"/>
          <w:color w:val="auto"/>
        </w:rPr>
      </w:pPr>
    </w:p>
    <w:p>
      <w:pPr>
        <w:ind w:right="80" w:firstLine="456"/>
        <w:spacing w:after="0" w:line="238" w:lineRule="auto"/>
        <w:rPr>
          <w:sz w:val="20"/>
          <w:szCs w:val="20"/>
          <w:color w:val="auto"/>
        </w:rPr>
      </w:pPr>
      <w:r>
        <w:rPr>
          <w:rFonts w:ascii="Arial" w:cs="Arial" w:eastAsia="Arial" w:hAnsi="Arial"/>
          <w:sz w:val="18"/>
          <w:szCs w:val="18"/>
          <w:i w:val="1"/>
          <w:iCs w:val="1"/>
          <w:color w:val="auto"/>
        </w:rPr>
        <w:t>Limitations on Individual Awards</w:t>
      </w:r>
      <w:r>
        <w:rPr>
          <w:rFonts w:ascii="Arial" w:cs="Arial" w:eastAsia="Arial" w:hAnsi="Arial"/>
          <w:sz w:val="18"/>
          <w:szCs w:val="18"/>
          <w:color w:val="auto"/>
        </w:rPr>
        <w:t>. The maximum number of shares of common stock that may be covered by options and stock appreciation</w:t>
      </w:r>
      <w:r>
        <w:rPr>
          <w:rFonts w:ascii="Arial" w:cs="Arial" w:eastAsia="Arial" w:hAnsi="Arial"/>
          <w:sz w:val="18"/>
          <w:szCs w:val="18"/>
          <w:i w:val="1"/>
          <w:iCs w:val="1"/>
          <w:color w:val="auto"/>
        </w:rPr>
        <w:t xml:space="preserve"> </w:t>
      </w:r>
      <w:r>
        <w:rPr>
          <w:rFonts w:ascii="Arial" w:cs="Arial" w:eastAsia="Arial" w:hAnsi="Arial"/>
          <w:sz w:val="18"/>
          <w:szCs w:val="18"/>
          <w:color w:val="auto"/>
        </w:rPr>
        <w:t>rights granted under the 2016 Plan to any one person during any one calendar year is 450,000. The maximum number of shares of common stock that may be granted under the 2016 Plan in the form of performance-based full-value awards (such as restricted stock, restricted stock units, deferred stock units, performance shares or other stock-based awards other than options or stock appreciation rights) under the 2016 Plan to any one person during any one calendar year is 450,000. The aggregate dollar value of any cash-based award that may be paid to any one participant during any one calendar year under the 2016 Plan is $10,000,000. For purposes of applying the foregoing limits in the case of multi-year performance periods, the amount of cash or property or number of shares deemed granted or paid with respect to any year is the total amount payable or shares earned for the performance period divided by the number of years in the performance period.</w:t>
      </w:r>
    </w:p>
    <w:p>
      <w:pPr>
        <w:spacing w:after="0" w:line="141" w:lineRule="exact"/>
        <w:rPr>
          <w:sz w:val="20"/>
          <w:szCs w:val="20"/>
          <w:color w:val="auto"/>
        </w:rPr>
      </w:pPr>
    </w:p>
    <w:p>
      <w:pPr>
        <w:ind w:right="80" w:firstLine="456"/>
        <w:spacing w:after="0" w:line="239" w:lineRule="auto"/>
        <w:rPr>
          <w:sz w:val="20"/>
          <w:szCs w:val="20"/>
          <w:color w:val="auto"/>
        </w:rPr>
      </w:pPr>
      <w:r>
        <w:rPr>
          <w:rFonts w:ascii="Arial" w:cs="Arial" w:eastAsia="Arial" w:hAnsi="Arial"/>
          <w:sz w:val="18"/>
          <w:szCs w:val="18"/>
          <w:i w:val="1"/>
          <w:iCs w:val="1"/>
          <w:color w:val="auto"/>
        </w:rPr>
        <w:t>Performance Goals</w:t>
      </w:r>
      <w:r>
        <w:rPr>
          <w:rFonts w:ascii="Arial" w:cs="Arial" w:eastAsia="Arial" w:hAnsi="Arial"/>
          <w:sz w:val="18"/>
          <w:szCs w:val="18"/>
          <w:color w:val="auto"/>
        </w:rPr>
        <w:t>. If a full-value award or a cash award is designated as a qualified performance-based award for purposes of Code</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162(m), the Compensation Committee must establish objectively determinable performance goals for the award based on one or more business criteria approved by shareholders. The business criteria may be expressed in terms of company-wide objectives or in terms of objectives that relate to the performance of an affiliate or a division, region, department or function within the Company or an affiliate or measured relative to an external group or index. Additionally, the Committee may provide for the inclusion or exclusion of specified circumstances or events in the evaluation of performance. The following criteria are identified in the 2016 Plan:</w:t>
      </w:r>
    </w:p>
    <w:p>
      <w:pPr>
        <w:spacing w:after="0" w:line="73" w:lineRule="exact"/>
        <w:rPr>
          <w:sz w:val="20"/>
          <w:szCs w:val="20"/>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Revenue</w:t>
      </w:r>
    </w:p>
    <w:p>
      <w:pPr>
        <w:ind w:left="900" w:hanging="325"/>
        <w:spacing w:after="0" w:line="234"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Sales</w:t>
      </w:r>
    </w:p>
    <w:p>
      <w:pPr>
        <w:ind w:left="900" w:hanging="325"/>
        <w:spacing w:after="0" w:line="234"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Profit (net profit, gross profit, operating profit, economic profit, profit margins or other corporate profit measures)</w:t>
      </w:r>
    </w:p>
    <w:p>
      <w:pPr>
        <w:ind w:left="900" w:hanging="325"/>
        <w:spacing w:after="0" w:line="234"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Earnings (EBIT, EBITDA, earnings per share, or other corporate earnings measures)</w:t>
      </w:r>
    </w:p>
    <w:p>
      <w:pPr>
        <w:ind w:left="900" w:hanging="325"/>
        <w:spacing w:after="0" w:line="234"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Net income (before or after taxes, operating income or other income measures)</w:t>
      </w:r>
    </w:p>
    <w:p>
      <w:pPr>
        <w:ind w:left="900" w:hanging="325"/>
        <w:spacing w:after="0" w:line="234"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Cash (cash flow, free cash flow, cash generation or other cash measures)</w:t>
      </w: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Cash return on investment</w:t>
      </w:r>
    </w:p>
    <w:p>
      <w:pPr>
        <w:spacing w:after="0" w:line="141" w:lineRule="exact"/>
        <w:rPr>
          <w:sz w:val="20"/>
          <w:szCs w:val="20"/>
          <w:color w:val="auto"/>
        </w:rPr>
      </w:pPr>
    </w:p>
    <w:tbl>
      <w:tblPr>
        <w:tblLayout w:type="fixed"/>
        <w:tblInd w:w="6900" w:type="dxa"/>
        <w:tblCellMar>
          <w:top w:w="0" w:type="dxa"/>
          <w:left w:w="0" w:type="dxa"/>
          <w:bottom w:w="0" w:type="dxa"/>
          <w:right w:w="0" w:type="dxa"/>
        </w:tblCellMar>
      </w:tblPr>
      <w:tr>
        <w:trPr>
          <w:trHeight w:val="309"/>
        </w:trPr>
        <w:tc>
          <w:tcPr>
            <w:tcW w:w="4080" w:type="dxa"/>
            <w:vAlign w:val="bottom"/>
            <w:tcBorders>
              <w:right w:val="single" w:sz="8" w:color="225CAB"/>
            </w:tcBorders>
          </w:tcPr>
          <w:p>
            <w:pPr>
              <w:spacing w:after="0"/>
              <w:rPr>
                <w:sz w:val="20"/>
                <w:szCs w:val="20"/>
                <w:color w:val="auto"/>
              </w:rPr>
            </w:pPr>
            <w:r>
              <w:rPr>
                <w:rFonts w:ascii="Arial" w:cs="Arial" w:eastAsia="Arial" w:hAnsi="Arial"/>
                <w:sz w:val="18"/>
                <w:szCs w:val="18"/>
                <w:b w:val="1"/>
                <w:bCs w:val="1"/>
                <w:color w:val="225CAB"/>
                <w:w w:val="99"/>
              </w:rPr>
              <w:t>Roper Technologies, Inc. 2016 Proxy Statement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225CAB"/>
              </w:rPr>
              <w:t>47</w:t>
            </w:r>
          </w:p>
        </w:tc>
      </w:tr>
      <w:tr>
        <w:trPr>
          <w:trHeight w:val="83"/>
        </w:trPr>
        <w:tc>
          <w:tcPr>
            <w:tcW w:w="4080" w:type="dxa"/>
            <w:vAlign w:val="bottom"/>
            <w:tcBorders>
              <w:right w:val="single" w:sz="8" w:color="225CAB"/>
            </w:tcBorders>
          </w:tcPr>
          <w:p>
            <w:pPr>
              <w:spacing w:after="0"/>
              <w:rPr>
                <w:sz w:val="7"/>
                <w:szCs w:val="7"/>
                <w:color w:val="auto"/>
              </w:rPr>
            </w:pPr>
          </w:p>
        </w:tc>
        <w:tc>
          <w:tcPr>
            <w:tcW w:w="44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-213995</wp:posOffset>
            </wp:positionV>
            <wp:extent cx="420370" cy="2057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00" w:hanging="325"/>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Stock price or performance</w:t>
      </w:r>
    </w:p>
    <w:p>
      <w:pPr>
        <w:ind w:left="900" w:hanging="325"/>
        <w:spacing w:after="0" w:line="234"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Total stockholder return (stock price appreciation plus reinvested dividends divided by beginning share price)</w:t>
      </w:r>
    </w:p>
    <w:p>
      <w:pPr>
        <w:ind w:left="900" w:hanging="325"/>
        <w:spacing w:after="0" w:line="234"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Economic value added</w:t>
      </w:r>
    </w:p>
    <w:p>
      <w:pPr>
        <w:ind w:left="900" w:hanging="325"/>
        <w:spacing w:after="0" w:line="234"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Market share</w:t>
      </w:r>
    </w:p>
    <w:p>
      <w:pPr>
        <w:ind w:left="900" w:hanging="325"/>
        <w:spacing w:after="0" w:line="234"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Improvements in capital structure</w:t>
      </w:r>
    </w:p>
    <w:p>
      <w:pPr>
        <w:ind w:left="900" w:hanging="325"/>
        <w:spacing w:after="0" w:line="234"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Expenses (expense management, expense ratio, expense efficiency ratios or other expense measures)</w:t>
      </w:r>
    </w:p>
    <w:p>
      <w:pPr>
        <w:ind w:left="900" w:hanging="325"/>
        <w:spacing w:after="0" w:line="234"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Business expansion or consolidation (acquisitions and divestitures)</w:t>
      </w:r>
    </w:p>
    <w:p>
      <w:pPr>
        <w:ind w:left="900" w:hanging="325"/>
        <w:spacing w:after="0" w:line="234"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Internal rate of return or increase in net present value</w:t>
      </w:r>
    </w:p>
    <w:p>
      <w:pPr>
        <w:ind w:left="900" w:hanging="325"/>
        <w:spacing w:after="0" w:line="234"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Working capital targets relating to inventory and/or accounts receivable</w:t>
      </w:r>
    </w:p>
    <w:p>
      <w:pPr>
        <w:ind w:left="900" w:hanging="325"/>
        <w:spacing w:after="0" w:line="234"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Productivity measures</w:t>
      </w:r>
    </w:p>
    <w:p>
      <w:pPr>
        <w:ind w:left="900" w:hanging="325"/>
        <w:spacing w:after="0" w:line="234"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Cost reduction measures</w:t>
      </w:r>
    </w:p>
    <w:p>
      <w:pPr>
        <w:ind w:left="900" w:hanging="325"/>
        <w:spacing w:after="0" w:line="234"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Capital structure optimization</w:t>
      </w:r>
    </w:p>
    <w:p>
      <w:pPr>
        <w:ind w:left="900" w:hanging="325"/>
        <w:spacing w:after="0" w:line="234"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Strategic plan development and implementation</w:t>
      </w:r>
    </w:p>
    <w:p>
      <w:pPr>
        <w:ind w:left="900" w:right="120" w:hanging="325"/>
        <w:spacing w:after="0" w:line="239"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Return measures (including, but not limited to, return on assets, capital, equity, investments, gross investments, revenue or sales, and includes cash flow returns on assets, capital, equity, or sales)</w:t>
      </w:r>
    </w:p>
    <w:p>
      <w:pPr>
        <w:spacing w:after="0" w:line="137" w:lineRule="exact"/>
        <w:rPr>
          <w:sz w:val="20"/>
          <w:szCs w:val="20"/>
          <w:color w:val="auto"/>
        </w:rPr>
      </w:pPr>
    </w:p>
    <w:p>
      <w:pPr>
        <w:ind w:right="20" w:firstLine="456"/>
        <w:spacing w:after="0" w:line="241" w:lineRule="auto"/>
        <w:rPr>
          <w:sz w:val="20"/>
          <w:szCs w:val="20"/>
          <w:color w:val="auto"/>
        </w:rPr>
      </w:pPr>
      <w:r>
        <w:rPr>
          <w:rFonts w:ascii="Arial" w:cs="Arial" w:eastAsia="Arial" w:hAnsi="Arial"/>
          <w:sz w:val="18"/>
          <w:szCs w:val="18"/>
          <w:i w:val="1"/>
          <w:iCs w:val="1"/>
          <w:color w:val="auto"/>
        </w:rPr>
        <w:t>Limitations on Transfer</w:t>
      </w:r>
      <w:r>
        <w:rPr>
          <w:rFonts w:ascii="Arial" w:cs="Arial" w:eastAsia="Arial" w:hAnsi="Arial"/>
          <w:sz w:val="18"/>
          <w:szCs w:val="18"/>
          <w:color w:val="auto"/>
        </w:rPr>
        <w:t>. A participant may not assign or transfer an award other than by will or the laws of descent and distribution.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Committee may permit other transfers (other than transfers for value) where it concludes that such transferability does not result in accelerated taxation, does not cause any option intended to be an incentive stock option to fail to qualify as such, and is otherwise appropriate and desirable, taking into account any factors deemed relevant, including without limitation, any state or federal tax or securities laws or regulations applicable to transferable awards. The 2016 Plan prohibits transfers of awards for value.</w:t>
      </w:r>
    </w:p>
    <w:p>
      <w:pPr>
        <w:spacing w:after="0" w:line="136" w:lineRule="exact"/>
        <w:rPr>
          <w:sz w:val="20"/>
          <w:szCs w:val="20"/>
          <w:color w:val="auto"/>
        </w:rPr>
      </w:pPr>
    </w:p>
    <w:p>
      <w:pPr>
        <w:ind w:right="240" w:firstLine="456"/>
        <w:spacing w:after="0" w:line="260" w:lineRule="auto"/>
        <w:rPr>
          <w:sz w:val="20"/>
          <w:szCs w:val="20"/>
          <w:color w:val="auto"/>
        </w:rPr>
      </w:pPr>
      <w:r>
        <w:rPr>
          <w:rFonts w:ascii="Arial" w:cs="Arial" w:eastAsia="Arial" w:hAnsi="Arial"/>
          <w:sz w:val="18"/>
          <w:szCs w:val="18"/>
          <w:i w:val="1"/>
          <w:iCs w:val="1"/>
          <w:color w:val="auto"/>
        </w:rPr>
        <w:t>Acceleration Upon Certain Events</w:t>
      </w:r>
      <w:r>
        <w:rPr>
          <w:rFonts w:ascii="Arial" w:cs="Arial" w:eastAsia="Arial" w:hAnsi="Arial"/>
          <w:sz w:val="18"/>
          <w:szCs w:val="18"/>
          <w:color w:val="auto"/>
        </w:rPr>
        <w:t>. Unless otherwise provided in an award certificate or any special plan document or separate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governing an award:</w:t>
      </w:r>
    </w:p>
    <w:p>
      <w:pPr>
        <w:spacing w:after="0" w:line="56" w:lineRule="exact"/>
        <w:rPr>
          <w:sz w:val="20"/>
          <w:szCs w:val="20"/>
          <w:color w:val="auto"/>
        </w:rPr>
      </w:pPr>
    </w:p>
    <w:p>
      <w:pPr>
        <w:ind w:left="900" w:hanging="325"/>
        <w:spacing w:after="0" w:line="236"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If a participant’s service terminates by reason of death or disability, (i) all of that participant’s outstanding options and stock appreciation rights will become fully exercisable, (ii) all time-based vesting restrictions on such participant’s outstanding awards shall lapse, and (iii) the target payout opportunities attainable under all of that participant’s outstanding performance-based awards shall be deemed to have been fully earned as of the date of termination based upon an assumed achievement of all relevant performance goals at the “target” level.</w:t>
      </w:r>
    </w:p>
    <w:p>
      <w:pPr>
        <w:spacing w:after="0" w:line="76" w:lineRule="exact"/>
        <w:rPr>
          <w:rFonts w:ascii="Arial" w:cs="Arial" w:eastAsia="Arial" w:hAnsi="Arial"/>
          <w:sz w:val="18"/>
          <w:szCs w:val="18"/>
          <w:color w:val="auto"/>
        </w:rPr>
      </w:pPr>
    </w:p>
    <w:p>
      <w:pPr>
        <w:ind w:left="900" w:right="40" w:hanging="325"/>
        <w:spacing w:after="0" w:line="273" w:lineRule="auto"/>
        <w:tabs>
          <w:tab w:leader="none" w:pos="9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In connection with a change in control, with respect to any awards assumed by the surviving entity or otherwise equitably converted or substituted: if within two years after the effective date of the change in control, a participant’s employment is terminated without cause (or if the participant resigns for “good reason” as provided in any employment, severance or similar agreement), then (a) all of that participant’s outstanding service-based awards will become fully vested, and (b) all of that participant’s outstanding performance-based awards will be earned on a pro-rata basis based on actual performance through the end of the performance period.</w:t>
      </w:r>
    </w:p>
    <w:p>
      <w:pPr>
        <w:spacing w:after="0" w:line="47" w:lineRule="exact"/>
        <w:rPr>
          <w:rFonts w:ascii="Arial" w:cs="Arial" w:eastAsia="Arial" w:hAnsi="Arial"/>
          <w:sz w:val="16"/>
          <w:szCs w:val="16"/>
          <w:color w:val="auto"/>
        </w:rPr>
      </w:pPr>
    </w:p>
    <w:p>
      <w:pPr>
        <w:ind w:left="900" w:hanging="325"/>
        <w:spacing w:after="0" w:line="273" w:lineRule="auto"/>
        <w:tabs>
          <w:tab w:leader="none" w:pos="9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In connection with a change in control, if awards are not assumed by the surviving entity or otherwise equitably converted or substituted in connection with the change in control: (a) all outstanding service-based awards will become fully vested and exercisable, as applicable, and (b) all outstanding performance-based awards will become fully vested, with the level of such vested amount to be determined based on an assumed achievement of performance goals at “target” levels, and there will be a prorate payout to the participants based on the length of time within the performance period that has elapsed prior to the date of the change of control.</w:t>
      </w:r>
    </w:p>
    <w:p>
      <w:pPr>
        <w:spacing w:after="0" w:line="111" w:lineRule="exact"/>
        <w:rPr>
          <w:sz w:val="20"/>
          <w:szCs w:val="20"/>
          <w:color w:val="auto"/>
        </w:rPr>
      </w:pPr>
    </w:p>
    <w:p>
      <w:pPr>
        <w:ind w:firstLine="456"/>
        <w:spacing w:after="0" w:line="241" w:lineRule="auto"/>
        <w:rPr>
          <w:sz w:val="20"/>
          <w:szCs w:val="20"/>
          <w:color w:val="auto"/>
        </w:rPr>
      </w:pPr>
      <w:r>
        <w:rPr>
          <w:rFonts w:ascii="Arial" w:cs="Arial" w:eastAsia="Arial" w:hAnsi="Arial"/>
          <w:sz w:val="18"/>
          <w:szCs w:val="18"/>
          <w:i w:val="1"/>
          <w:iCs w:val="1"/>
          <w:color w:val="auto"/>
        </w:rPr>
        <w:t>Adjustments</w:t>
      </w:r>
      <w:r>
        <w:rPr>
          <w:rFonts w:ascii="Arial" w:cs="Arial" w:eastAsia="Arial" w:hAnsi="Arial"/>
          <w:sz w:val="18"/>
          <w:szCs w:val="18"/>
          <w:color w:val="auto"/>
        </w:rPr>
        <w:t>. In the event of a transaction between the Company and our shareholders that causes the per-share value of our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to change (including, without limitation, any stock dividend, stock split, spin-off, rights offering, or large nonrecurring cash dividend), the share authorization limits under the 2016 Plan will be adjusted proportionately, and the Compensation Committee shall make such adjustments to the 2016 Plan and awards as it deems necessary, in its sole discretion, to prevent dilution or enlargement of rights immediately resulting from such transaction.</w:t>
      </w:r>
    </w:p>
    <w:p>
      <w:pPr>
        <w:spacing w:after="0" w:line="136" w:lineRule="exact"/>
        <w:rPr>
          <w:sz w:val="20"/>
          <w:szCs w:val="20"/>
          <w:color w:val="auto"/>
        </w:rPr>
      </w:pPr>
    </w:p>
    <w:p>
      <w:pPr>
        <w:ind w:right="200" w:firstLine="456"/>
        <w:spacing w:after="0" w:line="260" w:lineRule="auto"/>
        <w:rPr>
          <w:sz w:val="20"/>
          <w:szCs w:val="20"/>
          <w:color w:val="auto"/>
        </w:rPr>
      </w:pPr>
      <w:r>
        <w:rPr>
          <w:rFonts w:ascii="Arial" w:cs="Arial" w:eastAsia="Arial" w:hAnsi="Arial"/>
          <w:sz w:val="18"/>
          <w:szCs w:val="18"/>
          <w:i w:val="1"/>
          <w:iCs w:val="1"/>
          <w:color w:val="auto"/>
        </w:rPr>
        <w:t>Termination and Amendment</w:t>
      </w:r>
      <w:r>
        <w:rPr>
          <w:rFonts w:ascii="Arial" w:cs="Arial" w:eastAsia="Arial" w:hAnsi="Arial"/>
          <w:sz w:val="18"/>
          <w:szCs w:val="18"/>
          <w:color w:val="auto"/>
        </w:rPr>
        <w:t>. Our Board of Directors or the Compensation Committee may, at any time and from time to time, terminate or</w:t>
      </w:r>
      <w:r>
        <w:rPr>
          <w:rFonts w:ascii="Arial" w:cs="Arial" w:eastAsia="Arial" w:hAnsi="Arial"/>
          <w:sz w:val="18"/>
          <w:szCs w:val="18"/>
          <w:i w:val="1"/>
          <w:iCs w:val="1"/>
          <w:color w:val="auto"/>
        </w:rPr>
        <w:t xml:space="preserve"> </w:t>
      </w:r>
      <w:r>
        <w:rPr>
          <w:rFonts w:ascii="Arial" w:cs="Arial" w:eastAsia="Arial" w:hAnsi="Arial"/>
          <w:sz w:val="18"/>
          <w:szCs w:val="18"/>
          <w:color w:val="auto"/>
        </w:rPr>
        <w:t>amend the 2016 Plan, but if an amendment would constitute a material</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336"/>
        </w:trPr>
        <w:tc>
          <w:tcPr>
            <w:tcW w:w="340" w:type="dxa"/>
            <w:vAlign w:val="bottom"/>
            <w:tcBorders>
              <w:right w:val="single" w:sz="8" w:color="225CAB"/>
            </w:tcBorders>
          </w:tcPr>
          <w:p>
            <w:pPr>
              <w:jc w:val="right"/>
              <w:ind w:right="52"/>
              <w:spacing w:after="0"/>
              <w:rPr>
                <w:sz w:val="20"/>
                <w:szCs w:val="20"/>
                <w:color w:val="auto"/>
              </w:rPr>
            </w:pPr>
            <w:r>
              <w:rPr>
                <w:rFonts w:ascii="Arial" w:cs="Arial" w:eastAsia="Arial" w:hAnsi="Arial"/>
                <w:sz w:val="18"/>
                <w:szCs w:val="18"/>
                <w:b w:val="1"/>
                <w:bCs w:val="1"/>
                <w:color w:val="225CAB"/>
                <w:w w:val="89"/>
              </w:rPr>
              <w:t>48</w:t>
            </w:r>
          </w:p>
        </w:tc>
        <w:tc>
          <w:tcPr>
            <w:tcW w:w="5180" w:type="dxa"/>
            <w:vAlign w:val="bottom"/>
          </w:tcPr>
          <w:p>
            <w:pPr>
              <w:ind w:left="1240"/>
              <w:spacing w:after="0"/>
              <w:rPr>
                <w:sz w:val="20"/>
                <w:szCs w:val="20"/>
                <w:color w:val="auto"/>
              </w:rPr>
            </w:pPr>
            <w:r>
              <w:rPr>
                <w:rFonts w:ascii="Arial" w:cs="Arial" w:eastAsia="Arial" w:hAnsi="Arial"/>
                <w:sz w:val="18"/>
                <w:szCs w:val="18"/>
                <w:b w:val="1"/>
                <w:bCs w:val="1"/>
                <w:color w:val="225CAB"/>
                <w:w w:val="96"/>
              </w:rPr>
              <w:t>Roper Technologies, Inc. 2016 Proxy Statement</w:t>
            </w:r>
          </w:p>
        </w:tc>
      </w:tr>
      <w:tr>
        <w:trPr>
          <w:trHeight w:val="110"/>
        </w:trPr>
        <w:tc>
          <w:tcPr>
            <w:tcW w:w="340" w:type="dxa"/>
            <w:vAlign w:val="bottom"/>
            <w:tcBorders>
              <w:right w:val="single" w:sz="8" w:color="225CAB"/>
            </w:tcBorders>
          </w:tcPr>
          <w:p>
            <w:pPr>
              <w:spacing w:after="0"/>
              <w:rPr>
                <w:sz w:val="9"/>
                <w:szCs w:val="9"/>
                <w:color w:val="auto"/>
              </w:rPr>
            </w:pPr>
          </w:p>
        </w:tc>
        <w:tc>
          <w:tcPr>
            <w:tcW w:w="518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-248285</wp:posOffset>
            </wp:positionV>
            <wp:extent cx="420370" cy="2057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540"/>
        <w:spacing w:after="0" w:line="239" w:lineRule="auto"/>
        <w:rPr>
          <w:sz w:val="20"/>
          <w:szCs w:val="20"/>
          <w:color w:val="auto"/>
        </w:rPr>
      </w:pPr>
      <w:r>
        <w:rPr>
          <w:rFonts w:ascii="Arial" w:cs="Arial" w:eastAsia="Arial" w:hAnsi="Arial"/>
          <w:sz w:val="18"/>
          <w:szCs w:val="18"/>
          <w:color w:val="auto"/>
        </w:rPr>
        <w:t>amendment requiring shareholder approval under applicable listing requirements, laws, policies or regulations, then such amendment will be subject to shareholder approval.</w:t>
      </w:r>
    </w:p>
    <w:p>
      <w:pPr>
        <w:spacing w:after="0" w:line="137" w:lineRule="exact"/>
        <w:rPr>
          <w:sz w:val="20"/>
          <w:szCs w:val="20"/>
          <w:color w:val="auto"/>
        </w:rPr>
      </w:pPr>
    </w:p>
    <w:p>
      <w:pPr>
        <w:ind w:right="260" w:firstLine="456"/>
        <w:spacing w:after="0" w:line="243" w:lineRule="auto"/>
        <w:rPr>
          <w:sz w:val="20"/>
          <w:szCs w:val="20"/>
          <w:color w:val="auto"/>
        </w:rPr>
      </w:pPr>
      <w:r>
        <w:rPr>
          <w:rFonts w:ascii="Arial" w:cs="Arial" w:eastAsia="Arial" w:hAnsi="Arial"/>
          <w:sz w:val="18"/>
          <w:szCs w:val="18"/>
          <w:i w:val="1"/>
          <w:iCs w:val="1"/>
          <w:color w:val="auto"/>
        </w:rPr>
        <w:t>Prohibition on Repricing</w:t>
      </w:r>
      <w:r>
        <w:rPr>
          <w:rFonts w:ascii="Arial" w:cs="Arial" w:eastAsia="Arial" w:hAnsi="Arial"/>
          <w:sz w:val="18"/>
          <w:szCs w:val="18"/>
          <w:color w:val="auto"/>
        </w:rPr>
        <w:t>. Outstanding stock options and stock appreciation rights cannot be repriced, directly or indirectly, without the prior</w:t>
      </w:r>
      <w:r>
        <w:rPr>
          <w:rFonts w:ascii="Arial" w:cs="Arial" w:eastAsia="Arial" w:hAnsi="Arial"/>
          <w:sz w:val="18"/>
          <w:szCs w:val="18"/>
          <w:i w:val="1"/>
          <w:iCs w:val="1"/>
          <w:color w:val="auto"/>
        </w:rPr>
        <w:t xml:space="preserve"> </w:t>
      </w:r>
      <w:r>
        <w:rPr>
          <w:rFonts w:ascii="Arial" w:cs="Arial" w:eastAsia="Arial" w:hAnsi="Arial"/>
          <w:sz w:val="18"/>
          <w:szCs w:val="18"/>
          <w:color w:val="auto"/>
        </w:rPr>
        <w:t>consent of our shareholders. The exchange of an “underwater” option (i.e., an option having an exercise price in excess of the current market value of the underlying stock) for another award would be considered an indirect repricing and would, therefore, require the prior consent of our shareholders.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U.S. Federal Income Tax Effects</w:t>
      </w:r>
    </w:p>
    <w:p>
      <w:pPr>
        <w:spacing w:after="0" w:line="99" w:lineRule="exact"/>
        <w:rPr>
          <w:sz w:val="20"/>
          <w:szCs w:val="20"/>
          <w:color w:val="auto"/>
        </w:rPr>
      </w:pPr>
    </w:p>
    <w:p>
      <w:pPr>
        <w:ind w:right="260" w:firstLine="456"/>
        <w:spacing w:after="0" w:line="238" w:lineRule="auto"/>
        <w:rPr>
          <w:sz w:val="20"/>
          <w:szCs w:val="20"/>
          <w:color w:val="auto"/>
        </w:rPr>
      </w:pPr>
      <w:r>
        <w:rPr>
          <w:rFonts w:ascii="Arial" w:cs="Arial" w:eastAsia="Arial" w:hAnsi="Arial"/>
          <w:sz w:val="18"/>
          <w:szCs w:val="18"/>
          <w:color w:val="auto"/>
        </w:rPr>
        <w:t>The U.S. federal income tax discussion set forth below is intended for general information only and does not purport to be a complete analysis of all of the potential tax effects of the 2016 Plan. It is based upon laws, regulations, rulings and decisions now in effect, all of which are subject to change. State, local and non-U.S. income tax consequences are not discussed, and may vary from locality to locality.</w:t>
      </w:r>
    </w:p>
    <w:p>
      <w:pPr>
        <w:spacing w:after="0" w:line="136" w:lineRule="exact"/>
        <w:rPr>
          <w:sz w:val="20"/>
          <w:szCs w:val="20"/>
          <w:color w:val="auto"/>
        </w:rPr>
      </w:pPr>
    </w:p>
    <w:p>
      <w:pPr>
        <w:ind w:right="80" w:firstLine="456"/>
        <w:spacing w:after="0" w:line="239" w:lineRule="auto"/>
        <w:rPr>
          <w:sz w:val="20"/>
          <w:szCs w:val="20"/>
          <w:color w:val="auto"/>
        </w:rPr>
      </w:pPr>
      <w:r>
        <w:rPr>
          <w:rFonts w:ascii="Arial" w:cs="Arial" w:eastAsia="Arial" w:hAnsi="Arial"/>
          <w:sz w:val="18"/>
          <w:szCs w:val="18"/>
          <w:i w:val="1"/>
          <w:iCs w:val="1"/>
          <w:color w:val="auto"/>
        </w:rPr>
        <w:t>Nonstatutory Stock Options</w:t>
      </w:r>
      <w:r>
        <w:rPr>
          <w:rFonts w:ascii="Arial" w:cs="Arial" w:eastAsia="Arial" w:hAnsi="Arial"/>
          <w:sz w:val="18"/>
          <w:szCs w:val="18"/>
          <w:color w:val="auto"/>
        </w:rPr>
        <w:t>. There will be no federal income tax consequences to the optionee or to the Company upon the grant of a</w:t>
      </w:r>
      <w:r>
        <w:rPr>
          <w:rFonts w:ascii="Arial" w:cs="Arial" w:eastAsia="Arial" w:hAnsi="Arial"/>
          <w:sz w:val="18"/>
          <w:szCs w:val="18"/>
          <w:i w:val="1"/>
          <w:iCs w:val="1"/>
          <w:color w:val="auto"/>
        </w:rPr>
        <w:t xml:space="preserve"> </w:t>
      </w:r>
      <w:r>
        <w:rPr>
          <w:rFonts w:ascii="Arial" w:cs="Arial" w:eastAsia="Arial" w:hAnsi="Arial"/>
          <w:sz w:val="18"/>
          <w:szCs w:val="18"/>
          <w:color w:val="auto"/>
        </w:rPr>
        <w:t>nonstatutory stock option under the 2016 Plan. When the optionee exercises a nonstatutory option, however, the optionee will recognize ordinary income in an amount equal to the excess of the fair market value of the stock received upon exercise of the option over the exercise price, and the Company will be allowed a corresponding federal income tax deduction. Any gain that the optionee realizes when the optionee later sells or disposes of the shares received upon exercise of an option will be short-term or long-term capital gain, depending on how long the shares were held.</w:t>
      </w:r>
    </w:p>
    <w:p>
      <w:pPr>
        <w:spacing w:after="0" w:line="141" w:lineRule="exact"/>
        <w:rPr>
          <w:sz w:val="20"/>
          <w:szCs w:val="20"/>
          <w:color w:val="auto"/>
        </w:rPr>
      </w:pPr>
    </w:p>
    <w:p>
      <w:pPr>
        <w:ind w:right="80" w:firstLine="456"/>
        <w:spacing w:after="0" w:line="237" w:lineRule="auto"/>
        <w:rPr>
          <w:sz w:val="20"/>
          <w:szCs w:val="20"/>
          <w:color w:val="auto"/>
        </w:rPr>
      </w:pPr>
      <w:r>
        <w:rPr>
          <w:rFonts w:ascii="Arial" w:cs="Arial" w:eastAsia="Arial" w:hAnsi="Arial"/>
          <w:sz w:val="18"/>
          <w:szCs w:val="18"/>
          <w:i w:val="1"/>
          <w:iCs w:val="1"/>
          <w:color w:val="auto"/>
        </w:rPr>
        <w:t>Incentive Stock Options</w:t>
      </w:r>
      <w:r>
        <w:rPr>
          <w:rFonts w:ascii="Arial" w:cs="Arial" w:eastAsia="Arial" w:hAnsi="Arial"/>
          <w:sz w:val="18"/>
          <w:szCs w:val="18"/>
          <w:color w:val="auto"/>
        </w:rPr>
        <w:t>. There will be no federal income tax consequences to the optionee or to the Company upon the grant or exercise of</w:t>
      </w:r>
      <w:r>
        <w:rPr>
          <w:rFonts w:ascii="Arial" w:cs="Arial" w:eastAsia="Arial" w:hAnsi="Arial"/>
          <w:sz w:val="18"/>
          <w:szCs w:val="18"/>
          <w:i w:val="1"/>
          <w:iCs w:val="1"/>
          <w:color w:val="auto"/>
        </w:rPr>
        <w:t xml:space="preserve"> </w:t>
      </w:r>
      <w:r>
        <w:rPr>
          <w:rFonts w:ascii="Arial" w:cs="Arial" w:eastAsia="Arial" w:hAnsi="Arial"/>
          <w:sz w:val="18"/>
          <w:szCs w:val="18"/>
          <w:color w:val="auto"/>
        </w:rPr>
        <w:t>an incentive stock option. If the optionee holds the shares received upon exercise of the option for the required holding period of at least two years after the date the option was granted and one year after exercise, the difference between the exercise price and the amount realized upon sale or disposition of the shares received upon exercise of the option will be taxed as long-term capital gain or loss, and the Company will not be entitled to a federal income tax deduction. If the optionee disposes of the shares received upon exercise of the option in a sale, exchange, or other disqualifying disposition before the required holding period ends, the optionee will recognize taxable ordinary income in an amount equal to the excess of the fair market value of the option shares at the time of exercise over the exercise price, and the Company will be allowed a federal income tax deduction equal to such amount. While the exercise of an incentive stock option does not result in current taxable income, the excess of the fair market value of the shares received upon exercise of the option at the time of exercise over the exercise price will be an item of adjustment for purposes of determining the optionee’s alternative minimum taxable income.</w:t>
      </w:r>
    </w:p>
    <w:p>
      <w:pPr>
        <w:spacing w:after="0" w:line="144" w:lineRule="exact"/>
        <w:rPr>
          <w:sz w:val="20"/>
          <w:szCs w:val="20"/>
          <w:color w:val="auto"/>
        </w:rPr>
      </w:pPr>
    </w:p>
    <w:p>
      <w:pPr>
        <w:ind w:right="140" w:firstLine="456"/>
        <w:spacing w:after="0" w:line="243" w:lineRule="auto"/>
        <w:rPr>
          <w:sz w:val="20"/>
          <w:szCs w:val="20"/>
          <w:color w:val="auto"/>
        </w:rPr>
      </w:pPr>
      <w:r>
        <w:rPr>
          <w:rFonts w:ascii="Arial" w:cs="Arial" w:eastAsia="Arial" w:hAnsi="Arial"/>
          <w:sz w:val="18"/>
          <w:szCs w:val="18"/>
          <w:i w:val="1"/>
          <w:iCs w:val="1"/>
          <w:color w:val="auto"/>
        </w:rPr>
        <w:t>Stock Appreciation Rights</w:t>
      </w:r>
      <w:r>
        <w:rPr>
          <w:rFonts w:ascii="Arial" w:cs="Arial" w:eastAsia="Arial" w:hAnsi="Arial"/>
          <w:sz w:val="18"/>
          <w:szCs w:val="18"/>
          <w:color w:val="auto"/>
        </w:rPr>
        <w:t>. A participant receiving a stock appreciation right under the 2016 Plan will not recognize income,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will not be allowed a tax deduction, at the time the award is granted. When the participant exercises the stock appreciation right, the amount of cash and the fair market value of any shares of stock received will be taxed as ordinary income to the participant and the Company will be allowed a corresponding federal income tax deduction at that time.</w:t>
      </w:r>
    </w:p>
    <w:p>
      <w:pPr>
        <w:spacing w:after="0" w:line="134" w:lineRule="exact"/>
        <w:rPr>
          <w:sz w:val="20"/>
          <w:szCs w:val="20"/>
          <w:color w:val="auto"/>
        </w:rPr>
      </w:pPr>
    </w:p>
    <w:p>
      <w:pPr>
        <w:ind w:right="140" w:firstLine="456"/>
        <w:spacing w:after="0" w:line="267" w:lineRule="auto"/>
        <w:rPr>
          <w:sz w:val="20"/>
          <w:szCs w:val="20"/>
          <w:color w:val="auto"/>
        </w:rPr>
      </w:pPr>
      <w:r>
        <w:rPr>
          <w:rFonts w:ascii="Arial" w:cs="Arial" w:eastAsia="Arial" w:hAnsi="Arial"/>
          <w:sz w:val="16"/>
          <w:szCs w:val="16"/>
          <w:i w:val="1"/>
          <w:iCs w:val="1"/>
          <w:color w:val="auto"/>
        </w:rPr>
        <w:t>Restricted Stock</w:t>
      </w:r>
      <w:r>
        <w:rPr>
          <w:rFonts w:ascii="Arial" w:cs="Arial" w:eastAsia="Arial" w:hAnsi="Arial"/>
          <w:sz w:val="16"/>
          <w:szCs w:val="16"/>
          <w:color w:val="auto"/>
        </w:rPr>
        <w:t>. Unless a participant makes an election to accelerate recognition of the income to the date of grant as described below, a</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participant will not recognize income, and the Company will not be allowed a tax deduction, at the time a restricted stock award is granted, provided that the award is nontransferable or is subject to a substantial risk of forfeiture. When the restrictions lapse, the participant will recognize ordinary income equal to the fair market value of the stock as of that date (less any amount the participant paid for the stock), and the Company will be allowed a corresponding federal income tax deduction at that time, subject to any applicable limitations under Code Section 162(m). If the participant files an election under Code Section 83(b) within 30 days after the date of grant of the restricted stock, the participant will recognize ordinary income as of the date of grant equal to the fair market value of the stock as of that date (less any amount paid for the stock), and the Company will be allowed a corresponding federal income tax deduction at that time, subject to any applicable limitations under Code</w:t>
      </w:r>
    </w:p>
    <w:p>
      <w:pPr>
        <w:spacing w:after="0" w:line="1"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Section 162(m). Any future appreciation in the stock will be taxable to the participant at capital gains rates. However, if the stock is later forfeited, the participant will not be able to recover the tax previously paid pursuant to the Code Section 83(b) election.</w:t>
      </w:r>
    </w:p>
    <w:p>
      <w:pPr>
        <w:spacing w:after="0" w:line="137" w:lineRule="exact"/>
        <w:rPr>
          <w:sz w:val="20"/>
          <w:szCs w:val="20"/>
          <w:color w:val="auto"/>
        </w:rPr>
      </w:pPr>
    </w:p>
    <w:p>
      <w:pPr>
        <w:ind w:right="100" w:firstLine="456"/>
        <w:spacing w:after="0" w:line="260" w:lineRule="auto"/>
        <w:rPr>
          <w:sz w:val="20"/>
          <w:szCs w:val="20"/>
          <w:color w:val="auto"/>
        </w:rPr>
      </w:pPr>
      <w:r>
        <w:rPr>
          <w:rFonts w:ascii="Arial" w:cs="Arial" w:eastAsia="Arial" w:hAnsi="Arial"/>
          <w:sz w:val="18"/>
          <w:szCs w:val="18"/>
          <w:i w:val="1"/>
          <w:iCs w:val="1"/>
          <w:color w:val="auto"/>
        </w:rPr>
        <w:t>Restricted or Deferred Stock Units</w:t>
      </w:r>
      <w:r>
        <w:rPr>
          <w:rFonts w:ascii="Arial" w:cs="Arial" w:eastAsia="Arial" w:hAnsi="Arial"/>
          <w:sz w:val="18"/>
          <w:szCs w:val="18"/>
          <w:color w:val="auto"/>
        </w:rPr>
        <w:t>. A participant will not recognize income, and the Company will not be allowed a tax deduction, at the time</w:t>
      </w:r>
      <w:r>
        <w:rPr>
          <w:rFonts w:ascii="Arial" w:cs="Arial" w:eastAsia="Arial" w:hAnsi="Arial"/>
          <w:sz w:val="18"/>
          <w:szCs w:val="18"/>
          <w:i w:val="1"/>
          <w:iCs w:val="1"/>
          <w:color w:val="auto"/>
        </w:rPr>
        <w:t xml:space="preserve"> </w:t>
      </w:r>
      <w:r>
        <w:rPr>
          <w:rFonts w:ascii="Arial" w:cs="Arial" w:eastAsia="Arial" w:hAnsi="Arial"/>
          <w:sz w:val="18"/>
          <w:szCs w:val="18"/>
          <w:color w:val="auto"/>
        </w:rPr>
        <w:t>a stock unit award is granted. Upon receipt of shares of stock (or the</w:t>
      </w:r>
    </w:p>
    <w:p>
      <w:pPr>
        <w:spacing w:after="0" w:line="120" w:lineRule="exact"/>
        <w:rPr>
          <w:sz w:val="20"/>
          <w:szCs w:val="20"/>
          <w:color w:val="auto"/>
        </w:rPr>
      </w:pPr>
    </w:p>
    <w:tbl>
      <w:tblPr>
        <w:tblLayout w:type="fixed"/>
        <w:tblInd w:w="6900" w:type="dxa"/>
        <w:tblCellMar>
          <w:top w:w="0" w:type="dxa"/>
          <w:left w:w="0" w:type="dxa"/>
          <w:bottom w:w="0" w:type="dxa"/>
          <w:right w:w="0" w:type="dxa"/>
        </w:tblCellMar>
      </w:tblPr>
      <w:tr>
        <w:trPr>
          <w:trHeight w:val="309"/>
        </w:trPr>
        <w:tc>
          <w:tcPr>
            <w:tcW w:w="4080" w:type="dxa"/>
            <w:vAlign w:val="bottom"/>
            <w:tcBorders>
              <w:right w:val="single" w:sz="8" w:color="225CAB"/>
            </w:tcBorders>
          </w:tcPr>
          <w:p>
            <w:pPr>
              <w:spacing w:after="0"/>
              <w:rPr>
                <w:sz w:val="20"/>
                <w:szCs w:val="20"/>
                <w:color w:val="auto"/>
              </w:rPr>
            </w:pPr>
            <w:r>
              <w:rPr>
                <w:rFonts w:ascii="Arial" w:cs="Arial" w:eastAsia="Arial" w:hAnsi="Arial"/>
                <w:sz w:val="18"/>
                <w:szCs w:val="18"/>
                <w:b w:val="1"/>
                <w:bCs w:val="1"/>
                <w:color w:val="225CAB"/>
                <w:w w:val="99"/>
              </w:rPr>
              <w:t>Roper Technologies, Inc. 2016 Proxy Statement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225CAB"/>
              </w:rPr>
              <w:t>49</w:t>
            </w:r>
          </w:p>
        </w:tc>
      </w:tr>
      <w:tr>
        <w:trPr>
          <w:trHeight w:val="83"/>
        </w:trPr>
        <w:tc>
          <w:tcPr>
            <w:tcW w:w="4080" w:type="dxa"/>
            <w:vAlign w:val="bottom"/>
            <w:tcBorders>
              <w:right w:val="single" w:sz="8" w:color="225CAB"/>
            </w:tcBorders>
          </w:tcPr>
          <w:p>
            <w:pPr>
              <w:spacing w:after="0"/>
              <w:rPr>
                <w:sz w:val="7"/>
                <w:szCs w:val="7"/>
                <w:color w:val="auto"/>
              </w:rPr>
            </w:pPr>
          </w:p>
        </w:tc>
        <w:tc>
          <w:tcPr>
            <w:tcW w:w="44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-213995</wp:posOffset>
            </wp:positionV>
            <wp:extent cx="420370" cy="2057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equivalent value in cash or other property) in settlement of a stock unit award, a participant will recognize ordinary income equal to the fair market value of the stock or other property as of that date (less any amount the participant paid for the stock or property), and the Company will be allowed a corresponding federal income tax deduction at that time, subject to any applicable limitations under Code Section 162(m).</w:t>
      </w:r>
    </w:p>
    <w:p>
      <w:pPr>
        <w:spacing w:after="0" w:line="136" w:lineRule="exact"/>
        <w:rPr>
          <w:sz w:val="20"/>
          <w:szCs w:val="20"/>
          <w:color w:val="auto"/>
        </w:rPr>
      </w:pPr>
    </w:p>
    <w:p>
      <w:pPr>
        <w:ind w:right="460" w:firstLine="456"/>
        <w:spacing w:after="0" w:line="241" w:lineRule="auto"/>
        <w:rPr>
          <w:sz w:val="20"/>
          <w:szCs w:val="20"/>
          <w:color w:val="auto"/>
        </w:rPr>
      </w:pPr>
      <w:r>
        <w:rPr>
          <w:rFonts w:ascii="Arial" w:cs="Arial" w:eastAsia="Arial" w:hAnsi="Arial"/>
          <w:sz w:val="18"/>
          <w:szCs w:val="18"/>
          <w:i w:val="1"/>
          <w:iCs w:val="1"/>
          <w:color w:val="auto"/>
        </w:rPr>
        <w:t>Performance Awards</w:t>
      </w:r>
      <w:r>
        <w:rPr>
          <w:rFonts w:ascii="Arial" w:cs="Arial" w:eastAsia="Arial" w:hAnsi="Arial"/>
          <w:sz w:val="18"/>
          <w:szCs w:val="18"/>
          <w:color w:val="auto"/>
        </w:rPr>
        <w:t>. A participant will not recognize income, and the Company will not be allowed a tax deduction, at the time a</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award is granted (for example, when the performance goals are established). Upon receipt of cash, stock or other property in settlement of a performance award, the participant will recognize ordinary income equal to the cash, stock or other property received, and the Company will be allowed a corresponding federal income tax deduction at that time, subject to any applicable limitations under Code Section 162(m).</w:t>
      </w:r>
    </w:p>
    <w:p>
      <w:pPr>
        <w:spacing w:after="0" w:line="136" w:lineRule="exact"/>
        <w:rPr>
          <w:sz w:val="20"/>
          <w:szCs w:val="20"/>
          <w:color w:val="auto"/>
        </w:rPr>
      </w:pPr>
    </w:p>
    <w:p>
      <w:pPr>
        <w:jc w:val="both"/>
        <w:ind w:right="140" w:firstLine="456"/>
        <w:spacing w:after="0" w:line="247" w:lineRule="auto"/>
        <w:rPr>
          <w:sz w:val="20"/>
          <w:szCs w:val="20"/>
          <w:color w:val="auto"/>
        </w:rPr>
      </w:pPr>
      <w:r>
        <w:rPr>
          <w:rFonts w:ascii="Arial" w:cs="Arial" w:eastAsia="Arial" w:hAnsi="Arial"/>
          <w:sz w:val="18"/>
          <w:szCs w:val="18"/>
          <w:i w:val="1"/>
          <w:iCs w:val="1"/>
          <w:color w:val="auto"/>
        </w:rPr>
        <w:t>Tax Withholding</w:t>
      </w:r>
      <w:r>
        <w:rPr>
          <w:rFonts w:ascii="Arial" w:cs="Arial" w:eastAsia="Arial" w:hAnsi="Arial"/>
          <w:sz w:val="18"/>
          <w:szCs w:val="18"/>
          <w:color w:val="auto"/>
        </w:rPr>
        <w:t>. The Company has the right to deduct or withhold, or require a participant to remit to the Company, an amount sufficient to</w:t>
      </w:r>
      <w:r>
        <w:rPr>
          <w:rFonts w:ascii="Arial" w:cs="Arial" w:eastAsia="Arial" w:hAnsi="Arial"/>
          <w:sz w:val="18"/>
          <w:szCs w:val="18"/>
          <w:i w:val="1"/>
          <w:iCs w:val="1"/>
          <w:color w:val="auto"/>
        </w:rPr>
        <w:t xml:space="preserve"> </w:t>
      </w:r>
      <w:r>
        <w:rPr>
          <w:rFonts w:ascii="Arial" w:cs="Arial" w:eastAsia="Arial" w:hAnsi="Arial"/>
          <w:sz w:val="18"/>
          <w:szCs w:val="18"/>
          <w:color w:val="auto"/>
        </w:rPr>
        <w:t>satisfy federal, state, and local taxes (including employment taxes) required by law to be withheld with respect to any exercise, lapse of restriction or other taxable event arising as a result of the 2016 Plan.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Plan Benefits</w:t>
      </w:r>
    </w:p>
    <w:p>
      <w:pPr>
        <w:spacing w:after="0" w:line="99" w:lineRule="exact"/>
        <w:rPr>
          <w:sz w:val="20"/>
          <w:szCs w:val="20"/>
          <w:color w:val="auto"/>
        </w:rPr>
      </w:pPr>
    </w:p>
    <w:p>
      <w:pPr>
        <w:ind w:right="20" w:firstLine="456"/>
        <w:spacing w:after="0" w:line="238" w:lineRule="auto"/>
        <w:rPr>
          <w:sz w:val="20"/>
          <w:szCs w:val="20"/>
          <w:color w:val="auto"/>
        </w:rPr>
      </w:pPr>
      <w:r>
        <w:rPr>
          <w:rFonts w:ascii="Arial" w:cs="Arial" w:eastAsia="Arial" w:hAnsi="Arial"/>
          <w:sz w:val="18"/>
          <w:szCs w:val="18"/>
          <w:color w:val="auto"/>
        </w:rPr>
        <w:t>Awards to be made under the 2016 Plan are not determinable because generally they are granted at the sole discretion of the Compensation Committee. Awards granted in 2015 to the named executive officers are set forth above in the section captioned “Executive Compensation.” Awards that will be granted to our non-employee directors are described in the section captioned “Director Compensation.”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99" w:lineRule="exact"/>
        <w:rPr>
          <w:sz w:val="20"/>
          <w:szCs w:val="20"/>
          <w:color w:val="auto"/>
        </w:rPr>
      </w:pPr>
    </w:p>
    <w:p>
      <w:pPr>
        <w:ind w:right="40" w:firstLine="456"/>
        <w:spacing w:after="0" w:line="281" w:lineRule="auto"/>
        <w:rPr>
          <w:sz w:val="20"/>
          <w:szCs w:val="20"/>
          <w:color w:val="auto"/>
        </w:rPr>
      </w:pPr>
      <w:r>
        <w:rPr>
          <w:rFonts w:ascii="Arial" w:cs="Arial" w:eastAsia="Arial" w:hAnsi="Arial"/>
          <w:sz w:val="16"/>
          <w:szCs w:val="16"/>
          <w:color w:val="auto"/>
        </w:rPr>
        <w:t>The approval of the 2016 Plan requires the affirmative vote of a majority of the votes entitled to be cast on this proposal. Approval of the 2016 Plan will also be considered approval of the performance criteria included in the 2016 Plan for purposes of performance-based compensation under Code Section 162(m). See the discussions above captioned “Performance Award Under Code Section 162(m)” and “Performance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246620" cy="1714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The Board of Directors recommends a vote “FOR” the approval of the Roper Technologies 2016 Incentive Plan.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99" w:lineRule="exact"/>
        <w:rPr>
          <w:sz w:val="20"/>
          <w:szCs w:val="20"/>
          <w:color w:val="auto"/>
        </w:rPr>
      </w:pPr>
    </w:p>
    <w:p>
      <w:pPr>
        <w:ind w:right="240" w:firstLine="456"/>
        <w:spacing w:after="0" w:line="239" w:lineRule="auto"/>
        <w:rPr>
          <w:sz w:val="20"/>
          <w:szCs w:val="20"/>
          <w:color w:val="auto"/>
        </w:rPr>
      </w:pPr>
      <w:r>
        <w:rPr>
          <w:rFonts w:ascii="Arial" w:cs="Arial" w:eastAsia="Arial" w:hAnsi="Arial"/>
          <w:sz w:val="18"/>
          <w:szCs w:val="18"/>
          <w:color w:val="auto"/>
        </w:rPr>
        <w:t>The following table provides information as of December 31, 2015 regarding our compensation plans under which our equity securities are authorized for issuance.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340" w:type="dxa"/>
            <w:vAlign w:val="bottom"/>
          </w:tcPr>
          <w:p>
            <w:pPr>
              <w:jc w:val="center"/>
              <w:ind w:left="385"/>
              <w:spacing w:after="0"/>
              <w:rPr>
                <w:sz w:val="20"/>
                <w:szCs w:val="20"/>
                <w:color w:val="auto"/>
              </w:rPr>
            </w:pPr>
            <w:r>
              <w:rPr>
                <w:rFonts w:ascii="Arial" w:cs="Arial" w:eastAsia="Arial" w:hAnsi="Arial"/>
                <w:sz w:val="14"/>
                <w:szCs w:val="14"/>
                <w:color w:val="auto"/>
                <w:w w:val="97"/>
              </w:rPr>
              <w:t>(c)</w:t>
            </w:r>
          </w:p>
        </w:tc>
      </w:tr>
      <w:tr>
        <w:trPr>
          <w:trHeight w:val="149"/>
        </w:trPr>
        <w:tc>
          <w:tcPr>
            <w:tcW w:w="4080" w:type="dxa"/>
            <w:vAlign w:val="bottom"/>
          </w:tcPr>
          <w:p>
            <w:pPr>
              <w:spacing w:after="0"/>
              <w:rPr>
                <w:sz w:val="12"/>
                <w:szCs w:val="12"/>
                <w:color w:val="auto"/>
              </w:rPr>
            </w:pPr>
          </w:p>
        </w:tc>
        <w:tc>
          <w:tcPr>
            <w:tcW w:w="2580" w:type="dxa"/>
            <w:vAlign w:val="bottom"/>
          </w:tcPr>
          <w:p>
            <w:pPr>
              <w:jc w:val="center"/>
              <w:spacing w:after="0" w:line="149" w:lineRule="exact"/>
              <w:rPr>
                <w:sz w:val="20"/>
                <w:szCs w:val="20"/>
                <w:color w:val="auto"/>
              </w:rPr>
            </w:pPr>
            <w:r>
              <w:rPr>
                <w:rFonts w:ascii="Arial" w:cs="Arial" w:eastAsia="Arial" w:hAnsi="Arial"/>
                <w:sz w:val="14"/>
                <w:szCs w:val="14"/>
                <w:color w:val="auto"/>
                <w:w w:val="93"/>
              </w:rPr>
              <w:t>(a)</w:t>
            </w:r>
          </w:p>
        </w:tc>
        <w:tc>
          <w:tcPr>
            <w:tcW w:w="6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340" w:type="dxa"/>
            <w:vAlign w:val="bottom"/>
          </w:tcPr>
          <w:p>
            <w:pPr>
              <w:jc w:val="center"/>
              <w:ind w:left="405"/>
              <w:spacing w:after="0" w:line="149" w:lineRule="exact"/>
              <w:rPr>
                <w:sz w:val="20"/>
                <w:szCs w:val="20"/>
                <w:color w:val="auto"/>
              </w:rPr>
            </w:pPr>
            <w:r>
              <w:rPr>
                <w:rFonts w:ascii="Arial" w:cs="Arial" w:eastAsia="Arial" w:hAnsi="Arial"/>
                <w:sz w:val="14"/>
                <w:szCs w:val="14"/>
                <w:color w:val="auto"/>
                <w:w w:val="96"/>
              </w:rPr>
              <w:t>Number of Securities</w:t>
            </w:r>
          </w:p>
        </w:tc>
      </w:tr>
      <w:tr>
        <w:trPr>
          <w:trHeight w:val="149"/>
        </w:trPr>
        <w:tc>
          <w:tcPr>
            <w:tcW w:w="4080" w:type="dxa"/>
            <w:vAlign w:val="bottom"/>
          </w:tcPr>
          <w:p>
            <w:pPr>
              <w:spacing w:after="0"/>
              <w:rPr>
                <w:sz w:val="12"/>
                <w:szCs w:val="12"/>
                <w:color w:val="auto"/>
              </w:rPr>
            </w:pPr>
          </w:p>
        </w:tc>
        <w:tc>
          <w:tcPr>
            <w:tcW w:w="2580" w:type="dxa"/>
            <w:vAlign w:val="bottom"/>
          </w:tcPr>
          <w:p>
            <w:pPr>
              <w:jc w:val="center"/>
              <w:spacing w:after="0" w:line="149" w:lineRule="exact"/>
              <w:rPr>
                <w:sz w:val="20"/>
                <w:szCs w:val="20"/>
                <w:color w:val="auto"/>
              </w:rPr>
            </w:pPr>
            <w:r>
              <w:rPr>
                <w:rFonts w:ascii="Arial" w:cs="Arial" w:eastAsia="Arial" w:hAnsi="Arial"/>
                <w:sz w:val="14"/>
                <w:szCs w:val="14"/>
                <w:color w:val="auto"/>
                <w:w w:val="95"/>
              </w:rPr>
              <w:t>Number of Securities to</w:t>
            </w:r>
          </w:p>
        </w:tc>
        <w:tc>
          <w:tcPr>
            <w:tcW w:w="680" w:type="dxa"/>
            <w:vAlign w:val="bottom"/>
          </w:tcPr>
          <w:p>
            <w:pPr>
              <w:spacing w:after="0"/>
              <w:rPr>
                <w:sz w:val="12"/>
                <w:szCs w:val="12"/>
                <w:color w:val="auto"/>
              </w:rPr>
            </w:pPr>
          </w:p>
        </w:tc>
        <w:tc>
          <w:tcPr>
            <w:tcW w:w="1740" w:type="dxa"/>
            <w:vAlign w:val="bottom"/>
          </w:tcPr>
          <w:p>
            <w:pPr>
              <w:jc w:val="center"/>
              <w:ind w:right="599"/>
              <w:spacing w:after="0" w:line="149" w:lineRule="exact"/>
              <w:rPr>
                <w:sz w:val="20"/>
                <w:szCs w:val="20"/>
                <w:color w:val="auto"/>
              </w:rPr>
            </w:pPr>
            <w:r>
              <w:rPr>
                <w:rFonts w:ascii="Arial" w:cs="Arial" w:eastAsia="Arial" w:hAnsi="Arial"/>
                <w:sz w:val="14"/>
                <w:szCs w:val="14"/>
                <w:color w:val="auto"/>
              </w:rPr>
              <w:t>(b)</w:t>
            </w:r>
          </w:p>
        </w:tc>
        <w:tc>
          <w:tcPr>
            <w:tcW w:w="2340" w:type="dxa"/>
            <w:vAlign w:val="bottom"/>
          </w:tcPr>
          <w:p>
            <w:pPr>
              <w:jc w:val="center"/>
              <w:ind w:left="405"/>
              <w:spacing w:after="0" w:line="149" w:lineRule="exact"/>
              <w:rPr>
                <w:sz w:val="20"/>
                <w:szCs w:val="20"/>
                <w:color w:val="auto"/>
              </w:rPr>
            </w:pPr>
            <w:r>
              <w:rPr>
                <w:rFonts w:ascii="Arial" w:cs="Arial" w:eastAsia="Arial" w:hAnsi="Arial"/>
                <w:sz w:val="14"/>
                <w:szCs w:val="14"/>
                <w:color w:val="auto"/>
                <w:w w:val="96"/>
              </w:rPr>
              <w:t>Remaining Available for</w:t>
            </w:r>
          </w:p>
        </w:tc>
      </w:tr>
      <w:tr>
        <w:trPr>
          <w:trHeight w:val="149"/>
        </w:trPr>
        <w:tc>
          <w:tcPr>
            <w:tcW w:w="4080" w:type="dxa"/>
            <w:vAlign w:val="bottom"/>
          </w:tcPr>
          <w:p>
            <w:pPr>
              <w:spacing w:after="0"/>
              <w:rPr>
                <w:sz w:val="12"/>
                <w:szCs w:val="12"/>
                <w:color w:val="auto"/>
              </w:rPr>
            </w:pPr>
          </w:p>
        </w:tc>
        <w:tc>
          <w:tcPr>
            <w:tcW w:w="2580" w:type="dxa"/>
            <w:vAlign w:val="bottom"/>
          </w:tcPr>
          <w:p>
            <w:pPr>
              <w:jc w:val="center"/>
              <w:spacing w:after="0" w:line="149" w:lineRule="exact"/>
              <w:rPr>
                <w:sz w:val="20"/>
                <w:szCs w:val="20"/>
                <w:color w:val="auto"/>
              </w:rPr>
            </w:pPr>
            <w:r>
              <w:rPr>
                <w:rFonts w:ascii="Arial" w:cs="Arial" w:eastAsia="Arial" w:hAnsi="Arial"/>
                <w:sz w:val="14"/>
                <w:szCs w:val="14"/>
                <w:color w:val="auto"/>
                <w:w w:val="97"/>
              </w:rPr>
              <w:t>be Issued Upon</w:t>
            </w:r>
          </w:p>
        </w:tc>
        <w:tc>
          <w:tcPr>
            <w:tcW w:w="24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4"/>
              </w:rPr>
              <w:t>Weighted-Average</w:t>
            </w:r>
          </w:p>
        </w:tc>
        <w:tc>
          <w:tcPr>
            <w:tcW w:w="2340" w:type="dxa"/>
            <w:vAlign w:val="bottom"/>
          </w:tcPr>
          <w:p>
            <w:pPr>
              <w:jc w:val="center"/>
              <w:ind w:left="405"/>
              <w:spacing w:after="0" w:line="149" w:lineRule="exact"/>
              <w:rPr>
                <w:sz w:val="20"/>
                <w:szCs w:val="20"/>
                <w:color w:val="auto"/>
              </w:rPr>
            </w:pPr>
            <w:r>
              <w:rPr>
                <w:rFonts w:ascii="Arial" w:cs="Arial" w:eastAsia="Arial" w:hAnsi="Arial"/>
                <w:sz w:val="14"/>
                <w:szCs w:val="14"/>
                <w:color w:val="auto"/>
                <w:w w:val="99"/>
              </w:rPr>
              <w:t>Future Issuance Under</w:t>
            </w:r>
          </w:p>
        </w:tc>
      </w:tr>
      <w:tr>
        <w:trPr>
          <w:trHeight w:val="149"/>
        </w:trPr>
        <w:tc>
          <w:tcPr>
            <w:tcW w:w="4080" w:type="dxa"/>
            <w:vAlign w:val="bottom"/>
          </w:tcPr>
          <w:p>
            <w:pPr>
              <w:spacing w:after="0"/>
              <w:rPr>
                <w:sz w:val="12"/>
                <w:szCs w:val="12"/>
                <w:color w:val="auto"/>
              </w:rPr>
            </w:pPr>
          </w:p>
        </w:tc>
        <w:tc>
          <w:tcPr>
            <w:tcW w:w="2580" w:type="dxa"/>
            <w:vAlign w:val="bottom"/>
          </w:tcPr>
          <w:p>
            <w:pPr>
              <w:jc w:val="center"/>
              <w:spacing w:after="0" w:line="149" w:lineRule="exact"/>
              <w:rPr>
                <w:sz w:val="20"/>
                <w:szCs w:val="20"/>
                <w:color w:val="auto"/>
              </w:rPr>
            </w:pPr>
            <w:r>
              <w:rPr>
                <w:rFonts w:ascii="Arial" w:cs="Arial" w:eastAsia="Arial" w:hAnsi="Arial"/>
                <w:sz w:val="14"/>
                <w:szCs w:val="14"/>
                <w:color w:val="auto"/>
                <w:w w:val="96"/>
              </w:rPr>
              <w:t>Exercise of Outstanding</w:t>
            </w:r>
          </w:p>
        </w:tc>
        <w:tc>
          <w:tcPr>
            <w:tcW w:w="680" w:type="dxa"/>
            <w:vAlign w:val="bottom"/>
          </w:tcPr>
          <w:p>
            <w:pPr>
              <w:spacing w:after="0"/>
              <w:rPr>
                <w:sz w:val="12"/>
                <w:szCs w:val="12"/>
                <w:color w:val="auto"/>
              </w:rPr>
            </w:pPr>
          </w:p>
        </w:tc>
        <w:tc>
          <w:tcPr>
            <w:tcW w:w="1740" w:type="dxa"/>
            <w:vAlign w:val="bottom"/>
          </w:tcPr>
          <w:p>
            <w:pPr>
              <w:jc w:val="center"/>
              <w:ind w:right="599"/>
              <w:spacing w:after="0" w:line="149" w:lineRule="exact"/>
              <w:rPr>
                <w:sz w:val="20"/>
                <w:szCs w:val="20"/>
                <w:color w:val="auto"/>
              </w:rPr>
            </w:pPr>
            <w:r>
              <w:rPr>
                <w:rFonts w:ascii="Arial" w:cs="Arial" w:eastAsia="Arial" w:hAnsi="Arial"/>
                <w:sz w:val="14"/>
                <w:szCs w:val="14"/>
                <w:color w:val="auto"/>
                <w:w w:val="97"/>
              </w:rPr>
              <w:t>Exercise Price of</w:t>
            </w:r>
          </w:p>
        </w:tc>
        <w:tc>
          <w:tcPr>
            <w:tcW w:w="2340" w:type="dxa"/>
            <w:vAlign w:val="bottom"/>
          </w:tcPr>
          <w:p>
            <w:pPr>
              <w:jc w:val="center"/>
              <w:ind w:left="385"/>
              <w:spacing w:after="0" w:line="149" w:lineRule="exact"/>
              <w:rPr>
                <w:sz w:val="20"/>
                <w:szCs w:val="20"/>
                <w:color w:val="auto"/>
              </w:rPr>
            </w:pPr>
            <w:r>
              <w:rPr>
                <w:rFonts w:ascii="Arial" w:cs="Arial" w:eastAsia="Arial" w:hAnsi="Arial"/>
                <w:sz w:val="14"/>
                <w:szCs w:val="14"/>
                <w:color w:val="auto"/>
                <w:w w:val="96"/>
              </w:rPr>
              <w:t>Equity Compensation</w:t>
            </w:r>
          </w:p>
        </w:tc>
      </w:tr>
      <w:tr>
        <w:trPr>
          <w:trHeight w:val="149"/>
        </w:trPr>
        <w:tc>
          <w:tcPr>
            <w:tcW w:w="4080" w:type="dxa"/>
            <w:vAlign w:val="bottom"/>
          </w:tcPr>
          <w:p>
            <w:pPr>
              <w:spacing w:after="0"/>
              <w:rPr>
                <w:sz w:val="12"/>
                <w:szCs w:val="12"/>
                <w:color w:val="auto"/>
              </w:rPr>
            </w:pPr>
          </w:p>
        </w:tc>
        <w:tc>
          <w:tcPr>
            <w:tcW w:w="2580" w:type="dxa"/>
            <w:vAlign w:val="bottom"/>
          </w:tcPr>
          <w:p>
            <w:pPr>
              <w:jc w:val="center"/>
              <w:spacing w:after="0" w:line="149" w:lineRule="exact"/>
              <w:rPr>
                <w:sz w:val="20"/>
                <w:szCs w:val="20"/>
                <w:color w:val="auto"/>
              </w:rPr>
            </w:pPr>
            <w:r>
              <w:rPr>
                <w:rFonts w:ascii="Arial" w:cs="Arial" w:eastAsia="Arial" w:hAnsi="Arial"/>
                <w:sz w:val="14"/>
                <w:szCs w:val="14"/>
                <w:color w:val="auto"/>
                <w:w w:val="97"/>
              </w:rPr>
              <w:t>Options, Warrants and</w:t>
            </w:r>
          </w:p>
        </w:tc>
        <w:tc>
          <w:tcPr>
            <w:tcW w:w="24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5"/>
              </w:rPr>
              <w:t>Outstanding Options,</w:t>
            </w:r>
          </w:p>
        </w:tc>
        <w:tc>
          <w:tcPr>
            <w:tcW w:w="2340" w:type="dxa"/>
            <w:vAlign w:val="bottom"/>
          </w:tcPr>
          <w:p>
            <w:pPr>
              <w:jc w:val="center"/>
              <w:ind w:left="405"/>
              <w:spacing w:after="0" w:line="149" w:lineRule="exact"/>
              <w:rPr>
                <w:sz w:val="20"/>
                <w:szCs w:val="20"/>
                <w:color w:val="auto"/>
              </w:rPr>
            </w:pPr>
            <w:r>
              <w:rPr>
                <w:rFonts w:ascii="Arial" w:cs="Arial" w:eastAsia="Arial" w:hAnsi="Arial"/>
                <w:sz w:val="14"/>
                <w:szCs w:val="14"/>
                <w:color w:val="auto"/>
                <w:w w:val="95"/>
              </w:rPr>
              <w:t>Plans (Excluding Securities</w:t>
            </w:r>
          </w:p>
        </w:tc>
      </w:tr>
      <w:tr>
        <w:trPr>
          <w:trHeight w:val="149"/>
        </w:trPr>
        <w:tc>
          <w:tcPr>
            <w:tcW w:w="408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Plan Category</w:t>
            </w:r>
          </w:p>
        </w:tc>
        <w:tc>
          <w:tcPr>
            <w:tcW w:w="258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Rights</w:t>
            </w:r>
          </w:p>
        </w:tc>
        <w:tc>
          <w:tcPr>
            <w:tcW w:w="2420" w:type="dxa"/>
            <w:vAlign w:val="bottom"/>
            <w:tcBorders>
              <w:bottom w:val="single" w:sz="8" w:color="auto"/>
            </w:tcBorders>
            <w:gridSpan w:val="2"/>
          </w:tcPr>
          <w:p>
            <w:pPr>
              <w:jc w:val="center"/>
              <w:spacing w:after="0" w:line="149" w:lineRule="exact"/>
              <w:rPr>
                <w:sz w:val="20"/>
                <w:szCs w:val="20"/>
                <w:color w:val="auto"/>
              </w:rPr>
            </w:pPr>
            <w:r>
              <w:rPr>
                <w:rFonts w:ascii="Arial" w:cs="Arial" w:eastAsia="Arial" w:hAnsi="Arial"/>
                <w:sz w:val="14"/>
                <w:szCs w:val="14"/>
                <w:color w:val="auto"/>
                <w:w w:val="95"/>
              </w:rPr>
              <w:t>Warrants and Rights</w:t>
            </w:r>
          </w:p>
        </w:tc>
        <w:tc>
          <w:tcPr>
            <w:tcW w:w="2340" w:type="dxa"/>
            <w:vAlign w:val="bottom"/>
            <w:tcBorders>
              <w:bottom w:val="single" w:sz="8" w:color="auto"/>
            </w:tcBorders>
          </w:tcPr>
          <w:p>
            <w:pPr>
              <w:jc w:val="center"/>
              <w:ind w:left="405"/>
              <w:spacing w:after="0" w:line="149" w:lineRule="exact"/>
              <w:rPr>
                <w:sz w:val="20"/>
                <w:szCs w:val="20"/>
                <w:color w:val="auto"/>
              </w:rPr>
            </w:pPr>
            <w:r>
              <w:rPr>
                <w:rFonts w:ascii="Arial" w:cs="Arial" w:eastAsia="Arial" w:hAnsi="Arial"/>
                <w:sz w:val="14"/>
                <w:szCs w:val="14"/>
                <w:color w:val="auto"/>
                <w:w w:val="96"/>
              </w:rPr>
              <w:t>Reflected in Column(a))</w:t>
            </w:r>
          </w:p>
        </w:tc>
      </w:tr>
      <w:tr>
        <w:trPr>
          <w:trHeight w:val="199"/>
        </w:trPr>
        <w:tc>
          <w:tcPr>
            <w:tcW w:w="4080" w:type="dxa"/>
            <w:vAlign w:val="bottom"/>
            <w:shd w:val="clear" w:color="auto" w:fill="D2DEEE"/>
          </w:tcPr>
          <w:p>
            <w:pPr>
              <w:spacing w:after="0" w:line="200" w:lineRule="exact"/>
              <w:rPr>
                <w:sz w:val="20"/>
                <w:szCs w:val="20"/>
                <w:color w:val="auto"/>
              </w:rPr>
            </w:pPr>
            <w:r>
              <w:rPr>
                <w:rFonts w:ascii="Arial" w:cs="Arial" w:eastAsia="Arial" w:hAnsi="Arial"/>
                <w:sz w:val="18"/>
                <w:szCs w:val="18"/>
                <w:color w:val="auto"/>
              </w:rPr>
              <w:t>Equity Compensation Plans Approved by</w:t>
            </w:r>
          </w:p>
        </w:tc>
        <w:tc>
          <w:tcPr>
            <w:tcW w:w="2580" w:type="dxa"/>
            <w:vAlign w:val="bottom"/>
            <w:shd w:val="clear" w:color="auto" w:fill="D2DEEE"/>
          </w:tcPr>
          <w:p>
            <w:pPr>
              <w:spacing w:after="0"/>
              <w:rPr>
                <w:sz w:val="17"/>
                <w:szCs w:val="17"/>
                <w:color w:val="auto"/>
              </w:rPr>
            </w:pPr>
          </w:p>
        </w:tc>
        <w:tc>
          <w:tcPr>
            <w:tcW w:w="680" w:type="dxa"/>
            <w:vAlign w:val="bottom"/>
            <w:shd w:val="clear" w:color="auto" w:fill="D2DEEE"/>
          </w:tcPr>
          <w:p>
            <w:pPr>
              <w:spacing w:after="0"/>
              <w:rPr>
                <w:sz w:val="17"/>
                <w:szCs w:val="17"/>
                <w:color w:val="auto"/>
              </w:rPr>
            </w:pPr>
          </w:p>
        </w:tc>
        <w:tc>
          <w:tcPr>
            <w:tcW w:w="1740" w:type="dxa"/>
            <w:vAlign w:val="bottom"/>
            <w:shd w:val="clear" w:color="auto" w:fill="D2DEEE"/>
          </w:tcPr>
          <w:p>
            <w:pPr>
              <w:spacing w:after="0"/>
              <w:rPr>
                <w:sz w:val="17"/>
                <w:szCs w:val="17"/>
                <w:color w:val="auto"/>
              </w:rPr>
            </w:pPr>
          </w:p>
        </w:tc>
        <w:tc>
          <w:tcPr>
            <w:tcW w:w="2340" w:type="dxa"/>
            <w:vAlign w:val="bottom"/>
            <w:shd w:val="clear" w:color="auto" w:fill="D2DEEE"/>
          </w:tcPr>
          <w:p>
            <w:pPr>
              <w:spacing w:after="0"/>
              <w:rPr>
                <w:sz w:val="17"/>
                <w:szCs w:val="17"/>
                <w:color w:val="auto"/>
              </w:rPr>
            </w:pPr>
          </w:p>
        </w:tc>
      </w:tr>
      <w:tr>
        <w:trPr>
          <w:trHeight w:val="199"/>
        </w:trPr>
        <w:tc>
          <w:tcPr>
            <w:tcW w:w="4080" w:type="dxa"/>
            <w:vAlign w:val="bottom"/>
            <w:shd w:val="clear" w:color="auto" w:fill="D2DEEE"/>
          </w:tcPr>
          <w:p>
            <w:pPr>
              <w:ind w:left="220"/>
              <w:spacing w:after="0" w:line="200" w:lineRule="exact"/>
              <w:rPr>
                <w:sz w:val="20"/>
                <w:szCs w:val="20"/>
                <w:color w:val="auto"/>
              </w:rPr>
            </w:pPr>
            <w:r>
              <w:rPr>
                <w:rFonts w:ascii="Arial" w:cs="Arial" w:eastAsia="Arial" w:hAnsi="Arial"/>
                <w:sz w:val="18"/>
                <w:szCs w:val="18"/>
                <w:color w:val="auto"/>
              </w:rPr>
              <w:t>Shareholders</w:t>
            </w:r>
            <w:r>
              <w:rPr>
                <w:rFonts w:ascii="Arial" w:cs="Arial" w:eastAsia="Arial" w:hAnsi="Arial"/>
                <w:sz w:val="11"/>
                <w:szCs w:val="11"/>
                <w:color w:val="auto"/>
              </w:rPr>
              <w:t>(1)</w:t>
            </w:r>
          </w:p>
        </w:tc>
        <w:tc>
          <w:tcPr>
            <w:tcW w:w="2580" w:type="dxa"/>
            <w:vAlign w:val="bottom"/>
            <w:shd w:val="clear" w:color="auto" w:fill="D2DEEE"/>
          </w:tcPr>
          <w:p>
            <w:pPr>
              <w:spacing w:after="0"/>
              <w:rPr>
                <w:sz w:val="17"/>
                <w:szCs w:val="17"/>
                <w:color w:val="auto"/>
              </w:rPr>
            </w:pPr>
          </w:p>
        </w:tc>
        <w:tc>
          <w:tcPr>
            <w:tcW w:w="680" w:type="dxa"/>
            <w:vAlign w:val="bottom"/>
            <w:shd w:val="clear" w:color="auto" w:fill="D2DEEE"/>
          </w:tcPr>
          <w:p>
            <w:pPr>
              <w:spacing w:after="0"/>
              <w:rPr>
                <w:sz w:val="17"/>
                <w:szCs w:val="17"/>
                <w:color w:val="auto"/>
              </w:rPr>
            </w:pPr>
          </w:p>
        </w:tc>
        <w:tc>
          <w:tcPr>
            <w:tcW w:w="1740" w:type="dxa"/>
            <w:vAlign w:val="bottom"/>
            <w:shd w:val="clear" w:color="auto" w:fill="D2DEEE"/>
          </w:tcPr>
          <w:p>
            <w:pPr>
              <w:spacing w:after="0"/>
              <w:rPr>
                <w:sz w:val="17"/>
                <w:szCs w:val="17"/>
                <w:color w:val="auto"/>
              </w:rPr>
            </w:pPr>
          </w:p>
        </w:tc>
        <w:tc>
          <w:tcPr>
            <w:tcW w:w="2340" w:type="dxa"/>
            <w:vAlign w:val="bottom"/>
            <w:shd w:val="clear" w:color="auto" w:fill="D2DEEE"/>
          </w:tcPr>
          <w:p>
            <w:pPr>
              <w:spacing w:after="0"/>
              <w:rPr>
                <w:sz w:val="17"/>
                <w:szCs w:val="17"/>
                <w:color w:val="auto"/>
              </w:rPr>
            </w:pPr>
          </w:p>
        </w:tc>
      </w:tr>
      <w:tr>
        <w:trPr>
          <w:trHeight w:val="203"/>
        </w:trPr>
        <w:tc>
          <w:tcPr>
            <w:tcW w:w="4080" w:type="dxa"/>
            <w:vAlign w:val="bottom"/>
          </w:tcPr>
          <w:p>
            <w:pPr>
              <w:ind w:left="440"/>
              <w:spacing w:after="0" w:line="202" w:lineRule="exact"/>
              <w:rPr>
                <w:sz w:val="20"/>
                <w:szCs w:val="20"/>
                <w:color w:val="auto"/>
              </w:rPr>
            </w:pPr>
            <w:r>
              <w:rPr>
                <w:rFonts w:ascii="Arial" w:cs="Arial" w:eastAsia="Arial" w:hAnsi="Arial"/>
                <w:sz w:val="18"/>
                <w:szCs w:val="18"/>
                <w:color w:val="auto"/>
              </w:rPr>
              <w:t>Stock options</w:t>
            </w:r>
          </w:p>
        </w:tc>
        <w:tc>
          <w:tcPr>
            <w:tcW w:w="2580" w:type="dxa"/>
            <w:vAlign w:val="bottom"/>
          </w:tcPr>
          <w:p>
            <w:pPr>
              <w:jc w:val="right"/>
              <w:ind w:right="503"/>
              <w:spacing w:after="0" w:line="202" w:lineRule="exact"/>
              <w:rPr>
                <w:sz w:val="20"/>
                <w:szCs w:val="20"/>
                <w:color w:val="auto"/>
              </w:rPr>
            </w:pPr>
            <w:r>
              <w:rPr>
                <w:rFonts w:ascii="Arial" w:cs="Arial" w:eastAsia="Arial" w:hAnsi="Arial"/>
                <w:sz w:val="18"/>
                <w:szCs w:val="18"/>
                <w:color w:val="auto"/>
              </w:rPr>
              <w:t>3,117,616</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740" w:type="dxa"/>
            <w:vAlign w:val="bottom"/>
          </w:tcPr>
          <w:p>
            <w:pPr>
              <w:jc w:val="right"/>
              <w:ind w:right="499"/>
              <w:spacing w:after="0" w:line="202" w:lineRule="exact"/>
              <w:rPr>
                <w:sz w:val="20"/>
                <w:szCs w:val="20"/>
                <w:color w:val="auto"/>
              </w:rPr>
            </w:pPr>
            <w:r>
              <w:rPr>
                <w:rFonts w:ascii="Arial" w:cs="Arial" w:eastAsia="Arial" w:hAnsi="Arial"/>
                <w:sz w:val="18"/>
                <w:szCs w:val="18"/>
                <w:color w:val="auto"/>
              </w:rPr>
              <w:t>104.54</w:t>
            </w:r>
          </w:p>
        </w:tc>
        <w:tc>
          <w:tcPr>
            <w:tcW w:w="2340" w:type="dxa"/>
            <w:vAlign w:val="bottom"/>
          </w:tcPr>
          <w:p>
            <w:pPr>
              <w:jc w:val="right"/>
              <w:ind w:right="125"/>
              <w:spacing w:after="0" w:line="202" w:lineRule="exact"/>
              <w:rPr>
                <w:sz w:val="20"/>
                <w:szCs w:val="20"/>
                <w:color w:val="auto"/>
              </w:rPr>
            </w:pPr>
            <w:r>
              <w:rPr>
                <w:rFonts w:ascii="Arial" w:cs="Arial" w:eastAsia="Arial" w:hAnsi="Arial"/>
                <w:sz w:val="18"/>
                <w:szCs w:val="18"/>
                <w:color w:val="auto"/>
              </w:rPr>
              <w:t>-</w:t>
            </w:r>
          </w:p>
        </w:tc>
      </w:tr>
      <w:tr>
        <w:trPr>
          <w:trHeight w:val="203"/>
        </w:trPr>
        <w:tc>
          <w:tcPr>
            <w:tcW w:w="4080" w:type="dxa"/>
            <w:vAlign w:val="bottom"/>
            <w:shd w:val="clear" w:color="auto" w:fill="D2DEEE"/>
          </w:tcPr>
          <w:p>
            <w:pPr>
              <w:ind w:left="440"/>
              <w:spacing w:after="0" w:line="202" w:lineRule="exact"/>
              <w:rPr>
                <w:sz w:val="20"/>
                <w:szCs w:val="20"/>
                <w:color w:val="auto"/>
              </w:rPr>
            </w:pPr>
            <w:r>
              <w:rPr>
                <w:rFonts w:ascii="Arial" w:cs="Arial" w:eastAsia="Arial" w:hAnsi="Arial"/>
                <w:sz w:val="18"/>
                <w:szCs w:val="18"/>
                <w:color w:val="auto"/>
              </w:rPr>
              <w:t>Restricted stock awards</w:t>
            </w:r>
            <w:r>
              <w:rPr>
                <w:rFonts w:ascii="Arial" w:cs="Arial" w:eastAsia="Arial" w:hAnsi="Arial"/>
                <w:sz w:val="11"/>
                <w:szCs w:val="11"/>
                <w:color w:val="auto"/>
              </w:rPr>
              <w:t>(2)</w:t>
            </w:r>
          </w:p>
        </w:tc>
        <w:tc>
          <w:tcPr>
            <w:tcW w:w="2580" w:type="dxa"/>
            <w:vAlign w:val="bottom"/>
            <w:shd w:val="clear" w:color="auto" w:fill="D2DEEE"/>
          </w:tcPr>
          <w:p>
            <w:pPr>
              <w:jc w:val="right"/>
              <w:ind w:right="503"/>
              <w:spacing w:after="0" w:line="202" w:lineRule="exact"/>
              <w:rPr>
                <w:sz w:val="20"/>
                <w:szCs w:val="20"/>
                <w:color w:val="auto"/>
              </w:rPr>
            </w:pPr>
            <w:r>
              <w:rPr>
                <w:rFonts w:ascii="Arial" w:cs="Arial" w:eastAsia="Arial" w:hAnsi="Arial"/>
                <w:sz w:val="18"/>
                <w:szCs w:val="18"/>
                <w:color w:val="auto"/>
              </w:rPr>
              <w:t>709,275</w:t>
            </w:r>
          </w:p>
        </w:tc>
        <w:tc>
          <w:tcPr>
            <w:tcW w:w="680" w:type="dxa"/>
            <w:vAlign w:val="bottom"/>
            <w:shd w:val="clear" w:color="auto" w:fill="D2DEEE"/>
          </w:tcPr>
          <w:p>
            <w:pPr>
              <w:spacing w:after="0"/>
              <w:rPr>
                <w:sz w:val="17"/>
                <w:szCs w:val="17"/>
                <w:color w:val="auto"/>
              </w:rPr>
            </w:pPr>
          </w:p>
        </w:tc>
        <w:tc>
          <w:tcPr>
            <w:tcW w:w="1740" w:type="dxa"/>
            <w:vAlign w:val="bottom"/>
            <w:shd w:val="clear" w:color="auto" w:fill="D2DEEE"/>
          </w:tcPr>
          <w:p>
            <w:pPr>
              <w:jc w:val="right"/>
              <w:ind w:right="599"/>
              <w:spacing w:after="0" w:line="202" w:lineRule="exact"/>
              <w:rPr>
                <w:sz w:val="20"/>
                <w:szCs w:val="20"/>
                <w:color w:val="auto"/>
              </w:rPr>
            </w:pPr>
            <w:r>
              <w:rPr>
                <w:rFonts w:ascii="Arial" w:cs="Arial" w:eastAsia="Arial" w:hAnsi="Arial"/>
                <w:sz w:val="18"/>
                <w:szCs w:val="18"/>
                <w:color w:val="auto"/>
              </w:rPr>
              <w:t>-</w:t>
            </w:r>
          </w:p>
        </w:tc>
        <w:tc>
          <w:tcPr>
            <w:tcW w:w="2340" w:type="dxa"/>
            <w:vAlign w:val="bottom"/>
            <w:shd w:val="clear" w:color="auto" w:fill="D2DEEE"/>
          </w:tcPr>
          <w:p>
            <w:pPr>
              <w:spacing w:after="0"/>
              <w:rPr>
                <w:sz w:val="17"/>
                <w:szCs w:val="17"/>
                <w:color w:val="auto"/>
              </w:rPr>
            </w:pPr>
          </w:p>
        </w:tc>
      </w:tr>
      <w:tr>
        <w:trPr>
          <w:trHeight w:val="203"/>
        </w:trPr>
        <w:tc>
          <w:tcPr>
            <w:tcW w:w="4080" w:type="dxa"/>
            <w:vAlign w:val="bottom"/>
          </w:tcPr>
          <w:p>
            <w:pPr>
              <w:spacing w:after="0" w:line="202" w:lineRule="exact"/>
              <w:rPr>
                <w:sz w:val="20"/>
                <w:szCs w:val="20"/>
                <w:color w:val="auto"/>
              </w:rPr>
            </w:pPr>
            <w:r>
              <w:rPr>
                <w:rFonts w:ascii="Arial" w:cs="Arial" w:eastAsia="Arial" w:hAnsi="Arial"/>
                <w:sz w:val="18"/>
                <w:szCs w:val="18"/>
                <w:color w:val="auto"/>
              </w:rPr>
              <w:t>Subtotal</w:t>
            </w:r>
          </w:p>
        </w:tc>
        <w:tc>
          <w:tcPr>
            <w:tcW w:w="2580" w:type="dxa"/>
            <w:vAlign w:val="bottom"/>
          </w:tcPr>
          <w:p>
            <w:pPr>
              <w:jc w:val="right"/>
              <w:ind w:right="503"/>
              <w:spacing w:after="0" w:line="202" w:lineRule="exact"/>
              <w:rPr>
                <w:sz w:val="20"/>
                <w:szCs w:val="20"/>
                <w:color w:val="auto"/>
              </w:rPr>
            </w:pPr>
            <w:r>
              <w:rPr>
                <w:rFonts w:ascii="Arial" w:cs="Arial" w:eastAsia="Arial" w:hAnsi="Arial"/>
                <w:sz w:val="18"/>
                <w:szCs w:val="18"/>
                <w:color w:val="auto"/>
              </w:rPr>
              <w:t>3,826,891</w:t>
            </w:r>
          </w:p>
        </w:tc>
        <w:tc>
          <w:tcPr>
            <w:tcW w:w="6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340" w:type="dxa"/>
            <w:vAlign w:val="bottom"/>
          </w:tcPr>
          <w:p>
            <w:pPr>
              <w:jc w:val="right"/>
              <w:ind w:right="25"/>
              <w:spacing w:after="0" w:line="202" w:lineRule="exact"/>
              <w:rPr>
                <w:sz w:val="20"/>
                <w:szCs w:val="20"/>
                <w:color w:val="auto"/>
              </w:rPr>
            </w:pPr>
            <w:r>
              <w:rPr>
                <w:rFonts w:ascii="Arial" w:cs="Arial" w:eastAsia="Arial" w:hAnsi="Arial"/>
                <w:sz w:val="18"/>
                <w:szCs w:val="18"/>
                <w:color w:val="auto"/>
              </w:rPr>
              <w:t>3,175,605</w:t>
            </w:r>
          </w:p>
        </w:tc>
      </w:tr>
      <w:tr>
        <w:trPr>
          <w:trHeight w:val="206"/>
        </w:trPr>
        <w:tc>
          <w:tcPr>
            <w:tcW w:w="4080" w:type="dxa"/>
            <w:vAlign w:val="bottom"/>
            <w:shd w:val="clear" w:color="auto" w:fill="D2DEEE"/>
          </w:tcPr>
          <w:p>
            <w:pPr>
              <w:spacing w:after="0" w:line="206" w:lineRule="exact"/>
              <w:rPr>
                <w:sz w:val="20"/>
                <w:szCs w:val="20"/>
                <w:color w:val="auto"/>
              </w:rPr>
            </w:pPr>
            <w:r>
              <w:rPr>
                <w:rFonts w:ascii="Arial" w:cs="Arial" w:eastAsia="Arial" w:hAnsi="Arial"/>
                <w:sz w:val="18"/>
                <w:szCs w:val="18"/>
                <w:color w:val="auto"/>
              </w:rPr>
              <w:t>Equity Compensation Plans Not Approved by</w:t>
            </w:r>
          </w:p>
        </w:tc>
        <w:tc>
          <w:tcPr>
            <w:tcW w:w="2580" w:type="dxa"/>
            <w:vAlign w:val="bottom"/>
            <w:shd w:val="clear" w:color="auto" w:fill="D2DEEE"/>
          </w:tcPr>
          <w:p>
            <w:pPr>
              <w:spacing w:after="0"/>
              <w:rPr>
                <w:sz w:val="17"/>
                <w:szCs w:val="17"/>
                <w:color w:val="auto"/>
              </w:rPr>
            </w:pPr>
          </w:p>
        </w:tc>
        <w:tc>
          <w:tcPr>
            <w:tcW w:w="680" w:type="dxa"/>
            <w:vAlign w:val="bottom"/>
            <w:shd w:val="clear" w:color="auto" w:fill="D2DEEE"/>
          </w:tcPr>
          <w:p>
            <w:pPr>
              <w:spacing w:after="0"/>
              <w:rPr>
                <w:sz w:val="17"/>
                <w:szCs w:val="17"/>
                <w:color w:val="auto"/>
              </w:rPr>
            </w:pPr>
          </w:p>
        </w:tc>
        <w:tc>
          <w:tcPr>
            <w:tcW w:w="1740" w:type="dxa"/>
            <w:vAlign w:val="bottom"/>
            <w:shd w:val="clear" w:color="auto" w:fill="D2DEEE"/>
          </w:tcPr>
          <w:p>
            <w:pPr>
              <w:spacing w:after="0"/>
              <w:rPr>
                <w:sz w:val="17"/>
                <w:szCs w:val="17"/>
                <w:color w:val="auto"/>
              </w:rPr>
            </w:pPr>
          </w:p>
        </w:tc>
        <w:tc>
          <w:tcPr>
            <w:tcW w:w="2340" w:type="dxa"/>
            <w:vAlign w:val="bottom"/>
            <w:shd w:val="clear" w:color="auto" w:fill="D2DEEE"/>
          </w:tcPr>
          <w:p>
            <w:pPr>
              <w:spacing w:after="0"/>
              <w:rPr>
                <w:sz w:val="17"/>
                <w:szCs w:val="17"/>
                <w:color w:val="auto"/>
              </w:rPr>
            </w:pPr>
          </w:p>
        </w:tc>
      </w:tr>
      <w:tr>
        <w:trPr>
          <w:trHeight w:val="199"/>
        </w:trPr>
        <w:tc>
          <w:tcPr>
            <w:tcW w:w="4080" w:type="dxa"/>
            <w:vAlign w:val="bottom"/>
            <w:shd w:val="clear" w:color="auto" w:fill="D2DEEE"/>
          </w:tcPr>
          <w:p>
            <w:pPr>
              <w:ind w:left="220"/>
              <w:spacing w:after="0" w:line="200" w:lineRule="exact"/>
              <w:rPr>
                <w:sz w:val="20"/>
                <w:szCs w:val="20"/>
                <w:color w:val="auto"/>
              </w:rPr>
            </w:pPr>
            <w:r>
              <w:rPr>
                <w:rFonts w:ascii="Arial" w:cs="Arial" w:eastAsia="Arial" w:hAnsi="Arial"/>
                <w:sz w:val="18"/>
                <w:szCs w:val="18"/>
                <w:color w:val="auto"/>
              </w:rPr>
              <w:t>Shareholders</w:t>
            </w:r>
          </w:p>
        </w:tc>
        <w:tc>
          <w:tcPr>
            <w:tcW w:w="2580" w:type="dxa"/>
            <w:vAlign w:val="bottom"/>
            <w:shd w:val="clear" w:color="auto" w:fill="D2DEEE"/>
          </w:tcPr>
          <w:p>
            <w:pPr>
              <w:jc w:val="right"/>
              <w:ind w:right="603"/>
              <w:spacing w:after="0" w:line="200" w:lineRule="exact"/>
              <w:rPr>
                <w:sz w:val="20"/>
                <w:szCs w:val="20"/>
                <w:color w:val="auto"/>
              </w:rPr>
            </w:pPr>
            <w:r>
              <w:rPr>
                <w:rFonts w:ascii="Arial" w:cs="Arial" w:eastAsia="Arial" w:hAnsi="Arial"/>
                <w:sz w:val="18"/>
                <w:szCs w:val="18"/>
                <w:color w:val="auto"/>
              </w:rPr>
              <w:t>-</w:t>
            </w:r>
          </w:p>
        </w:tc>
        <w:tc>
          <w:tcPr>
            <w:tcW w:w="680" w:type="dxa"/>
            <w:vAlign w:val="bottom"/>
            <w:shd w:val="clear" w:color="auto" w:fill="D2DEEE"/>
          </w:tcPr>
          <w:p>
            <w:pPr>
              <w:spacing w:after="0"/>
              <w:rPr>
                <w:sz w:val="17"/>
                <w:szCs w:val="17"/>
                <w:color w:val="auto"/>
              </w:rPr>
            </w:pPr>
          </w:p>
        </w:tc>
        <w:tc>
          <w:tcPr>
            <w:tcW w:w="1740" w:type="dxa"/>
            <w:vAlign w:val="bottom"/>
            <w:shd w:val="clear" w:color="auto" w:fill="D2DEEE"/>
          </w:tcPr>
          <w:p>
            <w:pPr>
              <w:jc w:val="right"/>
              <w:ind w:right="599"/>
              <w:spacing w:after="0" w:line="200" w:lineRule="exact"/>
              <w:rPr>
                <w:sz w:val="20"/>
                <w:szCs w:val="20"/>
                <w:color w:val="auto"/>
              </w:rPr>
            </w:pPr>
            <w:r>
              <w:rPr>
                <w:rFonts w:ascii="Arial" w:cs="Arial" w:eastAsia="Arial" w:hAnsi="Arial"/>
                <w:sz w:val="18"/>
                <w:szCs w:val="18"/>
                <w:color w:val="auto"/>
              </w:rPr>
              <w:t>-</w:t>
            </w:r>
          </w:p>
        </w:tc>
        <w:tc>
          <w:tcPr>
            <w:tcW w:w="2340" w:type="dxa"/>
            <w:vAlign w:val="bottom"/>
            <w:shd w:val="clear" w:color="auto" w:fill="D2DEEE"/>
          </w:tcPr>
          <w:p>
            <w:pPr>
              <w:jc w:val="right"/>
              <w:ind w:right="125"/>
              <w:spacing w:after="0" w:line="200" w:lineRule="exact"/>
              <w:rPr>
                <w:sz w:val="20"/>
                <w:szCs w:val="20"/>
                <w:color w:val="auto"/>
              </w:rPr>
            </w:pPr>
            <w:r>
              <w:rPr>
                <w:rFonts w:ascii="Arial" w:cs="Arial" w:eastAsia="Arial" w:hAnsi="Arial"/>
                <w:sz w:val="18"/>
                <w:szCs w:val="18"/>
                <w:color w:val="auto"/>
              </w:rPr>
              <w:t>-</w:t>
            </w:r>
          </w:p>
        </w:tc>
      </w:tr>
      <w:tr>
        <w:trPr>
          <w:trHeight w:val="214"/>
        </w:trPr>
        <w:tc>
          <w:tcPr>
            <w:tcW w:w="4080" w:type="dxa"/>
            <w:vAlign w:val="bottom"/>
          </w:tcPr>
          <w:p>
            <w:pPr>
              <w:spacing w:after="0"/>
              <w:rPr>
                <w:sz w:val="20"/>
                <w:szCs w:val="20"/>
                <w:color w:val="auto"/>
              </w:rPr>
            </w:pPr>
            <w:r>
              <w:rPr>
                <w:rFonts w:ascii="Arial" w:cs="Arial" w:eastAsia="Arial" w:hAnsi="Arial"/>
                <w:sz w:val="18"/>
                <w:szCs w:val="18"/>
                <w:color w:val="auto"/>
              </w:rPr>
              <w:t>Total</w:t>
            </w:r>
          </w:p>
        </w:tc>
        <w:tc>
          <w:tcPr>
            <w:tcW w:w="2580" w:type="dxa"/>
            <w:vAlign w:val="bottom"/>
          </w:tcPr>
          <w:p>
            <w:pPr>
              <w:jc w:val="right"/>
              <w:ind w:right="503"/>
              <w:spacing w:after="0"/>
              <w:rPr>
                <w:sz w:val="20"/>
                <w:szCs w:val="20"/>
                <w:color w:val="auto"/>
              </w:rPr>
            </w:pPr>
            <w:r>
              <w:rPr>
                <w:rFonts w:ascii="Arial" w:cs="Arial" w:eastAsia="Arial" w:hAnsi="Arial"/>
                <w:sz w:val="18"/>
                <w:szCs w:val="18"/>
                <w:color w:val="auto"/>
              </w:rPr>
              <w:t>3,826,891</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599"/>
              <w:spacing w:after="0"/>
              <w:rPr>
                <w:sz w:val="20"/>
                <w:szCs w:val="20"/>
                <w:color w:val="auto"/>
              </w:rPr>
            </w:pPr>
            <w:r>
              <w:rPr>
                <w:rFonts w:ascii="Arial" w:cs="Arial" w:eastAsia="Arial" w:hAnsi="Arial"/>
                <w:sz w:val="18"/>
                <w:szCs w:val="18"/>
                <w:color w:val="auto"/>
              </w:rPr>
              <w:t>-</w:t>
            </w:r>
          </w:p>
        </w:tc>
        <w:tc>
          <w:tcPr>
            <w:tcW w:w="2340" w:type="dxa"/>
            <w:vAlign w:val="bottom"/>
          </w:tcPr>
          <w:p>
            <w:pPr>
              <w:jc w:val="right"/>
              <w:ind w:right="25"/>
              <w:spacing w:after="0"/>
              <w:rPr>
                <w:sz w:val="20"/>
                <w:szCs w:val="20"/>
                <w:color w:val="auto"/>
              </w:rPr>
            </w:pPr>
            <w:r>
              <w:rPr>
                <w:rFonts w:ascii="Arial" w:cs="Arial" w:eastAsia="Arial" w:hAnsi="Arial"/>
                <w:sz w:val="18"/>
                <w:szCs w:val="18"/>
                <w:color w:val="auto"/>
              </w:rPr>
              <w:t>3,175,605</w:t>
            </w:r>
          </w:p>
        </w:tc>
      </w:tr>
    </w:tbl>
    <w:p>
      <w:pPr>
        <w:ind w:left="340" w:hanging="332"/>
        <w:spacing w:after="0" w:line="219" w:lineRule="auto"/>
        <w:tabs>
          <w:tab w:leader="none" w:pos="340" w:val="left"/>
        </w:tabs>
        <w:numPr>
          <w:ilvl w:val="0"/>
          <w:numId w:val="76"/>
        </w:numPr>
        <w:rPr>
          <w:rFonts w:ascii="Arial" w:cs="Arial" w:eastAsia="Arial" w:hAnsi="Arial"/>
          <w:sz w:val="22"/>
          <w:szCs w:val="22"/>
          <w:color w:val="auto"/>
          <w:vertAlign w:val="superscript"/>
        </w:rPr>
      </w:pPr>
      <w:r>
        <w:rPr>
          <w:rFonts w:ascii="Arial" w:cs="Arial" w:eastAsia="Arial" w:hAnsi="Arial"/>
          <w:sz w:val="14"/>
          <w:szCs w:val="14"/>
          <w:color w:val="auto"/>
        </w:rPr>
        <w:t>Consists of the Amended and Restated 2006 Incentive Plan.</w:t>
      </w:r>
    </w:p>
    <w:p>
      <w:pPr>
        <w:spacing w:after="0" w:line="67" w:lineRule="exact"/>
        <w:rPr>
          <w:rFonts w:ascii="Arial" w:cs="Arial" w:eastAsia="Arial" w:hAnsi="Arial"/>
          <w:sz w:val="22"/>
          <w:szCs w:val="22"/>
          <w:color w:val="auto"/>
          <w:vertAlign w:val="superscript"/>
        </w:rPr>
      </w:pPr>
    </w:p>
    <w:p>
      <w:pPr>
        <w:ind w:left="340" w:hanging="332"/>
        <w:spacing w:after="0" w:line="188" w:lineRule="auto"/>
        <w:tabs>
          <w:tab w:leader="none" w:pos="340" w:val="left"/>
        </w:tabs>
        <w:numPr>
          <w:ilvl w:val="0"/>
          <w:numId w:val="76"/>
        </w:numPr>
        <w:rPr>
          <w:rFonts w:ascii="Arial" w:cs="Arial" w:eastAsia="Arial" w:hAnsi="Arial"/>
          <w:sz w:val="18"/>
          <w:szCs w:val="18"/>
          <w:color w:val="auto"/>
          <w:vertAlign w:val="superscript"/>
        </w:rPr>
      </w:pPr>
      <w:r>
        <w:rPr>
          <w:rFonts w:ascii="Arial" w:cs="Arial" w:eastAsia="Arial" w:hAnsi="Arial"/>
          <w:sz w:val="12"/>
          <w:szCs w:val="12"/>
          <w:color w:val="auto"/>
        </w:rPr>
        <w:t>The weighted-average exercise price is not applicable to restricted stock awards.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336"/>
        </w:trPr>
        <w:tc>
          <w:tcPr>
            <w:tcW w:w="340" w:type="dxa"/>
            <w:vAlign w:val="bottom"/>
            <w:tcBorders>
              <w:right w:val="single" w:sz="8" w:color="225CAB"/>
            </w:tcBorders>
          </w:tcPr>
          <w:p>
            <w:pPr>
              <w:jc w:val="right"/>
              <w:ind w:right="52"/>
              <w:spacing w:after="0"/>
              <w:rPr>
                <w:sz w:val="20"/>
                <w:szCs w:val="20"/>
                <w:color w:val="auto"/>
              </w:rPr>
            </w:pPr>
            <w:r>
              <w:rPr>
                <w:rFonts w:ascii="Arial" w:cs="Arial" w:eastAsia="Arial" w:hAnsi="Arial"/>
                <w:sz w:val="18"/>
                <w:szCs w:val="18"/>
                <w:b w:val="1"/>
                <w:bCs w:val="1"/>
                <w:color w:val="225CAB"/>
                <w:w w:val="89"/>
              </w:rPr>
              <w:t>50</w:t>
            </w:r>
          </w:p>
        </w:tc>
        <w:tc>
          <w:tcPr>
            <w:tcW w:w="5180" w:type="dxa"/>
            <w:vAlign w:val="bottom"/>
          </w:tcPr>
          <w:p>
            <w:pPr>
              <w:ind w:left="1240"/>
              <w:spacing w:after="0"/>
              <w:rPr>
                <w:sz w:val="20"/>
                <w:szCs w:val="20"/>
                <w:color w:val="auto"/>
              </w:rPr>
            </w:pPr>
            <w:r>
              <w:rPr>
                <w:rFonts w:ascii="Arial" w:cs="Arial" w:eastAsia="Arial" w:hAnsi="Arial"/>
                <w:sz w:val="18"/>
                <w:szCs w:val="18"/>
                <w:b w:val="1"/>
                <w:bCs w:val="1"/>
                <w:color w:val="225CAB"/>
                <w:w w:val="96"/>
              </w:rPr>
              <w:t>Roper Technologies, Inc. 2016 Proxy Statement</w:t>
            </w:r>
          </w:p>
        </w:tc>
      </w:tr>
      <w:tr>
        <w:trPr>
          <w:trHeight w:val="110"/>
        </w:trPr>
        <w:tc>
          <w:tcPr>
            <w:tcW w:w="340" w:type="dxa"/>
            <w:vAlign w:val="bottom"/>
            <w:tcBorders>
              <w:right w:val="single" w:sz="8" w:color="225CAB"/>
            </w:tcBorders>
          </w:tcPr>
          <w:p>
            <w:pPr>
              <w:spacing w:after="0"/>
              <w:rPr>
                <w:sz w:val="9"/>
                <w:szCs w:val="9"/>
                <w:color w:val="auto"/>
              </w:rPr>
            </w:pPr>
          </w:p>
        </w:tc>
        <w:tc>
          <w:tcPr>
            <w:tcW w:w="518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-248285</wp:posOffset>
            </wp:positionV>
            <wp:extent cx="420370" cy="2057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spacing w:after="0"/>
        <w:rPr>
          <w:sz w:val="20"/>
          <w:szCs w:val="20"/>
          <w:color w:val="auto"/>
        </w:rPr>
      </w:pPr>
      <w:r>
        <w:rPr>
          <w:rFonts w:ascii="Arial" w:cs="Arial" w:eastAsia="Arial" w:hAnsi="Arial"/>
          <w:sz w:val="32"/>
          <w:szCs w:val="32"/>
          <w:color w:val="225CAB"/>
        </w:rPr>
        <w:t>ANNUAL MEETING AND VOTING INFORMATION</w:t>
      </w:r>
    </w:p>
    <w:p>
      <w:pPr>
        <w:spacing w:after="0" w:line="253"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Our company is soliciting the enclosed proxy for use at the 2016 Annual Meeting of Shareholders. This Proxy Statement and the enclosed proxy card are being mailed or otherwise made available to shareholders on or about April 26, 2016.</w:t>
      </w:r>
    </w:p>
    <w:p>
      <w:pPr>
        <w:spacing w:after="0" w:line="155"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We are concurrently mailing or making available to shareholders a copy of our 2015 Annual Report, which includes our Form 10-K for the year ended December 31, 2015. Our Form 10-K and its exhibits are available on the internet at www.sec.gov. The Annual Report and Form 10-K are not part of these proxy soliciting materials.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This Proxy Statement contains important information for you to consider when deciding how to vote. Please read this information carefully.</w:t>
      </w:r>
    </w:p>
    <w:p>
      <w:pPr>
        <w:sectPr>
          <w:pgSz w:w="11900" w:h="16838" w:orient="portrait"/>
          <w:cols w:equalWidth="0" w:num="1">
            <w:col w:w="11420"/>
          </w:cols>
          <w:pgMar w:left="240" w:top="459" w:right="239" w:bottom="1440" w:gutter="0" w:footer="0" w:header="0"/>
        </w:sectPr>
      </w:pP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225CAB"/>
        </w:rPr>
        <w:t>Q: When is the Annual Meeting?</w:t>
      </w:r>
    </w:p>
    <w:p>
      <w:pPr>
        <w:spacing w:after="0" w:line="87" w:lineRule="exact"/>
        <w:rPr>
          <w:sz w:val="20"/>
          <w:szCs w:val="20"/>
          <w:color w:val="auto"/>
        </w:rPr>
      </w:pPr>
    </w:p>
    <w:p>
      <w:pPr>
        <w:ind w:left="400" w:hanging="392"/>
        <w:spacing w:after="0"/>
        <w:tabs>
          <w:tab w:leader="none" w:pos="400" w:val="left"/>
        </w:tabs>
        <w:numPr>
          <w:ilvl w:val="0"/>
          <w:numId w:val="77"/>
        </w:numPr>
        <w:rPr>
          <w:rFonts w:ascii="Arial" w:cs="Arial" w:eastAsia="Arial" w:hAnsi="Arial"/>
          <w:sz w:val="18"/>
          <w:szCs w:val="18"/>
          <w:color w:val="225CAB"/>
        </w:rPr>
      </w:pPr>
      <w:r>
        <w:rPr>
          <w:rFonts w:ascii="Arial" w:cs="Arial" w:eastAsia="Arial" w:hAnsi="Arial"/>
          <w:sz w:val="18"/>
          <w:szCs w:val="18"/>
          <w:b w:val="1"/>
          <w:bCs w:val="1"/>
          <w:i w:val="1"/>
          <w:iCs w:val="1"/>
          <w:color w:val="auto"/>
        </w:rPr>
        <w:t>Date &amp; Time:</w:t>
      </w:r>
    </w:p>
    <w:p>
      <w:pPr>
        <w:spacing w:after="0" w:line="15" w:lineRule="exact"/>
        <w:rPr>
          <w:rFonts w:ascii="Arial" w:cs="Arial" w:eastAsia="Arial" w:hAnsi="Arial"/>
          <w:sz w:val="18"/>
          <w:szCs w:val="18"/>
          <w:color w:val="225CAB"/>
        </w:rPr>
      </w:pPr>
    </w:p>
    <w:p>
      <w:pPr>
        <w:jc w:val="both"/>
        <w:ind w:left="400" w:right="2440"/>
        <w:spacing w:after="0" w:line="299" w:lineRule="auto"/>
        <w:rPr>
          <w:rFonts w:ascii="Arial" w:cs="Arial" w:eastAsia="Arial" w:hAnsi="Arial"/>
          <w:sz w:val="18"/>
          <w:szCs w:val="18"/>
          <w:color w:val="225CAB"/>
        </w:rPr>
      </w:pPr>
      <w:r>
        <w:rPr>
          <w:rFonts w:ascii="Arial" w:cs="Arial" w:eastAsia="Arial" w:hAnsi="Arial"/>
          <w:sz w:val="16"/>
          <w:szCs w:val="16"/>
          <w:color w:val="auto"/>
        </w:rPr>
        <w:t>Friday, May 27, 2016 at 9:30 a.m. (and at any adjournments thereof)</w:t>
      </w:r>
    </w:p>
    <w:p>
      <w:pPr>
        <w:spacing w:after="0" w:line="7" w:lineRule="exact"/>
        <w:rPr>
          <w:rFonts w:ascii="Arial" w:cs="Arial" w:eastAsia="Arial" w:hAnsi="Arial"/>
          <w:sz w:val="18"/>
          <w:szCs w:val="18"/>
          <w:color w:val="225CAB"/>
        </w:rPr>
      </w:pPr>
    </w:p>
    <w:p>
      <w:pPr>
        <w:ind w:left="400"/>
        <w:spacing w:after="0"/>
        <w:rPr>
          <w:rFonts w:ascii="Arial" w:cs="Arial" w:eastAsia="Arial" w:hAnsi="Arial"/>
          <w:sz w:val="18"/>
          <w:szCs w:val="18"/>
          <w:color w:val="225CAB"/>
        </w:rPr>
      </w:pPr>
      <w:r>
        <w:rPr>
          <w:rFonts w:ascii="Arial" w:cs="Arial" w:eastAsia="Arial" w:hAnsi="Arial"/>
          <w:sz w:val="18"/>
          <w:szCs w:val="18"/>
          <w:b w:val="1"/>
          <w:bCs w:val="1"/>
          <w:i w:val="1"/>
          <w:iCs w:val="1"/>
          <w:color w:val="auto"/>
        </w:rPr>
        <w:t>Place:</w:t>
      </w:r>
    </w:p>
    <w:p>
      <w:pPr>
        <w:spacing w:after="0" w:line="15" w:lineRule="exact"/>
        <w:rPr>
          <w:rFonts w:ascii="Arial" w:cs="Arial" w:eastAsia="Arial" w:hAnsi="Arial"/>
          <w:sz w:val="18"/>
          <w:szCs w:val="18"/>
          <w:color w:val="225CAB"/>
        </w:rPr>
      </w:pPr>
    </w:p>
    <w:p>
      <w:pPr>
        <w:ind w:left="400"/>
        <w:spacing w:after="0" w:line="234" w:lineRule="auto"/>
        <w:rPr>
          <w:rFonts w:ascii="Arial" w:cs="Arial" w:eastAsia="Arial" w:hAnsi="Arial"/>
          <w:sz w:val="18"/>
          <w:szCs w:val="18"/>
          <w:color w:val="225CAB"/>
        </w:rPr>
      </w:pPr>
      <w:r>
        <w:rPr>
          <w:rFonts w:ascii="Arial" w:cs="Arial" w:eastAsia="Arial" w:hAnsi="Arial"/>
          <w:sz w:val="18"/>
          <w:szCs w:val="18"/>
          <w:color w:val="auto"/>
        </w:rPr>
        <w:t>Our corporate office located at:</w:t>
      </w:r>
    </w:p>
    <w:p>
      <w:pPr>
        <w:ind w:left="800" w:right="2120"/>
        <w:spacing w:after="0" w:line="234" w:lineRule="auto"/>
        <w:rPr>
          <w:rFonts w:ascii="Arial" w:cs="Arial" w:eastAsia="Arial" w:hAnsi="Arial"/>
          <w:sz w:val="18"/>
          <w:szCs w:val="18"/>
          <w:color w:val="225CAB"/>
        </w:rPr>
      </w:pPr>
      <w:r>
        <w:rPr>
          <w:rFonts w:ascii="Arial" w:cs="Arial" w:eastAsia="Arial" w:hAnsi="Arial"/>
          <w:sz w:val="18"/>
          <w:szCs w:val="18"/>
          <w:color w:val="auto"/>
        </w:rPr>
        <w:t>6901 Professional Parkway East, Suite 200,</w:t>
      </w:r>
    </w:p>
    <w:p>
      <w:pPr>
        <w:spacing w:after="0" w:line="1" w:lineRule="exact"/>
        <w:rPr>
          <w:rFonts w:ascii="Arial" w:cs="Arial" w:eastAsia="Arial" w:hAnsi="Arial"/>
          <w:sz w:val="18"/>
          <w:szCs w:val="18"/>
          <w:color w:val="225CAB"/>
        </w:rPr>
      </w:pPr>
    </w:p>
    <w:p>
      <w:pPr>
        <w:ind w:left="800"/>
        <w:spacing w:after="0"/>
        <w:rPr>
          <w:rFonts w:ascii="Arial" w:cs="Arial" w:eastAsia="Arial" w:hAnsi="Arial"/>
          <w:sz w:val="18"/>
          <w:szCs w:val="18"/>
          <w:color w:val="225CAB"/>
        </w:rPr>
      </w:pPr>
      <w:r>
        <w:rPr>
          <w:rFonts w:ascii="Arial" w:cs="Arial" w:eastAsia="Arial" w:hAnsi="Arial"/>
          <w:sz w:val="18"/>
          <w:szCs w:val="18"/>
          <w:color w:val="auto"/>
        </w:rPr>
        <w:t>Sarasota, Florida 34240</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225CAB"/>
        </w:rPr>
        <w:t>Q: What is the purpose of this meeting?</w:t>
      </w:r>
    </w:p>
    <w:p>
      <w:pPr>
        <w:spacing w:after="0" w:line="107" w:lineRule="exact"/>
        <w:rPr>
          <w:sz w:val="20"/>
          <w:szCs w:val="20"/>
          <w:color w:val="auto"/>
        </w:rPr>
      </w:pPr>
    </w:p>
    <w:p>
      <w:pPr>
        <w:ind w:left="400" w:right="140" w:hanging="392"/>
        <w:spacing w:after="0" w:line="239" w:lineRule="auto"/>
        <w:tabs>
          <w:tab w:leader="none" w:pos="400" w:val="left"/>
        </w:tabs>
        <w:numPr>
          <w:ilvl w:val="0"/>
          <w:numId w:val="78"/>
        </w:numPr>
        <w:rPr>
          <w:rFonts w:ascii="Arial" w:cs="Arial" w:eastAsia="Arial" w:hAnsi="Arial"/>
          <w:sz w:val="18"/>
          <w:szCs w:val="18"/>
          <w:color w:val="225CAB"/>
        </w:rPr>
      </w:pPr>
      <w:r>
        <w:rPr>
          <w:rFonts w:ascii="Arial" w:cs="Arial" w:eastAsia="Arial" w:hAnsi="Arial"/>
          <w:sz w:val="18"/>
          <w:szCs w:val="18"/>
          <w:color w:val="auto"/>
        </w:rPr>
        <w:t>This is the Annual Meeting of our shareholders. At this meeting, we will be voting on the following matters:</w:t>
      </w:r>
    </w:p>
    <w:p>
      <w:pPr>
        <w:spacing w:after="0" w:line="73" w:lineRule="exact"/>
        <w:rPr>
          <w:rFonts w:ascii="Arial" w:cs="Arial" w:eastAsia="Arial" w:hAnsi="Arial"/>
          <w:sz w:val="18"/>
          <w:szCs w:val="18"/>
          <w:color w:val="225CAB"/>
        </w:rPr>
      </w:pPr>
    </w:p>
    <w:p>
      <w:pPr>
        <w:ind w:left="780" w:hanging="380"/>
        <w:spacing w:after="0"/>
        <w:tabs>
          <w:tab w:leader="none" w:pos="780" w:val="left"/>
        </w:tabs>
        <w:numPr>
          <w:ilvl w:val="1"/>
          <w:numId w:val="78"/>
        </w:numPr>
        <w:rPr>
          <w:rFonts w:ascii="Arial" w:cs="Arial" w:eastAsia="Arial" w:hAnsi="Arial"/>
          <w:sz w:val="18"/>
          <w:szCs w:val="18"/>
          <w:color w:val="auto"/>
        </w:rPr>
      </w:pPr>
      <w:r>
        <w:rPr>
          <w:rFonts w:ascii="Arial" w:cs="Arial" w:eastAsia="Arial" w:hAnsi="Arial"/>
          <w:sz w:val="18"/>
          <w:szCs w:val="18"/>
          <w:color w:val="auto"/>
        </w:rPr>
        <w:t>The election of nine directors;</w:t>
      </w:r>
    </w:p>
    <w:p>
      <w:pPr>
        <w:spacing w:after="0" w:line="76" w:lineRule="exact"/>
        <w:rPr>
          <w:rFonts w:ascii="Arial" w:cs="Arial" w:eastAsia="Arial" w:hAnsi="Arial"/>
          <w:sz w:val="18"/>
          <w:szCs w:val="18"/>
          <w:color w:val="auto"/>
        </w:rPr>
      </w:pPr>
    </w:p>
    <w:p>
      <w:pPr>
        <w:ind w:left="780" w:right="900" w:hanging="380"/>
        <w:spacing w:after="0" w:line="299" w:lineRule="auto"/>
        <w:tabs>
          <w:tab w:leader="none" w:pos="780" w:val="left"/>
        </w:tabs>
        <w:numPr>
          <w:ilvl w:val="1"/>
          <w:numId w:val="78"/>
        </w:numPr>
        <w:rPr>
          <w:rFonts w:ascii="Arial" w:cs="Arial" w:eastAsia="Arial" w:hAnsi="Arial"/>
          <w:sz w:val="16"/>
          <w:szCs w:val="16"/>
          <w:color w:val="auto"/>
        </w:rPr>
      </w:pPr>
      <w:r>
        <w:rPr>
          <w:rFonts w:ascii="Arial" w:cs="Arial" w:eastAsia="Arial" w:hAnsi="Arial"/>
          <w:sz w:val="16"/>
          <w:szCs w:val="16"/>
          <w:color w:val="auto"/>
        </w:rPr>
        <w:t>Approval of, on a non-binding advisory basis, the compensation of our named executive officers;</w:t>
      </w:r>
    </w:p>
    <w:p>
      <w:pPr>
        <w:spacing w:after="0" w:line="27" w:lineRule="exact"/>
        <w:rPr>
          <w:rFonts w:ascii="Arial" w:cs="Arial" w:eastAsia="Arial" w:hAnsi="Arial"/>
          <w:sz w:val="16"/>
          <w:szCs w:val="16"/>
          <w:color w:val="auto"/>
        </w:rPr>
      </w:pPr>
    </w:p>
    <w:p>
      <w:pPr>
        <w:ind w:left="780" w:right="20" w:hanging="380"/>
        <w:spacing w:after="0" w:line="238" w:lineRule="auto"/>
        <w:tabs>
          <w:tab w:leader="none" w:pos="780" w:val="left"/>
        </w:tabs>
        <w:numPr>
          <w:ilvl w:val="1"/>
          <w:numId w:val="78"/>
        </w:numPr>
        <w:rPr>
          <w:rFonts w:ascii="Arial" w:cs="Arial" w:eastAsia="Arial" w:hAnsi="Arial"/>
          <w:sz w:val="18"/>
          <w:szCs w:val="18"/>
          <w:color w:val="auto"/>
        </w:rPr>
      </w:pPr>
      <w:r>
        <w:rPr>
          <w:rFonts w:ascii="Arial" w:cs="Arial" w:eastAsia="Arial" w:hAnsi="Arial"/>
          <w:sz w:val="18"/>
          <w:szCs w:val="18"/>
          <w:color w:val="auto"/>
        </w:rPr>
        <w:t>Ratification of the appointment of PricewaterhouseCoopers LLP as our independent registered accounting firm for 2016; and</w:t>
      </w:r>
    </w:p>
    <w:p>
      <w:pPr>
        <w:spacing w:after="0" w:line="72" w:lineRule="exact"/>
        <w:rPr>
          <w:rFonts w:ascii="Arial" w:cs="Arial" w:eastAsia="Arial" w:hAnsi="Arial"/>
          <w:sz w:val="18"/>
          <w:szCs w:val="18"/>
          <w:color w:val="auto"/>
        </w:rPr>
      </w:pPr>
    </w:p>
    <w:p>
      <w:pPr>
        <w:ind w:left="780" w:right="340" w:hanging="380"/>
        <w:spacing w:after="0" w:line="239" w:lineRule="auto"/>
        <w:tabs>
          <w:tab w:leader="none" w:pos="780" w:val="left"/>
        </w:tabs>
        <w:numPr>
          <w:ilvl w:val="1"/>
          <w:numId w:val="78"/>
        </w:numPr>
        <w:rPr>
          <w:rFonts w:ascii="Arial" w:cs="Arial" w:eastAsia="Arial" w:hAnsi="Arial"/>
          <w:sz w:val="18"/>
          <w:szCs w:val="18"/>
          <w:color w:val="auto"/>
        </w:rPr>
      </w:pPr>
      <w:r>
        <w:rPr>
          <w:rFonts w:ascii="Arial" w:cs="Arial" w:eastAsia="Arial" w:hAnsi="Arial"/>
          <w:sz w:val="18"/>
          <w:szCs w:val="18"/>
          <w:color w:val="auto"/>
        </w:rPr>
        <w:t>Approval of the Roper Technologies, Inc. 2016 Incentive Plan.</w:t>
      </w:r>
    </w:p>
    <w:p>
      <w:pPr>
        <w:spacing w:after="0" w:line="74" w:lineRule="exact"/>
        <w:rPr>
          <w:sz w:val="20"/>
          <w:szCs w:val="20"/>
          <w:color w:val="auto"/>
        </w:rPr>
      </w:pPr>
    </w:p>
    <w:p>
      <w:pPr>
        <w:ind w:left="400" w:right="80"/>
        <w:spacing w:after="0" w:line="239" w:lineRule="auto"/>
        <w:rPr>
          <w:sz w:val="20"/>
          <w:szCs w:val="20"/>
          <w:color w:val="auto"/>
        </w:rPr>
      </w:pPr>
      <w:r>
        <w:rPr>
          <w:rFonts w:ascii="Arial" w:cs="Arial" w:eastAsia="Arial" w:hAnsi="Arial"/>
          <w:sz w:val="18"/>
          <w:szCs w:val="18"/>
          <w:color w:val="auto"/>
        </w:rPr>
        <w:t>We will also transact any other business properly brought before the meeting.</w:t>
      </w:r>
    </w:p>
    <w:p>
      <w:pPr>
        <w:spacing w:after="0" w:line="74" w:lineRule="exact"/>
        <w:rPr>
          <w:sz w:val="20"/>
          <w:szCs w:val="20"/>
          <w:color w:val="auto"/>
        </w:rPr>
      </w:pPr>
    </w:p>
    <w:p>
      <w:pPr>
        <w:ind w:left="400"/>
        <w:spacing w:after="0" w:line="236" w:lineRule="auto"/>
        <w:rPr>
          <w:sz w:val="20"/>
          <w:szCs w:val="20"/>
          <w:color w:val="auto"/>
        </w:rPr>
      </w:pPr>
      <w:r>
        <w:rPr>
          <w:rFonts w:ascii="Arial" w:cs="Arial" w:eastAsia="Arial" w:hAnsi="Arial"/>
          <w:sz w:val="18"/>
          <w:szCs w:val="18"/>
          <w:color w:val="auto"/>
        </w:rPr>
        <w:t>Our Board of Directors strongly encourages you to exercise your right to vote on these matters. Your vote is important. Voting early through the internet, by telephone or by a proxy or voting instruction card helps ensure that we receive a quorum of shares necessary to hold the meeting.</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ind w:left="392" w:right="140" w:hanging="392"/>
        <w:spacing w:after="0" w:line="261" w:lineRule="auto"/>
        <w:tabs>
          <w:tab w:leader="none" w:pos="392" w:val="left"/>
        </w:tabs>
        <w:numPr>
          <w:ilvl w:val="0"/>
          <w:numId w:val="79"/>
        </w:numPr>
        <w:rPr>
          <w:rFonts w:ascii="Arial" w:cs="Arial" w:eastAsia="Arial" w:hAnsi="Arial"/>
          <w:sz w:val="22"/>
          <w:szCs w:val="22"/>
          <w:b w:val="1"/>
          <w:bCs w:val="1"/>
          <w:color w:val="225CAB"/>
        </w:rPr>
      </w:pPr>
      <w:r>
        <w:rPr>
          <w:rFonts w:ascii="Arial" w:cs="Arial" w:eastAsia="Arial" w:hAnsi="Arial"/>
          <w:sz w:val="22"/>
          <w:szCs w:val="22"/>
          <w:b w:val="1"/>
          <w:bCs w:val="1"/>
          <w:color w:val="225CAB"/>
        </w:rPr>
        <w:t>What happens if additional matters are presented at the Annual Meeting?</w:t>
      </w:r>
    </w:p>
    <w:p>
      <w:pPr>
        <w:spacing w:after="0" w:line="53" w:lineRule="exact"/>
        <w:rPr>
          <w:sz w:val="20"/>
          <w:szCs w:val="20"/>
          <w:color w:val="auto"/>
        </w:rPr>
      </w:pPr>
    </w:p>
    <w:p>
      <w:pPr>
        <w:ind w:left="392" w:right="120" w:hanging="392"/>
        <w:spacing w:after="0" w:line="268" w:lineRule="auto"/>
        <w:tabs>
          <w:tab w:leader="none" w:pos="392" w:val="left"/>
        </w:tabs>
        <w:numPr>
          <w:ilvl w:val="0"/>
          <w:numId w:val="80"/>
        </w:numPr>
        <w:rPr>
          <w:rFonts w:ascii="Arial" w:cs="Arial" w:eastAsia="Arial" w:hAnsi="Arial"/>
          <w:sz w:val="16"/>
          <w:szCs w:val="16"/>
          <w:color w:val="225CAB"/>
        </w:rPr>
      </w:pPr>
      <w:r>
        <w:rPr>
          <w:rFonts w:ascii="Arial" w:cs="Arial" w:eastAsia="Arial" w:hAnsi="Arial"/>
          <w:sz w:val="16"/>
          <w:szCs w:val="16"/>
          <w:color w:val="auto"/>
        </w:rPr>
        <w:t>We are not aware of any matters to be acted upon at the Annual Meeting other than the proposals described in this Proxy Statement. The Board of Directors has named Brian D. Jellison and David B. Liner as proxy holders for this Annual Meeting. If you submit a properly executed proxy, the proxy holders will have the discretion to vote your shares on any additional matters properly presented for a vote at the Annual Meeting or at any adjournment or postponement of the meeting. If for any reason a director nominee is not available as a candidate, the proxy holders may vote your shares for another candidate who may be nominated by the Board, or the Board may reduce its size.</w:t>
      </w:r>
    </w:p>
    <w:p>
      <w:pPr>
        <w:spacing w:after="0" w:line="254" w:lineRule="exact"/>
        <w:rPr>
          <w:rFonts w:ascii="Arial" w:cs="Arial" w:eastAsia="Arial" w:hAnsi="Arial"/>
          <w:sz w:val="16"/>
          <w:szCs w:val="16"/>
          <w:color w:val="225CAB"/>
        </w:rPr>
      </w:pPr>
    </w:p>
    <w:p>
      <w:pPr>
        <w:ind w:left="392" w:right="260"/>
        <w:spacing w:after="0" w:line="236" w:lineRule="auto"/>
        <w:rPr>
          <w:rFonts w:ascii="Arial" w:cs="Arial" w:eastAsia="Arial" w:hAnsi="Arial"/>
          <w:sz w:val="16"/>
          <w:szCs w:val="16"/>
          <w:color w:val="225CAB"/>
        </w:rPr>
      </w:pPr>
      <w:r>
        <w:rPr>
          <w:rFonts w:ascii="Arial" w:cs="Arial" w:eastAsia="Arial" w:hAnsi="Arial"/>
          <w:sz w:val="18"/>
          <w:szCs w:val="18"/>
          <w:color w:val="auto"/>
        </w:rPr>
        <w:t>All shares of our common stock represented by properly executed and unrevoked proxies will be voted by the person named as proxy holder in accordance with the instruction given. If no instructions are indicated on a proxy, properly executed proxies will be voted as follows:</w:t>
      </w:r>
    </w:p>
    <w:p>
      <w:pPr>
        <w:spacing w:after="0" w:line="56" w:lineRule="exact"/>
        <w:rPr>
          <w:rFonts w:ascii="Arial" w:cs="Arial" w:eastAsia="Arial" w:hAnsi="Arial"/>
          <w:sz w:val="16"/>
          <w:szCs w:val="16"/>
          <w:color w:val="225CAB"/>
        </w:rPr>
      </w:pPr>
    </w:p>
    <w:p>
      <w:pPr>
        <w:ind w:left="392"/>
        <w:spacing w:after="0"/>
        <w:rPr>
          <w:rFonts w:ascii="Arial" w:cs="Arial" w:eastAsia="Arial" w:hAnsi="Arial"/>
          <w:sz w:val="16"/>
          <w:szCs w:val="16"/>
          <w:color w:val="225CAB"/>
        </w:rPr>
      </w:pPr>
      <w:r>
        <w:rPr>
          <w:rFonts w:ascii="Arial" w:cs="Arial" w:eastAsia="Arial" w:hAnsi="Arial"/>
          <w:sz w:val="18"/>
          <w:szCs w:val="18"/>
          <w:b w:val="1"/>
          <w:bCs w:val="1"/>
          <w:i w:val="1"/>
          <w:iCs w:val="1"/>
          <w:color w:val="auto"/>
        </w:rPr>
        <w:t xml:space="preserve">FOR </w:t>
      </w:r>
      <w:r>
        <w:rPr>
          <w:rFonts w:ascii="Arial" w:cs="Arial" w:eastAsia="Arial" w:hAnsi="Arial"/>
          <w:sz w:val="18"/>
          <w:szCs w:val="18"/>
          <w:color w:val="auto"/>
        </w:rPr>
        <w:t>each director nominee;</w:t>
      </w:r>
    </w:p>
    <w:p>
      <w:pPr>
        <w:spacing w:after="0" w:line="76" w:lineRule="exact"/>
        <w:rPr>
          <w:rFonts w:ascii="Arial" w:cs="Arial" w:eastAsia="Arial" w:hAnsi="Arial"/>
          <w:sz w:val="16"/>
          <w:szCs w:val="16"/>
          <w:color w:val="225CAB"/>
        </w:rPr>
      </w:pPr>
    </w:p>
    <w:p>
      <w:pPr>
        <w:ind w:left="392"/>
        <w:spacing w:after="0"/>
        <w:rPr>
          <w:rFonts w:ascii="Arial" w:cs="Arial" w:eastAsia="Arial" w:hAnsi="Arial"/>
          <w:sz w:val="16"/>
          <w:szCs w:val="16"/>
          <w:color w:val="225CAB"/>
        </w:rPr>
      </w:pPr>
      <w:r>
        <w:rPr>
          <w:rFonts w:ascii="Arial" w:cs="Arial" w:eastAsia="Arial" w:hAnsi="Arial"/>
          <w:sz w:val="18"/>
          <w:szCs w:val="18"/>
          <w:b w:val="1"/>
          <w:bCs w:val="1"/>
          <w:i w:val="1"/>
          <w:iCs w:val="1"/>
          <w:color w:val="auto"/>
        </w:rPr>
        <w:t xml:space="preserve">FOR </w:t>
      </w:r>
      <w:r>
        <w:rPr>
          <w:rFonts w:ascii="Arial" w:cs="Arial" w:eastAsia="Arial" w:hAnsi="Arial"/>
          <w:sz w:val="18"/>
          <w:szCs w:val="18"/>
          <w:color w:val="auto"/>
        </w:rPr>
        <w:t>the advisory approval of our executive compensation;</w:t>
      </w:r>
    </w:p>
    <w:p>
      <w:pPr>
        <w:spacing w:after="0" w:line="76" w:lineRule="exact"/>
        <w:rPr>
          <w:rFonts w:ascii="Arial" w:cs="Arial" w:eastAsia="Arial" w:hAnsi="Arial"/>
          <w:sz w:val="16"/>
          <w:szCs w:val="16"/>
          <w:color w:val="225CAB"/>
        </w:rPr>
      </w:pPr>
    </w:p>
    <w:p>
      <w:pPr>
        <w:ind w:left="392" w:right="840"/>
        <w:spacing w:after="0" w:line="248" w:lineRule="auto"/>
        <w:rPr>
          <w:rFonts w:ascii="Arial" w:cs="Arial" w:eastAsia="Arial" w:hAnsi="Arial"/>
          <w:sz w:val="16"/>
          <w:szCs w:val="16"/>
          <w:color w:val="225CAB"/>
        </w:rPr>
      </w:pPr>
      <w:r>
        <w:rPr>
          <w:rFonts w:ascii="Arial" w:cs="Arial" w:eastAsia="Arial" w:hAnsi="Arial"/>
          <w:sz w:val="18"/>
          <w:szCs w:val="18"/>
          <w:b w:val="1"/>
          <w:bCs w:val="1"/>
          <w:i w:val="1"/>
          <w:iCs w:val="1"/>
          <w:color w:val="auto"/>
        </w:rPr>
        <w:t xml:space="preserve">FOR </w:t>
      </w:r>
      <w:r>
        <w:rPr>
          <w:rFonts w:ascii="Arial" w:cs="Arial" w:eastAsia="Arial" w:hAnsi="Arial"/>
          <w:sz w:val="18"/>
          <w:szCs w:val="18"/>
          <w:color w:val="auto"/>
        </w:rPr>
        <w:t>the ratification of the appointment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PricewaterhouseCoopers as our independent registered accounting firm; and</w:t>
      </w:r>
    </w:p>
    <w:p>
      <w:pPr>
        <w:spacing w:after="0" w:line="47" w:lineRule="exact"/>
        <w:rPr>
          <w:rFonts w:ascii="Arial" w:cs="Arial" w:eastAsia="Arial" w:hAnsi="Arial"/>
          <w:sz w:val="16"/>
          <w:szCs w:val="16"/>
          <w:color w:val="225CAB"/>
        </w:rPr>
      </w:pPr>
    </w:p>
    <w:p>
      <w:pPr>
        <w:ind w:left="392" w:right="440"/>
        <w:spacing w:after="0" w:line="262" w:lineRule="auto"/>
        <w:rPr>
          <w:rFonts w:ascii="Arial" w:cs="Arial" w:eastAsia="Arial" w:hAnsi="Arial"/>
          <w:sz w:val="16"/>
          <w:szCs w:val="16"/>
          <w:color w:val="225CAB"/>
        </w:rPr>
      </w:pPr>
      <w:r>
        <w:rPr>
          <w:rFonts w:ascii="Arial" w:cs="Arial" w:eastAsia="Arial" w:hAnsi="Arial"/>
          <w:sz w:val="18"/>
          <w:szCs w:val="18"/>
          <w:b w:val="1"/>
          <w:bCs w:val="1"/>
          <w:i w:val="1"/>
          <w:iCs w:val="1"/>
          <w:color w:val="auto"/>
        </w:rPr>
        <w:t xml:space="preserve">FOR </w:t>
      </w:r>
      <w:r>
        <w:rPr>
          <w:rFonts w:ascii="Arial" w:cs="Arial" w:eastAsia="Arial" w:hAnsi="Arial"/>
          <w:sz w:val="18"/>
          <w:szCs w:val="18"/>
          <w:color w:val="auto"/>
        </w:rPr>
        <w:t>approval of the Roper Technologies, Inc. 2016 Incentive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w:t>
      </w:r>
    </w:p>
    <w:p>
      <w:pPr>
        <w:spacing w:after="0" w:line="1028" w:lineRule="exact"/>
        <w:rPr>
          <w:sz w:val="20"/>
          <w:szCs w:val="20"/>
          <w:color w:val="auto"/>
        </w:rPr>
      </w:pPr>
    </w:p>
    <w:p>
      <w:pPr>
        <w:sectPr>
          <w:pgSz w:w="11900" w:h="16838" w:orient="portrait"/>
          <w:cols w:equalWidth="0" w:num="2">
            <w:col w:w="5480" w:space="348"/>
            <w:col w:w="5592"/>
          </w:cols>
          <w:pgMar w:left="240" w:top="459" w:right="239" w:bottom="1440" w:gutter="0" w:footer="0" w:header="0"/>
          <w:type w:val="continuous"/>
        </w:sectPr>
      </w:pPr>
    </w:p>
    <w:p>
      <w:pPr>
        <w:spacing w:after="0" w:line="89" w:lineRule="exact"/>
        <w:rPr>
          <w:sz w:val="20"/>
          <w:szCs w:val="20"/>
          <w:color w:val="auto"/>
        </w:rPr>
      </w:pPr>
    </w:p>
    <w:tbl>
      <w:tblPr>
        <w:tblLayout w:type="fixed"/>
        <w:tblInd w:w="6900" w:type="dxa"/>
        <w:tblCellMar>
          <w:top w:w="0" w:type="dxa"/>
          <w:left w:w="0" w:type="dxa"/>
          <w:bottom w:w="0" w:type="dxa"/>
          <w:right w:w="0" w:type="dxa"/>
        </w:tblCellMar>
      </w:tblPr>
      <w:tr>
        <w:trPr>
          <w:trHeight w:val="309"/>
        </w:trPr>
        <w:tc>
          <w:tcPr>
            <w:tcW w:w="4080" w:type="dxa"/>
            <w:vAlign w:val="bottom"/>
            <w:tcBorders>
              <w:right w:val="single" w:sz="8" w:color="225CAB"/>
            </w:tcBorders>
          </w:tcPr>
          <w:p>
            <w:pPr>
              <w:spacing w:after="0"/>
              <w:rPr>
                <w:sz w:val="20"/>
                <w:szCs w:val="20"/>
                <w:color w:val="auto"/>
              </w:rPr>
            </w:pPr>
            <w:r>
              <w:rPr>
                <w:rFonts w:ascii="Arial" w:cs="Arial" w:eastAsia="Arial" w:hAnsi="Arial"/>
                <w:sz w:val="18"/>
                <w:szCs w:val="18"/>
                <w:b w:val="1"/>
                <w:bCs w:val="1"/>
                <w:color w:val="225CAB"/>
                <w:w w:val="99"/>
              </w:rPr>
              <w:t>Roper Technologies, Inc. 2016 Proxy Statement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225CAB"/>
              </w:rPr>
              <w:t>51</w:t>
            </w:r>
          </w:p>
        </w:tc>
      </w:tr>
      <w:tr>
        <w:trPr>
          <w:trHeight w:val="83"/>
        </w:trPr>
        <w:tc>
          <w:tcPr>
            <w:tcW w:w="4080" w:type="dxa"/>
            <w:vAlign w:val="bottom"/>
            <w:tcBorders>
              <w:right w:val="single" w:sz="8" w:color="225CAB"/>
            </w:tcBorders>
          </w:tcPr>
          <w:p>
            <w:pPr>
              <w:spacing w:after="0"/>
              <w:rPr>
                <w:sz w:val="7"/>
                <w:szCs w:val="7"/>
                <w:color w:val="auto"/>
              </w:rPr>
            </w:pPr>
          </w:p>
        </w:tc>
        <w:tc>
          <w:tcPr>
            <w:tcW w:w="44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-213995</wp:posOffset>
            </wp:positionV>
            <wp:extent cx="420370" cy="2057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type w:val="continuous"/>
        </w:sectPr>
      </w:pPr>
    </w:p>
    <w:bookmarkStart w:id="60" w:name="page61"/>
    <w:bookmarkEnd w:id="6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225CAB"/>
        </w:rPr>
        <w:t xml:space="preserve">ANNUAL MEETING AND VOTING INFORMATION </w:t>
      </w:r>
      <w:r>
        <w:rPr>
          <w:rFonts w:ascii="Arial" w:cs="Arial" w:eastAsia="Arial" w:hAnsi="Arial"/>
          <w:sz w:val="18"/>
          <w:szCs w:val="18"/>
          <w:i w:val="1"/>
          <w:iCs w:val="1"/>
          <w:color w:val="225CAB"/>
        </w:rPr>
        <w:t>(CONTINUED)</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225CAB"/>
        </w:rPr>
        <w:t>Q: Who may vote at the Annual Meeting?</w:t>
      </w:r>
    </w:p>
    <w:p>
      <w:pPr>
        <w:spacing w:after="0" w:line="107" w:lineRule="exact"/>
        <w:rPr>
          <w:sz w:val="20"/>
          <w:szCs w:val="20"/>
          <w:color w:val="auto"/>
        </w:rPr>
      </w:pPr>
    </w:p>
    <w:p>
      <w:pPr>
        <w:ind w:left="400" w:right="220" w:hanging="392"/>
        <w:spacing w:after="0" w:line="236" w:lineRule="auto"/>
        <w:tabs>
          <w:tab w:leader="none" w:pos="400" w:val="left"/>
        </w:tabs>
        <w:numPr>
          <w:ilvl w:val="0"/>
          <w:numId w:val="81"/>
        </w:numPr>
        <w:rPr>
          <w:rFonts w:ascii="Arial" w:cs="Arial" w:eastAsia="Arial" w:hAnsi="Arial"/>
          <w:sz w:val="18"/>
          <w:szCs w:val="18"/>
          <w:color w:val="225CAB"/>
        </w:rPr>
      </w:pPr>
      <w:r>
        <w:rPr>
          <w:rFonts w:ascii="Arial" w:cs="Arial" w:eastAsia="Arial" w:hAnsi="Arial"/>
          <w:sz w:val="18"/>
          <w:szCs w:val="18"/>
          <w:color w:val="auto"/>
        </w:rPr>
        <w:t>Only shareholders of record at the close of business on the record date will be entitled to vote at the Annual Meeting or any adjourned meeting, and these shareholders will be entitled to vote whether or not they have transferred any of their shares of Roper common stock since that date.</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color w:val="225CAB"/>
        </w:rPr>
        <w:t>Q: What is the record date?</w:t>
      </w:r>
    </w:p>
    <w:p>
      <w:pPr>
        <w:spacing w:after="0" w:line="107" w:lineRule="exact"/>
        <w:rPr>
          <w:sz w:val="20"/>
          <w:szCs w:val="20"/>
          <w:color w:val="auto"/>
        </w:rPr>
      </w:pPr>
    </w:p>
    <w:p>
      <w:pPr>
        <w:ind w:left="400" w:right="100" w:hanging="392"/>
        <w:spacing w:after="0" w:line="269" w:lineRule="auto"/>
        <w:tabs>
          <w:tab w:leader="none" w:pos="400" w:val="left"/>
        </w:tabs>
        <w:numPr>
          <w:ilvl w:val="0"/>
          <w:numId w:val="82"/>
        </w:numPr>
        <w:rPr>
          <w:rFonts w:ascii="Arial" w:cs="Arial" w:eastAsia="Arial" w:hAnsi="Arial"/>
          <w:sz w:val="16"/>
          <w:szCs w:val="16"/>
          <w:color w:val="225CAB"/>
        </w:rPr>
      </w:pPr>
      <w:r>
        <w:rPr>
          <w:rFonts w:ascii="Arial" w:cs="Arial" w:eastAsia="Arial" w:hAnsi="Arial"/>
          <w:sz w:val="16"/>
          <w:szCs w:val="16"/>
          <w:color w:val="auto"/>
        </w:rPr>
        <w:t>Our Board has established the close of business on March 29, 2016 as the record date to determine the shareholders of record entitled to receive a notice of, and to vote at, our Annual Meeting or any adjournment or postponement of the meeting. On the record date, there were 101,186,133 shares of our common stock, $1 par value, outstanding and entitled to vote. Each share of our common stock is entitled to one vote that may be voted on each matter to be acted upon at this Annual Meeting.</w:t>
      </w:r>
    </w:p>
    <w:p>
      <w:pPr>
        <w:spacing w:after="0" w:line="138" w:lineRule="exact"/>
        <w:rPr>
          <w:sz w:val="20"/>
          <w:szCs w:val="20"/>
          <w:color w:val="auto"/>
        </w:rPr>
      </w:pPr>
    </w:p>
    <w:p>
      <w:pPr>
        <w:spacing w:after="0"/>
        <w:rPr>
          <w:sz w:val="20"/>
          <w:szCs w:val="20"/>
          <w:color w:val="auto"/>
        </w:rPr>
      </w:pPr>
      <w:r>
        <w:rPr>
          <w:rFonts w:ascii="Arial" w:cs="Arial" w:eastAsia="Arial" w:hAnsi="Arial"/>
          <w:sz w:val="22"/>
          <w:szCs w:val="22"/>
          <w:b w:val="1"/>
          <w:bCs w:val="1"/>
          <w:color w:val="225CAB"/>
        </w:rPr>
        <w:t>Q: What is a shareholder of record?</w:t>
      </w:r>
    </w:p>
    <w:p>
      <w:pPr>
        <w:spacing w:after="0" w:line="107" w:lineRule="exact"/>
        <w:rPr>
          <w:sz w:val="20"/>
          <w:szCs w:val="20"/>
          <w:color w:val="auto"/>
        </w:rPr>
      </w:pPr>
    </w:p>
    <w:p>
      <w:pPr>
        <w:ind w:left="400" w:right="40" w:hanging="392"/>
        <w:spacing w:after="0" w:line="236" w:lineRule="auto"/>
        <w:tabs>
          <w:tab w:leader="none" w:pos="400" w:val="left"/>
        </w:tabs>
        <w:numPr>
          <w:ilvl w:val="0"/>
          <w:numId w:val="83"/>
        </w:numPr>
        <w:rPr>
          <w:rFonts w:ascii="Arial" w:cs="Arial" w:eastAsia="Arial" w:hAnsi="Arial"/>
          <w:sz w:val="18"/>
          <w:szCs w:val="18"/>
          <w:color w:val="225CAB"/>
        </w:rPr>
      </w:pPr>
      <w:r>
        <w:rPr>
          <w:rFonts w:ascii="Arial" w:cs="Arial" w:eastAsia="Arial" w:hAnsi="Arial"/>
          <w:sz w:val="18"/>
          <w:szCs w:val="18"/>
          <w:color w:val="auto"/>
        </w:rPr>
        <w:t>A shareholder of record or a registered shareholder is a shareholder whose ownership of Roper Technologies, Inc. common stock is reflected directly on the books and records of our transfer agent, American Stock Transfer &amp; Trust Company. If you are a shareholder of record, we are providing these materials directly to you.</w:t>
      </w:r>
    </w:p>
    <w:p>
      <w:pPr>
        <w:spacing w:after="0" w:line="75" w:lineRule="exact"/>
        <w:rPr>
          <w:rFonts w:ascii="Arial" w:cs="Arial" w:eastAsia="Arial" w:hAnsi="Arial"/>
          <w:sz w:val="18"/>
          <w:szCs w:val="18"/>
          <w:color w:val="225CAB"/>
        </w:rPr>
      </w:pPr>
    </w:p>
    <w:p>
      <w:pPr>
        <w:ind w:left="400" w:right="100"/>
        <w:spacing w:after="0" w:line="269" w:lineRule="auto"/>
        <w:rPr>
          <w:rFonts w:ascii="Arial" w:cs="Arial" w:eastAsia="Arial" w:hAnsi="Arial"/>
          <w:sz w:val="18"/>
          <w:szCs w:val="18"/>
          <w:color w:val="225CAB"/>
        </w:rPr>
      </w:pPr>
      <w:r>
        <w:rPr>
          <w:rFonts w:ascii="Arial" w:cs="Arial" w:eastAsia="Arial" w:hAnsi="Arial"/>
          <w:sz w:val="16"/>
          <w:szCs w:val="16"/>
          <w:color w:val="auto"/>
        </w:rPr>
        <w:t>If you hold your shares of common stock through a bank, broker, or other intermediary, you are considered the “beneficial owner” of those shares held in “street name,” and you are not a shareholder of record. The shareholder of record of the shares is your bank, broker, or other intermediary. If your shares are held in street name, these proxy materials have been forwarded to you by your bank, broker, or other intermediary. As the beneficial owner, you have the right to instruct that institution on how to vote the shares you beneficially own.</w:t>
      </w:r>
    </w:p>
    <w:p>
      <w:pPr>
        <w:spacing w:after="0" w:line="340" w:lineRule="exact"/>
        <w:rPr>
          <w:sz w:val="20"/>
          <w:szCs w:val="20"/>
          <w:color w:val="auto"/>
        </w:rPr>
      </w:pPr>
    </w:p>
    <w:p>
      <w:pPr>
        <w:spacing w:after="0"/>
        <w:rPr>
          <w:sz w:val="20"/>
          <w:szCs w:val="20"/>
          <w:color w:val="auto"/>
        </w:rPr>
      </w:pPr>
      <w:r>
        <w:rPr>
          <w:rFonts w:ascii="Arial" w:cs="Arial" w:eastAsia="Arial" w:hAnsi="Arial"/>
          <w:sz w:val="22"/>
          <w:szCs w:val="22"/>
          <w:b w:val="1"/>
          <w:bCs w:val="1"/>
          <w:color w:val="225CAB"/>
        </w:rPr>
        <w:t>Q: How can I submit my vote?</w:t>
      </w:r>
    </w:p>
    <w:p>
      <w:pPr>
        <w:spacing w:after="0" w:line="107" w:lineRule="exact"/>
        <w:rPr>
          <w:sz w:val="20"/>
          <w:szCs w:val="20"/>
          <w:color w:val="auto"/>
        </w:rPr>
      </w:pPr>
    </w:p>
    <w:p>
      <w:pPr>
        <w:ind w:left="400" w:right="100" w:hanging="392"/>
        <w:spacing w:after="0" w:line="238" w:lineRule="auto"/>
        <w:tabs>
          <w:tab w:leader="none" w:pos="400" w:val="left"/>
        </w:tabs>
        <w:numPr>
          <w:ilvl w:val="0"/>
          <w:numId w:val="84"/>
        </w:numPr>
        <w:rPr>
          <w:rFonts w:ascii="Arial" w:cs="Arial" w:eastAsia="Arial" w:hAnsi="Arial"/>
          <w:sz w:val="18"/>
          <w:szCs w:val="18"/>
          <w:color w:val="225CAB"/>
        </w:rPr>
      </w:pPr>
      <w:r>
        <w:rPr>
          <w:rFonts w:ascii="Arial" w:cs="Arial" w:eastAsia="Arial" w:hAnsi="Arial"/>
          <w:sz w:val="18"/>
          <w:szCs w:val="18"/>
          <w:color w:val="auto"/>
        </w:rPr>
        <w:t>There are four ways to vote: by internet, by telephone, by mail or in person. Submitting your proxy by internet, telephone or mail will not affect your right to attend the Annual Meeting and</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336"/>
        </w:trPr>
        <w:tc>
          <w:tcPr>
            <w:tcW w:w="340" w:type="dxa"/>
            <w:vAlign w:val="bottom"/>
            <w:tcBorders>
              <w:right w:val="single" w:sz="8" w:color="225CAB"/>
            </w:tcBorders>
          </w:tcPr>
          <w:p>
            <w:pPr>
              <w:jc w:val="right"/>
              <w:ind w:right="52"/>
              <w:spacing w:after="0"/>
              <w:rPr>
                <w:sz w:val="20"/>
                <w:szCs w:val="20"/>
                <w:color w:val="auto"/>
              </w:rPr>
            </w:pPr>
            <w:r>
              <w:rPr>
                <w:rFonts w:ascii="Arial" w:cs="Arial" w:eastAsia="Arial" w:hAnsi="Arial"/>
                <w:sz w:val="18"/>
                <w:szCs w:val="18"/>
                <w:b w:val="1"/>
                <w:bCs w:val="1"/>
                <w:color w:val="225CAB"/>
                <w:w w:val="89"/>
              </w:rPr>
              <w:t>52</w:t>
            </w:r>
          </w:p>
        </w:tc>
        <w:tc>
          <w:tcPr>
            <w:tcW w:w="5180" w:type="dxa"/>
            <w:vAlign w:val="bottom"/>
          </w:tcPr>
          <w:p>
            <w:pPr>
              <w:ind w:left="1240"/>
              <w:spacing w:after="0"/>
              <w:rPr>
                <w:sz w:val="20"/>
                <w:szCs w:val="20"/>
                <w:color w:val="auto"/>
              </w:rPr>
            </w:pPr>
            <w:r>
              <w:rPr>
                <w:rFonts w:ascii="Arial" w:cs="Arial" w:eastAsia="Arial" w:hAnsi="Arial"/>
                <w:sz w:val="18"/>
                <w:szCs w:val="18"/>
                <w:b w:val="1"/>
                <w:bCs w:val="1"/>
                <w:color w:val="225CAB"/>
                <w:w w:val="96"/>
              </w:rPr>
              <w:t>Roper Technologies, Inc. 2016 Proxy Statement</w:t>
            </w:r>
          </w:p>
        </w:tc>
      </w:tr>
      <w:tr>
        <w:trPr>
          <w:trHeight w:val="110"/>
        </w:trPr>
        <w:tc>
          <w:tcPr>
            <w:tcW w:w="340" w:type="dxa"/>
            <w:vAlign w:val="bottom"/>
            <w:tcBorders>
              <w:right w:val="single" w:sz="8" w:color="225CAB"/>
            </w:tcBorders>
          </w:tcPr>
          <w:p>
            <w:pPr>
              <w:spacing w:after="0"/>
              <w:rPr>
                <w:sz w:val="9"/>
                <w:szCs w:val="9"/>
                <w:color w:val="auto"/>
              </w:rPr>
            </w:pPr>
          </w:p>
        </w:tc>
        <w:tc>
          <w:tcPr>
            <w:tcW w:w="518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-248285</wp:posOffset>
            </wp:positionV>
            <wp:extent cx="420370" cy="2057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00" w:right="120"/>
        <w:spacing w:after="0" w:line="299" w:lineRule="auto"/>
        <w:rPr>
          <w:sz w:val="20"/>
          <w:szCs w:val="20"/>
          <w:color w:val="auto"/>
        </w:rPr>
      </w:pPr>
      <w:r>
        <w:rPr>
          <w:rFonts w:ascii="Arial" w:cs="Arial" w:eastAsia="Arial" w:hAnsi="Arial"/>
          <w:sz w:val="16"/>
          <w:szCs w:val="16"/>
          <w:color w:val="auto"/>
        </w:rPr>
        <w:t>change your vote. Unless you are voting in person, your vote must be received by 11:59 p.m. Eastern Time on May 26,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-1090295</wp:posOffset>
            </wp:positionV>
            <wp:extent cx="72891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600" w:right="360" w:hanging="201"/>
        <w:spacing w:after="0" w:line="264" w:lineRule="auto"/>
        <w:tabs>
          <w:tab w:leader="none" w:pos="600" w:val="left"/>
        </w:tabs>
        <w:numPr>
          <w:ilvl w:val="0"/>
          <w:numId w:val="85"/>
        </w:numPr>
        <w:rPr>
          <w:rFonts w:ascii="Arial" w:cs="Arial" w:eastAsia="Arial" w:hAnsi="Arial"/>
          <w:sz w:val="18"/>
          <w:szCs w:val="18"/>
          <w:color w:val="auto"/>
        </w:rPr>
      </w:pPr>
      <w:r>
        <w:rPr>
          <w:rFonts w:ascii="Arial" w:cs="Arial" w:eastAsia="Arial" w:hAnsi="Arial"/>
          <w:sz w:val="18"/>
          <w:szCs w:val="18"/>
          <w:b w:val="1"/>
          <w:bCs w:val="1"/>
          <w:color w:val="auto"/>
        </w:rPr>
        <w:t xml:space="preserve">By Internet. </w:t>
      </w:r>
      <w:r>
        <w:rPr>
          <w:rFonts w:ascii="Arial" w:cs="Arial" w:eastAsia="Arial" w:hAnsi="Arial"/>
          <w:sz w:val="18"/>
          <w:szCs w:val="18"/>
          <w:color w:val="auto"/>
        </w:rPr>
        <w:t>Have your proxy card available and log on to</w:t>
      </w:r>
      <w:r>
        <w:rPr>
          <w:rFonts w:ascii="Arial" w:cs="Arial" w:eastAsia="Arial" w:hAnsi="Arial"/>
          <w:sz w:val="18"/>
          <w:szCs w:val="18"/>
          <w:b w:val="1"/>
          <w:bCs w:val="1"/>
          <w:color w:val="auto"/>
        </w:rPr>
        <w:t xml:space="preserve"> </w:t>
      </w:r>
      <w:r>
        <w:rPr>
          <w:rFonts w:ascii="Arial" w:cs="Arial" w:eastAsia="Arial" w:hAnsi="Arial"/>
          <w:sz w:val="18"/>
          <w:szCs w:val="18"/>
          <w:color w:val="auto"/>
        </w:rPr>
        <w:t>www.proxyvote.com.</w:t>
      </w:r>
    </w:p>
    <w:p>
      <w:pPr>
        <w:spacing w:after="0" w:line="30" w:lineRule="exact"/>
        <w:rPr>
          <w:rFonts w:ascii="Arial" w:cs="Arial" w:eastAsia="Arial" w:hAnsi="Arial"/>
          <w:sz w:val="18"/>
          <w:szCs w:val="18"/>
          <w:color w:val="auto"/>
        </w:rPr>
      </w:pPr>
    </w:p>
    <w:p>
      <w:pPr>
        <w:ind w:left="600" w:right="160" w:hanging="201"/>
        <w:spacing w:after="0" w:line="317" w:lineRule="auto"/>
        <w:tabs>
          <w:tab w:leader="none" w:pos="600" w:val="left"/>
        </w:tabs>
        <w:numPr>
          <w:ilvl w:val="0"/>
          <w:numId w:val="85"/>
        </w:numPr>
        <w:rPr>
          <w:rFonts w:ascii="Arial" w:cs="Arial" w:eastAsia="Arial" w:hAnsi="Arial"/>
          <w:sz w:val="16"/>
          <w:szCs w:val="16"/>
          <w:color w:val="auto"/>
        </w:rPr>
      </w:pPr>
      <w:r>
        <w:rPr>
          <w:rFonts w:ascii="Arial" w:cs="Arial" w:eastAsia="Arial" w:hAnsi="Arial"/>
          <w:sz w:val="16"/>
          <w:szCs w:val="16"/>
          <w:b w:val="1"/>
          <w:bCs w:val="1"/>
          <w:color w:val="auto"/>
        </w:rPr>
        <w:t xml:space="preserve">By Telephone. </w:t>
      </w:r>
      <w:r>
        <w:rPr>
          <w:rFonts w:ascii="Arial" w:cs="Arial" w:eastAsia="Arial" w:hAnsi="Arial"/>
          <w:sz w:val="16"/>
          <w:szCs w:val="16"/>
          <w:color w:val="auto"/>
        </w:rPr>
        <w:t>Have your proxy card available and call 800-690-6903 toll free (US only) from a touchtone telephone</w:t>
      </w:r>
    </w:p>
    <w:p>
      <w:pPr>
        <w:ind w:left="600" w:right="160" w:hanging="201"/>
        <w:spacing w:after="0" w:line="249" w:lineRule="auto"/>
        <w:tabs>
          <w:tab w:leader="none" w:pos="600" w:val="left"/>
        </w:tabs>
        <w:numPr>
          <w:ilvl w:val="0"/>
          <w:numId w:val="85"/>
        </w:numPr>
        <w:rPr>
          <w:rFonts w:ascii="Arial" w:cs="Arial" w:eastAsia="Arial" w:hAnsi="Arial"/>
          <w:sz w:val="18"/>
          <w:szCs w:val="18"/>
          <w:color w:val="auto"/>
        </w:rPr>
      </w:pPr>
      <w:r>
        <w:rPr>
          <w:rFonts w:ascii="Arial" w:cs="Arial" w:eastAsia="Arial" w:hAnsi="Arial"/>
          <w:sz w:val="18"/>
          <w:szCs w:val="18"/>
          <w:b w:val="1"/>
          <w:bCs w:val="1"/>
          <w:color w:val="auto"/>
        </w:rPr>
        <w:t xml:space="preserve">By Mail. </w:t>
      </w:r>
      <w:r>
        <w:rPr>
          <w:rFonts w:ascii="Arial" w:cs="Arial" w:eastAsia="Arial" w:hAnsi="Arial"/>
          <w:sz w:val="18"/>
          <w:szCs w:val="18"/>
          <w:color w:val="auto"/>
        </w:rPr>
        <w:t>Mark, date, sign, and promptly mail the enclosed</w:t>
      </w:r>
      <w:r>
        <w:rPr>
          <w:rFonts w:ascii="Arial" w:cs="Arial" w:eastAsia="Arial" w:hAnsi="Arial"/>
          <w:sz w:val="18"/>
          <w:szCs w:val="18"/>
          <w:b w:val="1"/>
          <w:bCs w:val="1"/>
          <w:color w:val="auto"/>
        </w:rPr>
        <w:t xml:space="preserve"> </w:t>
      </w:r>
      <w:r>
        <w:rPr>
          <w:rFonts w:ascii="Arial" w:cs="Arial" w:eastAsia="Arial" w:hAnsi="Arial"/>
          <w:sz w:val="18"/>
          <w:szCs w:val="18"/>
          <w:color w:val="auto"/>
        </w:rPr>
        <w:t>proxy card in the postage-paid envelope provided for mailing in the United States.</w:t>
      </w:r>
    </w:p>
    <w:p>
      <w:pPr>
        <w:spacing w:after="0" w:line="44" w:lineRule="exact"/>
        <w:rPr>
          <w:rFonts w:ascii="Arial" w:cs="Arial" w:eastAsia="Arial" w:hAnsi="Arial"/>
          <w:sz w:val="18"/>
          <w:szCs w:val="18"/>
          <w:color w:val="auto"/>
        </w:rPr>
      </w:pPr>
    </w:p>
    <w:p>
      <w:pPr>
        <w:ind w:left="600" w:hanging="201"/>
        <w:spacing w:after="0" w:line="244" w:lineRule="auto"/>
        <w:tabs>
          <w:tab w:leader="none" w:pos="600" w:val="left"/>
        </w:tabs>
        <w:numPr>
          <w:ilvl w:val="0"/>
          <w:numId w:val="85"/>
        </w:numPr>
        <w:rPr>
          <w:rFonts w:ascii="Arial" w:cs="Arial" w:eastAsia="Arial" w:hAnsi="Arial"/>
          <w:sz w:val="18"/>
          <w:szCs w:val="18"/>
          <w:color w:val="auto"/>
        </w:rPr>
      </w:pPr>
      <w:r>
        <w:rPr>
          <w:rFonts w:ascii="Arial" w:cs="Arial" w:eastAsia="Arial" w:hAnsi="Arial"/>
          <w:sz w:val="18"/>
          <w:szCs w:val="18"/>
          <w:b w:val="1"/>
          <w:bCs w:val="1"/>
          <w:color w:val="auto"/>
        </w:rPr>
        <w:t xml:space="preserve">In Person. </w:t>
      </w:r>
      <w:r>
        <w:rPr>
          <w:rFonts w:ascii="Arial" w:cs="Arial" w:eastAsia="Arial" w:hAnsi="Arial"/>
          <w:sz w:val="18"/>
          <w:szCs w:val="18"/>
          <w:color w:val="auto"/>
        </w:rPr>
        <w:t>You may vote by ballot in person at the Annual</w:t>
      </w:r>
      <w:r>
        <w:rPr>
          <w:rFonts w:ascii="Arial" w:cs="Arial" w:eastAsia="Arial" w:hAnsi="Arial"/>
          <w:sz w:val="18"/>
          <w:szCs w:val="18"/>
          <w:b w:val="1"/>
          <w:bCs w:val="1"/>
          <w:color w:val="auto"/>
        </w:rPr>
        <w:t xml:space="preserve"> </w:t>
      </w:r>
      <w:r>
        <w:rPr>
          <w:rFonts w:ascii="Arial" w:cs="Arial" w:eastAsia="Arial" w:hAnsi="Arial"/>
          <w:sz w:val="18"/>
          <w:szCs w:val="18"/>
          <w:color w:val="auto"/>
        </w:rPr>
        <w:t>Meeting. Bring your proxy card if you received one by mail, otherwise we will provide shareholders of record a ballot at the Annual Meeting.</w:t>
      </w:r>
    </w:p>
    <w:p>
      <w:pPr>
        <w:spacing w:after="0" w:line="72" w:lineRule="exact"/>
        <w:rPr>
          <w:sz w:val="20"/>
          <w:szCs w:val="20"/>
          <w:color w:val="auto"/>
        </w:rPr>
      </w:pPr>
    </w:p>
    <w:p>
      <w:pPr>
        <w:ind w:left="400" w:right="160"/>
        <w:spacing w:after="0" w:line="236" w:lineRule="auto"/>
        <w:rPr>
          <w:sz w:val="20"/>
          <w:szCs w:val="20"/>
          <w:color w:val="auto"/>
        </w:rPr>
      </w:pPr>
      <w:r>
        <w:rPr>
          <w:rFonts w:ascii="Arial" w:cs="Arial" w:eastAsia="Arial" w:hAnsi="Arial"/>
          <w:sz w:val="18"/>
          <w:szCs w:val="18"/>
          <w:color w:val="auto"/>
        </w:rPr>
        <w:t>If your shares are held by a bank, broker, or other intermediary, that institution will provide voting instructions with the proxy materials. Please follow the voting instructions that you receive from that institution. Additionally, if you plan to vote in person at the Annual Meeting and your shares are held by a bank, broker or other intermediary, you must obtain proof of stock ownership as of the record date and have a valid legal proxy from the institution that holds your shares.</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color w:val="225CAB"/>
        </w:rPr>
        <w:t>Q: What is a broker non-vote?</w:t>
      </w:r>
    </w:p>
    <w:p>
      <w:pPr>
        <w:spacing w:after="0" w:line="107" w:lineRule="exact"/>
        <w:rPr>
          <w:sz w:val="20"/>
          <w:szCs w:val="20"/>
          <w:color w:val="auto"/>
        </w:rPr>
      </w:pPr>
    </w:p>
    <w:p>
      <w:pPr>
        <w:ind w:left="400" w:right="80" w:hanging="392"/>
        <w:spacing w:after="0" w:line="271" w:lineRule="auto"/>
        <w:tabs>
          <w:tab w:leader="none" w:pos="400" w:val="left"/>
        </w:tabs>
        <w:numPr>
          <w:ilvl w:val="0"/>
          <w:numId w:val="86"/>
        </w:numPr>
        <w:rPr>
          <w:rFonts w:ascii="Arial" w:cs="Arial" w:eastAsia="Arial" w:hAnsi="Arial"/>
          <w:sz w:val="16"/>
          <w:szCs w:val="16"/>
          <w:color w:val="225CAB"/>
        </w:rPr>
      </w:pPr>
      <w:r>
        <w:rPr>
          <w:rFonts w:ascii="Arial" w:cs="Arial" w:eastAsia="Arial" w:hAnsi="Arial"/>
          <w:sz w:val="16"/>
          <w:szCs w:val="16"/>
          <w:color w:val="auto"/>
        </w:rPr>
        <w:t>If your shares are held in street name through a bank, broker or other intermediary, you must provide voting instructions to that institution. Under the rules of the NYSE, if you do not provide voting instructions, the institution may vote in its discretion on routine proposals, but not on non-routine proposals, or leave the shares unvoted, which is called a “broker non-vote.”</w:t>
      </w:r>
    </w:p>
    <w:p>
      <w:pPr>
        <w:spacing w:after="0" w:line="49" w:lineRule="exact"/>
        <w:rPr>
          <w:rFonts w:ascii="Arial" w:cs="Arial" w:eastAsia="Arial" w:hAnsi="Arial"/>
          <w:sz w:val="16"/>
          <w:szCs w:val="16"/>
          <w:color w:val="225CAB"/>
        </w:rPr>
      </w:pPr>
    </w:p>
    <w:p>
      <w:pPr>
        <w:ind w:left="400" w:right="40"/>
        <w:spacing w:after="0" w:line="235" w:lineRule="auto"/>
        <w:rPr>
          <w:rFonts w:ascii="Arial" w:cs="Arial" w:eastAsia="Arial" w:hAnsi="Arial"/>
          <w:sz w:val="16"/>
          <w:szCs w:val="16"/>
          <w:color w:val="225CAB"/>
        </w:rPr>
      </w:pPr>
      <w:r>
        <w:rPr>
          <w:rFonts w:ascii="Arial" w:cs="Arial" w:eastAsia="Arial" w:hAnsi="Arial"/>
          <w:sz w:val="18"/>
          <w:szCs w:val="18"/>
          <w:color w:val="auto"/>
        </w:rPr>
        <w:t>The following proposals are not considered routine proposals, so banks, brokers and other intermediaries do not have discretionary authority to vote on these matters if they have not received voting instructions from you: (i) the election of directors, (ii) the advisory vote on the approval of compensation to our named executive officers, and (iii) the approval of the Roper Technologies, Inc. 2016 Incentive Plan. The ratification of the appointment of the independent registered accounting firm is considered a routine proposal,</w:t>
      </w:r>
    </w:p>
    <w:p>
      <w:pPr>
        <w:sectPr>
          <w:pgSz w:w="11900" w:h="16838" w:orient="portrait"/>
          <w:cols w:equalWidth="0" w:num="2">
            <w:col w:w="5520" w:space="300"/>
            <w:col w:w="5460"/>
          </w:cols>
          <w:pgMar w:left="240" w:top="459" w:right="3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225CAB"/>
        </w:rPr>
        <w:t xml:space="preserve">ANNUAL MEETING AND VOTING INFORMATION </w:t>
      </w:r>
      <w:r>
        <w:rPr>
          <w:rFonts w:ascii="Arial" w:cs="Arial" w:eastAsia="Arial" w:hAnsi="Arial"/>
          <w:sz w:val="18"/>
          <w:szCs w:val="18"/>
          <w:i w:val="1"/>
          <w:iCs w:val="1"/>
          <w:color w:val="225CAB"/>
        </w:rPr>
        <w:t>(CONTINUED)</w:t>
      </w:r>
    </w:p>
    <w:p>
      <w:pPr>
        <w:spacing w:after="0" w:line="216" w:lineRule="exact"/>
        <w:rPr>
          <w:sz w:val="20"/>
          <w:szCs w:val="20"/>
          <w:color w:val="auto"/>
        </w:rPr>
      </w:pPr>
    </w:p>
    <w:p>
      <w:pPr>
        <w:ind w:left="400"/>
        <w:spacing w:after="0" w:line="236" w:lineRule="auto"/>
        <w:rPr>
          <w:sz w:val="20"/>
          <w:szCs w:val="20"/>
          <w:color w:val="auto"/>
        </w:rPr>
      </w:pPr>
      <w:r>
        <w:rPr>
          <w:rFonts w:ascii="Arial" w:cs="Arial" w:eastAsia="Arial" w:hAnsi="Arial"/>
          <w:sz w:val="18"/>
          <w:szCs w:val="18"/>
          <w:color w:val="auto"/>
        </w:rPr>
        <w:t>so if you do not provide voting instructions, the institution holding your shares may either leave the shares unvoted or vote the shares in its discretion. If your shares are held through a bank, broker, or other intermediary, please follow the voting instructions that you receive from that institution. The institution will not be able to vote your shares on any of the proposals except the appointment of PricewaterhouseCoopers LLP unless you have provided voting instructions.</w:t>
      </w:r>
    </w:p>
    <w:p>
      <w:pPr>
        <w:spacing w:after="0" w:line="159" w:lineRule="exact"/>
        <w:rPr>
          <w:sz w:val="20"/>
          <w:szCs w:val="20"/>
          <w:color w:val="auto"/>
        </w:rPr>
      </w:pPr>
    </w:p>
    <w:p>
      <w:pPr>
        <w:ind w:left="400" w:right="680" w:hanging="392"/>
        <w:spacing w:after="0" w:line="261" w:lineRule="auto"/>
        <w:tabs>
          <w:tab w:leader="none" w:pos="400" w:val="left"/>
        </w:tabs>
        <w:numPr>
          <w:ilvl w:val="0"/>
          <w:numId w:val="87"/>
        </w:numPr>
        <w:rPr>
          <w:rFonts w:ascii="Arial" w:cs="Arial" w:eastAsia="Arial" w:hAnsi="Arial"/>
          <w:sz w:val="22"/>
          <w:szCs w:val="22"/>
          <w:b w:val="1"/>
          <w:bCs w:val="1"/>
          <w:color w:val="225CAB"/>
        </w:rPr>
      </w:pPr>
      <w:r>
        <w:rPr>
          <w:rFonts w:ascii="Arial" w:cs="Arial" w:eastAsia="Arial" w:hAnsi="Arial"/>
          <w:sz w:val="22"/>
          <w:szCs w:val="22"/>
          <w:b w:val="1"/>
          <w:bCs w:val="1"/>
          <w:color w:val="225CAB"/>
        </w:rPr>
        <w:t>How are broker non-votes and abstentions treated?</w:t>
      </w:r>
    </w:p>
    <w:p>
      <w:pPr>
        <w:spacing w:after="0" w:line="53" w:lineRule="exact"/>
        <w:rPr>
          <w:sz w:val="20"/>
          <w:szCs w:val="20"/>
          <w:color w:val="auto"/>
        </w:rPr>
      </w:pPr>
    </w:p>
    <w:p>
      <w:pPr>
        <w:ind w:left="400" w:hanging="392"/>
        <w:spacing w:after="0" w:line="235" w:lineRule="auto"/>
        <w:tabs>
          <w:tab w:leader="none" w:pos="400" w:val="left"/>
        </w:tabs>
        <w:numPr>
          <w:ilvl w:val="0"/>
          <w:numId w:val="88"/>
        </w:numPr>
        <w:rPr>
          <w:rFonts w:ascii="Arial" w:cs="Arial" w:eastAsia="Arial" w:hAnsi="Arial"/>
          <w:sz w:val="18"/>
          <w:szCs w:val="18"/>
          <w:color w:val="225CAB"/>
        </w:rPr>
      </w:pPr>
      <w:r>
        <w:rPr>
          <w:rFonts w:ascii="Arial" w:cs="Arial" w:eastAsia="Arial" w:hAnsi="Arial"/>
          <w:sz w:val="18"/>
          <w:szCs w:val="18"/>
          <w:color w:val="auto"/>
        </w:rPr>
        <w:t>Broker non-votes are not treated as votes cast for any of the matters on the agenda, so they will not have any effect on those proposals. Abstentions are not treated as votes cast, so they will have no effect on the election of directors. Abstentions are treated as present and entitled to vote, so they will have the effect of a vote cast against the approval of the compensation of our named executive officers, against the ratification of the appointment of PricewaterhouseCoopers LLP as our independent registered accounting firm, and against the approval of the 2016 Incentive Plan.</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225CAB"/>
        </w:rPr>
        <w:t>Q: What constitutes a quorum?</w:t>
      </w:r>
    </w:p>
    <w:p>
      <w:pPr>
        <w:spacing w:after="0" w:line="107" w:lineRule="exact"/>
        <w:rPr>
          <w:sz w:val="20"/>
          <w:szCs w:val="20"/>
          <w:color w:val="auto"/>
        </w:rPr>
      </w:pPr>
    </w:p>
    <w:p>
      <w:pPr>
        <w:ind w:left="400" w:right="60" w:hanging="392"/>
        <w:spacing w:after="0" w:line="269" w:lineRule="auto"/>
        <w:tabs>
          <w:tab w:leader="none" w:pos="400" w:val="left"/>
        </w:tabs>
        <w:numPr>
          <w:ilvl w:val="0"/>
          <w:numId w:val="89"/>
        </w:numPr>
        <w:rPr>
          <w:rFonts w:ascii="Arial" w:cs="Arial" w:eastAsia="Arial" w:hAnsi="Arial"/>
          <w:sz w:val="16"/>
          <w:szCs w:val="16"/>
          <w:color w:val="225CAB"/>
        </w:rPr>
      </w:pPr>
      <w:r>
        <w:rPr>
          <w:rFonts w:ascii="Arial" w:cs="Arial" w:eastAsia="Arial" w:hAnsi="Arial"/>
          <w:sz w:val="16"/>
          <w:szCs w:val="16"/>
          <w:color w:val="auto"/>
        </w:rPr>
        <w:t>To conduct business at our Annual Meeting, we must have a quorum of shareholders present. A quorum is present when a majority of the outstanding shares of stock entitled to vote as of the record date are represented in person or by proxy. Broker non-votes and abstentions will be counted toward the establishment of the quorum. If there is an insufficient number of shares represented for a quorum or to approve any proposal at the Annual Meeting, the Annual Meeting may be adjourned or postponed to permit the further solicitation of proxies.</w:t>
      </w:r>
    </w:p>
    <w:p>
      <w:pPr>
        <w:spacing w:after="0" w:line="340" w:lineRule="exact"/>
        <w:rPr>
          <w:sz w:val="20"/>
          <w:szCs w:val="20"/>
          <w:color w:val="auto"/>
        </w:rPr>
      </w:pPr>
    </w:p>
    <w:p>
      <w:pPr>
        <w:spacing w:after="0"/>
        <w:rPr>
          <w:sz w:val="20"/>
          <w:szCs w:val="20"/>
          <w:color w:val="auto"/>
        </w:rPr>
      </w:pPr>
      <w:r>
        <w:rPr>
          <w:rFonts w:ascii="Arial" w:cs="Arial" w:eastAsia="Arial" w:hAnsi="Arial"/>
          <w:sz w:val="22"/>
          <w:szCs w:val="22"/>
          <w:b w:val="1"/>
          <w:bCs w:val="1"/>
          <w:color w:val="225CAB"/>
        </w:rPr>
        <w:t>Q: How many votes are needed for each proposal?</w:t>
      </w:r>
    </w:p>
    <w:p>
      <w:pPr>
        <w:spacing w:after="0" w:line="107" w:lineRule="exact"/>
        <w:rPr>
          <w:sz w:val="20"/>
          <w:szCs w:val="20"/>
          <w:color w:val="auto"/>
        </w:rPr>
      </w:pPr>
    </w:p>
    <w:p>
      <w:pPr>
        <w:ind w:left="400" w:right="80" w:hanging="392"/>
        <w:spacing w:after="0" w:line="271" w:lineRule="auto"/>
        <w:tabs>
          <w:tab w:leader="none" w:pos="400" w:val="left"/>
        </w:tabs>
        <w:numPr>
          <w:ilvl w:val="0"/>
          <w:numId w:val="90"/>
        </w:numPr>
        <w:rPr>
          <w:rFonts w:ascii="Arial" w:cs="Arial" w:eastAsia="Arial" w:hAnsi="Arial"/>
          <w:sz w:val="16"/>
          <w:szCs w:val="16"/>
          <w:color w:val="225CAB"/>
        </w:rPr>
      </w:pPr>
      <w:r>
        <w:rPr>
          <w:rFonts w:ascii="Arial" w:cs="Arial" w:eastAsia="Arial" w:hAnsi="Arial"/>
          <w:sz w:val="16"/>
          <w:szCs w:val="16"/>
          <w:color w:val="auto"/>
        </w:rPr>
        <w:t>Our By-laws provide that each director will be elected by a majority of the votes cast with respect to such director (except in the case of contested elections, in which case directors are elected by a plurality). A “majority of the votes cast” means that the number of votes cast “for” a director exceeds the number of votes cast “against” that director. Broker non-votes 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00" w:right="120"/>
        <w:spacing w:after="0" w:line="235" w:lineRule="auto"/>
        <w:rPr>
          <w:sz w:val="20"/>
          <w:szCs w:val="20"/>
          <w:color w:val="auto"/>
        </w:rPr>
      </w:pPr>
      <w:r>
        <w:rPr>
          <w:rFonts w:ascii="Arial" w:cs="Arial" w:eastAsia="Arial" w:hAnsi="Arial"/>
          <w:sz w:val="18"/>
          <w:szCs w:val="18"/>
          <w:color w:val="auto"/>
        </w:rPr>
        <w:t>abstentions will have no impact as they are not counted as votes cast for the election of directors. If an incumbent director fails to receive a majority of the votes cast, the director will tender his or her resignation to the Board. The Nominating and Governance Committee or another committee will consider the director’s resignation and recommend to the Board whether to accept or reject the resignation. The Board will publicly disclose its decision regarding the resignation within 90 days after the election results are certified.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-1957070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60" w:lineRule="exact"/>
        <w:rPr>
          <w:sz w:val="20"/>
          <w:szCs w:val="20"/>
          <w:color w:val="auto"/>
        </w:rPr>
      </w:pPr>
    </w:p>
    <w:p>
      <w:pPr>
        <w:ind w:left="400" w:right="240"/>
        <w:spacing w:after="0" w:line="269" w:lineRule="auto"/>
        <w:rPr>
          <w:sz w:val="20"/>
          <w:szCs w:val="20"/>
          <w:color w:val="auto"/>
        </w:rPr>
      </w:pPr>
      <w:r>
        <w:rPr>
          <w:rFonts w:ascii="Arial" w:cs="Arial" w:eastAsia="Arial" w:hAnsi="Arial"/>
          <w:sz w:val="16"/>
          <w:szCs w:val="16"/>
          <w:color w:val="auto"/>
        </w:rPr>
        <w:t>The vote on the approval of compensation to our named executive officers is an advisory vote and non-binding on the Company. If the majority of the shares present in person or represented by proxy and entitled to vote are cast in favor of the proposal, then it will be deemed to be the approval of the shareholders. Abstentions will have the effect of a vote against the proposal. Broker non-votes will be excluded from the calculation and will have no effect on the outcome of the voting.</w:t>
      </w:r>
    </w:p>
    <w:p>
      <w:pPr>
        <w:spacing w:after="0" w:line="52" w:lineRule="exact"/>
        <w:rPr>
          <w:sz w:val="20"/>
          <w:szCs w:val="20"/>
          <w:color w:val="auto"/>
        </w:rPr>
      </w:pPr>
    </w:p>
    <w:p>
      <w:pPr>
        <w:ind w:left="400" w:right="180"/>
        <w:spacing w:after="0" w:line="236" w:lineRule="auto"/>
        <w:rPr>
          <w:sz w:val="20"/>
          <w:szCs w:val="20"/>
          <w:color w:val="auto"/>
        </w:rPr>
      </w:pPr>
      <w:r>
        <w:rPr>
          <w:rFonts w:ascii="Arial" w:cs="Arial" w:eastAsia="Arial" w:hAnsi="Arial"/>
          <w:sz w:val="18"/>
          <w:szCs w:val="18"/>
          <w:color w:val="auto"/>
        </w:rPr>
        <w:t>The affirmative vote of a majority of the shares present in person or represented by proxy and entitled to vote is required to approve the ratification of the appointment of PricewaterhouseCoopers LLP as the independent registered accounting firm of the Company. Abstentions will have the effect of a vote against these proposals. Broker non-votes will be excluded from the calculation and will have no effect on the outcome of the voting.</w:t>
      </w:r>
    </w:p>
    <w:p>
      <w:pPr>
        <w:spacing w:after="0" w:line="73" w:lineRule="exact"/>
        <w:rPr>
          <w:sz w:val="20"/>
          <w:szCs w:val="20"/>
          <w:color w:val="auto"/>
        </w:rPr>
      </w:pPr>
    </w:p>
    <w:p>
      <w:pPr>
        <w:ind w:left="400" w:right="120"/>
        <w:spacing w:after="0" w:line="235" w:lineRule="auto"/>
        <w:rPr>
          <w:sz w:val="20"/>
          <w:szCs w:val="20"/>
          <w:color w:val="auto"/>
        </w:rPr>
      </w:pPr>
      <w:r>
        <w:rPr>
          <w:rFonts w:ascii="Arial" w:cs="Arial" w:eastAsia="Arial" w:hAnsi="Arial"/>
          <w:sz w:val="18"/>
          <w:szCs w:val="18"/>
          <w:color w:val="auto"/>
        </w:rPr>
        <w:t>With respect to approval of the 2016 Plan, the vote choices are for, against or abstain. The approval of the 2016 Plan, and the qualified business criteria for performance-based awards included in the 2016 Plan, requires the affirmative vote of a majority of the votes entitled to be cast on the proposal present in person or represented by proxy at the Annual Meeting. Abstentions will have the effect of votes against the proposal. Broker non-votes will not count as votes cast and otherwise will not affect the outcome of the voting on the proposal.</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225CAB"/>
        </w:rPr>
        <w:t>Q: Is my proxy revocable?</w:t>
      </w:r>
    </w:p>
    <w:p>
      <w:pPr>
        <w:spacing w:after="0" w:line="107" w:lineRule="exact"/>
        <w:rPr>
          <w:sz w:val="20"/>
          <w:szCs w:val="20"/>
          <w:color w:val="auto"/>
        </w:rPr>
      </w:pPr>
    </w:p>
    <w:p>
      <w:pPr>
        <w:ind w:left="400" w:right="220" w:hanging="392"/>
        <w:spacing w:after="0" w:line="281" w:lineRule="auto"/>
        <w:tabs>
          <w:tab w:leader="none" w:pos="400" w:val="left"/>
        </w:tabs>
        <w:numPr>
          <w:ilvl w:val="0"/>
          <w:numId w:val="91"/>
        </w:numPr>
        <w:rPr>
          <w:rFonts w:ascii="Arial" w:cs="Arial" w:eastAsia="Arial" w:hAnsi="Arial"/>
          <w:sz w:val="16"/>
          <w:szCs w:val="16"/>
          <w:color w:val="225CAB"/>
        </w:rPr>
      </w:pPr>
      <w:r>
        <w:rPr>
          <w:rFonts w:ascii="Arial" w:cs="Arial" w:eastAsia="Arial" w:hAnsi="Arial"/>
          <w:sz w:val="16"/>
          <w:szCs w:val="16"/>
          <w:color w:val="auto"/>
        </w:rPr>
        <w:t>You may revoke your proxy before it is exercised by voting in person at the Annual Meeting, by timely delivering a subsequent proxy or by notifying us in writing of such revocation to the</w:t>
      </w:r>
    </w:p>
    <w:p>
      <w:pPr>
        <w:spacing w:after="0" w:line="200" w:lineRule="exact"/>
        <w:rPr>
          <w:sz w:val="20"/>
          <w:szCs w:val="20"/>
          <w:color w:val="auto"/>
        </w:rPr>
      </w:pPr>
    </w:p>
    <w:p>
      <w:pPr>
        <w:spacing w:after="0" w:line="299" w:lineRule="exact"/>
        <w:rPr>
          <w:sz w:val="20"/>
          <w:szCs w:val="20"/>
          <w:color w:val="auto"/>
        </w:rPr>
      </w:pPr>
    </w:p>
    <w:tbl>
      <w:tblPr>
        <w:tblLayout w:type="fixed"/>
        <w:tblInd w:w="1080" w:type="dxa"/>
        <w:tblCellMar>
          <w:top w:w="0" w:type="dxa"/>
          <w:left w:w="0" w:type="dxa"/>
          <w:bottom w:w="0" w:type="dxa"/>
          <w:right w:w="0" w:type="dxa"/>
        </w:tblCellMar>
      </w:tblPr>
      <w:tr>
        <w:trPr>
          <w:trHeight w:val="309"/>
        </w:trPr>
        <w:tc>
          <w:tcPr>
            <w:tcW w:w="4080" w:type="dxa"/>
            <w:vAlign w:val="bottom"/>
            <w:tcBorders>
              <w:right w:val="single" w:sz="8" w:color="225CAB"/>
            </w:tcBorders>
          </w:tcPr>
          <w:p>
            <w:pPr>
              <w:spacing w:after="0"/>
              <w:rPr>
                <w:sz w:val="20"/>
                <w:szCs w:val="20"/>
                <w:color w:val="auto"/>
              </w:rPr>
            </w:pPr>
            <w:r>
              <w:rPr>
                <w:rFonts w:ascii="Arial" w:cs="Arial" w:eastAsia="Arial" w:hAnsi="Arial"/>
                <w:sz w:val="18"/>
                <w:szCs w:val="18"/>
                <w:b w:val="1"/>
                <w:bCs w:val="1"/>
                <w:color w:val="225CAB"/>
                <w:w w:val="99"/>
              </w:rPr>
              <w:t>Roper Technologies, Inc. 2016 Proxy Statement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225CAB"/>
              </w:rPr>
              <w:t>53</w:t>
            </w:r>
          </w:p>
        </w:tc>
      </w:tr>
      <w:tr>
        <w:trPr>
          <w:trHeight w:val="83"/>
        </w:trPr>
        <w:tc>
          <w:tcPr>
            <w:tcW w:w="4080" w:type="dxa"/>
            <w:vAlign w:val="bottom"/>
            <w:tcBorders>
              <w:right w:val="single" w:sz="8" w:color="225CAB"/>
            </w:tcBorders>
          </w:tcPr>
          <w:p>
            <w:pPr>
              <w:spacing w:after="0"/>
              <w:rPr>
                <w:sz w:val="7"/>
                <w:szCs w:val="7"/>
                <w:color w:val="auto"/>
              </w:rPr>
            </w:pPr>
          </w:p>
        </w:tc>
        <w:tc>
          <w:tcPr>
            <w:tcW w:w="44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-213995</wp:posOffset>
            </wp:positionV>
            <wp:extent cx="420370" cy="2057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ectPr>
          <w:pgSz w:w="11900" w:h="16838" w:orient="portrait"/>
          <w:cols w:equalWidth="0" w:num="2">
            <w:col w:w="5460" w:space="360"/>
            <w:col w:w="560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225CAB"/>
        </w:rPr>
        <w:t xml:space="preserve">ANNUAL MEETING AND VOTING INFORMATION </w:t>
      </w:r>
      <w:r>
        <w:rPr>
          <w:rFonts w:ascii="Arial" w:cs="Arial" w:eastAsia="Arial" w:hAnsi="Arial"/>
          <w:sz w:val="18"/>
          <w:szCs w:val="18"/>
          <w:i w:val="1"/>
          <w:iCs w:val="1"/>
          <w:color w:val="225CAB"/>
        </w:rPr>
        <w:t>(CONTINUED)</w:t>
      </w:r>
    </w:p>
    <w:p>
      <w:pPr>
        <w:spacing w:after="0" w:line="216" w:lineRule="exact"/>
        <w:rPr>
          <w:sz w:val="20"/>
          <w:szCs w:val="20"/>
          <w:color w:val="auto"/>
        </w:rPr>
      </w:pPr>
    </w:p>
    <w:p>
      <w:pPr>
        <w:ind w:left="400" w:right="100"/>
        <w:spacing w:after="0" w:line="236" w:lineRule="auto"/>
        <w:rPr>
          <w:sz w:val="20"/>
          <w:szCs w:val="20"/>
          <w:color w:val="auto"/>
        </w:rPr>
      </w:pPr>
      <w:r>
        <w:rPr>
          <w:rFonts w:ascii="Arial" w:cs="Arial" w:eastAsia="Arial" w:hAnsi="Arial"/>
          <w:sz w:val="18"/>
          <w:szCs w:val="18"/>
          <w:color w:val="auto"/>
        </w:rPr>
        <w:t>attention of the Secretary, Roper Technologies, Inc., 6901 Professional Parkway East, Suite 200, Sarasota, Florida 34240. If you are not the shareholder of record, you will need documentation from your record holder stating your ownership to vote personally at the Annual Meeting. See “What is a shareholder of record?” above.</w:t>
      </w:r>
    </w:p>
    <w:p>
      <w:pPr>
        <w:spacing w:after="0" w:line="161" w:lineRule="exact"/>
        <w:rPr>
          <w:sz w:val="20"/>
          <w:szCs w:val="20"/>
          <w:color w:val="auto"/>
        </w:rPr>
      </w:pPr>
    </w:p>
    <w:p>
      <w:pPr>
        <w:ind w:left="400" w:right="320" w:hanging="392"/>
        <w:spacing w:after="0" w:line="261" w:lineRule="auto"/>
        <w:tabs>
          <w:tab w:leader="none" w:pos="400" w:val="left"/>
        </w:tabs>
        <w:numPr>
          <w:ilvl w:val="0"/>
          <w:numId w:val="92"/>
        </w:numPr>
        <w:rPr>
          <w:rFonts w:ascii="Arial" w:cs="Arial" w:eastAsia="Arial" w:hAnsi="Arial"/>
          <w:sz w:val="22"/>
          <w:szCs w:val="22"/>
          <w:b w:val="1"/>
          <w:bCs w:val="1"/>
          <w:color w:val="225CAB"/>
        </w:rPr>
      </w:pPr>
      <w:r>
        <w:rPr>
          <w:rFonts w:ascii="Arial" w:cs="Arial" w:eastAsia="Arial" w:hAnsi="Arial"/>
          <w:sz w:val="22"/>
          <w:szCs w:val="22"/>
          <w:b w:val="1"/>
          <w:bCs w:val="1"/>
          <w:color w:val="225CAB"/>
        </w:rPr>
        <w:t>What is “householding” and how does it affect me?</w:t>
      </w:r>
    </w:p>
    <w:p>
      <w:pPr>
        <w:spacing w:after="0" w:line="53" w:lineRule="exact"/>
        <w:rPr>
          <w:sz w:val="20"/>
          <w:szCs w:val="20"/>
          <w:color w:val="auto"/>
        </w:rPr>
      </w:pPr>
    </w:p>
    <w:p>
      <w:pPr>
        <w:ind w:left="400" w:right="260" w:hanging="392"/>
        <w:spacing w:after="0" w:line="270" w:lineRule="auto"/>
        <w:tabs>
          <w:tab w:leader="none" w:pos="400" w:val="left"/>
        </w:tabs>
        <w:numPr>
          <w:ilvl w:val="0"/>
          <w:numId w:val="93"/>
        </w:numPr>
        <w:rPr>
          <w:rFonts w:ascii="Arial" w:cs="Arial" w:eastAsia="Arial" w:hAnsi="Arial"/>
          <w:sz w:val="16"/>
          <w:szCs w:val="16"/>
          <w:color w:val="225CAB"/>
        </w:rPr>
      </w:pPr>
      <w:r>
        <w:rPr>
          <w:rFonts w:ascii="Arial" w:cs="Arial" w:eastAsia="Arial" w:hAnsi="Arial"/>
          <w:sz w:val="16"/>
          <w:szCs w:val="16"/>
          <w:color w:val="auto"/>
        </w:rPr>
        <w:t>The proxy rules of the SEC permit companies and intermediaries, such as brokers and banks, to satisfy Proxy Statement delivery requirements for two or more shareholders sharing an address by delivering one set of proxy materials to those shareholders. This procedure, known as “householding,” reduces the amount of duplicate information that shareholders receive and lowers our printing and mailing costs.</w:t>
      </w:r>
    </w:p>
    <w:p>
      <w:pPr>
        <w:spacing w:after="0" w:line="50" w:lineRule="exact"/>
        <w:rPr>
          <w:rFonts w:ascii="Arial" w:cs="Arial" w:eastAsia="Arial" w:hAnsi="Arial"/>
          <w:sz w:val="16"/>
          <w:szCs w:val="16"/>
          <w:color w:val="225CAB"/>
        </w:rPr>
      </w:pPr>
    </w:p>
    <w:p>
      <w:pPr>
        <w:ind w:left="400" w:right="40"/>
        <w:spacing w:after="0" w:line="235" w:lineRule="auto"/>
        <w:rPr>
          <w:rFonts w:ascii="Arial" w:cs="Arial" w:eastAsia="Arial" w:hAnsi="Arial"/>
          <w:sz w:val="16"/>
          <w:szCs w:val="16"/>
          <w:color w:val="225CAB"/>
        </w:rPr>
      </w:pPr>
      <w:r>
        <w:rPr>
          <w:rFonts w:ascii="Arial" w:cs="Arial" w:eastAsia="Arial" w:hAnsi="Arial"/>
          <w:sz w:val="18"/>
          <w:szCs w:val="18"/>
          <w:color w:val="auto"/>
        </w:rPr>
        <w:t>Certain intermediaries use householding for our proxy materials and our 2015 Annual Report. Therefore, only one set of materials may have been delivered to your address if multiple shareholders share the same address. If you share an address with another shareholder and wish to receive a separate set of materials in the future, or if you would like to receive only one set of materials, you should contact your bank, broker or other intermediary or us at the address and telephone number below. We will promptly send a separate copy of the Proxy Statement for the Annual Meeting or the 2015 Annual Report if you call us at 941-556-2601 or direct your request in writing to the attention of the Secretary, Roper Technologies, Inc., 6901 Professional Parkway East, Suite 200, Sarasota, Florida 34240.</w:t>
      </w:r>
    </w:p>
    <w:p>
      <w:pPr>
        <w:spacing w:after="0" w:line="166" w:lineRule="exact"/>
        <w:rPr>
          <w:sz w:val="20"/>
          <w:szCs w:val="20"/>
          <w:color w:val="auto"/>
        </w:rPr>
      </w:pPr>
    </w:p>
    <w:p>
      <w:pPr>
        <w:ind w:left="400" w:right="360" w:hanging="392"/>
        <w:spacing w:after="0" w:line="261" w:lineRule="auto"/>
        <w:tabs>
          <w:tab w:leader="none" w:pos="400" w:val="left"/>
        </w:tabs>
        <w:numPr>
          <w:ilvl w:val="0"/>
          <w:numId w:val="94"/>
        </w:numPr>
        <w:rPr>
          <w:rFonts w:ascii="Arial" w:cs="Arial" w:eastAsia="Arial" w:hAnsi="Arial"/>
          <w:sz w:val="22"/>
          <w:szCs w:val="22"/>
          <w:b w:val="1"/>
          <w:bCs w:val="1"/>
          <w:color w:val="225CAB"/>
        </w:rPr>
      </w:pPr>
      <w:r>
        <w:rPr>
          <w:rFonts w:ascii="Arial" w:cs="Arial" w:eastAsia="Arial" w:hAnsi="Arial"/>
          <w:sz w:val="22"/>
          <w:szCs w:val="22"/>
          <w:b w:val="1"/>
          <w:bCs w:val="1"/>
          <w:color w:val="225CAB"/>
        </w:rPr>
        <w:t>How can I find the voting results of the Annual Meeting?</w:t>
      </w:r>
    </w:p>
    <w:p>
      <w:pPr>
        <w:spacing w:after="0" w:line="53" w:lineRule="exact"/>
        <w:rPr>
          <w:sz w:val="20"/>
          <w:szCs w:val="20"/>
          <w:color w:val="auto"/>
        </w:rPr>
      </w:pPr>
    </w:p>
    <w:p>
      <w:pPr>
        <w:ind w:left="400" w:right="260" w:hanging="392"/>
        <w:spacing w:after="0" w:line="239" w:lineRule="auto"/>
        <w:tabs>
          <w:tab w:leader="none" w:pos="400" w:val="left"/>
        </w:tabs>
        <w:numPr>
          <w:ilvl w:val="0"/>
          <w:numId w:val="95"/>
        </w:numPr>
        <w:rPr>
          <w:rFonts w:ascii="Arial" w:cs="Arial" w:eastAsia="Arial" w:hAnsi="Arial"/>
          <w:sz w:val="18"/>
          <w:szCs w:val="18"/>
          <w:color w:val="225CAB"/>
        </w:rPr>
      </w:pPr>
      <w:r>
        <w:rPr>
          <w:rFonts w:ascii="Arial" w:cs="Arial" w:eastAsia="Arial" w:hAnsi="Arial"/>
          <w:sz w:val="18"/>
          <w:szCs w:val="18"/>
          <w:color w:val="auto"/>
        </w:rPr>
        <w:t>The Board of Directors has designated an inspector of election who will tabulate the votes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336"/>
        </w:trPr>
        <w:tc>
          <w:tcPr>
            <w:tcW w:w="340" w:type="dxa"/>
            <w:vAlign w:val="bottom"/>
            <w:tcBorders>
              <w:right w:val="single" w:sz="8" w:color="225CAB"/>
            </w:tcBorders>
          </w:tcPr>
          <w:p>
            <w:pPr>
              <w:jc w:val="right"/>
              <w:ind w:right="52"/>
              <w:spacing w:after="0"/>
              <w:rPr>
                <w:sz w:val="20"/>
                <w:szCs w:val="20"/>
                <w:color w:val="auto"/>
              </w:rPr>
            </w:pPr>
            <w:r>
              <w:rPr>
                <w:rFonts w:ascii="Arial" w:cs="Arial" w:eastAsia="Arial" w:hAnsi="Arial"/>
                <w:sz w:val="18"/>
                <w:szCs w:val="18"/>
                <w:b w:val="1"/>
                <w:bCs w:val="1"/>
                <w:color w:val="225CAB"/>
                <w:w w:val="89"/>
              </w:rPr>
              <w:t>54</w:t>
            </w:r>
          </w:p>
        </w:tc>
        <w:tc>
          <w:tcPr>
            <w:tcW w:w="5180" w:type="dxa"/>
            <w:vAlign w:val="bottom"/>
          </w:tcPr>
          <w:p>
            <w:pPr>
              <w:ind w:left="1240"/>
              <w:spacing w:after="0"/>
              <w:rPr>
                <w:sz w:val="20"/>
                <w:szCs w:val="20"/>
                <w:color w:val="auto"/>
              </w:rPr>
            </w:pPr>
            <w:r>
              <w:rPr>
                <w:rFonts w:ascii="Arial" w:cs="Arial" w:eastAsia="Arial" w:hAnsi="Arial"/>
                <w:sz w:val="18"/>
                <w:szCs w:val="18"/>
                <w:b w:val="1"/>
                <w:bCs w:val="1"/>
                <w:color w:val="225CAB"/>
                <w:w w:val="96"/>
              </w:rPr>
              <w:t>Roper Technologies, Inc. 2016 Proxy Statement</w:t>
            </w:r>
          </w:p>
        </w:tc>
      </w:tr>
      <w:tr>
        <w:trPr>
          <w:trHeight w:val="110"/>
        </w:trPr>
        <w:tc>
          <w:tcPr>
            <w:tcW w:w="340" w:type="dxa"/>
            <w:vAlign w:val="bottom"/>
            <w:tcBorders>
              <w:right w:val="single" w:sz="8" w:color="225CAB"/>
            </w:tcBorders>
          </w:tcPr>
          <w:p>
            <w:pPr>
              <w:spacing w:after="0"/>
              <w:rPr>
                <w:sz w:val="9"/>
                <w:szCs w:val="9"/>
                <w:color w:val="auto"/>
              </w:rPr>
            </w:pPr>
          </w:p>
        </w:tc>
        <w:tc>
          <w:tcPr>
            <w:tcW w:w="518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-248285</wp:posOffset>
            </wp:positionV>
            <wp:extent cx="420370" cy="2057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00"/>
        <w:spacing w:after="0" w:line="236" w:lineRule="auto"/>
        <w:rPr>
          <w:sz w:val="20"/>
          <w:szCs w:val="20"/>
          <w:color w:val="auto"/>
        </w:rPr>
      </w:pPr>
      <w:r>
        <w:rPr>
          <w:rFonts w:ascii="Arial" w:cs="Arial" w:eastAsia="Arial" w:hAnsi="Arial"/>
          <w:sz w:val="18"/>
          <w:szCs w:val="18"/>
          <w:color w:val="auto"/>
        </w:rPr>
        <w:t>submitted by proxy and by ballot. Preliminary voting results will be announced at the Annual Meeting. Final voting results will be published in a Current Report on Form 8-K to be filed with the SEC within four business days after the Annual Meeting. If the official voting results are not available at that time, we will provide preliminary voting results in the Form 8-K and will provide the final results in an amendment to the Form 8-K as soon as they become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-1832610</wp:posOffset>
            </wp:positionV>
            <wp:extent cx="72891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39" w:lineRule="exact"/>
        <w:rPr>
          <w:sz w:val="20"/>
          <w:szCs w:val="20"/>
          <w:color w:val="auto"/>
        </w:rPr>
      </w:pPr>
    </w:p>
    <w:p>
      <w:pPr>
        <w:ind w:left="400" w:right="480" w:hanging="392"/>
        <w:spacing w:after="0" w:line="285" w:lineRule="auto"/>
        <w:tabs>
          <w:tab w:leader="none" w:pos="400" w:val="left"/>
        </w:tabs>
        <w:numPr>
          <w:ilvl w:val="0"/>
          <w:numId w:val="96"/>
        </w:numPr>
        <w:rPr>
          <w:rFonts w:ascii="Arial" w:cs="Arial" w:eastAsia="Arial" w:hAnsi="Arial"/>
          <w:sz w:val="21"/>
          <w:szCs w:val="21"/>
          <w:b w:val="1"/>
          <w:bCs w:val="1"/>
          <w:color w:val="225CAB"/>
        </w:rPr>
      </w:pPr>
      <w:r>
        <w:rPr>
          <w:rFonts w:ascii="Arial" w:cs="Arial" w:eastAsia="Arial" w:hAnsi="Arial"/>
          <w:sz w:val="21"/>
          <w:szCs w:val="21"/>
          <w:b w:val="1"/>
          <w:bCs w:val="1"/>
          <w:color w:val="225CAB"/>
        </w:rPr>
        <w:t>Who is paying for the expenses involved in preparing and mailing this Proxy Statement?</w:t>
      </w:r>
    </w:p>
    <w:p>
      <w:pPr>
        <w:spacing w:after="0" w:line="29" w:lineRule="exact"/>
        <w:rPr>
          <w:sz w:val="20"/>
          <w:szCs w:val="20"/>
          <w:color w:val="auto"/>
        </w:rPr>
      </w:pPr>
    </w:p>
    <w:p>
      <w:pPr>
        <w:ind w:left="400" w:right="120" w:hanging="392"/>
        <w:spacing w:after="0" w:line="267" w:lineRule="auto"/>
        <w:tabs>
          <w:tab w:leader="none" w:pos="400" w:val="left"/>
        </w:tabs>
        <w:numPr>
          <w:ilvl w:val="0"/>
          <w:numId w:val="97"/>
        </w:numPr>
        <w:rPr>
          <w:rFonts w:ascii="Arial" w:cs="Arial" w:eastAsia="Arial" w:hAnsi="Arial"/>
          <w:sz w:val="16"/>
          <w:szCs w:val="16"/>
          <w:color w:val="225CAB"/>
        </w:rPr>
      </w:pPr>
      <w:r>
        <w:rPr>
          <w:rFonts w:ascii="Arial" w:cs="Arial" w:eastAsia="Arial" w:hAnsi="Arial"/>
          <w:sz w:val="16"/>
          <w:szCs w:val="16"/>
          <w:color w:val="auto"/>
        </w:rPr>
        <w:t>We are paying the expenses involved in preparing, assembling and mailing these proxy material and all costs of soliciting proxies. Our directors, executive officers and other employees may solicit proxies, without additional compensation, personally or by telephone, email or other means of communication. We have also engaged Georgeson Inc. as the proxy solicitor for this Annual Meeting for a fee of approximately $10,000 plus reasonable expenses. We will reimburse banks, brokers and other intermediaries, such as custodians, nominees and fiduciaries, that hold our common stock in their names or in the names of their nominees for their reasonable expenses in forwarding proxy materials to beneficial owners.</w:t>
      </w:r>
    </w:p>
    <w:p>
      <w:pPr>
        <w:spacing w:after="0" w:line="346" w:lineRule="exact"/>
        <w:rPr>
          <w:sz w:val="20"/>
          <w:szCs w:val="20"/>
          <w:color w:val="auto"/>
        </w:rPr>
      </w:pPr>
    </w:p>
    <w:p>
      <w:pPr>
        <w:spacing w:after="0"/>
        <w:rPr>
          <w:sz w:val="20"/>
          <w:szCs w:val="20"/>
          <w:color w:val="auto"/>
        </w:rPr>
      </w:pPr>
      <w:r>
        <w:rPr>
          <w:rFonts w:ascii="Arial" w:cs="Arial" w:eastAsia="Arial" w:hAnsi="Arial"/>
          <w:sz w:val="22"/>
          <w:szCs w:val="22"/>
          <w:b w:val="1"/>
          <w:bCs w:val="1"/>
          <w:color w:val="225CAB"/>
        </w:rPr>
        <w:t>Q: What is your website for additional information?</w:t>
      </w:r>
    </w:p>
    <w:p>
      <w:pPr>
        <w:spacing w:after="0" w:line="107" w:lineRule="exact"/>
        <w:rPr>
          <w:sz w:val="20"/>
          <w:szCs w:val="20"/>
          <w:color w:val="auto"/>
        </w:rPr>
      </w:pPr>
    </w:p>
    <w:p>
      <w:pPr>
        <w:jc w:val="both"/>
        <w:ind w:left="400" w:right="220" w:hanging="392"/>
        <w:spacing w:after="0" w:line="281" w:lineRule="auto"/>
        <w:tabs>
          <w:tab w:leader="none" w:pos="400" w:val="left"/>
        </w:tabs>
        <w:numPr>
          <w:ilvl w:val="0"/>
          <w:numId w:val="98"/>
        </w:numPr>
        <w:rPr>
          <w:rFonts w:ascii="Arial" w:cs="Arial" w:eastAsia="Arial" w:hAnsi="Arial"/>
          <w:sz w:val="16"/>
          <w:szCs w:val="16"/>
          <w:color w:val="225CAB"/>
        </w:rPr>
      </w:pPr>
      <w:r>
        <w:rPr>
          <w:rFonts w:ascii="Arial" w:cs="Arial" w:eastAsia="Arial" w:hAnsi="Arial"/>
          <w:sz w:val="16"/>
          <w:szCs w:val="16"/>
          <w:color w:val="auto"/>
        </w:rPr>
        <w:t>We maintain a website at www.ropertech.com. The information on our website is not part of this Proxy Statement, and it is not incorporated into any other filings we make with the SEC.</w:t>
      </w:r>
    </w:p>
    <w:p>
      <w:pPr>
        <w:sectPr>
          <w:pgSz w:w="11900" w:h="16838" w:orient="portrait"/>
          <w:cols w:equalWidth="0" w:num="2">
            <w:col w:w="5520" w:space="300"/>
            <w:col w:w="5480"/>
          </w:cols>
          <w:pgMar w:left="240" w:top="459" w:right="3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ind w:right="2060"/>
        <w:spacing w:after="0" w:line="260" w:lineRule="auto"/>
        <w:rPr>
          <w:sz w:val="20"/>
          <w:szCs w:val="20"/>
          <w:color w:val="auto"/>
        </w:rPr>
      </w:pPr>
      <w:r>
        <w:rPr>
          <w:rFonts w:ascii="Arial" w:cs="Arial" w:eastAsia="Arial" w:hAnsi="Arial"/>
          <w:sz w:val="32"/>
          <w:szCs w:val="32"/>
          <w:color w:val="225CAB"/>
        </w:rPr>
        <w:t>INFORMATION REGARDING THE 2017 ANNUAL MEETING OF SHAREHOLDERS</w:t>
      </w:r>
    </w:p>
    <w:p>
      <w:pPr>
        <w:spacing w:after="0" w:line="202"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If you wish to submit a matter to be considered at the 2017 Annual Meeting, you must comply with the procedures set forth below. Any proposal or nomination to be made to the Company should be sent to:</w:t>
      </w:r>
    </w:p>
    <w:p>
      <w:pPr>
        <w:spacing w:after="0" w:line="7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Roper Technologies, Inc.</w:t>
      </w:r>
    </w:p>
    <w:p>
      <w:pPr>
        <w:ind w:left="1340"/>
        <w:spacing w:after="0" w:line="234" w:lineRule="auto"/>
        <w:rPr>
          <w:sz w:val="20"/>
          <w:szCs w:val="20"/>
          <w:color w:val="auto"/>
        </w:rPr>
      </w:pPr>
      <w:r>
        <w:rPr>
          <w:rFonts w:ascii="Arial" w:cs="Arial" w:eastAsia="Arial" w:hAnsi="Arial"/>
          <w:sz w:val="18"/>
          <w:szCs w:val="18"/>
          <w:color w:val="auto"/>
        </w:rPr>
        <w:t>6901 Professional Parkway East</w:t>
      </w:r>
    </w:p>
    <w:p>
      <w:pPr>
        <w:ind w:left="1340"/>
        <w:spacing w:after="0" w:line="235" w:lineRule="auto"/>
        <w:rPr>
          <w:sz w:val="20"/>
          <w:szCs w:val="20"/>
          <w:color w:val="auto"/>
        </w:rPr>
      </w:pPr>
      <w:r>
        <w:rPr>
          <w:rFonts w:ascii="Arial" w:cs="Arial" w:eastAsia="Arial" w:hAnsi="Arial"/>
          <w:sz w:val="18"/>
          <w:szCs w:val="18"/>
          <w:color w:val="auto"/>
        </w:rPr>
        <w:t>Suite 200</w:t>
      </w:r>
    </w:p>
    <w:p>
      <w:pPr>
        <w:ind w:left="1340"/>
        <w:spacing w:after="0" w:line="235" w:lineRule="auto"/>
        <w:rPr>
          <w:sz w:val="20"/>
          <w:szCs w:val="20"/>
          <w:color w:val="auto"/>
        </w:rPr>
      </w:pPr>
      <w:r>
        <w:rPr>
          <w:rFonts w:ascii="Arial" w:cs="Arial" w:eastAsia="Arial" w:hAnsi="Arial"/>
          <w:sz w:val="18"/>
          <w:szCs w:val="18"/>
          <w:color w:val="auto"/>
        </w:rPr>
        <w:t>Sarasota, Florida 34240</w:t>
      </w:r>
    </w:p>
    <w:p>
      <w:pPr>
        <w:spacing w:after="0" w:line="1"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Attention: Secretary</w:t>
      </w:r>
    </w:p>
    <w:p>
      <w:pPr>
        <w:spacing w:after="0" w:line="55" w:lineRule="exact"/>
        <w:rPr>
          <w:sz w:val="20"/>
          <w:szCs w:val="20"/>
          <w:color w:val="auto"/>
        </w:rPr>
      </w:pPr>
    </w:p>
    <w:p>
      <w:pPr>
        <w:ind w:left="220" w:right="40" w:hanging="212"/>
        <w:spacing w:after="0" w:line="249" w:lineRule="auto"/>
        <w:tabs>
          <w:tab w:leader="none" w:pos="220" w:val="left"/>
        </w:tabs>
        <w:numPr>
          <w:ilvl w:val="0"/>
          <w:numId w:val="99"/>
        </w:numPr>
        <w:rPr>
          <w:rFonts w:ascii="Arial" w:cs="Arial" w:eastAsia="Arial" w:hAnsi="Arial"/>
          <w:sz w:val="18"/>
          <w:szCs w:val="18"/>
          <w:color w:val="auto"/>
        </w:rPr>
      </w:pPr>
      <w:r>
        <w:rPr>
          <w:rFonts w:ascii="Arial" w:cs="Arial" w:eastAsia="Arial" w:hAnsi="Arial"/>
          <w:sz w:val="18"/>
          <w:szCs w:val="18"/>
          <w:b w:val="1"/>
          <w:bCs w:val="1"/>
          <w:color w:val="auto"/>
        </w:rPr>
        <w:t xml:space="preserve">Proxy Statement Proposals. </w:t>
      </w:r>
      <w:r>
        <w:rPr>
          <w:rFonts w:ascii="Arial" w:cs="Arial" w:eastAsia="Arial" w:hAnsi="Arial"/>
          <w:sz w:val="18"/>
          <w:szCs w:val="18"/>
          <w:color w:val="auto"/>
        </w:rPr>
        <w:t>If you intend to submit a proposal to be included in the Proxy Statement for the 2017 Annual Meeting of</w:t>
      </w:r>
      <w:r>
        <w:rPr>
          <w:rFonts w:ascii="Arial" w:cs="Arial" w:eastAsia="Arial" w:hAnsi="Arial"/>
          <w:sz w:val="18"/>
          <w:szCs w:val="18"/>
          <w:b w:val="1"/>
          <w:bCs w:val="1"/>
          <w:color w:val="auto"/>
        </w:rPr>
        <w:t xml:space="preserve"> </w:t>
      </w:r>
      <w:r>
        <w:rPr>
          <w:rFonts w:ascii="Arial" w:cs="Arial" w:eastAsia="Arial" w:hAnsi="Arial"/>
          <w:sz w:val="18"/>
          <w:szCs w:val="18"/>
          <w:color w:val="auto"/>
        </w:rPr>
        <w:t>Shareholders, we must receive your proposal no later than December 27, 2016. All proposals must comply with the SEC regulations under Rule 14a-8 for including shareholder proposals in a company’s proxy material.</w:t>
      </w:r>
    </w:p>
    <w:p>
      <w:pPr>
        <w:spacing w:after="0" w:line="44" w:lineRule="exact"/>
        <w:rPr>
          <w:rFonts w:ascii="Arial" w:cs="Arial" w:eastAsia="Arial" w:hAnsi="Arial"/>
          <w:sz w:val="18"/>
          <w:szCs w:val="18"/>
          <w:color w:val="auto"/>
        </w:rPr>
      </w:pPr>
    </w:p>
    <w:p>
      <w:pPr>
        <w:ind w:left="220" w:right="780" w:hanging="212"/>
        <w:spacing w:after="0" w:line="264" w:lineRule="auto"/>
        <w:tabs>
          <w:tab w:leader="none" w:pos="220" w:val="left"/>
        </w:tabs>
        <w:numPr>
          <w:ilvl w:val="0"/>
          <w:numId w:val="99"/>
        </w:numPr>
        <w:rPr>
          <w:rFonts w:ascii="Arial" w:cs="Arial" w:eastAsia="Arial" w:hAnsi="Arial"/>
          <w:sz w:val="18"/>
          <w:szCs w:val="18"/>
          <w:color w:val="auto"/>
        </w:rPr>
      </w:pPr>
      <w:r>
        <w:rPr>
          <w:rFonts w:ascii="Arial" w:cs="Arial" w:eastAsia="Arial" w:hAnsi="Arial"/>
          <w:sz w:val="18"/>
          <w:szCs w:val="18"/>
          <w:b w:val="1"/>
          <w:bCs w:val="1"/>
          <w:color w:val="auto"/>
        </w:rPr>
        <w:t xml:space="preserve">Director Candidate Nomination. </w:t>
      </w:r>
      <w:r>
        <w:rPr>
          <w:rFonts w:ascii="Arial" w:cs="Arial" w:eastAsia="Arial" w:hAnsi="Arial"/>
          <w:sz w:val="18"/>
          <w:szCs w:val="18"/>
          <w:color w:val="auto"/>
        </w:rPr>
        <w:t>Our By-laws set forth the procedures you must follow if you wish to nominate a director candidate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the 2017 Annual Meeting of Shareholders.</w:t>
      </w:r>
    </w:p>
    <w:p>
      <w:pPr>
        <w:spacing w:after="0" w:line="35" w:lineRule="exact"/>
        <w:rPr>
          <w:sz w:val="20"/>
          <w:szCs w:val="20"/>
          <w:color w:val="auto"/>
        </w:rPr>
      </w:pPr>
    </w:p>
    <w:p>
      <w:pPr>
        <w:ind w:left="460" w:right="20"/>
        <w:spacing w:after="0" w:line="238" w:lineRule="auto"/>
        <w:rPr>
          <w:sz w:val="20"/>
          <w:szCs w:val="20"/>
          <w:color w:val="auto"/>
        </w:rPr>
      </w:pPr>
      <w:r>
        <w:rPr>
          <w:rFonts w:ascii="Arial" w:cs="Arial" w:eastAsia="Arial" w:hAnsi="Arial"/>
          <w:sz w:val="18"/>
          <w:szCs w:val="18"/>
          <w:i w:val="1"/>
          <w:iCs w:val="1"/>
          <w:color w:val="auto"/>
        </w:rPr>
        <w:t xml:space="preserve">Proxy Access to Include Nominees in our 2017 Proxy Statement. </w:t>
      </w:r>
      <w:r>
        <w:rPr>
          <w:rFonts w:ascii="Arial" w:cs="Arial" w:eastAsia="Arial" w:hAnsi="Arial"/>
          <w:sz w:val="18"/>
          <w:szCs w:val="18"/>
          <w:color w:val="auto"/>
        </w:rPr>
        <w:t>If you are a shareholder, or a group of up to 20 shareholders, owning 3% or</w:t>
      </w:r>
      <w:r>
        <w:rPr>
          <w:rFonts w:ascii="Arial" w:cs="Arial" w:eastAsia="Arial" w:hAnsi="Arial"/>
          <w:sz w:val="18"/>
          <w:szCs w:val="18"/>
          <w:i w:val="1"/>
          <w:iCs w:val="1"/>
          <w:color w:val="auto"/>
        </w:rPr>
        <w:t xml:space="preserve"> </w:t>
      </w:r>
      <w:r>
        <w:rPr>
          <w:rFonts w:ascii="Arial" w:cs="Arial" w:eastAsia="Arial" w:hAnsi="Arial"/>
          <w:sz w:val="18"/>
          <w:szCs w:val="18"/>
          <w:color w:val="auto"/>
        </w:rPr>
        <w:t>more of our outstanding common stock continuously for at least three years and wish to nominate a director candidate and require us to include such nominee in our Proxy Statement and form of proxy, your must submit your request so it is received by the Company between January 27, 2017 and February 26, 2017, in accordance with our By-laws. The number of candidates that may be so nominated is limited to the greater of two or the largest whole number that does not exceed 20% of our Board, provided that the shareholder(s) and nominee(s) satisfy the requirements set forth in our By-laws. All proxy access nominations must be accompanied by information about the nominating shareholders as well as the nominees and meet the requirements specified in our By-laws, including the information specified under “Nominees Not for Inclusion in our 2017 Proxy Statement” below.</w:t>
      </w:r>
    </w:p>
    <w:p>
      <w:pPr>
        <w:spacing w:after="0" w:line="60" w:lineRule="exact"/>
        <w:rPr>
          <w:sz w:val="20"/>
          <w:szCs w:val="20"/>
          <w:color w:val="auto"/>
        </w:rPr>
      </w:pPr>
    </w:p>
    <w:p>
      <w:pPr>
        <w:ind w:left="460" w:right="200"/>
        <w:spacing w:after="0" w:line="270" w:lineRule="auto"/>
        <w:rPr>
          <w:sz w:val="20"/>
          <w:szCs w:val="20"/>
          <w:color w:val="auto"/>
        </w:rPr>
      </w:pPr>
      <w:r>
        <w:rPr>
          <w:rFonts w:ascii="Arial" w:cs="Arial" w:eastAsia="Arial" w:hAnsi="Arial"/>
          <w:sz w:val="16"/>
          <w:szCs w:val="16"/>
          <w:i w:val="1"/>
          <w:iCs w:val="1"/>
          <w:color w:val="auto"/>
        </w:rPr>
        <w:t xml:space="preserve">Nominees Not for Inclusion in our 2017 Proxy Statement. </w:t>
      </w:r>
      <w:r>
        <w:rPr>
          <w:rFonts w:ascii="Arial" w:cs="Arial" w:eastAsia="Arial" w:hAnsi="Arial"/>
          <w:sz w:val="16"/>
          <w:szCs w:val="16"/>
          <w:color w:val="auto"/>
        </w:rPr>
        <w:t>If you wish to nominate a director candidate in connection with the 2017 Annual</w:t>
      </w:r>
      <w:r>
        <w:rPr>
          <w:rFonts w:ascii="Arial" w:cs="Arial" w:eastAsia="Arial" w:hAnsi="Arial"/>
          <w:sz w:val="16"/>
          <w:szCs w:val="16"/>
          <w:i w:val="1"/>
          <w:iCs w:val="1"/>
          <w:color w:val="auto"/>
        </w:rPr>
        <w:t xml:space="preserve"> </w:t>
      </w:r>
      <w:r>
        <w:rPr>
          <w:rFonts w:ascii="Arial" w:cs="Arial" w:eastAsia="Arial" w:hAnsi="Arial"/>
          <w:sz w:val="16"/>
          <w:szCs w:val="16"/>
          <w:color w:val="auto"/>
        </w:rPr>
        <w:t>Meeting of Shareholders and are not requiring the nominee be included in our Proxy Statement, you must submit the nomination so it is received by the Company between January 27, 2017 and February 26, 2017, in accordance with our By-laws</w:t>
      </w:r>
      <w:r>
        <w:rPr>
          <w:rFonts w:ascii="Arial" w:cs="Arial" w:eastAsia="Arial" w:hAnsi="Arial"/>
          <w:sz w:val="16"/>
          <w:szCs w:val="16"/>
          <w:i w:val="1"/>
          <w:iCs w:val="1"/>
          <w:color w:val="auto"/>
        </w:rPr>
        <w:t>.</w:t>
      </w:r>
      <w:r>
        <w:rPr>
          <w:rFonts w:ascii="Arial" w:cs="Arial" w:eastAsia="Arial" w:hAnsi="Arial"/>
          <w:sz w:val="16"/>
          <w:szCs w:val="16"/>
          <w:color w:val="auto"/>
        </w:rPr>
        <w:t xml:space="preserve"> The notice to nominate a person for election as a Company director, notice must include a written statement setting forth (i) the name of the person to be nominated;</w:t>
      </w:r>
    </w:p>
    <w:p>
      <w:pPr>
        <w:ind w:left="460" w:right="60" w:firstLine="4"/>
        <w:spacing w:after="0" w:line="235" w:lineRule="auto"/>
        <w:tabs>
          <w:tab w:leader="none" w:pos="704" w:val="left"/>
        </w:tabs>
        <w:numPr>
          <w:ilvl w:val="1"/>
          <w:numId w:val="100"/>
        </w:numPr>
        <w:rPr>
          <w:rFonts w:ascii="Arial" w:cs="Arial" w:eastAsia="Arial" w:hAnsi="Arial"/>
          <w:sz w:val="18"/>
          <w:szCs w:val="18"/>
          <w:color w:val="auto"/>
        </w:rPr>
      </w:pPr>
      <w:r>
        <w:rPr>
          <w:rFonts w:ascii="Arial" w:cs="Arial" w:eastAsia="Arial" w:hAnsi="Arial"/>
          <w:sz w:val="18"/>
          <w:szCs w:val="18"/>
          <w:color w:val="auto"/>
        </w:rPr>
        <w:t>the number and class of all shares of each class of Company stock owned of record and beneficially by such person, as reported by such person to you; (iii) such other information regarding each nominee proposed by you as would have been required to be included in a Proxy Statement filed pursuant to the proxy rules of the SEC if the nominee had been nominated by the Board of Directors; (iv) such person’s signed consent to serve as a director of our Company if elected; (v) your name and address; (vi) the number and class of all shares of each class of Company stock owned of record and beneficially by such shareholder (and any beneficial owner on whose behalf the nomination is made); and (vii) a description of any agreement, arrangement or understanding (including any derivative or short positions, profit interests, options, warrants, stock appreciation or similar rights, hedging transactions and borrowed or loaned shares) that has been entered into by or on behalf of, or any other agreement, arrangement or understanding that has been made, the effect or intent of which is to mitigate loss to, manage risk or benefit of share price changes for, or increase or decrease the voting power of, you (and any beneficial owner on whose behalf the proposal is made) with respect to Roper’s securities.</w:t>
      </w:r>
    </w:p>
    <w:p>
      <w:pPr>
        <w:spacing w:after="0" w:line="58" w:lineRule="exact"/>
        <w:rPr>
          <w:rFonts w:ascii="Arial" w:cs="Arial" w:eastAsia="Arial" w:hAnsi="Arial"/>
          <w:sz w:val="18"/>
          <w:szCs w:val="18"/>
          <w:color w:val="auto"/>
        </w:rPr>
      </w:pPr>
    </w:p>
    <w:p>
      <w:pPr>
        <w:ind w:left="220" w:right="100" w:hanging="212"/>
        <w:spacing w:after="0" w:line="239" w:lineRule="auto"/>
        <w:tabs>
          <w:tab w:leader="none" w:pos="220" w:val="left"/>
        </w:tabs>
        <w:numPr>
          <w:ilvl w:val="0"/>
          <w:numId w:val="100"/>
        </w:numPr>
        <w:rPr>
          <w:rFonts w:ascii="Arial" w:cs="Arial" w:eastAsia="Arial" w:hAnsi="Arial"/>
          <w:sz w:val="18"/>
          <w:szCs w:val="18"/>
          <w:color w:val="auto"/>
        </w:rPr>
      </w:pPr>
      <w:r>
        <w:rPr>
          <w:rFonts w:ascii="Arial" w:cs="Arial" w:eastAsia="Arial" w:hAnsi="Arial"/>
          <w:sz w:val="18"/>
          <w:szCs w:val="18"/>
          <w:b w:val="1"/>
          <w:bCs w:val="1"/>
          <w:color w:val="auto"/>
        </w:rPr>
        <w:t xml:space="preserve">Matters for Annual Meeting Agenda. </w:t>
      </w:r>
      <w:r>
        <w:rPr>
          <w:rFonts w:ascii="Arial" w:cs="Arial" w:eastAsia="Arial" w:hAnsi="Arial"/>
          <w:sz w:val="18"/>
          <w:szCs w:val="18"/>
          <w:color w:val="auto"/>
        </w:rPr>
        <w:t>If you wish to have other business (not the nomination of a director candidate) brought before the 2017</w:t>
      </w:r>
      <w:r>
        <w:rPr>
          <w:rFonts w:ascii="Arial" w:cs="Arial" w:eastAsia="Arial" w:hAnsi="Arial"/>
          <w:sz w:val="18"/>
          <w:szCs w:val="18"/>
          <w:b w:val="1"/>
          <w:bCs w:val="1"/>
          <w:color w:val="auto"/>
        </w:rPr>
        <w:t xml:space="preserve"> </w:t>
      </w:r>
      <w:r>
        <w:rPr>
          <w:rFonts w:ascii="Arial" w:cs="Arial" w:eastAsia="Arial" w:hAnsi="Arial"/>
          <w:sz w:val="18"/>
          <w:szCs w:val="18"/>
          <w:color w:val="auto"/>
        </w:rPr>
        <w:t>Annual Meeting of Shareholders, you must submit the proposal between January 27, 2017 and February 26, 2017, in accordance with our By-laws. If you intend to present the matter directly at the 2017 Annual Meeting of Shareholders, the notice must include the text of the proposal; a brief statement of the reasons why you favor the proposal; your name and address; the number and class of all shares of each class of Company stock owned of record and beneficially by you (and any beneficial owner on whose behalf the proposal is made); a description of any agreement, arrangement or understanding (including any derivative or short positions, profit interests, options, warrants, stock appreciation or similar rights, hedging</w:t>
      </w:r>
    </w:p>
    <w:p>
      <w:pPr>
        <w:spacing w:after="0" w:line="143" w:lineRule="exact"/>
        <w:rPr>
          <w:sz w:val="20"/>
          <w:szCs w:val="20"/>
          <w:color w:val="auto"/>
        </w:rPr>
      </w:pPr>
    </w:p>
    <w:tbl>
      <w:tblPr>
        <w:tblLayout w:type="fixed"/>
        <w:tblInd w:w="6900" w:type="dxa"/>
        <w:tblCellMar>
          <w:top w:w="0" w:type="dxa"/>
          <w:left w:w="0" w:type="dxa"/>
          <w:bottom w:w="0" w:type="dxa"/>
          <w:right w:w="0" w:type="dxa"/>
        </w:tblCellMar>
      </w:tblPr>
      <w:tr>
        <w:trPr>
          <w:trHeight w:val="309"/>
        </w:trPr>
        <w:tc>
          <w:tcPr>
            <w:tcW w:w="4080" w:type="dxa"/>
            <w:vAlign w:val="bottom"/>
            <w:tcBorders>
              <w:right w:val="single" w:sz="8" w:color="225CAB"/>
            </w:tcBorders>
          </w:tcPr>
          <w:p>
            <w:pPr>
              <w:spacing w:after="0"/>
              <w:rPr>
                <w:sz w:val="20"/>
                <w:szCs w:val="20"/>
                <w:color w:val="auto"/>
              </w:rPr>
            </w:pPr>
            <w:r>
              <w:rPr>
                <w:rFonts w:ascii="Arial" w:cs="Arial" w:eastAsia="Arial" w:hAnsi="Arial"/>
                <w:sz w:val="18"/>
                <w:szCs w:val="18"/>
                <w:b w:val="1"/>
                <w:bCs w:val="1"/>
                <w:color w:val="225CAB"/>
                <w:w w:val="99"/>
              </w:rPr>
              <w:t>Roper Technologies, Inc. 2016 Proxy Statement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225CAB"/>
              </w:rPr>
              <w:t>55</w:t>
            </w:r>
          </w:p>
        </w:tc>
      </w:tr>
      <w:tr>
        <w:trPr>
          <w:trHeight w:val="83"/>
        </w:trPr>
        <w:tc>
          <w:tcPr>
            <w:tcW w:w="4080" w:type="dxa"/>
            <w:vAlign w:val="bottom"/>
            <w:tcBorders>
              <w:right w:val="single" w:sz="8" w:color="225CAB"/>
            </w:tcBorders>
          </w:tcPr>
          <w:p>
            <w:pPr>
              <w:spacing w:after="0"/>
              <w:rPr>
                <w:sz w:val="7"/>
                <w:szCs w:val="7"/>
                <w:color w:val="auto"/>
              </w:rPr>
            </w:pPr>
          </w:p>
        </w:tc>
        <w:tc>
          <w:tcPr>
            <w:tcW w:w="44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-213995</wp:posOffset>
            </wp:positionV>
            <wp:extent cx="420370" cy="2057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20" w:right="340"/>
        <w:spacing w:after="0" w:line="275" w:lineRule="auto"/>
        <w:rPr>
          <w:sz w:val="20"/>
          <w:szCs w:val="20"/>
          <w:color w:val="auto"/>
        </w:rPr>
      </w:pPr>
      <w:r>
        <w:rPr>
          <w:rFonts w:ascii="Arial" w:cs="Arial" w:eastAsia="Arial" w:hAnsi="Arial"/>
          <w:sz w:val="16"/>
          <w:szCs w:val="16"/>
          <w:color w:val="auto"/>
        </w:rPr>
        <w:t>transactions and borrowed or loaned shares) that has been entered into by or on behalf of, or any other agreement, arrangement or understanding that has been made, the effect or intent of which is to mitigate loss to, manage risk or benefit of share price changes for, or increase or decrease the voting power of, you (and any beneficial owner on whose behalf the proposal is made) with respect to the Roper’s securities; and if applicable, any material interest of you and such beneficial owner in the matter proposed (other than as a shareholder).</w:t>
      </w:r>
    </w:p>
    <w:p>
      <w:pPr>
        <w:spacing w:after="0" w:line="4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With respect to matters not included in the Proxy Statement but properly presented at the Annual Meeting of Shareholders, management generally will be able to vote proxies in its discretion if it receives notice of the proposal during the period specified above and advises shareholders in the Proxy Statement for the 2017 Annual Meeting of Shareholders about the nature of the matter and how management intends to vote on the matter, unless the proponent of the shareholder proposal (a) provides us with a timely written statement that the proponent intends to deliver a Proxy Statement to at least the percentage of our voting shares required to carry the proposal, (b) includes the same statement in the proponent’s own proxy materials, and (c) provides us with a statement from a solicitor confirming that the necessary steps have been taken to deliver the Proxy Statement to at least the percentage of our voting shares required to carry the proposal.</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336"/>
        </w:trPr>
        <w:tc>
          <w:tcPr>
            <w:tcW w:w="340" w:type="dxa"/>
            <w:vAlign w:val="bottom"/>
            <w:tcBorders>
              <w:right w:val="single" w:sz="8" w:color="225CAB"/>
            </w:tcBorders>
          </w:tcPr>
          <w:p>
            <w:pPr>
              <w:jc w:val="right"/>
              <w:ind w:right="52"/>
              <w:spacing w:after="0"/>
              <w:rPr>
                <w:sz w:val="20"/>
                <w:szCs w:val="20"/>
                <w:color w:val="auto"/>
              </w:rPr>
            </w:pPr>
            <w:r>
              <w:rPr>
                <w:rFonts w:ascii="Arial" w:cs="Arial" w:eastAsia="Arial" w:hAnsi="Arial"/>
                <w:sz w:val="18"/>
                <w:szCs w:val="18"/>
                <w:b w:val="1"/>
                <w:bCs w:val="1"/>
                <w:color w:val="225CAB"/>
                <w:w w:val="89"/>
              </w:rPr>
              <w:t>56</w:t>
            </w:r>
          </w:p>
        </w:tc>
        <w:tc>
          <w:tcPr>
            <w:tcW w:w="5180" w:type="dxa"/>
            <w:vAlign w:val="bottom"/>
          </w:tcPr>
          <w:p>
            <w:pPr>
              <w:ind w:left="1240"/>
              <w:spacing w:after="0"/>
              <w:rPr>
                <w:sz w:val="20"/>
                <w:szCs w:val="20"/>
                <w:color w:val="auto"/>
              </w:rPr>
            </w:pPr>
            <w:r>
              <w:rPr>
                <w:rFonts w:ascii="Arial" w:cs="Arial" w:eastAsia="Arial" w:hAnsi="Arial"/>
                <w:sz w:val="18"/>
                <w:szCs w:val="18"/>
                <w:b w:val="1"/>
                <w:bCs w:val="1"/>
                <w:color w:val="225CAB"/>
                <w:w w:val="96"/>
              </w:rPr>
              <w:t>Roper Technologies, Inc. 2016 Proxy Statement</w:t>
            </w:r>
          </w:p>
        </w:tc>
      </w:tr>
      <w:tr>
        <w:trPr>
          <w:trHeight w:val="110"/>
        </w:trPr>
        <w:tc>
          <w:tcPr>
            <w:tcW w:w="340" w:type="dxa"/>
            <w:vAlign w:val="bottom"/>
            <w:tcBorders>
              <w:right w:val="single" w:sz="8" w:color="225CAB"/>
            </w:tcBorders>
          </w:tcPr>
          <w:p>
            <w:pPr>
              <w:spacing w:after="0"/>
              <w:rPr>
                <w:sz w:val="9"/>
                <w:szCs w:val="9"/>
                <w:color w:val="auto"/>
              </w:rPr>
            </w:pPr>
          </w:p>
        </w:tc>
        <w:tc>
          <w:tcPr>
            <w:tcW w:w="518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-248285</wp:posOffset>
            </wp:positionV>
            <wp:extent cx="420370" cy="2057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ectPr>
          <w:pgSz w:w="11900" w:h="16838" w:orient="portrait"/>
          <w:cols w:equalWidth="0" w:num="1">
            <w:col w:w="11360"/>
          </w:cols>
          <w:pgMar w:left="240" w:top="459" w:right="29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spacing w:after="0"/>
        <w:rPr>
          <w:sz w:val="20"/>
          <w:szCs w:val="20"/>
          <w:color w:val="auto"/>
        </w:rPr>
      </w:pPr>
      <w:r>
        <w:rPr>
          <w:rFonts w:ascii="Arial" w:cs="Arial" w:eastAsia="Arial" w:hAnsi="Arial"/>
          <w:sz w:val="32"/>
          <w:szCs w:val="32"/>
          <w:color w:val="225CAB"/>
        </w:rPr>
        <w:t>OTHER MATTERS</w:t>
      </w:r>
    </w:p>
    <w:p>
      <w:pPr>
        <w:spacing w:after="0" w:line="253"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color w:val="auto"/>
        </w:rPr>
        <w:t>As of the date of this Proxy Statement, the Board of Directors knows of no other business which will be or is intended to be presented at the Annual Meeting. If any other business properly comes before the Annual Meeting or any adjourned Annual Meeting, the proxy holders named in the enclosed proxy will have discretionary authority to vote the shares represented by the proxy in their discretion.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By the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1929765" cy="57467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92976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Brian D. Jellison</w:t>
      </w:r>
    </w:p>
    <w:p>
      <w:pPr>
        <w:spacing w:after="0"/>
        <w:rPr>
          <w:sz w:val="20"/>
          <w:szCs w:val="20"/>
          <w:color w:val="auto"/>
        </w:rPr>
      </w:pPr>
      <w:r>
        <w:rPr>
          <w:rFonts w:ascii="Arial" w:cs="Arial" w:eastAsia="Arial" w:hAnsi="Arial"/>
          <w:sz w:val="18"/>
          <w:szCs w:val="18"/>
          <w:color w:val="auto"/>
        </w:rPr>
        <w:t>Chairman, President and Chief Executive Officer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Dated: April 26, 2016</w:t>
      </w:r>
    </w:p>
    <w:p>
      <w:pPr>
        <w:spacing w:after="0" w:line="141" w:lineRule="exact"/>
        <w:rPr>
          <w:sz w:val="20"/>
          <w:szCs w:val="20"/>
          <w:color w:val="auto"/>
        </w:rPr>
      </w:pPr>
    </w:p>
    <w:tbl>
      <w:tblPr>
        <w:tblLayout w:type="fixed"/>
        <w:tblInd w:w="6900" w:type="dxa"/>
        <w:tblCellMar>
          <w:top w:w="0" w:type="dxa"/>
          <w:left w:w="0" w:type="dxa"/>
          <w:bottom w:w="0" w:type="dxa"/>
          <w:right w:w="0" w:type="dxa"/>
        </w:tblCellMar>
      </w:tblPr>
      <w:tr>
        <w:trPr>
          <w:trHeight w:val="309"/>
        </w:trPr>
        <w:tc>
          <w:tcPr>
            <w:tcW w:w="4080" w:type="dxa"/>
            <w:vAlign w:val="bottom"/>
            <w:tcBorders>
              <w:right w:val="single" w:sz="8" w:color="225CAB"/>
            </w:tcBorders>
          </w:tcPr>
          <w:p>
            <w:pPr>
              <w:spacing w:after="0"/>
              <w:rPr>
                <w:sz w:val="20"/>
                <w:szCs w:val="20"/>
                <w:color w:val="auto"/>
              </w:rPr>
            </w:pPr>
            <w:r>
              <w:rPr>
                <w:rFonts w:ascii="Arial" w:cs="Arial" w:eastAsia="Arial" w:hAnsi="Arial"/>
                <w:sz w:val="18"/>
                <w:szCs w:val="18"/>
                <w:b w:val="1"/>
                <w:bCs w:val="1"/>
                <w:color w:val="225CAB"/>
                <w:w w:val="99"/>
              </w:rPr>
              <w:t>Roper Technologies, Inc. 2016 Proxy Statement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225CAB"/>
              </w:rPr>
              <w:t>57</w:t>
            </w:r>
          </w:p>
        </w:tc>
      </w:tr>
      <w:tr>
        <w:trPr>
          <w:trHeight w:val="83"/>
        </w:trPr>
        <w:tc>
          <w:tcPr>
            <w:tcW w:w="4080" w:type="dxa"/>
            <w:vAlign w:val="bottom"/>
            <w:tcBorders>
              <w:right w:val="single" w:sz="8" w:color="225CAB"/>
            </w:tcBorders>
          </w:tcPr>
          <w:p>
            <w:pPr>
              <w:spacing w:after="0"/>
              <w:rPr>
                <w:sz w:val="7"/>
                <w:szCs w:val="7"/>
                <w:color w:val="auto"/>
              </w:rPr>
            </w:pPr>
          </w:p>
        </w:tc>
        <w:tc>
          <w:tcPr>
            <w:tcW w:w="44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-213995</wp:posOffset>
            </wp:positionV>
            <wp:extent cx="420370" cy="2057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spacing w:after="0"/>
        <w:rPr>
          <w:sz w:val="20"/>
          <w:szCs w:val="20"/>
          <w:color w:val="auto"/>
        </w:rPr>
      </w:pPr>
      <w:r>
        <w:rPr>
          <w:rFonts w:ascii="Arial" w:cs="Arial" w:eastAsia="Arial" w:hAnsi="Arial"/>
          <w:sz w:val="32"/>
          <w:szCs w:val="32"/>
          <w:color w:val="225CAB"/>
        </w:rPr>
        <w:t>APPENDIX A—RECONCILIATIONS</w:t>
      </w:r>
    </w:p>
    <w:p>
      <w:pPr>
        <w:spacing w:after="0" w:line="172" w:lineRule="exact"/>
        <w:rPr>
          <w:sz w:val="20"/>
          <w:szCs w:val="20"/>
          <w:color w:val="auto"/>
        </w:rPr>
      </w:pPr>
    </w:p>
    <w:p>
      <w:pPr>
        <w:ind w:right="4960"/>
        <w:spacing w:after="0" w:line="239" w:lineRule="auto"/>
        <w:rPr>
          <w:sz w:val="20"/>
          <w:szCs w:val="20"/>
          <w:color w:val="auto"/>
        </w:rPr>
      </w:pPr>
      <w:r>
        <w:rPr>
          <w:rFonts w:ascii="Arial" w:cs="Arial" w:eastAsia="Arial" w:hAnsi="Arial"/>
          <w:sz w:val="18"/>
          <w:szCs w:val="18"/>
          <w:color w:val="auto"/>
        </w:rPr>
        <w:t>Table 1: Full Year Adjusted Revenue and Adjusted Operating Margin Reconciliation (in millions, except percentages)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tcBorders>
              <w:bottom w:val="single" w:sz="8" w:color="D2DEEE"/>
            </w:tcBorders>
          </w:tcPr>
          <w:p>
            <w:pPr>
              <w:spacing w:after="0"/>
              <w:rPr>
                <w:sz w:val="14"/>
                <w:szCs w:val="14"/>
                <w:color w:val="auto"/>
              </w:rPr>
            </w:pPr>
          </w:p>
        </w:tc>
        <w:tc>
          <w:tcPr>
            <w:tcW w:w="20" w:type="dxa"/>
            <w:vAlign w:val="bottom"/>
            <w:tcBorders>
              <w:bottom w:val="single" w:sz="8" w:color="D2DEEE"/>
            </w:tcBorders>
          </w:tcPr>
          <w:p>
            <w:pPr>
              <w:spacing w:after="0"/>
              <w:rPr>
                <w:sz w:val="14"/>
                <w:szCs w:val="14"/>
                <w:color w:val="auto"/>
              </w:rPr>
            </w:pPr>
          </w:p>
        </w:tc>
        <w:tc>
          <w:tcPr>
            <w:tcW w:w="6580" w:type="dxa"/>
            <w:vAlign w:val="bottom"/>
            <w:tcBorders>
              <w:bottom w:val="single" w:sz="8" w:color="D2DEEE"/>
            </w:tcBorders>
          </w:tcPr>
          <w:p>
            <w:pPr>
              <w:spacing w:after="0"/>
              <w:rPr>
                <w:sz w:val="14"/>
                <w:szCs w:val="14"/>
                <w:color w:val="auto"/>
              </w:rPr>
            </w:pPr>
          </w:p>
        </w:tc>
        <w:tc>
          <w:tcPr>
            <w:tcW w:w="400" w:type="dxa"/>
            <w:vAlign w:val="bottom"/>
            <w:tcBorders>
              <w:bottom w:val="single" w:sz="8" w:color="D2DEEE"/>
            </w:tcBorders>
          </w:tcPr>
          <w:p>
            <w:pPr>
              <w:spacing w:after="0"/>
              <w:rPr>
                <w:sz w:val="14"/>
                <w:szCs w:val="14"/>
                <w:color w:val="auto"/>
              </w:rPr>
            </w:pPr>
          </w:p>
        </w:tc>
        <w:tc>
          <w:tcPr>
            <w:tcW w:w="5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2015</w:t>
            </w:r>
          </w:p>
        </w:tc>
        <w:tc>
          <w:tcPr>
            <w:tcW w:w="60" w:type="dxa"/>
            <w:vAlign w:val="bottom"/>
            <w:tcBorders>
              <w:bottom w:val="single" w:sz="8" w:color="D2DEEE"/>
            </w:tcBorders>
          </w:tcPr>
          <w:p>
            <w:pPr>
              <w:spacing w:after="0"/>
              <w:rPr>
                <w:sz w:val="14"/>
                <w:szCs w:val="14"/>
                <w:color w:val="auto"/>
              </w:rPr>
            </w:pPr>
          </w:p>
        </w:tc>
        <w:tc>
          <w:tcPr>
            <w:tcW w:w="540" w:type="dxa"/>
            <w:vAlign w:val="bottom"/>
            <w:tcBorders>
              <w:bottom w:val="single" w:sz="8" w:color="D2DEEE"/>
            </w:tcBorders>
          </w:tcPr>
          <w:p>
            <w:pPr>
              <w:spacing w:after="0"/>
              <w:rPr>
                <w:sz w:val="14"/>
                <w:szCs w:val="14"/>
                <w:color w:val="auto"/>
              </w:rPr>
            </w:pPr>
          </w:p>
        </w:tc>
        <w:tc>
          <w:tcPr>
            <w:tcW w:w="20" w:type="dxa"/>
            <w:vAlign w:val="bottom"/>
            <w:tcBorders>
              <w:bottom w:val="single" w:sz="8" w:color="D2DEEE"/>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2014</w:t>
            </w: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D2DEEE"/>
            </w:tcBorders>
          </w:tcPr>
          <w:p>
            <w:pPr>
              <w:spacing w:after="0"/>
              <w:rPr>
                <w:sz w:val="14"/>
                <w:szCs w:val="14"/>
                <w:color w:val="auto"/>
              </w:rPr>
            </w:pPr>
          </w:p>
        </w:tc>
        <w:tc>
          <w:tcPr>
            <w:tcW w:w="200" w:type="dxa"/>
            <w:vAlign w:val="bottom"/>
            <w:tcBorders>
              <w:bottom w:val="single" w:sz="8" w:color="D2DEEE"/>
            </w:tcBorders>
          </w:tcPr>
          <w:p>
            <w:pPr>
              <w:spacing w:after="0"/>
              <w:rPr>
                <w:sz w:val="14"/>
                <w:szCs w:val="14"/>
                <w:color w:val="auto"/>
              </w:rPr>
            </w:pPr>
          </w:p>
        </w:tc>
        <w:tc>
          <w:tcPr>
            <w:tcW w:w="56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4"/>
                <w:szCs w:val="14"/>
                <w:color w:val="auto"/>
              </w:rPr>
              <w:t>2013</w:t>
            </w:r>
          </w:p>
        </w:tc>
        <w:tc>
          <w:tcPr>
            <w:tcW w:w="200" w:type="dxa"/>
            <w:vAlign w:val="bottom"/>
            <w:tcBorders>
              <w:bottom w:val="single" w:sz="8" w:color="D2DEEE"/>
            </w:tcBorders>
          </w:tcPr>
          <w:p>
            <w:pPr>
              <w:spacing w:after="0"/>
              <w:rPr>
                <w:sz w:val="14"/>
                <w:szCs w:val="14"/>
                <w:color w:val="auto"/>
              </w:rPr>
            </w:pPr>
          </w:p>
        </w:tc>
        <w:tc>
          <w:tcPr>
            <w:tcW w:w="220" w:type="dxa"/>
            <w:vAlign w:val="bottom"/>
            <w:tcBorders>
              <w:bottom w:val="single" w:sz="8" w:color="D2DEEE"/>
            </w:tcBorders>
          </w:tcPr>
          <w:p>
            <w:pPr>
              <w:spacing w:after="0"/>
              <w:rPr>
                <w:sz w:val="14"/>
                <w:szCs w:val="14"/>
                <w:color w:val="auto"/>
              </w:rPr>
            </w:pPr>
          </w:p>
        </w:tc>
        <w:tc>
          <w:tcPr>
            <w:tcW w:w="54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2012</w:t>
            </w:r>
          </w:p>
        </w:tc>
        <w:tc>
          <w:tcPr>
            <w:tcW w:w="220" w:type="dxa"/>
            <w:vAlign w:val="bottom"/>
            <w:tcBorders>
              <w:bottom w:val="single" w:sz="8" w:color="D2DEEE"/>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920" w:type="dxa"/>
            <w:vAlign w:val="bottom"/>
            <w:gridSpan w:val="3"/>
            <w:shd w:val="clear" w:color="auto" w:fill="D2DEEE"/>
          </w:tcPr>
          <w:p>
            <w:pPr>
              <w:spacing w:after="0" w:line="195" w:lineRule="exact"/>
              <w:rPr>
                <w:sz w:val="20"/>
                <w:szCs w:val="20"/>
                <w:color w:val="auto"/>
              </w:rPr>
            </w:pPr>
            <w:r>
              <w:rPr>
                <w:rFonts w:ascii="Arial" w:cs="Arial" w:eastAsia="Arial" w:hAnsi="Arial"/>
                <w:sz w:val="18"/>
                <w:szCs w:val="18"/>
                <w:color w:val="auto"/>
              </w:rPr>
              <w:t>Full Year GAAP Revenue</w:t>
            </w:r>
          </w:p>
        </w:tc>
        <w:tc>
          <w:tcPr>
            <w:tcW w:w="1020" w:type="dxa"/>
            <w:vAlign w:val="bottom"/>
            <w:gridSpan w:val="4"/>
            <w:shd w:val="clear" w:color="auto" w:fill="D2DEEE"/>
          </w:tcPr>
          <w:p>
            <w:pPr>
              <w:jc w:val="right"/>
              <w:ind w:right="60"/>
              <w:spacing w:after="0" w:line="196" w:lineRule="exact"/>
              <w:rPr>
                <w:sz w:val="20"/>
                <w:szCs w:val="20"/>
                <w:color w:val="auto"/>
              </w:rPr>
            </w:pPr>
            <w:r>
              <w:rPr>
                <w:rFonts w:ascii="Arial" w:cs="Arial" w:eastAsia="Arial" w:hAnsi="Arial"/>
                <w:sz w:val="18"/>
                <w:szCs w:val="18"/>
                <w:color w:val="auto"/>
              </w:rPr>
              <w:t>$3,582</w:t>
            </w:r>
          </w:p>
        </w:tc>
        <w:tc>
          <w:tcPr>
            <w:tcW w:w="540" w:type="dxa"/>
            <w:vAlign w:val="bottom"/>
            <w:shd w:val="clear" w:color="auto" w:fill="D2DEEE"/>
          </w:tcPr>
          <w:p>
            <w:pPr>
              <w:spacing w:after="0"/>
              <w:rPr>
                <w:sz w:val="17"/>
                <w:szCs w:val="17"/>
                <w:color w:val="auto"/>
              </w:rPr>
            </w:pPr>
          </w:p>
        </w:tc>
        <w:tc>
          <w:tcPr>
            <w:tcW w:w="580" w:type="dxa"/>
            <w:vAlign w:val="bottom"/>
            <w:gridSpan w:val="3"/>
            <w:shd w:val="clear" w:color="auto" w:fill="D2DEEE"/>
          </w:tcPr>
          <w:p>
            <w:pPr>
              <w:jc w:val="right"/>
              <w:spacing w:after="0" w:line="196" w:lineRule="exact"/>
              <w:rPr>
                <w:sz w:val="20"/>
                <w:szCs w:val="20"/>
                <w:color w:val="auto"/>
              </w:rPr>
            </w:pPr>
            <w:r>
              <w:rPr>
                <w:rFonts w:ascii="Arial" w:cs="Arial" w:eastAsia="Arial" w:hAnsi="Arial"/>
                <w:sz w:val="18"/>
                <w:szCs w:val="18"/>
                <w:color w:val="auto"/>
              </w:rPr>
              <w:t>$3,549</w:t>
            </w:r>
          </w:p>
        </w:tc>
        <w:tc>
          <w:tcPr>
            <w:tcW w:w="420" w:type="dxa"/>
            <w:vAlign w:val="bottom"/>
            <w:shd w:val="clear" w:color="auto" w:fill="D2DEEE"/>
          </w:tcPr>
          <w:p>
            <w:pPr>
              <w:spacing w:after="0"/>
              <w:rPr>
                <w:sz w:val="17"/>
                <w:szCs w:val="17"/>
                <w:color w:val="auto"/>
              </w:rPr>
            </w:pPr>
          </w:p>
        </w:tc>
        <w:tc>
          <w:tcPr>
            <w:tcW w:w="200" w:type="dxa"/>
            <w:vAlign w:val="bottom"/>
            <w:shd w:val="clear" w:color="auto" w:fill="D2DEEE"/>
          </w:tcPr>
          <w:p>
            <w:pPr>
              <w:spacing w:after="0"/>
              <w:rPr>
                <w:sz w:val="17"/>
                <w:szCs w:val="17"/>
                <w:color w:val="auto"/>
              </w:rPr>
            </w:pPr>
          </w:p>
        </w:tc>
        <w:tc>
          <w:tcPr>
            <w:tcW w:w="560" w:type="dxa"/>
            <w:vAlign w:val="bottom"/>
            <w:gridSpan w:val="2"/>
            <w:shd w:val="clear" w:color="auto" w:fill="D2DEEE"/>
          </w:tcPr>
          <w:p>
            <w:pPr>
              <w:jc w:val="right"/>
              <w:spacing w:after="0" w:line="196" w:lineRule="exact"/>
              <w:rPr>
                <w:sz w:val="20"/>
                <w:szCs w:val="20"/>
                <w:color w:val="auto"/>
              </w:rPr>
            </w:pPr>
            <w:r>
              <w:rPr>
                <w:rFonts w:ascii="Arial" w:cs="Arial" w:eastAsia="Arial" w:hAnsi="Arial"/>
                <w:sz w:val="18"/>
                <w:szCs w:val="18"/>
                <w:color w:val="auto"/>
                <w:w w:val="98"/>
              </w:rPr>
              <w:t>$3,238</w:t>
            </w:r>
          </w:p>
        </w:tc>
        <w:tc>
          <w:tcPr>
            <w:tcW w:w="200" w:type="dxa"/>
            <w:vAlign w:val="bottom"/>
            <w:shd w:val="clear" w:color="auto" w:fill="D2DEEE"/>
          </w:tcPr>
          <w:p>
            <w:pPr>
              <w:spacing w:after="0"/>
              <w:rPr>
                <w:sz w:val="17"/>
                <w:szCs w:val="17"/>
                <w:color w:val="auto"/>
              </w:rPr>
            </w:pPr>
          </w:p>
        </w:tc>
        <w:tc>
          <w:tcPr>
            <w:tcW w:w="220" w:type="dxa"/>
            <w:vAlign w:val="bottom"/>
            <w:shd w:val="clear" w:color="auto" w:fill="D2DEEE"/>
          </w:tcPr>
          <w:p>
            <w:pPr>
              <w:spacing w:after="0"/>
              <w:rPr>
                <w:sz w:val="17"/>
                <w:szCs w:val="17"/>
                <w:color w:val="auto"/>
              </w:rPr>
            </w:pPr>
          </w:p>
        </w:tc>
        <w:tc>
          <w:tcPr>
            <w:tcW w:w="540" w:type="dxa"/>
            <w:vAlign w:val="bottom"/>
            <w:shd w:val="clear" w:color="auto" w:fill="D2DEEE"/>
          </w:tcPr>
          <w:p>
            <w:pPr>
              <w:jc w:val="right"/>
              <w:spacing w:after="0" w:line="196" w:lineRule="exact"/>
              <w:rPr>
                <w:sz w:val="20"/>
                <w:szCs w:val="20"/>
                <w:color w:val="auto"/>
              </w:rPr>
            </w:pPr>
            <w:r>
              <w:rPr>
                <w:rFonts w:ascii="Arial" w:cs="Arial" w:eastAsia="Arial" w:hAnsi="Arial"/>
                <w:sz w:val="18"/>
                <w:szCs w:val="18"/>
                <w:color w:val="auto"/>
                <w:w w:val="94"/>
              </w:rPr>
              <w:t>$2,993</w:t>
            </w:r>
          </w:p>
        </w:tc>
        <w:tc>
          <w:tcPr>
            <w:tcW w:w="220" w:type="dxa"/>
            <w:vAlign w:val="bottom"/>
            <w:shd w:val="clear" w:color="auto" w:fill="D2DEE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580" w:type="dxa"/>
            <w:vAlign w:val="bottom"/>
          </w:tcPr>
          <w:p>
            <w:pPr>
              <w:ind w:left="100"/>
              <w:spacing w:after="0" w:line="202" w:lineRule="exact"/>
              <w:rPr>
                <w:sz w:val="20"/>
                <w:szCs w:val="20"/>
                <w:color w:val="auto"/>
              </w:rPr>
            </w:pPr>
            <w:r>
              <w:rPr>
                <w:rFonts w:ascii="Arial" w:cs="Arial" w:eastAsia="Arial" w:hAnsi="Arial"/>
                <w:sz w:val="18"/>
                <w:szCs w:val="18"/>
                <w:color w:val="auto"/>
              </w:rPr>
              <w:t>Add: Purchase Accounting Adjustment to Acquired Deferred Revenue</w:t>
            </w:r>
          </w:p>
        </w:tc>
        <w:tc>
          <w:tcPr>
            <w:tcW w:w="1020" w:type="dxa"/>
            <w:vAlign w:val="bottom"/>
            <w:gridSpan w:val="4"/>
          </w:tcPr>
          <w:p>
            <w:pPr>
              <w:jc w:val="right"/>
              <w:ind w:right="60"/>
              <w:spacing w:after="0" w:line="202" w:lineRule="exact"/>
              <w:rPr>
                <w:sz w:val="20"/>
                <w:szCs w:val="20"/>
                <w:color w:val="auto"/>
              </w:rPr>
            </w:pPr>
            <w:r>
              <w:rPr>
                <w:rFonts w:ascii="Arial" w:cs="Arial" w:eastAsia="Arial" w:hAnsi="Arial"/>
                <w:sz w:val="18"/>
                <w:szCs w:val="18"/>
                <w:color w:val="auto"/>
              </w:rPr>
              <w:t>11</w:t>
            </w:r>
          </w:p>
        </w:tc>
        <w:tc>
          <w:tcPr>
            <w:tcW w:w="540" w:type="dxa"/>
            <w:vAlign w:val="bottom"/>
          </w:tcPr>
          <w:p>
            <w:pPr>
              <w:spacing w:after="0"/>
              <w:rPr>
                <w:sz w:val="17"/>
                <w:szCs w:val="17"/>
                <w:color w:val="auto"/>
              </w:rPr>
            </w:pPr>
          </w:p>
        </w:tc>
        <w:tc>
          <w:tcPr>
            <w:tcW w:w="1000" w:type="dxa"/>
            <w:vAlign w:val="bottom"/>
            <w:gridSpan w:val="4"/>
          </w:tcPr>
          <w:p>
            <w:pPr>
              <w:jc w:val="right"/>
              <w:ind w:right="420"/>
              <w:spacing w:after="0" w:line="202" w:lineRule="exact"/>
              <w:rPr>
                <w:sz w:val="20"/>
                <w:szCs w:val="20"/>
                <w:color w:val="auto"/>
              </w:rPr>
            </w:pPr>
            <w:r>
              <w:rPr>
                <w:rFonts w:ascii="Arial" w:cs="Arial" w:eastAsia="Arial" w:hAnsi="Arial"/>
                <w:sz w:val="18"/>
                <w:szCs w:val="18"/>
                <w:color w:val="auto"/>
              </w:rPr>
              <w:t>2</w:t>
            </w:r>
          </w:p>
        </w:tc>
        <w:tc>
          <w:tcPr>
            <w:tcW w:w="200" w:type="dxa"/>
            <w:vAlign w:val="bottom"/>
          </w:tcPr>
          <w:p>
            <w:pPr>
              <w:spacing w:after="0"/>
              <w:rPr>
                <w:sz w:val="17"/>
                <w:szCs w:val="17"/>
                <w:color w:val="auto"/>
              </w:rPr>
            </w:pPr>
          </w:p>
        </w:tc>
        <w:tc>
          <w:tcPr>
            <w:tcW w:w="76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7</w:t>
            </w:r>
          </w:p>
        </w:tc>
        <w:tc>
          <w:tcPr>
            <w:tcW w:w="220" w:type="dxa"/>
            <w:vAlign w:val="bottom"/>
          </w:tcPr>
          <w:p>
            <w:pPr>
              <w:spacing w:after="0"/>
              <w:rPr>
                <w:sz w:val="17"/>
                <w:szCs w:val="17"/>
                <w:color w:val="auto"/>
              </w:rPr>
            </w:pPr>
          </w:p>
        </w:tc>
        <w:tc>
          <w:tcPr>
            <w:tcW w:w="7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3"/>
        </w:trPr>
        <w:tc>
          <w:tcPr>
            <w:tcW w:w="320" w:type="dxa"/>
            <w:vAlign w:val="bottom"/>
            <w:shd w:val="clear" w:color="auto" w:fill="D2DEEE"/>
          </w:tcPr>
          <w:p>
            <w:pPr>
              <w:spacing w:after="0"/>
              <w:rPr>
                <w:sz w:val="17"/>
                <w:szCs w:val="17"/>
                <w:color w:val="auto"/>
              </w:rPr>
            </w:pPr>
          </w:p>
        </w:tc>
        <w:tc>
          <w:tcPr>
            <w:tcW w:w="20" w:type="dxa"/>
            <w:vAlign w:val="bottom"/>
            <w:shd w:val="clear" w:color="auto" w:fill="D2DEEE"/>
          </w:tcPr>
          <w:p>
            <w:pPr>
              <w:spacing w:after="0"/>
              <w:rPr>
                <w:sz w:val="17"/>
                <w:szCs w:val="17"/>
                <w:color w:val="auto"/>
              </w:rPr>
            </w:pPr>
          </w:p>
        </w:tc>
        <w:tc>
          <w:tcPr>
            <w:tcW w:w="6580" w:type="dxa"/>
            <w:vAlign w:val="bottom"/>
            <w:shd w:val="clear" w:color="auto" w:fill="D2DEEE"/>
          </w:tcPr>
          <w:p>
            <w:pPr>
              <w:ind w:left="100"/>
              <w:spacing w:after="0" w:line="202" w:lineRule="exact"/>
              <w:rPr>
                <w:sz w:val="20"/>
                <w:szCs w:val="20"/>
                <w:color w:val="auto"/>
              </w:rPr>
            </w:pPr>
            <w:r>
              <w:rPr>
                <w:rFonts w:ascii="Arial" w:cs="Arial" w:eastAsia="Arial" w:hAnsi="Arial"/>
                <w:sz w:val="18"/>
                <w:szCs w:val="18"/>
                <w:color w:val="auto"/>
              </w:rPr>
              <w:t>Add: Purchase Accounting Adjustment to Acquired Revenue</w:t>
            </w:r>
          </w:p>
        </w:tc>
        <w:tc>
          <w:tcPr>
            <w:tcW w:w="960" w:type="dxa"/>
            <w:vAlign w:val="bottom"/>
            <w:gridSpan w:val="3"/>
            <w:shd w:val="clear" w:color="auto" w:fill="D2DEEE"/>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D2DEEE"/>
          </w:tcPr>
          <w:p>
            <w:pPr>
              <w:spacing w:after="0"/>
              <w:rPr>
                <w:sz w:val="17"/>
                <w:szCs w:val="17"/>
                <w:color w:val="auto"/>
              </w:rPr>
            </w:pPr>
          </w:p>
        </w:tc>
        <w:tc>
          <w:tcPr>
            <w:tcW w:w="540" w:type="dxa"/>
            <w:vAlign w:val="bottom"/>
            <w:shd w:val="clear" w:color="auto" w:fill="D2DEEE"/>
          </w:tcPr>
          <w:p>
            <w:pPr>
              <w:spacing w:after="0"/>
              <w:rPr>
                <w:sz w:val="17"/>
                <w:szCs w:val="17"/>
                <w:color w:val="auto"/>
              </w:rPr>
            </w:pPr>
          </w:p>
        </w:tc>
        <w:tc>
          <w:tcPr>
            <w:tcW w:w="580" w:type="dxa"/>
            <w:vAlign w:val="bottom"/>
            <w:gridSpan w:val="3"/>
            <w:shd w:val="clear" w:color="auto" w:fill="D2DEEE"/>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D2DEEE"/>
          </w:tcPr>
          <w:p>
            <w:pPr>
              <w:spacing w:after="0"/>
              <w:rPr>
                <w:sz w:val="17"/>
                <w:szCs w:val="17"/>
                <w:color w:val="auto"/>
              </w:rPr>
            </w:pPr>
          </w:p>
        </w:tc>
        <w:tc>
          <w:tcPr>
            <w:tcW w:w="200" w:type="dxa"/>
            <w:vAlign w:val="bottom"/>
            <w:shd w:val="clear" w:color="auto" w:fill="D2DEEE"/>
          </w:tcPr>
          <w:p>
            <w:pPr>
              <w:spacing w:after="0"/>
              <w:rPr>
                <w:sz w:val="17"/>
                <w:szCs w:val="17"/>
                <w:color w:val="auto"/>
              </w:rPr>
            </w:pPr>
          </w:p>
        </w:tc>
        <w:tc>
          <w:tcPr>
            <w:tcW w:w="760" w:type="dxa"/>
            <w:vAlign w:val="bottom"/>
            <w:gridSpan w:val="3"/>
            <w:shd w:val="clear" w:color="auto" w:fill="D2DEEE"/>
          </w:tcPr>
          <w:p>
            <w:pPr>
              <w:jc w:val="right"/>
              <w:ind w:right="200"/>
              <w:spacing w:after="0" w:line="202" w:lineRule="exact"/>
              <w:rPr>
                <w:sz w:val="20"/>
                <w:szCs w:val="20"/>
                <w:color w:val="auto"/>
              </w:rPr>
            </w:pPr>
            <w:r>
              <w:rPr>
                <w:rFonts w:ascii="Arial" w:cs="Arial" w:eastAsia="Arial" w:hAnsi="Arial"/>
                <w:sz w:val="18"/>
                <w:szCs w:val="18"/>
                <w:color w:val="auto"/>
              </w:rPr>
              <w:t>26</w:t>
            </w:r>
          </w:p>
        </w:tc>
        <w:tc>
          <w:tcPr>
            <w:tcW w:w="220" w:type="dxa"/>
            <w:vAlign w:val="bottom"/>
            <w:shd w:val="clear" w:color="auto" w:fill="D2DEEE"/>
          </w:tcPr>
          <w:p>
            <w:pPr>
              <w:spacing w:after="0"/>
              <w:rPr>
                <w:sz w:val="17"/>
                <w:szCs w:val="17"/>
                <w:color w:val="auto"/>
              </w:rPr>
            </w:pPr>
          </w:p>
        </w:tc>
        <w:tc>
          <w:tcPr>
            <w:tcW w:w="540" w:type="dxa"/>
            <w:vAlign w:val="bottom"/>
            <w:shd w:val="clear" w:color="auto" w:fill="D2DEEE"/>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D2DEE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 w:type="dxa"/>
            <w:vAlign w:val="bottom"/>
            <w:tcBorders>
              <w:bottom w:val="single" w:sz="8" w:color="D2DEEE"/>
            </w:tcBorders>
          </w:tcPr>
          <w:p>
            <w:pPr>
              <w:spacing w:after="0"/>
              <w:rPr>
                <w:sz w:val="17"/>
                <w:szCs w:val="17"/>
                <w:color w:val="auto"/>
              </w:rPr>
            </w:pPr>
          </w:p>
        </w:tc>
        <w:tc>
          <w:tcPr>
            <w:tcW w:w="20" w:type="dxa"/>
            <w:vAlign w:val="bottom"/>
            <w:tcBorders>
              <w:bottom w:val="single" w:sz="8" w:color="D2DEEE"/>
            </w:tcBorders>
          </w:tcPr>
          <w:p>
            <w:pPr>
              <w:spacing w:after="0"/>
              <w:rPr>
                <w:sz w:val="17"/>
                <w:szCs w:val="17"/>
                <w:color w:val="auto"/>
              </w:rPr>
            </w:pPr>
          </w:p>
        </w:tc>
        <w:tc>
          <w:tcPr>
            <w:tcW w:w="6580" w:type="dxa"/>
            <w:vAlign w:val="bottom"/>
            <w:tcBorders>
              <w:bottom w:val="single" w:sz="8" w:color="D2DEEE"/>
            </w:tcBorders>
          </w:tcPr>
          <w:p>
            <w:pPr>
              <w:ind w:left="100"/>
              <w:spacing w:after="0" w:line="202" w:lineRule="exact"/>
              <w:rPr>
                <w:sz w:val="20"/>
                <w:szCs w:val="20"/>
                <w:color w:val="auto"/>
              </w:rPr>
            </w:pPr>
            <w:r>
              <w:rPr>
                <w:rFonts w:ascii="Arial" w:cs="Arial" w:eastAsia="Arial" w:hAnsi="Arial"/>
                <w:sz w:val="18"/>
                <w:szCs w:val="18"/>
                <w:color w:val="auto"/>
              </w:rPr>
              <w:t>Rounding</w:t>
            </w:r>
          </w:p>
        </w:tc>
        <w:tc>
          <w:tcPr>
            <w:tcW w:w="960" w:type="dxa"/>
            <w:vAlign w:val="bottom"/>
            <w:tcBorders>
              <w:bottom w:val="single" w:sz="8" w:color="auto"/>
            </w:tcBorders>
            <w:gridSpan w:val="3"/>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4"/>
          </w:tcPr>
          <w:p>
            <w:pPr>
              <w:jc w:val="right"/>
              <w:ind w:right="420"/>
              <w:spacing w:after="0" w:line="202" w:lineRule="exact"/>
              <w:rPr>
                <w:sz w:val="20"/>
                <w:szCs w:val="20"/>
                <w:color w:val="auto"/>
              </w:rPr>
            </w:pPr>
            <w:r>
              <w:rPr>
                <w:rFonts w:ascii="Arial" w:cs="Arial" w:eastAsia="Arial" w:hAnsi="Arial"/>
                <w:sz w:val="18"/>
                <w:szCs w:val="18"/>
                <w:color w:val="auto"/>
              </w:rPr>
              <w:t>1</w:t>
            </w: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3"/>
          </w:tcPr>
          <w:p>
            <w:pPr>
              <w:jc w:val="right"/>
              <w:ind w:right="200"/>
              <w:spacing w:after="0" w:line="202" w:lineRule="exact"/>
              <w:rPr>
                <w:sz w:val="20"/>
                <w:szCs w:val="20"/>
                <w:color w:val="auto"/>
              </w:rPr>
            </w:pPr>
            <w:r>
              <w:rPr>
                <w:rFonts w:ascii="Arial" w:cs="Arial" w:eastAsia="Arial" w:hAnsi="Arial"/>
                <w:sz w:val="18"/>
                <w:szCs w:val="18"/>
                <w:color w:val="auto"/>
              </w:rPr>
              <w:t>1</w:t>
            </w:r>
          </w:p>
        </w:tc>
        <w:tc>
          <w:tcPr>
            <w:tcW w:w="2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20" w:type="dxa"/>
            <w:vAlign w:val="bottom"/>
            <w:gridSpan w:val="3"/>
            <w:shd w:val="clear" w:color="auto" w:fill="D2DEEE"/>
          </w:tcPr>
          <w:p>
            <w:pPr>
              <w:spacing w:after="0" w:line="195" w:lineRule="exact"/>
              <w:rPr>
                <w:sz w:val="20"/>
                <w:szCs w:val="20"/>
                <w:color w:val="auto"/>
              </w:rPr>
            </w:pPr>
            <w:r>
              <w:rPr>
                <w:rFonts w:ascii="Arial" w:cs="Arial" w:eastAsia="Arial" w:hAnsi="Arial"/>
                <w:sz w:val="18"/>
                <w:szCs w:val="18"/>
                <w:color w:val="auto"/>
              </w:rPr>
              <w:t>Adjusted Revenue (A)</w:t>
            </w:r>
          </w:p>
        </w:tc>
        <w:tc>
          <w:tcPr>
            <w:tcW w:w="1020" w:type="dxa"/>
            <w:vAlign w:val="bottom"/>
            <w:gridSpan w:val="4"/>
            <w:shd w:val="clear" w:color="auto" w:fill="D2DEEE"/>
          </w:tcPr>
          <w:p>
            <w:pPr>
              <w:jc w:val="right"/>
              <w:ind w:right="60"/>
              <w:spacing w:after="0" w:line="196" w:lineRule="exact"/>
              <w:rPr>
                <w:sz w:val="20"/>
                <w:szCs w:val="20"/>
                <w:color w:val="auto"/>
              </w:rPr>
            </w:pPr>
            <w:r>
              <w:rPr>
                <w:rFonts w:ascii="Arial" w:cs="Arial" w:eastAsia="Arial" w:hAnsi="Arial"/>
                <w:sz w:val="18"/>
                <w:szCs w:val="18"/>
                <w:color w:val="auto"/>
              </w:rPr>
              <w:t>$3,593</w:t>
            </w:r>
          </w:p>
        </w:tc>
        <w:tc>
          <w:tcPr>
            <w:tcW w:w="540" w:type="dxa"/>
            <w:vAlign w:val="bottom"/>
            <w:shd w:val="clear" w:color="auto" w:fill="D2DEEE"/>
          </w:tcPr>
          <w:p>
            <w:pPr>
              <w:spacing w:after="0"/>
              <w:rPr>
                <w:sz w:val="17"/>
                <w:szCs w:val="17"/>
                <w:color w:val="auto"/>
              </w:rPr>
            </w:pPr>
          </w:p>
        </w:tc>
        <w:tc>
          <w:tcPr>
            <w:tcW w:w="580" w:type="dxa"/>
            <w:vAlign w:val="bottom"/>
            <w:gridSpan w:val="3"/>
            <w:shd w:val="clear" w:color="auto" w:fill="D2DEEE"/>
          </w:tcPr>
          <w:p>
            <w:pPr>
              <w:jc w:val="right"/>
              <w:spacing w:after="0" w:line="196" w:lineRule="exact"/>
              <w:rPr>
                <w:sz w:val="20"/>
                <w:szCs w:val="20"/>
                <w:color w:val="auto"/>
              </w:rPr>
            </w:pPr>
            <w:r>
              <w:rPr>
                <w:rFonts w:ascii="Arial" w:cs="Arial" w:eastAsia="Arial" w:hAnsi="Arial"/>
                <w:sz w:val="18"/>
                <w:szCs w:val="18"/>
                <w:color w:val="auto"/>
              </w:rPr>
              <w:t>$3,552</w:t>
            </w:r>
          </w:p>
        </w:tc>
        <w:tc>
          <w:tcPr>
            <w:tcW w:w="420" w:type="dxa"/>
            <w:vAlign w:val="bottom"/>
            <w:shd w:val="clear" w:color="auto" w:fill="D2DEEE"/>
          </w:tcPr>
          <w:p>
            <w:pPr>
              <w:spacing w:after="0"/>
              <w:rPr>
                <w:sz w:val="17"/>
                <w:szCs w:val="17"/>
                <w:color w:val="auto"/>
              </w:rPr>
            </w:pPr>
          </w:p>
        </w:tc>
        <w:tc>
          <w:tcPr>
            <w:tcW w:w="200" w:type="dxa"/>
            <w:vAlign w:val="bottom"/>
            <w:shd w:val="clear" w:color="auto" w:fill="D2DEEE"/>
          </w:tcPr>
          <w:p>
            <w:pPr>
              <w:spacing w:after="0"/>
              <w:rPr>
                <w:sz w:val="17"/>
                <w:szCs w:val="17"/>
                <w:color w:val="auto"/>
              </w:rPr>
            </w:pPr>
          </w:p>
        </w:tc>
        <w:tc>
          <w:tcPr>
            <w:tcW w:w="560" w:type="dxa"/>
            <w:vAlign w:val="bottom"/>
            <w:gridSpan w:val="2"/>
            <w:shd w:val="clear" w:color="auto" w:fill="D2DEEE"/>
          </w:tcPr>
          <w:p>
            <w:pPr>
              <w:jc w:val="right"/>
              <w:spacing w:after="0" w:line="196" w:lineRule="exact"/>
              <w:rPr>
                <w:sz w:val="20"/>
                <w:szCs w:val="20"/>
                <w:color w:val="auto"/>
              </w:rPr>
            </w:pPr>
            <w:r>
              <w:rPr>
                <w:rFonts w:ascii="Arial" w:cs="Arial" w:eastAsia="Arial" w:hAnsi="Arial"/>
                <w:sz w:val="18"/>
                <w:szCs w:val="18"/>
                <w:color w:val="auto"/>
                <w:w w:val="98"/>
              </w:rPr>
              <w:t>$3,272</w:t>
            </w:r>
          </w:p>
        </w:tc>
        <w:tc>
          <w:tcPr>
            <w:tcW w:w="200" w:type="dxa"/>
            <w:vAlign w:val="bottom"/>
            <w:shd w:val="clear" w:color="auto" w:fill="D2DEEE"/>
          </w:tcPr>
          <w:p>
            <w:pPr>
              <w:spacing w:after="0"/>
              <w:rPr>
                <w:sz w:val="17"/>
                <w:szCs w:val="17"/>
                <w:color w:val="auto"/>
              </w:rPr>
            </w:pPr>
          </w:p>
        </w:tc>
        <w:tc>
          <w:tcPr>
            <w:tcW w:w="220" w:type="dxa"/>
            <w:vAlign w:val="bottom"/>
            <w:shd w:val="clear" w:color="auto" w:fill="D2DEEE"/>
          </w:tcPr>
          <w:p>
            <w:pPr>
              <w:spacing w:after="0"/>
              <w:rPr>
                <w:sz w:val="17"/>
                <w:szCs w:val="17"/>
                <w:color w:val="auto"/>
              </w:rPr>
            </w:pPr>
          </w:p>
        </w:tc>
        <w:tc>
          <w:tcPr>
            <w:tcW w:w="540" w:type="dxa"/>
            <w:vAlign w:val="bottom"/>
            <w:shd w:val="clear" w:color="auto" w:fill="D2DEEE"/>
          </w:tcPr>
          <w:p>
            <w:pPr>
              <w:jc w:val="right"/>
              <w:spacing w:after="0" w:line="196" w:lineRule="exact"/>
              <w:rPr>
                <w:sz w:val="20"/>
                <w:szCs w:val="20"/>
                <w:color w:val="auto"/>
              </w:rPr>
            </w:pPr>
            <w:r>
              <w:rPr>
                <w:rFonts w:ascii="Arial" w:cs="Arial" w:eastAsia="Arial" w:hAnsi="Arial"/>
                <w:sz w:val="18"/>
                <w:szCs w:val="18"/>
                <w:color w:val="auto"/>
                <w:w w:val="94"/>
              </w:rPr>
              <w:t>$3,002</w:t>
            </w:r>
          </w:p>
        </w:tc>
        <w:tc>
          <w:tcPr>
            <w:tcW w:w="220" w:type="dxa"/>
            <w:vAlign w:val="bottom"/>
            <w:shd w:val="clear" w:color="auto" w:fill="D2DEEE"/>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6920" w:type="dxa"/>
            <w:vAlign w:val="bottom"/>
            <w:gridSpan w:val="3"/>
          </w:tcPr>
          <w:p>
            <w:pPr>
              <w:spacing w:after="0"/>
              <w:rPr>
                <w:sz w:val="20"/>
                <w:szCs w:val="20"/>
                <w:color w:val="auto"/>
              </w:rPr>
            </w:pPr>
            <w:r>
              <w:rPr>
                <w:rFonts w:ascii="Arial" w:cs="Arial" w:eastAsia="Arial" w:hAnsi="Arial"/>
                <w:sz w:val="18"/>
                <w:szCs w:val="18"/>
                <w:color w:val="auto"/>
              </w:rPr>
              <w:t>GAAP Operating Profit</w:t>
            </w:r>
          </w:p>
        </w:tc>
        <w:tc>
          <w:tcPr>
            <w:tcW w:w="1020" w:type="dxa"/>
            <w:vAlign w:val="bottom"/>
            <w:gridSpan w:val="4"/>
          </w:tcPr>
          <w:p>
            <w:pPr>
              <w:jc w:val="right"/>
              <w:ind w:right="60"/>
              <w:spacing w:after="0"/>
              <w:rPr>
                <w:sz w:val="20"/>
                <w:szCs w:val="20"/>
                <w:color w:val="auto"/>
              </w:rPr>
            </w:pPr>
            <w:r>
              <w:rPr>
                <w:rFonts w:ascii="Arial" w:cs="Arial" w:eastAsia="Arial" w:hAnsi="Arial"/>
                <w:sz w:val="18"/>
                <w:szCs w:val="18"/>
                <w:color w:val="auto"/>
              </w:rPr>
              <w:t>$1,028</w:t>
            </w:r>
          </w:p>
        </w:tc>
        <w:tc>
          <w:tcPr>
            <w:tcW w:w="540" w:type="dxa"/>
            <w:vAlign w:val="bottom"/>
          </w:tcPr>
          <w:p>
            <w:pPr>
              <w:spacing w:after="0"/>
              <w:rPr>
                <w:sz w:val="24"/>
                <w:szCs w:val="24"/>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  999</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  842</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  758</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20" w:type="dxa"/>
            <w:vAlign w:val="bottom"/>
            <w:shd w:val="clear" w:color="auto" w:fill="D2DEEE"/>
          </w:tcPr>
          <w:p>
            <w:pPr>
              <w:spacing w:after="0"/>
              <w:rPr>
                <w:sz w:val="17"/>
                <w:szCs w:val="17"/>
                <w:color w:val="auto"/>
              </w:rPr>
            </w:pPr>
          </w:p>
        </w:tc>
        <w:tc>
          <w:tcPr>
            <w:tcW w:w="20" w:type="dxa"/>
            <w:vAlign w:val="bottom"/>
            <w:shd w:val="clear" w:color="auto" w:fill="D2DEEE"/>
          </w:tcPr>
          <w:p>
            <w:pPr>
              <w:spacing w:after="0"/>
              <w:rPr>
                <w:sz w:val="17"/>
                <w:szCs w:val="17"/>
                <w:color w:val="auto"/>
              </w:rPr>
            </w:pPr>
          </w:p>
        </w:tc>
        <w:tc>
          <w:tcPr>
            <w:tcW w:w="6580" w:type="dxa"/>
            <w:vAlign w:val="bottom"/>
            <w:shd w:val="clear" w:color="auto" w:fill="D2DEEE"/>
          </w:tcPr>
          <w:p>
            <w:pPr>
              <w:ind w:left="100"/>
              <w:spacing w:after="0" w:line="202" w:lineRule="exact"/>
              <w:rPr>
                <w:sz w:val="20"/>
                <w:szCs w:val="20"/>
                <w:color w:val="auto"/>
              </w:rPr>
            </w:pPr>
            <w:r>
              <w:rPr>
                <w:rFonts w:ascii="Arial" w:cs="Arial" w:eastAsia="Arial" w:hAnsi="Arial"/>
                <w:sz w:val="18"/>
                <w:szCs w:val="18"/>
                <w:color w:val="auto"/>
              </w:rPr>
              <w:t>Add: Purchase Accounting Adjustment to Acquired Deferred Revenue</w:t>
            </w:r>
          </w:p>
        </w:tc>
        <w:tc>
          <w:tcPr>
            <w:tcW w:w="1020" w:type="dxa"/>
            <w:vAlign w:val="bottom"/>
            <w:gridSpan w:val="4"/>
            <w:shd w:val="clear" w:color="auto" w:fill="D2DEEE"/>
          </w:tcPr>
          <w:p>
            <w:pPr>
              <w:jc w:val="right"/>
              <w:ind w:right="60"/>
              <w:spacing w:after="0" w:line="202" w:lineRule="exact"/>
              <w:rPr>
                <w:sz w:val="20"/>
                <w:szCs w:val="20"/>
                <w:color w:val="auto"/>
              </w:rPr>
            </w:pPr>
            <w:r>
              <w:rPr>
                <w:rFonts w:ascii="Arial" w:cs="Arial" w:eastAsia="Arial" w:hAnsi="Arial"/>
                <w:sz w:val="18"/>
                <w:szCs w:val="18"/>
                <w:color w:val="auto"/>
              </w:rPr>
              <w:t>11</w:t>
            </w:r>
          </w:p>
        </w:tc>
        <w:tc>
          <w:tcPr>
            <w:tcW w:w="540" w:type="dxa"/>
            <w:vAlign w:val="bottom"/>
            <w:shd w:val="clear" w:color="auto" w:fill="D2DEEE"/>
          </w:tcPr>
          <w:p>
            <w:pPr>
              <w:spacing w:after="0"/>
              <w:rPr>
                <w:sz w:val="17"/>
                <w:szCs w:val="17"/>
                <w:color w:val="auto"/>
              </w:rPr>
            </w:pPr>
          </w:p>
        </w:tc>
        <w:tc>
          <w:tcPr>
            <w:tcW w:w="1000" w:type="dxa"/>
            <w:vAlign w:val="bottom"/>
            <w:gridSpan w:val="4"/>
            <w:shd w:val="clear" w:color="auto" w:fill="D2DEEE"/>
          </w:tcPr>
          <w:p>
            <w:pPr>
              <w:jc w:val="right"/>
              <w:ind w:right="420"/>
              <w:spacing w:after="0" w:line="202" w:lineRule="exact"/>
              <w:rPr>
                <w:sz w:val="20"/>
                <w:szCs w:val="20"/>
                <w:color w:val="auto"/>
              </w:rPr>
            </w:pPr>
            <w:r>
              <w:rPr>
                <w:rFonts w:ascii="Arial" w:cs="Arial" w:eastAsia="Arial" w:hAnsi="Arial"/>
                <w:sz w:val="18"/>
                <w:szCs w:val="18"/>
                <w:color w:val="auto"/>
              </w:rPr>
              <w:t>2</w:t>
            </w:r>
          </w:p>
        </w:tc>
        <w:tc>
          <w:tcPr>
            <w:tcW w:w="200" w:type="dxa"/>
            <w:vAlign w:val="bottom"/>
            <w:shd w:val="clear" w:color="auto" w:fill="D2DEEE"/>
          </w:tcPr>
          <w:p>
            <w:pPr>
              <w:spacing w:after="0"/>
              <w:rPr>
                <w:sz w:val="17"/>
                <w:szCs w:val="17"/>
                <w:color w:val="auto"/>
              </w:rPr>
            </w:pPr>
          </w:p>
        </w:tc>
        <w:tc>
          <w:tcPr>
            <w:tcW w:w="760" w:type="dxa"/>
            <w:vAlign w:val="bottom"/>
            <w:gridSpan w:val="3"/>
            <w:shd w:val="clear" w:color="auto" w:fill="D2DEEE"/>
          </w:tcPr>
          <w:p>
            <w:pPr>
              <w:jc w:val="right"/>
              <w:ind w:right="200"/>
              <w:spacing w:after="0" w:line="202" w:lineRule="exact"/>
              <w:rPr>
                <w:sz w:val="20"/>
                <w:szCs w:val="20"/>
                <w:color w:val="auto"/>
              </w:rPr>
            </w:pPr>
            <w:r>
              <w:rPr>
                <w:rFonts w:ascii="Arial" w:cs="Arial" w:eastAsia="Arial" w:hAnsi="Arial"/>
                <w:sz w:val="18"/>
                <w:szCs w:val="18"/>
                <w:color w:val="auto"/>
              </w:rPr>
              <w:t>7</w:t>
            </w:r>
          </w:p>
        </w:tc>
        <w:tc>
          <w:tcPr>
            <w:tcW w:w="220" w:type="dxa"/>
            <w:vAlign w:val="bottom"/>
            <w:shd w:val="clear" w:color="auto" w:fill="D2DEEE"/>
          </w:tcPr>
          <w:p>
            <w:pPr>
              <w:spacing w:after="0"/>
              <w:rPr>
                <w:sz w:val="17"/>
                <w:szCs w:val="17"/>
                <w:color w:val="auto"/>
              </w:rPr>
            </w:pPr>
          </w:p>
        </w:tc>
        <w:tc>
          <w:tcPr>
            <w:tcW w:w="760" w:type="dxa"/>
            <w:vAlign w:val="bottom"/>
            <w:gridSpan w:val="2"/>
            <w:shd w:val="clear" w:color="auto" w:fill="D2DEEE"/>
          </w:tcPr>
          <w:p>
            <w:pPr>
              <w:jc w:val="right"/>
              <w:ind w:right="220"/>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580" w:type="dxa"/>
            <w:vAlign w:val="bottom"/>
          </w:tcPr>
          <w:p>
            <w:pPr>
              <w:ind w:left="100"/>
              <w:spacing w:after="0" w:line="202" w:lineRule="exact"/>
              <w:rPr>
                <w:sz w:val="20"/>
                <w:szCs w:val="20"/>
                <w:color w:val="auto"/>
              </w:rPr>
            </w:pPr>
            <w:r>
              <w:rPr>
                <w:rFonts w:ascii="Arial" w:cs="Arial" w:eastAsia="Arial" w:hAnsi="Arial"/>
                <w:sz w:val="18"/>
                <w:szCs w:val="18"/>
                <w:color w:val="auto"/>
              </w:rPr>
              <w:t>Add: Purchase Accounting Adjustment to Acquired Revenue</w:t>
            </w:r>
          </w:p>
        </w:tc>
        <w:tc>
          <w:tcPr>
            <w:tcW w:w="96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80" w:type="dxa"/>
            <w:vAlign w:val="bottom"/>
            <w:gridSpan w:val="3"/>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26</w:t>
            </w:r>
          </w:p>
        </w:tc>
        <w:tc>
          <w:tcPr>
            <w:tcW w:w="220" w:type="dxa"/>
            <w:vAlign w:val="bottom"/>
          </w:tcPr>
          <w:p>
            <w:pPr>
              <w:spacing w:after="0"/>
              <w:rPr>
                <w:sz w:val="17"/>
                <w:szCs w:val="17"/>
                <w:color w:val="auto"/>
              </w:rPr>
            </w:pPr>
          </w:p>
        </w:tc>
        <w:tc>
          <w:tcPr>
            <w:tcW w:w="5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 w:type="dxa"/>
            <w:vAlign w:val="bottom"/>
            <w:shd w:val="clear" w:color="auto" w:fill="D2DEEE"/>
          </w:tcPr>
          <w:p>
            <w:pPr>
              <w:spacing w:after="0"/>
              <w:rPr>
                <w:sz w:val="17"/>
                <w:szCs w:val="17"/>
                <w:color w:val="auto"/>
              </w:rPr>
            </w:pPr>
          </w:p>
        </w:tc>
        <w:tc>
          <w:tcPr>
            <w:tcW w:w="20" w:type="dxa"/>
            <w:vAlign w:val="bottom"/>
            <w:shd w:val="clear" w:color="auto" w:fill="D2DEEE"/>
          </w:tcPr>
          <w:p>
            <w:pPr>
              <w:spacing w:after="0"/>
              <w:rPr>
                <w:sz w:val="17"/>
                <w:szCs w:val="17"/>
                <w:color w:val="auto"/>
              </w:rPr>
            </w:pPr>
          </w:p>
        </w:tc>
        <w:tc>
          <w:tcPr>
            <w:tcW w:w="6580" w:type="dxa"/>
            <w:vAlign w:val="bottom"/>
            <w:shd w:val="clear" w:color="auto" w:fill="D2DEEE"/>
          </w:tcPr>
          <w:p>
            <w:pPr>
              <w:ind w:left="100"/>
              <w:spacing w:after="0" w:line="202" w:lineRule="exact"/>
              <w:rPr>
                <w:sz w:val="20"/>
                <w:szCs w:val="20"/>
                <w:color w:val="auto"/>
              </w:rPr>
            </w:pPr>
            <w:r>
              <w:rPr>
                <w:rFonts w:ascii="Arial" w:cs="Arial" w:eastAsia="Arial" w:hAnsi="Arial"/>
                <w:sz w:val="18"/>
                <w:szCs w:val="18"/>
                <w:color w:val="auto"/>
              </w:rPr>
              <w:t>Add: Acquisition-Related Inventory Step-up Charge</w:t>
            </w:r>
          </w:p>
        </w:tc>
        <w:tc>
          <w:tcPr>
            <w:tcW w:w="1020" w:type="dxa"/>
            <w:vAlign w:val="bottom"/>
            <w:gridSpan w:val="4"/>
            <w:shd w:val="clear" w:color="auto" w:fill="D2DEEE"/>
          </w:tcPr>
          <w:p>
            <w:pPr>
              <w:jc w:val="right"/>
              <w:ind w:right="60"/>
              <w:spacing w:after="0" w:line="202" w:lineRule="exact"/>
              <w:rPr>
                <w:sz w:val="20"/>
                <w:szCs w:val="20"/>
                <w:color w:val="auto"/>
              </w:rPr>
            </w:pPr>
            <w:r>
              <w:rPr>
                <w:rFonts w:ascii="Arial" w:cs="Arial" w:eastAsia="Arial" w:hAnsi="Arial"/>
                <w:sz w:val="18"/>
                <w:szCs w:val="18"/>
                <w:color w:val="auto"/>
              </w:rPr>
              <w:t>5</w:t>
            </w:r>
          </w:p>
        </w:tc>
        <w:tc>
          <w:tcPr>
            <w:tcW w:w="540" w:type="dxa"/>
            <w:vAlign w:val="bottom"/>
            <w:shd w:val="clear" w:color="auto" w:fill="D2DEEE"/>
          </w:tcPr>
          <w:p>
            <w:pPr>
              <w:spacing w:after="0"/>
              <w:rPr>
                <w:sz w:val="17"/>
                <w:szCs w:val="17"/>
                <w:color w:val="auto"/>
              </w:rPr>
            </w:pPr>
          </w:p>
        </w:tc>
        <w:tc>
          <w:tcPr>
            <w:tcW w:w="1000" w:type="dxa"/>
            <w:vAlign w:val="bottom"/>
            <w:gridSpan w:val="4"/>
            <w:shd w:val="clear" w:color="auto" w:fill="D2DEEE"/>
          </w:tcPr>
          <w:p>
            <w:pPr>
              <w:jc w:val="right"/>
              <w:ind w:right="420"/>
              <w:spacing w:after="0" w:line="202" w:lineRule="exact"/>
              <w:rPr>
                <w:sz w:val="20"/>
                <w:szCs w:val="20"/>
                <w:color w:val="auto"/>
              </w:rPr>
            </w:pPr>
            <w:r>
              <w:rPr>
                <w:rFonts w:ascii="Arial" w:cs="Arial" w:eastAsia="Arial" w:hAnsi="Arial"/>
                <w:sz w:val="18"/>
                <w:szCs w:val="18"/>
                <w:color w:val="auto"/>
              </w:rPr>
              <w:t>1</w:t>
            </w:r>
          </w:p>
        </w:tc>
        <w:tc>
          <w:tcPr>
            <w:tcW w:w="200" w:type="dxa"/>
            <w:vAlign w:val="bottom"/>
            <w:shd w:val="clear" w:color="auto" w:fill="D2DEEE"/>
          </w:tcPr>
          <w:p>
            <w:pPr>
              <w:spacing w:after="0"/>
              <w:rPr>
                <w:sz w:val="17"/>
                <w:szCs w:val="17"/>
                <w:color w:val="auto"/>
              </w:rPr>
            </w:pPr>
          </w:p>
        </w:tc>
        <w:tc>
          <w:tcPr>
            <w:tcW w:w="560" w:type="dxa"/>
            <w:vAlign w:val="bottom"/>
            <w:gridSpan w:val="2"/>
            <w:shd w:val="clear" w:color="auto" w:fill="D2DEEE"/>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D2DEEE"/>
          </w:tcPr>
          <w:p>
            <w:pPr>
              <w:spacing w:after="0"/>
              <w:rPr>
                <w:sz w:val="17"/>
                <w:szCs w:val="17"/>
                <w:color w:val="auto"/>
              </w:rPr>
            </w:pPr>
          </w:p>
        </w:tc>
        <w:tc>
          <w:tcPr>
            <w:tcW w:w="220" w:type="dxa"/>
            <w:vAlign w:val="bottom"/>
            <w:shd w:val="clear" w:color="auto" w:fill="D2DEEE"/>
          </w:tcPr>
          <w:p>
            <w:pPr>
              <w:spacing w:after="0"/>
              <w:rPr>
                <w:sz w:val="17"/>
                <w:szCs w:val="17"/>
                <w:color w:val="auto"/>
              </w:rPr>
            </w:pPr>
          </w:p>
        </w:tc>
        <w:tc>
          <w:tcPr>
            <w:tcW w:w="540" w:type="dxa"/>
            <w:vAlign w:val="bottom"/>
            <w:shd w:val="clear" w:color="auto" w:fill="D2DEEE"/>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D2DEE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580" w:type="dxa"/>
            <w:vAlign w:val="bottom"/>
          </w:tcPr>
          <w:p>
            <w:pPr>
              <w:ind w:left="100"/>
              <w:spacing w:after="0" w:line="202" w:lineRule="exact"/>
              <w:rPr>
                <w:sz w:val="20"/>
                <w:szCs w:val="20"/>
                <w:color w:val="auto"/>
              </w:rPr>
            </w:pPr>
            <w:r>
              <w:rPr>
                <w:rFonts w:ascii="Arial" w:cs="Arial" w:eastAsia="Arial" w:hAnsi="Arial"/>
                <w:sz w:val="18"/>
                <w:szCs w:val="18"/>
                <w:color w:val="auto"/>
              </w:rPr>
              <w:t>Add: Transaction Expenses</w:t>
            </w:r>
          </w:p>
        </w:tc>
        <w:tc>
          <w:tcPr>
            <w:tcW w:w="96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80" w:type="dxa"/>
            <w:vAlign w:val="bottom"/>
            <w:gridSpan w:val="3"/>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gridSpan w:val="2"/>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3"/>
        </w:trPr>
        <w:tc>
          <w:tcPr>
            <w:tcW w:w="320" w:type="dxa"/>
            <w:vAlign w:val="bottom"/>
            <w:shd w:val="clear" w:color="auto" w:fill="D2DEEE"/>
          </w:tcPr>
          <w:p>
            <w:pPr>
              <w:spacing w:after="0"/>
              <w:rPr>
                <w:sz w:val="17"/>
                <w:szCs w:val="17"/>
                <w:color w:val="auto"/>
              </w:rPr>
            </w:pPr>
          </w:p>
        </w:tc>
        <w:tc>
          <w:tcPr>
            <w:tcW w:w="20" w:type="dxa"/>
            <w:vAlign w:val="bottom"/>
            <w:shd w:val="clear" w:color="auto" w:fill="D2DEEE"/>
          </w:tcPr>
          <w:p>
            <w:pPr>
              <w:spacing w:after="0"/>
              <w:rPr>
                <w:sz w:val="17"/>
                <w:szCs w:val="17"/>
                <w:color w:val="auto"/>
              </w:rPr>
            </w:pPr>
          </w:p>
        </w:tc>
        <w:tc>
          <w:tcPr>
            <w:tcW w:w="6580" w:type="dxa"/>
            <w:vAlign w:val="bottom"/>
            <w:shd w:val="clear" w:color="auto" w:fill="D2DEEE"/>
          </w:tcPr>
          <w:p>
            <w:pPr>
              <w:ind w:left="100"/>
              <w:spacing w:after="0" w:line="202" w:lineRule="exact"/>
              <w:rPr>
                <w:sz w:val="20"/>
                <w:szCs w:val="20"/>
                <w:color w:val="auto"/>
              </w:rPr>
            </w:pPr>
            <w:r>
              <w:rPr>
                <w:rFonts w:ascii="Arial" w:cs="Arial" w:eastAsia="Arial" w:hAnsi="Arial"/>
                <w:sz w:val="18"/>
                <w:szCs w:val="18"/>
                <w:color w:val="auto"/>
              </w:rPr>
              <w:t>Add: Credit Facility Write-off</w:t>
            </w:r>
          </w:p>
        </w:tc>
        <w:tc>
          <w:tcPr>
            <w:tcW w:w="960" w:type="dxa"/>
            <w:vAlign w:val="bottom"/>
            <w:gridSpan w:val="3"/>
            <w:shd w:val="clear" w:color="auto" w:fill="D2DEEE"/>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D2DEEE"/>
          </w:tcPr>
          <w:p>
            <w:pPr>
              <w:spacing w:after="0"/>
              <w:rPr>
                <w:sz w:val="17"/>
                <w:szCs w:val="17"/>
                <w:color w:val="auto"/>
              </w:rPr>
            </w:pPr>
          </w:p>
        </w:tc>
        <w:tc>
          <w:tcPr>
            <w:tcW w:w="540" w:type="dxa"/>
            <w:vAlign w:val="bottom"/>
            <w:shd w:val="clear" w:color="auto" w:fill="D2DEEE"/>
          </w:tcPr>
          <w:p>
            <w:pPr>
              <w:spacing w:after="0"/>
              <w:rPr>
                <w:sz w:val="17"/>
                <w:szCs w:val="17"/>
                <w:color w:val="auto"/>
              </w:rPr>
            </w:pPr>
          </w:p>
        </w:tc>
        <w:tc>
          <w:tcPr>
            <w:tcW w:w="580" w:type="dxa"/>
            <w:vAlign w:val="bottom"/>
            <w:gridSpan w:val="3"/>
            <w:shd w:val="clear" w:color="auto" w:fill="D2DEEE"/>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D2DEEE"/>
          </w:tcPr>
          <w:p>
            <w:pPr>
              <w:spacing w:after="0"/>
              <w:rPr>
                <w:sz w:val="17"/>
                <w:szCs w:val="17"/>
                <w:color w:val="auto"/>
              </w:rPr>
            </w:pPr>
          </w:p>
        </w:tc>
        <w:tc>
          <w:tcPr>
            <w:tcW w:w="200" w:type="dxa"/>
            <w:vAlign w:val="bottom"/>
            <w:shd w:val="clear" w:color="auto" w:fill="D2DEEE"/>
          </w:tcPr>
          <w:p>
            <w:pPr>
              <w:spacing w:after="0"/>
              <w:rPr>
                <w:sz w:val="17"/>
                <w:szCs w:val="17"/>
                <w:color w:val="auto"/>
              </w:rPr>
            </w:pPr>
          </w:p>
        </w:tc>
        <w:tc>
          <w:tcPr>
            <w:tcW w:w="560" w:type="dxa"/>
            <w:vAlign w:val="bottom"/>
            <w:gridSpan w:val="2"/>
            <w:shd w:val="clear" w:color="auto" w:fill="D2DEEE"/>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D2DEEE"/>
          </w:tcPr>
          <w:p>
            <w:pPr>
              <w:spacing w:after="0"/>
              <w:rPr>
                <w:sz w:val="17"/>
                <w:szCs w:val="17"/>
                <w:color w:val="auto"/>
              </w:rPr>
            </w:pPr>
          </w:p>
        </w:tc>
        <w:tc>
          <w:tcPr>
            <w:tcW w:w="220" w:type="dxa"/>
            <w:vAlign w:val="bottom"/>
            <w:shd w:val="clear" w:color="auto" w:fill="D2DEEE"/>
          </w:tcPr>
          <w:p>
            <w:pPr>
              <w:spacing w:after="0"/>
              <w:rPr>
                <w:sz w:val="17"/>
                <w:szCs w:val="17"/>
                <w:color w:val="auto"/>
              </w:rPr>
            </w:pPr>
          </w:p>
        </w:tc>
        <w:tc>
          <w:tcPr>
            <w:tcW w:w="760" w:type="dxa"/>
            <w:vAlign w:val="bottom"/>
            <w:gridSpan w:val="2"/>
            <w:shd w:val="clear" w:color="auto" w:fill="D2DEEE"/>
          </w:tcPr>
          <w:p>
            <w:pPr>
              <w:jc w:val="right"/>
              <w:ind w:right="22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580" w:type="dxa"/>
            <w:vAlign w:val="bottom"/>
          </w:tcPr>
          <w:p>
            <w:pPr>
              <w:ind w:left="100"/>
              <w:spacing w:after="0" w:line="202" w:lineRule="exact"/>
              <w:rPr>
                <w:sz w:val="20"/>
                <w:szCs w:val="20"/>
                <w:color w:val="auto"/>
              </w:rPr>
            </w:pPr>
            <w:r>
              <w:rPr>
                <w:rFonts w:ascii="Arial" w:cs="Arial" w:eastAsia="Arial" w:hAnsi="Arial"/>
                <w:sz w:val="18"/>
                <w:szCs w:val="18"/>
                <w:color w:val="auto"/>
              </w:rPr>
              <w:t>Add: Vendor-Supplied Component Quality Issue</w:t>
            </w:r>
          </w:p>
        </w:tc>
        <w:tc>
          <w:tcPr>
            <w:tcW w:w="96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80" w:type="dxa"/>
            <w:vAlign w:val="bottom"/>
            <w:gridSpan w:val="3"/>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9</w:t>
            </w:r>
          </w:p>
        </w:tc>
        <w:tc>
          <w:tcPr>
            <w:tcW w:w="220" w:type="dxa"/>
            <w:vAlign w:val="bottom"/>
          </w:tcPr>
          <w:p>
            <w:pPr>
              <w:spacing w:after="0"/>
              <w:rPr>
                <w:sz w:val="17"/>
                <w:szCs w:val="17"/>
                <w:color w:val="auto"/>
              </w:rPr>
            </w:pPr>
          </w:p>
        </w:tc>
        <w:tc>
          <w:tcPr>
            <w:tcW w:w="5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 w:type="dxa"/>
            <w:vAlign w:val="bottom"/>
            <w:shd w:val="clear" w:color="auto" w:fill="D2DEEE"/>
          </w:tcPr>
          <w:p>
            <w:pPr>
              <w:spacing w:after="0"/>
              <w:rPr>
                <w:sz w:val="17"/>
                <w:szCs w:val="17"/>
                <w:color w:val="auto"/>
              </w:rPr>
            </w:pPr>
          </w:p>
        </w:tc>
        <w:tc>
          <w:tcPr>
            <w:tcW w:w="20" w:type="dxa"/>
            <w:vAlign w:val="bottom"/>
            <w:shd w:val="clear" w:color="auto" w:fill="D2DEEE"/>
          </w:tcPr>
          <w:p>
            <w:pPr>
              <w:spacing w:after="0"/>
              <w:rPr>
                <w:sz w:val="17"/>
                <w:szCs w:val="17"/>
                <w:color w:val="auto"/>
              </w:rPr>
            </w:pPr>
          </w:p>
        </w:tc>
        <w:tc>
          <w:tcPr>
            <w:tcW w:w="6580" w:type="dxa"/>
            <w:vAlign w:val="bottom"/>
            <w:shd w:val="clear" w:color="auto" w:fill="D2DEEE"/>
          </w:tcPr>
          <w:p>
            <w:pPr>
              <w:ind w:left="100"/>
              <w:spacing w:after="0" w:line="202" w:lineRule="exact"/>
              <w:rPr>
                <w:sz w:val="20"/>
                <w:szCs w:val="20"/>
                <w:color w:val="auto"/>
              </w:rPr>
            </w:pPr>
            <w:r>
              <w:rPr>
                <w:rFonts w:ascii="Arial" w:cs="Arial" w:eastAsia="Arial" w:hAnsi="Arial"/>
                <w:sz w:val="18"/>
                <w:szCs w:val="18"/>
                <w:color w:val="auto"/>
              </w:rPr>
              <w:t>Rounding</w:t>
            </w:r>
          </w:p>
        </w:tc>
        <w:tc>
          <w:tcPr>
            <w:tcW w:w="1560" w:type="dxa"/>
            <w:vAlign w:val="bottom"/>
            <w:tcBorders>
              <w:bottom w:val="single" w:sz="8" w:color="auto"/>
            </w:tcBorders>
            <w:gridSpan w:val="5"/>
            <w:shd w:val="clear" w:color="auto" w:fill="D2DEEE"/>
          </w:tcPr>
          <w:p>
            <w:pPr>
              <w:jc w:val="right"/>
              <w:ind w:right="472"/>
              <w:spacing w:after="0" w:line="202" w:lineRule="exact"/>
              <w:rPr>
                <w:sz w:val="20"/>
                <w:szCs w:val="20"/>
                <w:color w:val="auto"/>
              </w:rPr>
            </w:pPr>
            <w:r>
              <w:rPr>
                <w:rFonts w:ascii="Arial" w:cs="Arial" w:eastAsia="Arial" w:hAnsi="Arial"/>
                <w:sz w:val="18"/>
                <w:szCs w:val="18"/>
                <w:color w:val="auto"/>
              </w:rPr>
              <w:t>(1)</w:t>
            </w:r>
          </w:p>
        </w:tc>
        <w:tc>
          <w:tcPr>
            <w:tcW w:w="1000" w:type="dxa"/>
            <w:vAlign w:val="bottom"/>
            <w:tcBorders>
              <w:bottom w:val="single" w:sz="8" w:color="auto"/>
            </w:tcBorders>
            <w:gridSpan w:val="4"/>
            <w:shd w:val="clear" w:color="auto" w:fill="D2DEEE"/>
          </w:tcPr>
          <w:p>
            <w:pPr>
              <w:jc w:val="right"/>
              <w:ind w:right="420"/>
              <w:spacing w:after="0" w:line="202" w:lineRule="exact"/>
              <w:rPr>
                <w:sz w:val="20"/>
                <w:szCs w:val="20"/>
                <w:color w:val="auto"/>
              </w:rPr>
            </w:pPr>
            <w:r>
              <w:rPr>
                <w:rFonts w:ascii="Arial" w:cs="Arial" w:eastAsia="Arial" w:hAnsi="Arial"/>
                <w:sz w:val="18"/>
                <w:szCs w:val="18"/>
                <w:color w:val="auto"/>
              </w:rPr>
              <w:t>1</w:t>
            </w:r>
          </w:p>
        </w:tc>
        <w:tc>
          <w:tcPr>
            <w:tcW w:w="200" w:type="dxa"/>
            <w:vAlign w:val="bottom"/>
            <w:tcBorders>
              <w:bottom w:val="single" w:sz="8" w:color="auto"/>
            </w:tcBorders>
            <w:shd w:val="clear" w:color="auto" w:fill="D2DEEE"/>
          </w:tcPr>
          <w:p>
            <w:pPr>
              <w:spacing w:after="0"/>
              <w:rPr>
                <w:sz w:val="17"/>
                <w:szCs w:val="17"/>
                <w:color w:val="auto"/>
              </w:rPr>
            </w:pPr>
          </w:p>
        </w:tc>
        <w:tc>
          <w:tcPr>
            <w:tcW w:w="760" w:type="dxa"/>
            <w:vAlign w:val="bottom"/>
            <w:tcBorders>
              <w:bottom w:val="single" w:sz="8" w:color="auto"/>
            </w:tcBorders>
            <w:gridSpan w:val="3"/>
            <w:shd w:val="clear" w:color="auto" w:fill="D2DEEE"/>
          </w:tcPr>
          <w:p>
            <w:pPr>
              <w:jc w:val="right"/>
              <w:ind w:right="200"/>
              <w:spacing w:after="0" w:line="202" w:lineRule="exact"/>
              <w:rPr>
                <w:sz w:val="20"/>
                <w:szCs w:val="20"/>
                <w:color w:val="auto"/>
              </w:rPr>
            </w:pPr>
            <w:r>
              <w:rPr>
                <w:rFonts w:ascii="Arial" w:cs="Arial" w:eastAsia="Arial" w:hAnsi="Arial"/>
                <w:sz w:val="18"/>
                <w:szCs w:val="18"/>
                <w:color w:val="auto"/>
              </w:rPr>
              <w:t>1</w:t>
            </w:r>
          </w:p>
        </w:tc>
        <w:tc>
          <w:tcPr>
            <w:tcW w:w="220" w:type="dxa"/>
            <w:vAlign w:val="bottom"/>
            <w:tcBorders>
              <w:bottom w:val="single" w:sz="8" w:color="auto"/>
            </w:tcBorders>
            <w:shd w:val="clear" w:color="auto" w:fill="D2DEEE"/>
          </w:tcPr>
          <w:p>
            <w:pPr>
              <w:spacing w:after="0"/>
              <w:rPr>
                <w:sz w:val="17"/>
                <w:szCs w:val="17"/>
                <w:color w:val="auto"/>
              </w:rPr>
            </w:pPr>
          </w:p>
        </w:tc>
        <w:tc>
          <w:tcPr>
            <w:tcW w:w="760" w:type="dxa"/>
            <w:vAlign w:val="bottom"/>
            <w:tcBorders>
              <w:bottom w:val="single" w:sz="8" w:color="auto"/>
            </w:tcBorders>
            <w:gridSpan w:val="2"/>
            <w:shd w:val="clear" w:color="auto" w:fill="D2DEEE"/>
          </w:tcPr>
          <w:p>
            <w:pPr>
              <w:jc w:val="right"/>
              <w:ind w:right="16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6920" w:type="dxa"/>
            <w:vAlign w:val="bottom"/>
            <w:gridSpan w:val="3"/>
          </w:tcPr>
          <w:p>
            <w:pPr>
              <w:spacing w:after="0" w:line="195" w:lineRule="exact"/>
              <w:rPr>
                <w:sz w:val="20"/>
                <w:szCs w:val="20"/>
                <w:color w:val="auto"/>
              </w:rPr>
            </w:pPr>
            <w:r>
              <w:rPr>
                <w:rFonts w:ascii="Arial" w:cs="Arial" w:eastAsia="Arial" w:hAnsi="Arial"/>
                <w:sz w:val="18"/>
                <w:szCs w:val="18"/>
                <w:color w:val="auto"/>
              </w:rPr>
              <w:t>Adjusted Operating Profit (B)</w:t>
            </w:r>
          </w:p>
        </w:tc>
        <w:tc>
          <w:tcPr>
            <w:tcW w:w="1020" w:type="dxa"/>
            <w:vAlign w:val="bottom"/>
            <w:gridSpan w:val="4"/>
          </w:tcPr>
          <w:p>
            <w:pPr>
              <w:jc w:val="right"/>
              <w:ind w:right="60"/>
              <w:spacing w:after="0" w:line="196" w:lineRule="exact"/>
              <w:rPr>
                <w:sz w:val="20"/>
                <w:szCs w:val="20"/>
                <w:color w:val="auto"/>
              </w:rPr>
            </w:pPr>
            <w:r>
              <w:rPr>
                <w:rFonts w:ascii="Arial" w:cs="Arial" w:eastAsia="Arial" w:hAnsi="Arial"/>
                <w:sz w:val="18"/>
                <w:szCs w:val="18"/>
                <w:color w:val="auto"/>
              </w:rPr>
              <w:t>1,043</w:t>
            </w:r>
          </w:p>
        </w:tc>
        <w:tc>
          <w:tcPr>
            <w:tcW w:w="540" w:type="dxa"/>
            <w:vAlign w:val="bottom"/>
          </w:tcPr>
          <w:p>
            <w:pPr>
              <w:spacing w:after="0"/>
              <w:rPr>
                <w:sz w:val="17"/>
                <w:szCs w:val="17"/>
                <w:color w:val="auto"/>
              </w:rPr>
            </w:pPr>
          </w:p>
        </w:tc>
        <w:tc>
          <w:tcPr>
            <w:tcW w:w="58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1,003</w:t>
            </w: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885</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773</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20" w:type="dxa"/>
            <w:vAlign w:val="bottom"/>
            <w:gridSpan w:val="3"/>
            <w:shd w:val="clear" w:color="auto" w:fill="D2DEEE"/>
          </w:tcPr>
          <w:p>
            <w:pPr>
              <w:spacing w:after="0" w:line="202" w:lineRule="exact"/>
              <w:rPr>
                <w:sz w:val="20"/>
                <w:szCs w:val="20"/>
                <w:color w:val="auto"/>
              </w:rPr>
            </w:pPr>
            <w:r>
              <w:rPr>
                <w:rFonts w:ascii="Arial" w:cs="Arial" w:eastAsia="Arial" w:hAnsi="Arial"/>
                <w:sz w:val="18"/>
                <w:szCs w:val="18"/>
                <w:color w:val="auto"/>
              </w:rPr>
              <w:t>GAAP Operating Margin</w:t>
            </w:r>
          </w:p>
        </w:tc>
        <w:tc>
          <w:tcPr>
            <w:tcW w:w="1560" w:type="dxa"/>
            <w:vAlign w:val="bottom"/>
            <w:gridSpan w:val="5"/>
            <w:shd w:val="clear" w:color="auto" w:fill="D2DEEE"/>
          </w:tcPr>
          <w:p>
            <w:pPr>
              <w:jc w:val="right"/>
              <w:ind w:right="372"/>
              <w:spacing w:after="0" w:line="202" w:lineRule="exact"/>
              <w:rPr>
                <w:sz w:val="20"/>
                <w:szCs w:val="20"/>
                <w:color w:val="auto"/>
              </w:rPr>
            </w:pPr>
            <w:r>
              <w:rPr>
                <w:rFonts w:ascii="Arial" w:cs="Arial" w:eastAsia="Arial" w:hAnsi="Arial"/>
                <w:sz w:val="18"/>
                <w:szCs w:val="18"/>
                <w:color w:val="auto"/>
              </w:rPr>
              <w:t>28.7%</w:t>
            </w:r>
          </w:p>
        </w:tc>
        <w:tc>
          <w:tcPr>
            <w:tcW w:w="1000" w:type="dxa"/>
            <w:vAlign w:val="bottom"/>
            <w:gridSpan w:val="4"/>
            <w:shd w:val="clear" w:color="auto" w:fill="D2DEEE"/>
          </w:tcPr>
          <w:p>
            <w:pPr>
              <w:jc w:val="right"/>
              <w:ind w:right="260"/>
              <w:spacing w:after="0" w:line="202" w:lineRule="exact"/>
              <w:rPr>
                <w:sz w:val="20"/>
                <w:szCs w:val="20"/>
                <w:color w:val="auto"/>
              </w:rPr>
            </w:pPr>
            <w:r>
              <w:rPr>
                <w:rFonts w:ascii="Arial" w:cs="Arial" w:eastAsia="Arial" w:hAnsi="Arial"/>
                <w:sz w:val="18"/>
                <w:szCs w:val="18"/>
                <w:color w:val="auto"/>
              </w:rPr>
              <w:t>28.2%</w:t>
            </w:r>
          </w:p>
        </w:tc>
        <w:tc>
          <w:tcPr>
            <w:tcW w:w="200" w:type="dxa"/>
            <w:vAlign w:val="bottom"/>
            <w:shd w:val="clear" w:color="auto" w:fill="D2DEEE"/>
          </w:tcPr>
          <w:p>
            <w:pPr>
              <w:spacing w:after="0"/>
              <w:rPr>
                <w:sz w:val="17"/>
                <w:szCs w:val="17"/>
                <w:color w:val="auto"/>
              </w:rPr>
            </w:pPr>
          </w:p>
        </w:tc>
        <w:tc>
          <w:tcPr>
            <w:tcW w:w="760" w:type="dxa"/>
            <w:vAlign w:val="bottom"/>
            <w:gridSpan w:val="3"/>
            <w:shd w:val="clear" w:color="auto" w:fill="D2DEEE"/>
          </w:tcPr>
          <w:p>
            <w:pPr>
              <w:jc w:val="right"/>
              <w:ind w:right="60"/>
              <w:spacing w:after="0" w:line="202" w:lineRule="exact"/>
              <w:rPr>
                <w:sz w:val="20"/>
                <w:szCs w:val="20"/>
                <w:color w:val="auto"/>
              </w:rPr>
            </w:pPr>
            <w:r>
              <w:rPr>
                <w:rFonts w:ascii="Arial" w:cs="Arial" w:eastAsia="Arial" w:hAnsi="Arial"/>
                <w:sz w:val="18"/>
                <w:szCs w:val="18"/>
                <w:color w:val="auto"/>
              </w:rPr>
              <w:t>26.0%</w:t>
            </w:r>
          </w:p>
        </w:tc>
        <w:tc>
          <w:tcPr>
            <w:tcW w:w="220" w:type="dxa"/>
            <w:vAlign w:val="bottom"/>
            <w:shd w:val="clear" w:color="auto" w:fill="D2DEEE"/>
          </w:tcPr>
          <w:p>
            <w:pPr>
              <w:spacing w:after="0"/>
              <w:rPr>
                <w:sz w:val="17"/>
                <w:szCs w:val="17"/>
                <w:color w:val="auto"/>
              </w:rPr>
            </w:pPr>
          </w:p>
        </w:tc>
        <w:tc>
          <w:tcPr>
            <w:tcW w:w="760" w:type="dxa"/>
            <w:vAlign w:val="bottom"/>
            <w:gridSpan w:val="2"/>
            <w:shd w:val="clear" w:color="auto" w:fill="D2DEEE"/>
          </w:tcPr>
          <w:p>
            <w:pPr>
              <w:jc w:val="right"/>
              <w:ind w:right="60"/>
              <w:spacing w:after="0" w:line="202" w:lineRule="exact"/>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4"/>
        </w:trPr>
        <w:tc>
          <w:tcPr>
            <w:tcW w:w="6920" w:type="dxa"/>
            <w:vAlign w:val="bottom"/>
            <w:gridSpan w:val="3"/>
          </w:tcPr>
          <w:p>
            <w:pPr>
              <w:spacing w:after="0"/>
              <w:rPr>
                <w:sz w:val="20"/>
                <w:szCs w:val="20"/>
                <w:color w:val="auto"/>
              </w:rPr>
            </w:pPr>
            <w:r>
              <w:rPr>
                <w:rFonts w:ascii="Arial" w:cs="Arial" w:eastAsia="Arial" w:hAnsi="Arial"/>
                <w:sz w:val="18"/>
                <w:szCs w:val="18"/>
                <w:color w:val="auto"/>
              </w:rPr>
              <w:t>Adjusted Operating Margin (B) / (A)</w:t>
            </w:r>
          </w:p>
        </w:tc>
        <w:tc>
          <w:tcPr>
            <w:tcW w:w="1560" w:type="dxa"/>
            <w:vAlign w:val="bottom"/>
            <w:gridSpan w:val="5"/>
          </w:tcPr>
          <w:p>
            <w:pPr>
              <w:jc w:val="right"/>
              <w:ind w:right="372"/>
              <w:spacing w:after="0"/>
              <w:rPr>
                <w:sz w:val="20"/>
                <w:szCs w:val="20"/>
                <w:color w:val="auto"/>
              </w:rPr>
            </w:pPr>
            <w:r>
              <w:rPr>
                <w:rFonts w:ascii="Arial" w:cs="Arial" w:eastAsia="Arial" w:hAnsi="Arial"/>
                <w:sz w:val="18"/>
                <w:szCs w:val="18"/>
                <w:color w:val="auto"/>
              </w:rPr>
              <w:t>29.0%</w:t>
            </w:r>
          </w:p>
        </w:tc>
        <w:tc>
          <w:tcPr>
            <w:tcW w:w="1000" w:type="dxa"/>
            <w:vAlign w:val="bottom"/>
            <w:gridSpan w:val="4"/>
          </w:tcPr>
          <w:p>
            <w:pPr>
              <w:jc w:val="right"/>
              <w:ind w:right="260"/>
              <w:spacing w:after="0"/>
              <w:rPr>
                <w:sz w:val="20"/>
                <w:szCs w:val="20"/>
                <w:color w:val="auto"/>
              </w:rPr>
            </w:pPr>
            <w:r>
              <w:rPr>
                <w:rFonts w:ascii="Arial" w:cs="Arial" w:eastAsia="Arial" w:hAnsi="Arial"/>
                <w:sz w:val="18"/>
                <w:szCs w:val="18"/>
                <w:color w:val="auto"/>
              </w:rPr>
              <w:t>28.2%</w:t>
            </w:r>
          </w:p>
        </w:tc>
        <w:tc>
          <w:tcPr>
            <w:tcW w:w="200" w:type="dxa"/>
            <w:vAlign w:val="bottom"/>
          </w:tcPr>
          <w:p>
            <w:pPr>
              <w:spacing w:after="0"/>
              <w:rPr>
                <w:sz w:val="18"/>
                <w:szCs w:val="18"/>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27.0%</w:t>
            </w:r>
          </w:p>
        </w:tc>
        <w:tc>
          <w:tcPr>
            <w:tcW w:w="2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365"/>
        </w:trPr>
        <w:tc>
          <w:tcPr>
            <w:tcW w:w="6920" w:type="dxa"/>
            <w:vAlign w:val="bottom"/>
            <w:gridSpan w:val="3"/>
          </w:tcPr>
          <w:p>
            <w:pPr>
              <w:spacing w:after="0"/>
              <w:rPr>
                <w:sz w:val="20"/>
                <w:szCs w:val="20"/>
                <w:color w:val="auto"/>
              </w:rPr>
            </w:pPr>
            <w:r>
              <w:rPr>
                <w:rFonts w:ascii="Arial" w:cs="Arial" w:eastAsia="Arial" w:hAnsi="Arial"/>
                <w:sz w:val="18"/>
                <w:szCs w:val="18"/>
                <w:color w:val="auto"/>
              </w:rPr>
              <w:t>Table 2: Full Year GAAP DEPS to Adjusted DEPS Reconciliation</w:t>
            </w: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320" w:type="dxa"/>
            <w:vAlign w:val="bottom"/>
            <w:tcBorders>
              <w:bottom w:val="single" w:sz="8" w:color="D2DEEE"/>
            </w:tcBorders>
          </w:tcPr>
          <w:p>
            <w:pPr>
              <w:spacing w:after="0"/>
              <w:rPr>
                <w:sz w:val="24"/>
                <w:szCs w:val="24"/>
                <w:color w:val="auto"/>
              </w:rPr>
            </w:pPr>
          </w:p>
        </w:tc>
        <w:tc>
          <w:tcPr>
            <w:tcW w:w="20" w:type="dxa"/>
            <w:vAlign w:val="bottom"/>
            <w:tcBorders>
              <w:bottom w:val="single" w:sz="8" w:color="D2DEEE"/>
            </w:tcBorders>
          </w:tcPr>
          <w:p>
            <w:pPr>
              <w:spacing w:after="0"/>
              <w:rPr>
                <w:sz w:val="24"/>
                <w:szCs w:val="24"/>
                <w:color w:val="auto"/>
              </w:rPr>
            </w:pPr>
          </w:p>
        </w:tc>
        <w:tc>
          <w:tcPr>
            <w:tcW w:w="6580" w:type="dxa"/>
            <w:vAlign w:val="bottom"/>
            <w:tcBorders>
              <w:bottom w:val="single" w:sz="8" w:color="D2DEEE"/>
            </w:tcBorders>
          </w:tcPr>
          <w:p>
            <w:pPr>
              <w:spacing w:after="0"/>
              <w:rPr>
                <w:sz w:val="24"/>
                <w:szCs w:val="24"/>
                <w:color w:val="auto"/>
              </w:rPr>
            </w:pPr>
          </w:p>
        </w:tc>
        <w:tc>
          <w:tcPr>
            <w:tcW w:w="1020" w:type="dxa"/>
            <w:vAlign w:val="bottom"/>
            <w:tcBorders>
              <w:bottom w:val="single" w:sz="8" w:color="D2DEEE"/>
            </w:tcBorders>
            <w:gridSpan w:val="4"/>
          </w:tcPr>
          <w:p>
            <w:pPr>
              <w:spacing w:after="0"/>
              <w:rPr>
                <w:sz w:val="24"/>
                <w:szCs w:val="24"/>
                <w:color w:val="auto"/>
              </w:rPr>
            </w:pPr>
          </w:p>
        </w:tc>
        <w:tc>
          <w:tcPr>
            <w:tcW w:w="54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2015</w:t>
            </w:r>
          </w:p>
        </w:tc>
        <w:tc>
          <w:tcPr>
            <w:tcW w:w="460" w:type="dxa"/>
            <w:vAlign w:val="bottom"/>
            <w:tcBorders>
              <w:bottom w:val="single" w:sz="8" w:color="D2DEEE"/>
            </w:tcBorders>
            <w:gridSpan w:val="2"/>
          </w:tcPr>
          <w:p>
            <w:pPr>
              <w:spacing w:after="0"/>
              <w:rPr>
                <w:sz w:val="24"/>
                <w:szCs w:val="24"/>
                <w:color w:val="auto"/>
              </w:rPr>
            </w:pPr>
          </w:p>
        </w:tc>
        <w:tc>
          <w:tcPr>
            <w:tcW w:w="5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color w:val="auto"/>
              </w:rPr>
              <w:t>2014</w:t>
            </w:r>
          </w:p>
        </w:tc>
        <w:tc>
          <w:tcPr>
            <w:tcW w:w="200" w:type="dxa"/>
            <w:vAlign w:val="bottom"/>
            <w:tcBorders>
              <w:bottom w:val="single" w:sz="8" w:color="D2DEEE"/>
            </w:tcBorders>
          </w:tcPr>
          <w:p>
            <w:pPr>
              <w:spacing w:after="0"/>
              <w:rPr>
                <w:sz w:val="24"/>
                <w:szCs w:val="24"/>
                <w:color w:val="auto"/>
              </w:rPr>
            </w:pPr>
          </w:p>
        </w:tc>
        <w:tc>
          <w:tcPr>
            <w:tcW w:w="260" w:type="dxa"/>
            <w:vAlign w:val="bottom"/>
            <w:tcBorders>
              <w:bottom w:val="single" w:sz="8" w:color="D2DEEE"/>
            </w:tcBorders>
          </w:tcPr>
          <w:p>
            <w:pPr>
              <w:spacing w:after="0"/>
              <w:rPr>
                <w:sz w:val="24"/>
                <w:szCs w:val="24"/>
                <w:color w:val="auto"/>
              </w:rPr>
            </w:pPr>
          </w:p>
        </w:tc>
        <w:tc>
          <w:tcPr>
            <w:tcW w:w="5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2013</w:t>
            </w:r>
          </w:p>
        </w:tc>
        <w:tc>
          <w:tcPr>
            <w:tcW w:w="220" w:type="dxa"/>
            <w:vAlign w:val="bottom"/>
            <w:tcBorders>
              <w:bottom w:val="single" w:sz="8" w:color="D2DEEE"/>
            </w:tcBorders>
          </w:tcPr>
          <w:p>
            <w:pPr>
              <w:spacing w:after="0"/>
              <w:rPr>
                <w:sz w:val="24"/>
                <w:szCs w:val="24"/>
                <w:color w:val="auto"/>
              </w:rPr>
            </w:pPr>
          </w:p>
        </w:tc>
        <w:tc>
          <w:tcPr>
            <w:tcW w:w="54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2012</w:t>
            </w:r>
          </w:p>
        </w:tc>
        <w:tc>
          <w:tcPr>
            <w:tcW w:w="220" w:type="dxa"/>
            <w:vAlign w:val="bottom"/>
            <w:tcBorders>
              <w:bottom w:val="single" w:sz="8" w:color="D2DEEE"/>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920" w:type="dxa"/>
            <w:vAlign w:val="bottom"/>
            <w:gridSpan w:val="3"/>
            <w:shd w:val="clear" w:color="auto" w:fill="D2DEEE"/>
          </w:tcPr>
          <w:p>
            <w:pPr>
              <w:spacing w:after="0" w:line="195" w:lineRule="exact"/>
              <w:rPr>
                <w:sz w:val="20"/>
                <w:szCs w:val="20"/>
                <w:color w:val="auto"/>
              </w:rPr>
            </w:pPr>
            <w:r>
              <w:rPr>
                <w:rFonts w:ascii="Arial" w:cs="Arial" w:eastAsia="Arial" w:hAnsi="Arial"/>
                <w:sz w:val="18"/>
                <w:szCs w:val="18"/>
                <w:color w:val="auto"/>
              </w:rPr>
              <w:t>GAAP Diluted Earnings Per Share (DEPS)</w:t>
            </w:r>
          </w:p>
        </w:tc>
        <w:tc>
          <w:tcPr>
            <w:tcW w:w="1560" w:type="dxa"/>
            <w:vAlign w:val="bottom"/>
            <w:gridSpan w:val="5"/>
            <w:shd w:val="clear" w:color="auto" w:fill="D2DEEE"/>
          </w:tcPr>
          <w:p>
            <w:pPr>
              <w:ind w:left="1140"/>
              <w:spacing w:after="0" w:line="196" w:lineRule="exact"/>
              <w:rPr>
                <w:sz w:val="20"/>
                <w:szCs w:val="20"/>
                <w:color w:val="auto"/>
              </w:rPr>
            </w:pPr>
            <w:r>
              <w:rPr>
                <w:rFonts w:ascii="Arial" w:cs="Arial" w:eastAsia="Arial" w:hAnsi="Arial"/>
                <w:sz w:val="18"/>
                <w:szCs w:val="18"/>
                <w:color w:val="auto"/>
                <w:w w:val="88"/>
              </w:rPr>
              <w:t>$6.85</w:t>
            </w:r>
          </w:p>
        </w:tc>
        <w:tc>
          <w:tcPr>
            <w:tcW w:w="1000" w:type="dxa"/>
            <w:vAlign w:val="bottom"/>
            <w:gridSpan w:val="4"/>
            <w:shd w:val="clear" w:color="auto" w:fill="D2DEEE"/>
          </w:tcPr>
          <w:p>
            <w:pPr>
              <w:ind w:left="560"/>
              <w:spacing w:after="0" w:line="196" w:lineRule="exact"/>
              <w:rPr>
                <w:sz w:val="20"/>
                <w:szCs w:val="20"/>
                <w:color w:val="auto"/>
              </w:rPr>
            </w:pPr>
            <w:r>
              <w:rPr>
                <w:rFonts w:ascii="Arial" w:cs="Arial" w:eastAsia="Arial" w:hAnsi="Arial"/>
                <w:sz w:val="18"/>
                <w:szCs w:val="18"/>
                <w:color w:val="auto"/>
                <w:w w:val="93"/>
              </w:rPr>
              <w:t>$6.40</w:t>
            </w:r>
          </w:p>
        </w:tc>
        <w:tc>
          <w:tcPr>
            <w:tcW w:w="200" w:type="dxa"/>
            <w:vAlign w:val="bottom"/>
            <w:shd w:val="clear" w:color="auto" w:fill="D2DEEE"/>
          </w:tcPr>
          <w:p>
            <w:pPr>
              <w:spacing w:after="0"/>
              <w:rPr>
                <w:sz w:val="17"/>
                <w:szCs w:val="17"/>
                <w:color w:val="auto"/>
              </w:rPr>
            </w:pPr>
          </w:p>
        </w:tc>
        <w:tc>
          <w:tcPr>
            <w:tcW w:w="760" w:type="dxa"/>
            <w:vAlign w:val="bottom"/>
            <w:gridSpan w:val="3"/>
            <w:shd w:val="clear" w:color="auto" w:fill="D2DEEE"/>
          </w:tcPr>
          <w:p>
            <w:pPr>
              <w:jc w:val="right"/>
              <w:spacing w:after="0" w:line="196" w:lineRule="exact"/>
              <w:rPr>
                <w:sz w:val="20"/>
                <w:szCs w:val="20"/>
                <w:color w:val="auto"/>
              </w:rPr>
            </w:pPr>
            <w:r>
              <w:rPr>
                <w:rFonts w:ascii="Arial" w:cs="Arial" w:eastAsia="Arial" w:hAnsi="Arial"/>
                <w:sz w:val="18"/>
                <w:szCs w:val="18"/>
                <w:color w:val="auto"/>
              </w:rPr>
              <w:t>$5.37</w:t>
            </w:r>
          </w:p>
        </w:tc>
        <w:tc>
          <w:tcPr>
            <w:tcW w:w="220" w:type="dxa"/>
            <w:vAlign w:val="bottom"/>
            <w:shd w:val="clear" w:color="auto" w:fill="D2DEEE"/>
          </w:tcPr>
          <w:p>
            <w:pPr>
              <w:spacing w:after="0"/>
              <w:rPr>
                <w:sz w:val="17"/>
                <w:szCs w:val="17"/>
                <w:color w:val="auto"/>
              </w:rPr>
            </w:pPr>
          </w:p>
        </w:tc>
        <w:tc>
          <w:tcPr>
            <w:tcW w:w="540" w:type="dxa"/>
            <w:vAlign w:val="bottom"/>
            <w:shd w:val="clear" w:color="auto" w:fill="D2DEEE"/>
          </w:tcPr>
          <w:p>
            <w:pPr>
              <w:jc w:val="right"/>
              <w:spacing w:after="0" w:line="196" w:lineRule="exact"/>
              <w:rPr>
                <w:sz w:val="20"/>
                <w:szCs w:val="20"/>
                <w:color w:val="auto"/>
              </w:rPr>
            </w:pPr>
            <w:r>
              <w:rPr>
                <w:rFonts w:ascii="Arial" w:cs="Arial" w:eastAsia="Arial" w:hAnsi="Arial"/>
                <w:sz w:val="18"/>
                <w:szCs w:val="18"/>
                <w:color w:val="auto"/>
              </w:rPr>
              <w:t>$4.86</w:t>
            </w:r>
          </w:p>
        </w:tc>
        <w:tc>
          <w:tcPr>
            <w:tcW w:w="220" w:type="dxa"/>
            <w:vAlign w:val="bottom"/>
            <w:shd w:val="clear" w:color="auto" w:fill="D2DEE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580" w:type="dxa"/>
            <w:vAlign w:val="bottom"/>
          </w:tcPr>
          <w:p>
            <w:pPr>
              <w:ind w:left="100"/>
              <w:spacing w:after="0" w:line="202" w:lineRule="exact"/>
              <w:rPr>
                <w:sz w:val="20"/>
                <w:szCs w:val="20"/>
                <w:color w:val="auto"/>
              </w:rPr>
            </w:pPr>
            <w:r>
              <w:rPr>
                <w:rFonts w:ascii="Arial" w:cs="Arial" w:eastAsia="Arial" w:hAnsi="Arial"/>
                <w:sz w:val="18"/>
                <w:szCs w:val="18"/>
                <w:color w:val="auto"/>
              </w:rPr>
              <w:t>Minus: Gain on Sale of Divested Business</w:t>
            </w:r>
          </w:p>
        </w:tc>
        <w:tc>
          <w:tcPr>
            <w:tcW w:w="2020" w:type="dxa"/>
            <w:vAlign w:val="bottom"/>
            <w:gridSpan w:val="7"/>
          </w:tcPr>
          <w:p>
            <w:pPr>
              <w:jc w:val="right"/>
              <w:ind w:right="332"/>
              <w:spacing w:after="0" w:line="202" w:lineRule="exact"/>
              <w:rPr>
                <w:sz w:val="20"/>
                <w:szCs w:val="20"/>
                <w:color w:val="auto"/>
              </w:rPr>
            </w:pPr>
            <w:r>
              <w:rPr>
                <w:rFonts w:ascii="Arial" w:cs="Arial" w:eastAsia="Arial" w:hAnsi="Arial"/>
                <w:sz w:val="18"/>
                <w:szCs w:val="18"/>
                <w:color w:val="auto"/>
              </w:rPr>
              <w:t>($0.33)</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 w:type="dxa"/>
            <w:vAlign w:val="bottom"/>
            <w:shd w:val="clear" w:color="auto" w:fill="D2DEEE"/>
          </w:tcPr>
          <w:p>
            <w:pPr>
              <w:spacing w:after="0"/>
              <w:rPr>
                <w:sz w:val="17"/>
                <w:szCs w:val="17"/>
                <w:color w:val="auto"/>
              </w:rPr>
            </w:pPr>
          </w:p>
        </w:tc>
        <w:tc>
          <w:tcPr>
            <w:tcW w:w="20" w:type="dxa"/>
            <w:vAlign w:val="bottom"/>
            <w:shd w:val="clear" w:color="auto" w:fill="D2DEEE"/>
          </w:tcPr>
          <w:p>
            <w:pPr>
              <w:spacing w:after="0"/>
              <w:rPr>
                <w:sz w:val="17"/>
                <w:szCs w:val="17"/>
                <w:color w:val="auto"/>
              </w:rPr>
            </w:pPr>
          </w:p>
        </w:tc>
        <w:tc>
          <w:tcPr>
            <w:tcW w:w="6580" w:type="dxa"/>
            <w:vAlign w:val="bottom"/>
            <w:shd w:val="clear" w:color="auto" w:fill="D2DEEE"/>
          </w:tcPr>
          <w:p>
            <w:pPr>
              <w:ind w:left="100"/>
              <w:spacing w:after="0" w:line="202" w:lineRule="exact"/>
              <w:rPr>
                <w:sz w:val="20"/>
                <w:szCs w:val="20"/>
                <w:color w:val="auto"/>
              </w:rPr>
            </w:pPr>
            <w:r>
              <w:rPr>
                <w:rFonts w:ascii="Arial" w:cs="Arial" w:eastAsia="Arial" w:hAnsi="Arial"/>
                <w:sz w:val="18"/>
                <w:szCs w:val="18"/>
                <w:color w:val="auto"/>
              </w:rPr>
              <w:t>Add: Impairment Charge on Minority Investment</w:t>
            </w:r>
          </w:p>
        </w:tc>
        <w:tc>
          <w:tcPr>
            <w:tcW w:w="1560" w:type="dxa"/>
            <w:vAlign w:val="bottom"/>
            <w:gridSpan w:val="5"/>
            <w:shd w:val="clear" w:color="auto" w:fill="D2DEEE"/>
          </w:tcPr>
          <w:p>
            <w:pPr>
              <w:ind w:left="1140"/>
              <w:spacing w:after="0" w:line="202" w:lineRule="exact"/>
              <w:rPr>
                <w:sz w:val="20"/>
                <w:szCs w:val="20"/>
                <w:color w:val="auto"/>
              </w:rPr>
            </w:pPr>
            <w:r>
              <w:rPr>
                <w:rFonts w:ascii="Arial" w:cs="Arial" w:eastAsia="Arial" w:hAnsi="Arial"/>
                <w:sz w:val="18"/>
                <w:szCs w:val="18"/>
                <w:color w:val="auto"/>
                <w:w w:val="88"/>
              </w:rPr>
              <w:t>$0.06</w:t>
            </w:r>
          </w:p>
        </w:tc>
        <w:tc>
          <w:tcPr>
            <w:tcW w:w="20" w:type="dxa"/>
            <w:vAlign w:val="bottom"/>
            <w:shd w:val="clear" w:color="auto" w:fill="D2DEEE"/>
          </w:tcPr>
          <w:p>
            <w:pPr>
              <w:spacing w:after="0"/>
              <w:rPr>
                <w:sz w:val="17"/>
                <w:szCs w:val="17"/>
                <w:color w:val="auto"/>
              </w:rPr>
            </w:pPr>
          </w:p>
        </w:tc>
        <w:tc>
          <w:tcPr>
            <w:tcW w:w="440" w:type="dxa"/>
            <w:vAlign w:val="bottom"/>
            <w:shd w:val="clear" w:color="auto" w:fill="D2DEEE"/>
          </w:tcPr>
          <w:p>
            <w:pPr>
              <w:spacing w:after="0"/>
              <w:rPr>
                <w:sz w:val="17"/>
                <w:szCs w:val="17"/>
                <w:color w:val="auto"/>
              </w:rPr>
            </w:pPr>
          </w:p>
        </w:tc>
        <w:tc>
          <w:tcPr>
            <w:tcW w:w="120" w:type="dxa"/>
            <w:vAlign w:val="bottom"/>
            <w:shd w:val="clear" w:color="auto" w:fill="D2DEEE"/>
          </w:tcPr>
          <w:p>
            <w:pPr>
              <w:spacing w:after="0"/>
              <w:rPr>
                <w:sz w:val="17"/>
                <w:szCs w:val="17"/>
                <w:color w:val="auto"/>
              </w:rPr>
            </w:pPr>
          </w:p>
        </w:tc>
        <w:tc>
          <w:tcPr>
            <w:tcW w:w="420" w:type="dxa"/>
            <w:vAlign w:val="bottom"/>
            <w:shd w:val="clear" w:color="auto" w:fill="D2DEEE"/>
          </w:tcPr>
          <w:p>
            <w:pPr>
              <w:spacing w:after="0"/>
              <w:rPr>
                <w:sz w:val="17"/>
                <w:szCs w:val="17"/>
                <w:color w:val="auto"/>
              </w:rPr>
            </w:pPr>
          </w:p>
        </w:tc>
        <w:tc>
          <w:tcPr>
            <w:tcW w:w="200" w:type="dxa"/>
            <w:vAlign w:val="bottom"/>
            <w:shd w:val="clear" w:color="auto" w:fill="D2DEEE"/>
          </w:tcPr>
          <w:p>
            <w:pPr>
              <w:spacing w:after="0"/>
              <w:rPr>
                <w:sz w:val="17"/>
                <w:szCs w:val="17"/>
                <w:color w:val="auto"/>
              </w:rPr>
            </w:pPr>
          </w:p>
        </w:tc>
        <w:tc>
          <w:tcPr>
            <w:tcW w:w="260" w:type="dxa"/>
            <w:vAlign w:val="bottom"/>
            <w:shd w:val="clear" w:color="auto" w:fill="D2DEEE"/>
          </w:tcPr>
          <w:p>
            <w:pPr>
              <w:spacing w:after="0"/>
              <w:rPr>
                <w:sz w:val="17"/>
                <w:szCs w:val="17"/>
                <w:color w:val="auto"/>
              </w:rPr>
            </w:pPr>
          </w:p>
        </w:tc>
        <w:tc>
          <w:tcPr>
            <w:tcW w:w="300" w:type="dxa"/>
            <w:vAlign w:val="bottom"/>
            <w:shd w:val="clear" w:color="auto" w:fill="D2DEEE"/>
          </w:tcPr>
          <w:p>
            <w:pPr>
              <w:spacing w:after="0"/>
              <w:rPr>
                <w:sz w:val="17"/>
                <w:szCs w:val="17"/>
                <w:color w:val="auto"/>
              </w:rPr>
            </w:pPr>
          </w:p>
        </w:tc>
        <w:tc>
          <w:tcPr>
            <w:tcW w:w="200" w:type="dxa"/>
            <w:vAlign w:val="bottom"/>
            <w:shd w:val="clear" w:color="auto" w:fill="D2DEEE"/>
          </w:tcPr>
          <w:p>
            <w:pPr>
              <w:spacing w:after="0"/>
              <w:rPr>
                <w:sz w:val="17"/>
                <w:szCs w:val="17"/>
                <w:color w:val="auto"/>
              </w:rPr>
            </w:pPr>
          </w:p>
        </w:tc>
        <w:tc>
          <w:tcPr>
            <w:tcW w:w="220" w:type="dxa"/>
            <w:vAlign w:val="bottom"/>
            <w:shd w:val="clear" w:color="auto" w:fill="D2DEEE"/>
          </w:tcPr>
          <w:p>
            <w:pPr>
              <w:spacing w:after="0"/>
              <w:rPr>
                <w:sz w:val="17"/>
                <w:szCs w:val="17"/>
                <w:color w:val="auto"/>
              </w:rPr>
            </w:pPr>
          </w:p>
        </w:tc>
        <w:tc>
          <w:tcPr>
            <w:tcW w:w="540" w:type="dxa"/>
            <w:vAlign w:val="bottom"/>
            <w:shd w:val="clear" w:color="auto" w:fill="D2DEEE"/>
          </w:tcPr>
          <w:p>
            <w:pPr>
              <w:spacing w:after="0"/>
              <w:rPr>
                <w:sz w:val="17"/>
                <w:szCs w:val="17"/>
                <w:color w:val="auto"/>
              </w:rPr>
            </w:pPr>
          </w:p>
        </w:tc>
        <w:tc>
          <w:tcPr>
            <w:tcW w:w="220" w:type="dxa"/>
            <w:vAlign w:val="bottom"/>
            <w:shd w:val="clear" w:color="auto" w:fill="D2DEE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580" w:type="dxa"/>
            <w:vAlign w:val="bottom"/>
          </w:tcPr>
          <w:p>
            <w:pPr>
              <w:ind w:left="100"/>
              <w:spacing w:after="0" w:line="202" w:lineRule="exact"/>
              <w:rPr>
                <w:sz w:val="20"/>
                <w:szCs w:val="20"/>
                <w:color w:val="auto"/>
              </w:rPr>
            </w:pPr>
            <w:r>
              <w:rPr>
                <w:rFonts w:ascii="Arial" w:cs="Arial" w:eastAsia="Arial" w:hAnsi="Arial"/>
                <w:sz w:val="18"/>
                <w:szCs w:val="18"/>
                <w:color w:val="auto"/>
              </w:rPr>
              <w:t>Add: Purchase Accounting Adjustment to Acquired Deferred Revenue</w:t>
            </w:r>
          </w:p>
        </w:tc>
        <w:tc>
          <w:tcPr>
            <w:tcW w:w="1560" w:type="dxa"/>
            <w:vAlign w:val="bottom"/>
            <w:gridSpan w:val="5"/>
          </w:tcPr>
          <w:p>
            <w:pPr>
              <w:ind w:left="1140"/>
              <w:spacing w:after="0" w:line="202" w:lineRule="exact"/>
              <w:rPr>
                <w:sz w:val="20"/>
                <w:szCs w:val="20"/>
                <w:color w:val="auto"/>
              </w:rPr>
            </w:pPr>
            <w:r>
              <w:rPr>
                <w:rFonts w:ascii="Arial" w:cs="Arial" w:eastAsia="Arial" w:hAnsi="Arial"/>
                <w:sz w:val="18"/>
                <w:szCs w:val="18"/>
                <w:color w:val="auto"/>
                <w:w w:val="88"/>
              </w:rPr>
              <w:t>$0.07</w:t>
            </w:r>
          </w:p>
        </w:tc>
        <w:tc>
          <w:tcPr>
            <w:tcW w:w="1000" w:type="dxa"/>
            <w:vAlign w:val="bottom"/>
            <w:gridSpan w:val="4"/>
          </w:tcPr>
          <w:p>
            <w:pPr>
              <w:ind w:left="560"/>
              <w:spacing w:after="0" w:line="202" w:lineRule="exact"/>
              <w:rPr>
                <w:sz w:val="20"/>
                <w:szCs w:val="20"/>
                <w:color w:val="auto"/>
              </w:rPr>
            </w:pPr>
            <w:r>
              <w:rPr>
                <w:rFonts w:ascii="Arial" w:cs="Arial" w:eastAsia="Arial" w:hAnsi="Arial"/>
                <w:sz w:val="18"/>
                <w:szCs w:val="18"/>
                <w:color w:val="auto"/>
                <w:w w:val="93"/>
              </w:rPr>
              <w:t>$0.02</w:t>
            </w:r>
          </w:p>
        </w:tc>
        <w:tc>
          <w:tcPr>
            <w:tcW w:w="200" w:type="dxa"/>
            <w:vAlign w:val="bottom"/>
          </w:tcPr>
          <w:p>
            <w:pPr>
              <w:spacing w:after="0"/>
              <w:rPr>
                <w:sz w:val="17"/>
                <w:szCs w:val="17"/>
                <w:color w:val="auto"/>
              </w:rPr>
            </w:pPr>
          </w:p>
        </w:tc>
        <w:tc>
          <w:tcPr>
            <w:tcW w:w="7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$0.05</w:t>
            </w:r>
          </w:p>
        </w:tc>
        <w:tc>
          <w:tcPr>
            <w:tcW w:w="22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$0.06</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 w:type="dxa"/>
            <w:vAlign w:val="bottom"/>
            <w:shd w:val="clear" w:color="auto" w:fill="D2DEEE"/>
          </w:tcPr>
          <w:p>
            <w:pPr>
              <w:spacing w:after="0"/>
              <w:rPr>
                <w:sz w:val="17"/>
                <w:szCs w:val="17"/>
                <w:color w:val="auto"/>
              </w:rPr>
            </w:pPr>
          </w:p>
        </w:tc>
        <w:tc>
          <w:tcPr>
            <w:tcW w:w="20" w:type="dxa"/>
            <w:vAlign w:val="bottom"/>
            <w:shd w:val="clear" w:color="auto" w:fill="D2DEEE"/>
          </w:tcPr>
          <w:p>
            <w:pPr>
              <w:spacing w:after="0"/>
              <w:rPr>
                <w:sz w:val="17"/>
                <w:szCs w:val="17"/>
                <w:color w:val="auto"/>
              </w:rPr>
            </w:pPr>
          </w:p>
        </w:tc>
        <w:tc>
          <w:tcPr>
            <w:tcW w:w="6580" w:type="dxa"/>
            <w:vAlign w:val="bottom"/>
            <w:shd w:val="clear" w:color="auto" w:fill="D2DEEE"/>
          </w:tcPr>
          <w:p>
            <w:pPr>
              <w:ind w:left="100"/>
              <w:spacing w:after="0" w:line="202" w:lineRule="exact"/>
              <w:rPr>
                <w:sz w:val="20"/>
                <w:szCs w:val="20"/>
                <w:color w:val="auto"/>
              </w:rPr>
            </w:pPr>
            <w:r>
              <w:rPr>
                <w:rFonts w:ascii="Arial" w:cs="Arial" w:eastAsia="Arial" w:hAnsi="Arial"/>
                <w:sz w:val="18"/>
                <w:szCs w:val="18"/>
                <w:color w:val="auto"/>
              </w:rPr>
              <w:t>Add: Purchase Accounting Adjustment to Acquired Revenue</w:t>
            </w:r>
          </w:p>
        </w:tc>
        <w:tc>
          <w:tcPr>
            <w:tcW w:w="400" w:type="dxa"/>
            <w:vAlign w:val="bottom"/>
            <w:shd w:val="clear" w:color="auto" w:fill="D2DEEE"/>
          </w:tcPr>
          <w:p>
            <w:pPr>
              <w:spacing w:after="0"/>
              <w:rPr>
                <w:sz w:val="17"/>
                <w:szCs w:val="17"/>
                <w:color w:val="auto"/>
              </w:rPr>
            </w:pPr>
          </w:p>
        </w:tc>
        <w:tc>
          <w:tcPr>
            <w:tcW w:w="280" w:type="dxa"/>
            <w:vAlign w:val="bottom"/>
            <w:shd w:val="clear" w:color="auto" w:fill="D2DEEE"/>
          </w:tcPr>
          <w:p>
            <w:pPr>
              <w:spacing w:after="0"/>
              <w:rPr>
                <w:sz w:val="17"/>
                <w:szCs w:val="17"/>
                <w:color w:val="auto"/>
              </w:rPr>
            </w:pPr>
          </w:p>
        </w:tc>
        <w:tc>
          <w:tcPr>
            <w:tcW w:w="280" w:type="dxa"/>
            <w:vAlign w:val="bottom"/>
            <w:shd w:val="clear" w:color="auto" w:fill="D2DEEE"/>
          </w:tcPr>
          <w:p>
            <w:pPr>
              <w:spacing w:after="0"/>
              <w:rPr>
                <w:sz w:val="17"/>
                <w:szCs w:val="17"/>
                <w:color w:val="auto"/>
              </w:rPr>
            </w:pPr>
          </w:p>
        </w:tc>
        <w:tc>
          <w:tcPr>
            <w:tcW w:w="60" w:type="dxa"/>
            <w:vAlign w:val="bottom"/>
            <w:shd w:val="clear" w:color="auto" w:fill="D2DEEE"/>
          </w:tcPr>
          <w:p>
            <w:pPr>
              <w:spacing w:after="0"/>
              <w:rPr>
                <w:sz w:val="17"/>
                <w:szCs w:val="17"/>
                <w:color w:val="auto"/>
              </w:rPr>
            </w:pPr>
          </w:p>
        </w:tc>
        <w:tc>
          <w:tcPr>
            <w:tcW w:w="540" w:type="dxa"/>
            <w:vAlign w:val="bottom"/>
            <w:shd w:val="clear" w:color="auto" w:fill="D2DEEE"/>
          </w:tcPr>
          <w:p>
            <w:pPr>
              <w:spacing w:after="0"/>
              <w:rPr>
                <w:sz w:val="17"/>
                <w:szCs w:val="17"/>
                <w:color w:val="auto"/>
              </w:rPr>
            </w:pPr>
          </w:p>
        </w:tc>
        <w:tc>
          <w:tcPr>
            <w:tcW w:w="20" w:type="dxa"/>
            <w:vAlign w:val="bottom"/>
            <w:shd w:val="clear" w:color="auto" w:fill="D2DEEE"/>
          </w:tcPr>
          <w:p>
            <w:pPr>
              <w:spacing w:after="0"/>
              <w:rPr>
                <w:sz w:val="17"/>
                <w:szCs w:val="17"/>
                <w:color w:val="auto"/>
              </w:rPr>
            </w:pPr>
          </w:p>
        </w:tc>
        <w:tc>
          <w:tcPr>
            <w:tcW w:w="440" w:type="dxa"/>
            <w:vAlign w:val="bottom"/>
            <w:shd w:val="clear" w:color="auto" w:fill="D2DEEE"/>
          </w:tcPr>
          <w:p>
            <w:pPr>
              <w:spacing w:after="0"/>
              <w:rPr>
                <w:sz w:val="17"/>
                <w:szCs w:val="17"/>
                <w:color w:val="auto"/>
              </w:rPr>
            </w:pPr>
          </w:p>
        </w:tc>
        <w:tc>
          <w:tcPr>
            <w:tcW w:w="120" w:type="dxa"/>
            <w:vAlign w:val="bottom"/>
            <w:shd w:val="clear" w:color="auto" w:fill="D2DEEE"/>
          </w:tcPr>
          <w:p>
            <w:pPr>
              <w:spacing w:after="0"/>
              <w:rPr>
                <w:sz w:val="17"/>
                <w:szCs w:val="17"/>
                <w:color w:val="auto"/>
              </w:rPr>
            </w:pPr>
          </w:p>
        </w:tc>
        <w:tc>
          <w:tcPr>
            <w:tcW w:w="420" w:type="dxa"/>
            <w:vAlign w:val="bottom"/>
            <w:shd w:val="clear" w:color="auto" w:fill="D2DEEE"/>
          </w:tcPr>
          <w:p>
            <w:pPr>
              <w:spacing w:after="0"/>
              <w:rPr>
                <w:sz w:val="17"/>
                <w:szCs w:val="17"/>
                <w:color w:val="auto"/>
              </w:rPr>
            </w:pPr>
          </w:p>
        </w:tc>
        <w:tc>
          <w:tcPr>
            <w:tcW w:w="200" w:type="dxa"/>
            <w:vAlign w:val="bottom"/>
            <w:shd w:val="clear" w:color="auto" w:fill="D2DEEE"/>
          </w:tcPr>
          <w:p>
            <w:pPr>
              <w:spacing w:after="0"/>
              <w:rPr>
                <w:sz w:val="17"/>
                <w:szCs w:val="17"/>
                <w:color w:val="auto"/>
              </w:rPr>
            </w:pPr>
          </w:p>
        </w:tc>
        <w:tc>
          <w:tcPr>
            <w:tcW w:w="760" w:type="dxa"/>
            <w:vAlign w:val="bottom"/>
            <w:gridSpan w:val="3"/>
            <w:shd w:val="clear" w:color="auto" w:fill="D2DEEE"/>
          </w:tcPr>
          <w:p>
            <w:pPr>
              <w:jc w:val="right"/>
              <w:spacing w:after="0" w:line="202" w:lineRule="exact"/>
              <w:rPr>
                <w:sz w:val="20"/>
                <w:szCs w:val="20"/>
                <w:color w:val="auto"/>
              </w:rPr>
            </w:pPr>
            <w:r>
              <w:rPr>
                <w:rFonts w:ascii="Arial" w:cs="Arial" w:eastAsia="Arial" w:hAnsi="Arial"/>
                <w:sz w:val="18"/>
                <w:szCs w:val="18"/>
                <w:color w:val="auto"/>
              </w:rPr>
              <w:t>$0.17</w:t>
            </w:r>
          </w:p>
        </w:tc>
        <w:tc>
          <w:tcPr>
            <w:tcW w:w="220" w:type="dxa"/>
            <w:vAlign w:val="bottom"/>
            <w:shd w:val="clear" w:color="auto" w:fill="D2DEEE"/>
          </w:tcPr>
          <w:p>
            <w:pPr>
              <w:spacing w:after="0"/>
              <w:rPr>
                <w:sz w:val="17"/>
                <w:szCs w:val="17"/>
                <w:color w:val="auto"/>
              </w:rPr>
            </w:pPr>
          </w:p>
        </w:tc>
        <w:tc>
          <w:tcPr>
            <w:tcW w:w="540" w:type="dxa"/>
            <w:vAlign w:val="bottom"/>
            <w:shd w:val="clear" w:color="auto" w:fill="D2DEEE"/>
          </w:tcPr>
          <w:p>
            <w:pPr>
              <w:spacing w:after="0"/>
              <w:rPr>
                <w:sz w:val="17"/>
                <w:szCs w:val="17"/>
                <w:color w:val="auto"/>
              </w:rPr>
            </w:pPr>
          </w:p>
        </w:tc>
        <w:tc>
          <w:tcPr>
            <w:tcW w:w="220" w:type="dxa"/>
            <w:vAlign w:val="bottom"/>
            <w:shd w:val="clear" w:color="auto" w:fill="D2DEE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580" w:type="dxa"/>
            <w:vAlign w:val="bottom"/>
          </w:tcPr>
          <w:p>
            <w:pPr>
              <w:ind w:left="100"/>
              <w:spacing w:after="0" w:line="202" w:lineRule="exact"/>
              <w:rPr>
                <w:sz w:val="20"/>
                <w:szCs w:val="20"/>
                <w:color w:val="auto"/>
              </w:rPr>
            </w:pPr>
            <w:r>
              <w:rPr>
                <w:rFonts w:ascii="Arial" w:cs="Arial" w:eastAsia="Arial" w:hAnsi="Arial"/>
                <w:sz w:val="18"/>
                <w:szCs w:val="18"/>
                <w:color w:val="auto"/>
              </w:rPr>
              <w:t>Add: Acquisition-Related Inventory Step-up Charge</w:t>
            </w:r>
          </w:p>
        </w:tc>
        <w:tc>
          <w:tcPr>
            <w:tcW w:w="1560" w:type="dxa"/>
            <w:vAlign w:val="bottom"/>
            <w:gridSpan w:val="5"/>
          </w:tcPr>
          <w:p>
            <w:pPr>
              <w:ind w:left="1140"/>
              <w:spacing w:after="0" w:line="202" w:lineRule="exact"/>
              <w:rPr>
                <w:sz w:val="20"/>
                <w:szCs w:val="20"/>
                <w:color w:val="auto"/>
              </w:rPr>
            </w:pPr>
            <w:r>
              <w:rPr>
                <w:rFonts w:ascii="Arial" w:cs="Arial" w:eastAsia="Arial" w:hAnsi="Arial"/>
                <w:sz w:val="18"/>
                <w:szCs w:val="18"/>
                <w:color w:val="auto"/>
                <w:w w:val="88"/>
              </w:rPr>
              <w:t>$0.03</w:t>
            </w:r>
          </w:p>
        </w:tc>
        <w:tc>
          <w:tcPr>
            <w:tcW w:w="1000" w:type="dxa"/>
            <w:vAlign w:val="bottom"/>
            <w:gridSpan w:val="4"/>
          </w:tcPr>
          <w:p>
            <w:pPr>
              <w:ind w:left="560"/>
              <w:spacing w:after="0" w:line="202" w:lineRule="exact"/>
              <w:rPr>
                <w:sz w:val="20"/>
                <w:szCs w:val="20"/>
                <w:color w:val="auto"/>
              </w:rPr>
            </w:pPr>
            <w:r>
              <w:rPr>
                <w:rFonts w:ascii="Arial" w:cs="Arial" w:eastAsia="Arial" w:hAnsi="Arial"/>
                <w:sz w:val="18"/>
                <w:szCs w:val="18"/>
                <w:color w:val="auto"/>
                <w:w w:val="93"/>
              </w:rPr>
              <w:t>$0.01</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 w:type="dxa"/>
            <w:vAlign w:val="bottom"/>
            <w:shd w:val="clear" w:color="auto" w:fill="D2DEEE"/>
          </w:tcPr>
          <w:p>
            <w:pPr>
              <w:spacing w:after="0"/>
              <w:rPr>
                <w:sz w:val="17"/>
                <w:szCs w:val="17"/>
                <w:color w:val="auto"/>
              </w:rPr>
            </w:pPr>
          </w:p>
        </w:tc>
        <w:tc>
          <w:tcPr>
            <w:tcW w:w="20" w:type="dxa"/>
            <w:vAlign w:val="bottom"/>
            <w:shd w:val="clear" w:color="auto" w:fill="D2DEEE"/>
          </w:tcPr>
          <w:p>
            <w:pPr>
              <w:spacing w:after="0"/>
              <w:rPr>
                <w:sz w:val="17"/>
                <w:szCs w:val="17"/>
                <w:color w:val="auto"/>
              </w:rPr>
            </w:pPr>
          </w:p>
        </w:tc>
        <w:tc>
          <w:tcPr>
            <w:tcW w:w="6580" w:type="dxa"/>
            <w:vAlign w:val="bottom"/>
            <w:shd w:val="clear" w:color="auto" w:fill="D2DEEE"/>
          </w:tcPr>
          <w:p>
            <w:pPr>
              <w:ind w:left="100"/>
              <w:spacing w:after="0" w:line="202" w:lineRule="exact"/>
              <w:rPr>
                <w:sz w:val="20"/>
                <w:szCs w:val="20"/>
                <w:color w:val="auto"/>
              </w:rPr>
            </w:pPr>
            <w:r>
              <w:rPr>
                <w:rFonts w:ascii="Arial" w:cs="Arial" w:eastAsia="Arial" w:hAnsi="Arial"/>
                <w:sz w:val="18"/>
                <w:szCs w:val="18"/>
                <w:color w:val="auto"/>
              </w:rPr>
              <w:t>Add: Transaction Expenses</w:t>
            </w:r>
          </w:p>
        </w:tc>
        <w:tc>
          <w:tcPr>
            <w:tcW w:w="400" w:type="dxa"/>
            <w:vAlign w:val="bottom"/>
            <w:shd w:val="clear" w:color="auto" w:fill="D2DEEE"/>
          </w:tcPr>
          <w:p>
            <w:pPr>
              <w:spacing w:after="0"/>
              <w:rPr>
                <w:sz w:val="17"/>
                <w:szCs w:val="17"/>
                <w:color w:val="auto"/>
              </w:rPr>
            </w:pPr>
          </w:p>
        </w:tc>
        <w:tc>
          <w:tcPr>
            <w:tcW w:w="280" w:type="dxa"/>
            <w:vAlign w:val="bottom"/>
            <w:shd w:val="clear" w:color="auto" w:fill="D2DEEE"/>
          </w:tcPr>
          <w:p>
            <w:pPr>
              <w:spacing w:after="0"/>
              <w:rPr>
                <w:sz w:val="17"/>
                <w:szCs w:val="17"/>
                <w:color w:val="auto"/>
              </w:rPr>
            </w:pPr>
          </w:p>
        </w:tc>
        <w:tc>
          <w:tcPr>
            <w:tcW w:w="280" w:type="dxa"/>
            <w:vAlign w:val="bottom"/>
            <w:shd w:val="clear" w:color="auto" w:fill="D2DEEE"/>
          </w:tcPr>
          <w:p>
            <w:pPr>
              <w:spacing w:after="0"/>
              <w:rPr>
                <w:sz w:val="17"/>
                <w:szCs w:val="17"/>
                <w:color w:val="auto"/>
              </w:rPr>
            </w:pPr>
          </w:p>
        </w:tc>
        <w:tc>
          <w:tcPr>
            <w:tcW w:w="60" w:type="dxa"/>
            <w:vAlign w:val="bottom"/>
            <w:shd w:val="clear" w:color="auto" w:fill="D2DEEE"/>
          </w:tcPr>
          <w:p>
            <w:pPr>
              <w:spacing w:after="0"/>
              <w:rPr>
                <w:sz w:val="17"/>
                <w:szCs w:val="17"/>
                <w:color w:val="auto"/>
              </w:rPr>
            </w:pPr>
          </w:p>
        </w:tc>
        <w:tc>
          <w:tcPr>
            <w:tcW w:w="540" w:type="dxa"/>
            <w:vAlign w:val="bottom"/>
            <w:shd w:val="clear" w:color="auto" w:fill="D2DEEE"/>
          </w:tcPr>
          <w:p>
            <w:pPr>
              <w:spacing w:after="0"/>
              <w:rPr>
                <w:sz w:val="17"/>
                <w:szCs w:val="17"/>
                <w:color w:val="auto"/>
              </w:rPr>
            </w:pPr>
          </w:p>
        </w:tc>
        <w:tc>
          <w:tcPr>
            <w:tcW w:w="20" w:type="dxa"/>
            <w:vAlign w:val="bottom"/>
            <w:shd w:val="clear" w:color="auto" w:fill="D2DEEE"/>
          </w:tcPr>
          <w:p>
            <w:pPr>
              <w:spacing w:after="0"/>
              <w:rPr>
                <w:sz w:val="17"/>
                <w:szCs w:val="17"/>
                <w:color w:val="auto"/>
              </w:rPr>
            </w:pPr>
          </w:p>
        </w:tc>
        <w:tc>
          <w:tcPr>
            <w:tcW w:w="440" w:type="dxa"/>
            <w:vAlign w:val="bottom"/>
            <w:shd w:val="clear" w:color="auto" w:fill="D2DEEE"/>
          </w:tcPr>
          <w:p>
            <w:pPr>
              <w:spacing w:after="0"/>
              <w:rPr>
                <w:sz w:val="17"/>
                <w:szCs w:val="17"/>
                <w:color w:val="auto"/>
              </w:rPr>
            </w:pPr>
          </w:p>
        </w:tc>
        <w:tc>
          <w:tcPr>
            <w:tcW w:w="120" w:type="dxa"/>
            <w:vAlign w:val="bottom"/>
            <w:shd w:val="clear" w:color="auto" w:fill="D2DEEE"/>
          </w:tcPr>
          <w:p>
            <w:pPr>
              <w:spacing w:after="0"/>
              <w:rPr>
                <w:sz w:val="17"/>
                <w:szCs w:val="17"/>
                <w:color w:val="auto"/>
              </w:rPr>
            </w:pPr>
          </w:p>
        </w:tc>
        <w:tc>
          <w:tcPr>
            <w:tcW w:w="420" w:type="dxa"/>
            <w:vAlign w:val="bottom"/>
            <w:shd w:val="clear" w:color="auto" w:fill="D2DEEE"/>
          </w:tcPr>
          <w:p>
            <w:pPr>
              <w:spacing w:after="0"/>
              <w:rPr>
                <w:sz w:val="17"/>
                <w:szCs w:val="17"/>
                <w:color w:val="auto"/>
              </w:rPr>
            </w:pPr>
          </w:p>
        </w:tc>
        <w:tc>
          <w:tcPr>
            <w:tcW w:w="200" w:type="dxa"/>
            <w:vAlign w:val="bottom"/>
            <w:shd w:val="clear" w:color="auto" w:fill="D2DEEE"/>
          </w:tcPr>
          <w:p>
            <w:pPr>
              <w:spacing w:after="0"/>
              <w:rPr>
                <w:sz w:val="17"/>
                <w:szCs w:val="17"/>
                <w:color w:val="auto"/>
              </w:rPr>
            </w:pPr>
          </w:p>
        </w:tc>
        <w:tc>
          <w:tcPr>
            <w:tcW w:w="260" w:type="dxa"/>
            <w:vAlign w:val="bottom"/>
            <w:shd w:val="clear" w:color="auto" w:fill="D2DEEE"/>
          </w:tcPr>
          <w:p>
            <w:pPr>
              <w:spacing w:after="0"/>
              <w:rPr>
                <w:sz w:val="17"/>
                <w:szCs w:val="17"/>
                <w:color w:val="auto"/>
              </w:rPr>
            </w:pPr>
          </w:p>
        </w:tc>
        <w:tc>
          <w:tcPr>
            <w:tcW w:w="300" w:type="dxa"/>
            <w:vAlign w:val="bottom"/>
            <w:shd w:val="clear" w:color="auto" w:fill="D2DEEE"/>
          </w:tcPr>
          <w:p>
            <w:pPr>
              <w:spacing w:after="0"/>
              <w:rPr>
                <w:sz w:val="17"/>
                <w:szCs w:val="17"/>
                <w:color w:val="auto"/>
              </w:rPr>
            </w:pPr>
          </w:p>
        </w:tc>
        <w:tc>
          <w:tcPr>
            <w:tcW w:w="200" w:type="dxa"/>
            <w:vAlign w:val="bottom"/>
            <w:shd w:val="clear" w:color="auto" w:fill="D2DEEE"/>
          </w:tcPr>
          <w:p>
            <w:pPr>
              <w:spacing w:after="0"/>
              <w:rPr>
                <w:sz w:val="17"/>
                <w:szCs w:val="17"/>
                <w:color w:val="auto"/>
              </w:rPr>
            </w:pPr>
          </w:p>
        </w:tc>
        <w:tc>
          <w:tcPr>
            <w:tcW w:w="220" w:type="dxa"/>
            <w:vAlign w:val="bottom"/>
            <w:shd w:val="clear" w:color="auto" w:fill="D2DEEE"/>
          </w:tcPr>
          <w:p>
            <w:pPr>
              <w:spacing w:after="0"/>
              <w:rPr>
                <w:sz w:val="17"/>
                <w:szCs w:val="17"/>
                <w:color w:val="auto"/>
              </w:rPr>
            </w:pPr>
          </w:p>
        </w:tc>
        <w:tc>
          <w:tcPr>
            <w:tcW w:w="540" w:type="dxa"/>
            <w:vAlign w:val="bottom"/>
            <w:shd w:val="clear" w:color="auto" w:fill="D2DEEE"/>
          </w:tcPr>
          <w:p>
            <w:pPr>
              <w:jc w:val="right"/>
              <w:spacing w:after="0" w:line="202" w:lineRule="exact"/>
              <w:rPr>
                <w:sz w:val="20"/>
                <w:szCs w:val="20"/>
                <w:color w:val="auto"/>
              </w:rPr>
            </w:pPr>
            <w:r>
              <w:rPr>
                <w:rFonts w:ascii="Arial" w:cs="Arial" w:eastAsia="Arial" w:hAnsi="Arial"/>
                <w:sz w:val="18"/>
                <w:szCs w:val="18"/>
                <w:color w:val="auto"/>
              </w:rPr>
              <w:t>$0.01</w:t>
            </w:r>
          </w:p>
        </w:tc>
        <w:tc>
          <w:tcPr>
            <w:tcW w:w="220" w:type="dxa"/>
            <w:vAlign w:val="bottom"/>
            <w:shd w:val="clear" w:color="auto" w:fill="D2DEE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580" w:type="dxa"/>
            <w:vAlign w:val="bottom"/>
          </w:tcPr>
          <w:p>
            <w:pPr>
              <w:ind w:left="100"/>
              <w:spacing w:after="0" w:line="202" w:lineRule="exact"/>
              <w:rPr>
                <w:sz w:val="20"/>
                <w:szCs w:val="20"/>
                <w:color w:val="auto"/>
              </w:rPr>
            </w:pPr>
            <w:r>
              <w:rPr>
                <w:rFonts w:ascii="Arial" w:cs="Arial" w:eastAsia="Arial" w:hAnsi="Arial"/>
                <w:sz w:val="18"/>
                <w:szCs w:val="18"/>
                <w:color w:val="auto"/>
              </w:rPr>
              <w:t>Add: Credit Facility Write-off</w:t>
            </w: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$0.04</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 w:type="dxa"/>
            <w:vAlign w:val="bottom"/>
            <w:shd w:val="clear" w:color="auto" w:fill="D2DEEE"/>
          </w:tcPr>
          <w:p>
            <w:pPr>
              <w:spacing w:after="0"/>
              <w:rPr>
                <w:sz w:val="17"/>
                <w:szCs w:val="17"/>
                <w:color w:val="auto"/>
              </w:rPr>
            </w:pPr>
          </w:p>
        </w:tc>
        <w:tc>
          <w:tcPr>
            <w:tcW w:w="20" w:type="dxa"/>
            <w:vAlign w:val="bottom"/>
            <w:shd w:val="clear" w:color="auto" w:fill="D2DEEE"/>
          </w:tcPr>
          <w:p>
            <w:pPr>
              <w:spacing w:after="0"/>
              <w:rPr>
                <w:sz w:val="17"/>
                <w:szCs w:val="17"/>
                <w:color w:val="auto"/>
              </w:rPr>
            </w:pPr>
          </w:p>
        </w:tc>
        <w:tc>
          <w:tcPr>
            <w:tcW w:w="6580" w:type="dxa"/>
            <w:vAlign w:val="bottom"/>
            <w:shd w:val="clear" w:color="auto" w:fill="D2DEEE"/>
          </w:tcPr>
          <w:p>
            <w:pPr>
              <w:ind w:left="100"/>
              <w:spacing w:after="0" w:line="202" w:lineRule="exact"/>
              <w:rPr>
                <w:sz w:val="20"/>
                <w:szCs w:val="20"/>
                <w:color w:val="auto"/>
              </w:rPr>
            </w:pPr>
            <w:r>
              <w:rPr>
                <w:rFonts w:ascii="Arial" w:cs="Arial" w:eastAsia="Arial" w:hAnsi="Arial"/>
                <w:sz w:val="18"/>
                <w:szCs w:val="18"/>
                <w:color w:val="auto"/>
              </w:rPr>
              <w:t>Add: Vendor-Supplied Component Quality Issue</w:t>
            </w:r>
          </w:p>
        </w:tc>
        <w:tc>
          <w:tcPr>
            <w:tcW w:w="400" w:type="dxa"/>
            <w:vAlign w:val="bottom"/>
            <w:shd w:val="clear" w:color="auto" w:fill="D2DEEE"/>
          </w:tcPr>
          <w:p>
            <w:pPr>
              <w:spacing w:after="0"/>
              <w:rPr>
                <w:sz w:val="17"/>
                <w:szCs w:val="17"/>
                <w:color w:val="auto"/>
              </w:rPr>
            </w:pPr>
          </w:p>
        </w:tc>
        <w:tc>
          <w:tcPr>
            <w:tcW w:w="280" w:type="dxa"/>
            <w:vAlign w:val="bottom"/>
            <w:shd w:val="clear" w:color="auto" w:fill="D2DEEE"/>
          </w:tcPr>
          <w:p>
            <w:pPr>
              <w:spacing w:after="0"/>
              <w:rPr>
                <w:sz w:val="17"/>
                <w:szCs w:val="17"/>
                <w:color w:val="auto"/>
              </w:rPr>
            </w:pPr>
          </w:p>
        </w:tc>
        <w:tc>
          <w:tcPr>
            <w:tcW w:w="280" w:type="dxa"/>
            <w:vAlign w:val="bottom"/>
            <w:shd w:val="clear" w:color="auto" w:fill="D2DEEE"/>
          </w:tcPr>
          <w:p>
            <w:pPr>
              <w:spacing w:after="0"/>
              <w:rPr>
                <w:sz w:val="17"/>
                <w:szCs w:val="17"/>
                <w:color w:val="auto"/>
              </w:rPr>
            </w:pPr>
          </w:p>
        </w:tc>
        <w:tc>
          <w:tcPr>
            <w:tcW w:w="60" w:type="dxa"/>
            <w:vAlign w:val="bottom"/>
            <w:shd w:val="clear" w:color="auto" w:fill="D2DEEE"/>
          </w:tcPr>
          <w:p>
            <w:pPr>
              <w:spacing w:after="0"/>
              <w:rPr>
                <w:sz w:val="17"/>
                <w:szCs w:val="17"/>
                <w:color w:val="auto"/>
              </w:rPr>
            </w:pPr>
          </w:p>
        </w:tc>
        <w:tc>
          <w:tcPr>
            <w:tcW w:w="540" w:type="dxa"/>
            <w:vAlign w:val="bottom"/>
            <w:shd w:val="clear" w:color="auto" w:fill="D2DEEE"/>
          </w:tcPr>
          <w:p>
            <w:pPr>
              <w:spacing w:after="0"/>
              <w:rPr>
                <w:sz w:val="17"/>
                <w:szCs w:val="17"/>
                <w:color w:val="auto"/>
              </w:rPr>
            </w:pPr>
          </w:p>
        </w:tc>
        <w:tc>
          <w:tcPr>
            <w:tcW w:w="20" w:type="dxa"/>
            <w:vAlign w:val="bottom"/>
            <w:shd w:val="clear" w:color="auto" w:fill="D2DEEE"/>
          </w:tcPr>
          <w:p>
            <w:pPr>
              <w:spacing w:after="0"/>
              <w:rPr>
                <w:sz w:val="17"/>
                <w:szCs w:val="17"/>
                <w:color w:val="auto"/>
              </w:rPr>
            </w:pPr>
          </w:p>
        </w:tc>
        <w:tc>
          <w:tcPr>
            <w:tcW w:w="440" w:type="dxa"/>
            <w:vAlign w:val="bottom"/>
            <w:shd w:val="clear" w:color="auto" w:fill="D2DEEE"/>
          </w:tcPr>
          <w:p>
            <w:pPr>
              <w:spacing w:after="0"/>
              <w:rPr>
                <w:sz w:val="17"/>
                <w:szCs w:val="17"/>
                <w:color w:val="auto"/>
              </w:rPr>
            </w:pPr>
          </w:p>
        </w:tc>
        <w:tc>
          <w:tcPr>
            <w:tcW w:w="120" w:type="dxa"/>
            <w:vAlign w:val="bottom"/>
            <w:shd w:val="clear" w:color="auto" w:fill="D2DEEE"/>
          </w:tcPr>
          <w:p>
            <w:pPr>
              <w:spacing w:after="0"/>
              <w:rPr>
                <w:sz w:val="17"/>
                <w:szCs w:val="17"/>
                <w:color w:val="auto"/>
              </w:rPr>
            </w:pPr>
          </w:p>
        </w:tc>
        <w:tc>
          <w:tcPr>
            <w:tcW w:w="420" w:type="dxa"/>
            <w:vAlign w:val="bottom"/>
            <w:shd w:val="clear" w:color="auto" w:fill="D2DEEE"/>
          </w:tcPr>
          <w:p>
            <w:pPr>
              <w:spacing w:after="0"/>
              <w:rPr>
                <w:sz w:val="17"/>
                <w:szCs w:val="17"/>
                <w:color w:val="auto"/>
              </w:rPr>
            </w:pPr>
          </w:p>
        </w:tc>
        <w:tc>
          <w:tcPr>
            <w:tcW w:w="200" w:type="dxa"/>
            <w:vAlign w:val="bottom"/>
            <w:shd w:val="clear" w:color="auto" w:fill="D2DEEE"/>
          </w:tcPr>
          <w:p>
            <w:pPr>
              <w:spacing w:after="0"/>
              <w:rPr>
                <w:sz w:val="17"/>
                <w:szCs w:val="17"/>
                <w:color w:val="auto"/>
              </w:rPr>
            </w:pPr>
          </w:p>
        </w:tc>
        <w:tc>
          <w:tcPr>
            <w:tcW w:w="760" w:type="dxa"/>
            <w:vAlign w:val="bottom"/>
            <w:gridSpan w:val="3"/>
            <w:shd w:val="clear" w:color="auto" w:fill="D2DEEE"/>
          </w:tcPr>
          <w:p>
            <w:pPr>
              <w:jc w:val="right"/>
              <w:spacing w:after="0" w:line="202" w:lineRule="exact"/>
              <w:rPr>
                <w:sz w:val="20"/>
                <w:szCs w:val="20"/>
                <w:color w:val="auto"/>
              </w:rPr>
            </w:pPr>
            <w:r>
              <w:rPr>
                <w:rFonts w:ascii="Arial" w:cs="Arial" w:eastAsia="Arial" w:hAnsi="Arial"/>
                <w:sz w:val="18"/>
                <w:szCs w:val="18"/>
                <w:color w:val="auto"/>
              </w:rPr>
              <w:t>$0.06</w:t>
            </w:r>
          </w:p>
        </w:tc>
        <w:tc>
          <w:tcPr>
            <w:tcW w:w="220" w:type="dxa"/>
            <w:vAlign w:val="bottom"/>
            <w:shd w:val="clear" w:color="auto" w:fill="D2DEEE"/>
          </w:tcPr>
          <w:p>
            <w:pPr>
              <w:spacing w:after="0"/>
              <w:rPr>
                <w:sz w:val="17"/>
                <w:szCs w:val="17"/>
                <w:color w:val="auto"/>
              </w:rPr>
            </w:pPr>
          </w:p>
        </w:tc>
        <w:tc>
          <w:tcPr>
            <w:tcW w:w="540" w:type="dxa"/>
            <w:vAlign w:val="bottom"/>
            <w:shd w:val="clear" w:color="auto" w:fill="D2DEEE"/>
          </w:tcPr>
          <w:p>
            <w:pPr>
              <w:spacing w:after="0"/>
              <w:rPr>
                <w:sz w:val="17"/>
                <w:szCs w:val="17"/>
                <w:color w:val="auto"/>
              </w:rPr>
            </w:pPr>
          </w:p>
        </w:tc>
        <w:tc>
          <w:tcPr>
            <w:tcW w:w="220" w:type="dxa"/>
            <w:vAlign w:val="bottom"/>
            <w:shd w:val="clear" w:color="auto" w:fill="D2DEE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 w:type="dxa"/>
            <w:vAlign w:val="bottom"/>
            <w:tcBorders>
              <w:bottom w:val="single" w:sz="8" w:color="D2DEEE"/>
            </w:tcBorders>
          </w:tcPr>
          <w:p>
            <w:pPr>
              <w:spacing w:after="0"/>
              <w:rPr>
                <w:sz w:val="17"/>
                <w:szCs w:val="17"/>
                <w:color w:val="auto"/>
              </w:rPr>
            </w:pPr>
          </w:p>
        </w:tc>
        <w:tc>
          <w:tcPr>
            <w:tcW w:w="20" w:type="dxa"/>
            <w:vAlign w:val="bottom"/>
            <w:tcBorders>
              <w:bottom w:val="single" w:sz="8" w:color="D2DEEE"/>
            </w:tcBorders>
          </w:tcPr>
          <w:p>
            <w:pPr>
              <w:spacing w:after="0"/>
              <w:rPr>
                <w:sz w:val="17"/>
                <w:szCs w:val="17"/>
                <w:color w:val="auto"/>
              </w:rPr>
            </w:pPr>
          </w:p>
        </w:tc>
        <w:tc>
          <w:tcPr>
            <w:tcW w:w="6580" w:type="dxa"/>
            <w:vAlign w:val="bottom"/>
            <w:tcBorders>
              <w:bottom w:val="single" w:sz="8" w:color="D2DEEE"/>
            </w:tcBorders>
          </w:tcPr>
          <w:p>
            <w:pPr>
              <w:ind w:left="100"/>
              <w:spacing w:after="0" w:line="202" w:lineRule="exact"/>
              <w:rPr>
                <w:sz w:val="20"/>
                <w:szCs w:val="20"/>
                <w:color w:val="auto"/>
              </w:rPr>
            </w:pPr>
            <w:r>
              <w:rPr>
                <w:rFonts w:ascii="Arial" w:cs="Arial" w:eastAsia="Arial" w:hAnsi="Arial"/>
                <w:sz w:val="18"/>
                <w:szCs w:val="18"/>
                <w:color w:val="auto"/>
              </w:rPr>
              <w:t>Rounding</w:t>
            </w:r>
          </w:p>
        </w:tc>
        <w:tc>
          <w:tcPr>
            <w:tcW w:w="400" w:type="dxa"/>
            <w:vAlign w:val="bottom"/>
            <w:tcBorders>
              <w:bottom w:val="single" w:sz="8" w:color="D2DEEE"/>
            </w:tcBorders>
          </w:tcPr>
          <w:p>
            <w:pPr>
              <w:spacing w:after="0"/>
              <w:rPr>
                <w:sz w:val="17"/>
                <w:szCs w:val="17"/>
                <w:color w:val="auto"/>
              </w:rPr>
            </w:pPr>
          </w:p>
        </w:tc>
        <w:tc>
          <w:tcPr>
            <w:tcW w:w="280" w:type="dxa"/>
            <w:vAlign w:val="bottom"/>
            <w:tcBorders>
              <w:bottom w:val="single" w:sz="8" w:color="D2DEEE"/>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5"/>
          </w:tcPr>
          <w:p>
            <w:pPr>
              <w:jc w:val="right"/>
              <w:ind w:right="140"/>
              <w:spacing w:after="0" w:line="202" w:lineRule="exact"/>
              <w:rPr>
                <w:sz w:val="20"/>
                <w:szCs w:val="20"/>
                <w:color w:val="auto"/>
              </w:rPr>
            </w:pPr>
            <w:r>
              <w:rPr>
                <w:rFonts w:ascii="Arial" w:cs="Arial" w:eastAsia="Arial" w:hAnsi="Arial"/>
                <w:sz w:val="18"/>
                <w:szCs w:val="18"/>
                <w:color w:val="auto"/>
              </w:rPr>
              <w:t>($0.01)</w:t>
            </w:r>
          </w:p>
        </w:tc>
        <w:tc>
          <w:tcPr>
            <w:tcW w:w="2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2"/>
          </w:tcPr>
          <w:p>
            <w:pPr>
              <w:jc w:val="right"/>
              <w:ind w:right="160"/>
              <w:spacing w:after="0" w:line="202" w:lineRule="exact"/>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196"/>
        </w:trPr>
        <w:tc>
          <w:tcPr>
            <w:tcW w:w="6920" w:type="dxa"/>
            <w:vAlign w:val="bottom"/>
            <w:tcBorders>
              <w:bottom w:val="single" w:sz="8" w:color="auto"/>
            </w:tcBorders>
            <w:gridSpan w:val="3"/>
            <w:shd w:val="clear" w:color="auto" w:fill="D2DEEE"/>
          </w:tcPr>
          <w:p>
            <w:pPr>
              <w:spacing w:after="0" w:line="195" w:lineRule="exact"/>
              <w:rPr>
                <w:sz w:val="20"/>
                <w:szCs w:val="20"/>
                <w:color w:val="auto"/>
              </w:rPr>
            </w:pPr>
            <w:r>
              <w:rPr>
                <w:rFonts w:ascii="Arial" w:cs="Arial" w:eastAsia="Arial" w:hAnsi="Arial"/>
                <w:sz w:val="18"/>
                <w:szCs w:val="18"/>
                <w:color w:val="auto"/>
              </w:rPr>
              <w:t>Adjusted DEPS</w:t>
            </w:r>
          </w:p>
        </w:tc>
        <w:tc>
          <w:tcPr>
            <w:tcW w:w="1560" w:type="dxa"/>
            <w:vAlign w:val="bottom"/>
            <w:tcBorders>
              <w:bottom w:val="single" w:sz="8" w:color="auto"/>
            </w:tcBorders>
            <w:gridSpan w:val="5"/>
            <w:shd w:val="clear" w:color="auto" w:fill="D2DEEE"/>
          </w:tcPr>
          <w:p>
            <w:pPr>
              <w:ind w:left="1140"/>
              <w:spacing w:after="0" w:line="196" w:lineRule="exact"/>
              <w:rPr>
                <w:sz w:val="20"/>
                <w:szCs w:val="20"/>
                <w:color w:val="auto"/>
              </w:rPr>
            </w:pPr>
            <w:r>
              <w:rPr>
                <w:rFonts w:ascii="Arial" w:cs="Arial" w:eastAsia="Arial" w:hAnsi="Arial"/>
                <w:sz w:val="18"/>
                <w:szCs w:val="18"/>
                <w:color w:val="auto"/>
                <w:w w:val="88"/>
              </w:rPr>
              <w:t>$6.68</w:t>
            </w:r>
          </w:p>
        </w:tc>
        <w:tc>
          <w:tcPr>
            <w:tcW w:w="1000" w:type="dxa"/>
            <w:vAlign w:val="bottom"/>
            <w:tcBorders>
              <w:bottom w:val="single" w:sz="8" w:color="auto"/>
            </w:tcBorders>
            <w:gridSpan w:val="4"/>
            <w:shd w:val="clear" w:color="auto" w:fill="D2DEEE"/>
          </w:tcPr>
          <w:p>
            <w:pPr>
              <w:ind w:left="560"/>
              <w:spacing w:after="0" w:line="196" w:lineRule="exact"/>
              <w:rPr>
                <w:sz w:val="20"/>
                <w:szCs w:val="20"/>
                <w:color w:val="auto"/>
              </w:rPr>
            </w:pPr>
            <w:r>
              <w:rPr>
                <w:rFonts w:ascii="Arial" w:cs="Arial" w:eastAsia="Arial" w:hAnsi="Arial"/>
                <w:sz w:val="18"/>
                <w:szCs w:val="18"/>
                <w:color w:val="auto"/>
                <w:w w:val="93"/>
              </w:rPr>
              <w:t>$6.42</w:t>
            </w:r>
          </w:p>
        </w:tc>
        <w:tc>
          <w:tcPr>
            <w:tcW w:w="200" w:type="dxa"/>
            <w:vAlign w:val="bottom"/>
            <w:tcBorders>
              <w:bottom w:val="single" w:sz="8" w:color="auto"/>
            </w:tcBorders>
            <w:shd w:val="clear" w:color="auto" w:fill="D2DEEE"/>
          </w:tcPr>
          <w:p>
            <w:pPr>
              <w:spacing w:after="0"/>
              <w:rPr>
                <w:sz w:val="17"/>
                <w:szCs w:val="17"/>
                <w:color w:val="auto"/>
              </w:rPr>
            </w:pPr>
          </w:p>
        </w:tc>
        <w:tc>
          <w:tcPr>
            <w:tcW w:w="760" w:type="dxa"/>
            <w:vAlign w:val="bottom"/>
            <w:tcBorders>
              <w:bottom w:val="single" w:sz="8" w:color="auto"/>
            </w:tcBorders>
            <w:gridSpan w:val="3"/>
            <w:shd w:val="clear" w:color="auto" w:fill="D2DEEE"/>
          </w:tcPr>
          <w:p>
            <w:pPr>
              <w:jc w:val="right"/>
              <w:spacing w:after="0" w:line="196" w:lineRule="exact"/>
              <w:rPr>
                <w:sz w:val="20"/>
                <w:szCs w:val="20"/>
                <w:color w:val="auto"/>
              </w:rPr>
            </w:pPr>
            <w:r>
              <w:rPr>
                <w:rFonts w:ascii="Arial" w:cs="Arial" w:eastAsia="Arial" w:hAnsi="Arial"/>
                <w:sz w:val="18"/>
                <w:szCs w:val="18"/>
                <w:color w:val="auto"/>
              </w:rPr>
              <w:t>$5.65</w:t>
            </w:r>
          </w:p>
        </w:tc>
        <w:tc>
          <w:tcPr>
            <w:tcW w:w="220" w:type="dxa"/>
            <w:vAlign w:val="bottom"/>
            <w:tcBorders>
              <w:bottom w:val="single" w:sz="8" w:color="auto"/>
            </w:tcBorders>
            <w:shd w:val="clear" w:color="auto" w:fill="D2DEEE"/>
          </w:tcPr>
          <w:p>
            <w:pPr>
              <w:spacing w:after="0"/>
              <w:rPr>
                <w:sz w:val="17"/>
                <w:szCs w:val="17"/>
                <w:color w:val="auto"/>
              </w:rPr>
            </w:pPr>
          </w:p>
        </w:tc>
        <w:tc>
          <w:tcPr>
            <w:tcW w:w="540" w:type="dxa"/>
            <w:vAlign w:val="bottom"/>
            <w:tcBorders>
              <w:bottom w:val="single" w:sz="8" w:color="auto"/>
            </w:tcBorders>
            <w:shd w:val="clear" w:color="auto" w:fill="D2DEEE"/>
          </w:tcPr>
          <w:p>
            <w:pPr>
              <w:jc w:val="right"/>
              <w:spacing w:after="0" w:line="196" w:lineRule="exact"/>
              <w:rPr>
                <w:sz w:val="20"/>
                <w:szCs w:val="20"/>
                <w:color w:val="auto"/>
              </w:rPr>
            </w:pPr>
            <w:r>
              <w:rPr>
                <w:rFonts w:ascii="Arial" w:cs="Arial" w:eastAsia="Arial" w:hAnsi="Arial"/>
                <w:sz w:val="18"/>
                <w:szCs w:val="18"/>
                <w:color w:val="auto"/>
              </w:rPr>
              <w:t>$4.96</w:t>
            </w:r>
          </w:p>
        </w:tc>
        <w:tc>
          <w:tcPr>
            <w:tcW w:w="220" w:type="dxa"/>
            <w:vAlign w:val="bottom"/>
            <w:tcBorders>
              <w:bottom w:val="single" w:sz="8" w:color="auto"/>
            </w:tcBorders>
            <w:shd w:val="clear" w:color="auto" w:fill="D2DEEE"/>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320" w:type="dxa"/>
            <w:vAlign w:val="bottom"/>
            <w:vMerge w:val="restart"/>
          </w:tcPr>
          <w:p>
            <w:pPr>
              <w:spacing w:after="0"/>
              <w:rPr>
                <w:sz w:val="20"/>
                <w:szCs w:val="20"/>
                <w:color w:val="auto"/>
              </w:rPr>
            </w:pPr>
            <w:r>
              <w:rPr>
                <w:rFonts w:ascii="Arial" w:cs="Arial" w:eastAsia="Arial" w:hAnsi="Arial"/>
                <w:sz w:val="18"/>
                <w:szCs w:val="18"/>
                <w:b w:val="1"/>
                <w:bCs w:val="1"/>
                <w:color w:val="225CAB"/>
              </w:rPr>
              <w:t>58</w:t>
            </w:r>
          </w:p>
        </w:tc>
        <w:tc>
          <w:tcPr>
            <w:tcW w:w="20" w:type="dxa"/>
            <w:vAlign w:val="bottom"/>
          </w:tcPr>
          <w:p>
            <w:pPr>
              <w:spacing w:after="0"/>
              <w:rPr>
                <w:sz w:val="12"/>
                <w:szCs w:val="12"/>
                <w:color w:val="auto"/>
              </w:rPr>
            </w:pPr>
          </w:p>
        </w:tc>
        <w:tc>
          <w:tcPr>
            <w:tcW w:w="6580" w:type="dxa"/>
            <w:vAlign w:val="bottom"/>
            <w:vMerge w:val="restart"/>
          </w:tcPr>
          <w:p>
            <w:pPr>
              <w:ind w:left="1240"/>
              <w:spacing w:after="0"/>
              <w:rPr>
                <w:sz w:val="20"/>
                <w:szCs w:val="20"/>
                <w:color w:val="auto"/>
              </w:rPr>
            </w:pPr>
            <w:r>
              <w:rPr>
                <w:rFonts w:ascii="Arial" w:cs="Arial" w:eastAsia="Arial" w:hAnsi="Arial"/>
                <w:sz w:val="18"/>
                <w:szCs w:val="18"/>
                <w:b w:val="1"/>
                <w:bCs w:val="1"/>
                <w:color w:val="225CAB"/>
              </w:rPr>
              <w:t>Roper Technologies, Inc. 2016 Proxy Statement</w:t>
            </w: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6"/>
        </w:trPr>
        <w:tc>
          <w:tcPr>
            <w:tcW w:w="320" w:type="dxa"/>
            <w:vAlign w:val="bottom"/>
            <w:vMerge w:val="continue"/>
          </w:tcPr>
          <w:p>
            <w:pPr>
              <w:spacing w:after="0"/>
              <w:rPr>
                <w:sz w:val="24"/>
                <w:szCs w:val="24"/>
                <w:color w:val="auto"/>
              </w:rPr>
            </w:pPr>
          </w:p>
        </w:tc>
        <w:tc>
          <w:tcPr>
            <w:tcW w:w="20" w:type="dxa"/>
            <w:vAlign w:val="bottom"/>
            <w:shd w:val="clear" w:color="auto" w:fill="225CAB"/>
          </w:tcPr>
          <w:p>
            <w:pPr>
              <w:spacing w:after="0"/>
              <w:rPr>
                <w:sz w:val="24"/>
                <w:szCs w:val="24"/>
                <w:color w:val="auto"/>
              </w:rPr>
            </w:pPr>
          </w:p>
        </w:tc>
        <w:tc>
          <w:tcPr>
            <w:tcW w:w="65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320" w:type="dxa"/>
            <w:vAlign w:val="bottom"/>
          </w:tcPr>
          <w:p>
            <w:pPr>
              <w:spacing w:after="0"/>
              <w:rPr>
                <w:sz w:val="9"/>
                <w:szCs w:val="9"/>
                <w:color w:val="auto"/>
              </w:rPr>
            </w:pPr>
          </w:p>
        </w:tc>
        <w:tc>
          <w:tcPr>
            <w:tcW w:w="20" w:type="dxa"/>
            <w:vAlign w:val="bottom"/>
            <w:shd w:val="clear" w:color="auto" w:fill="225CAB"/>
          </w:tcPr>
          <w:p>
            <w:pPr>
              <w:spacing w:after="0"/>
              <w:rPr>
                <w:sz w:val="9"/>
                <w:szCs w:val="9"/>
                <w:color w:val="auto"/>
              </w:rPr>
            </w:pPr>
          </w:p>
        </w:tc>
        <w:tc>
          <w:tcPr>
            <w:tcW w:w="6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-248285</wp:posOffset>
            </wp:positionV>
            <wp:extent cx="420370" cy="2057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Table 3: 2015 EBITDA and EBITDA Margin Reconciliation</w:t>
      </w:r>
    </w:p>
    <w:p>
      <w:pPr>
        <w:spacing w:after="0"/>
        <w:rPr>
          <w:sz w:val="20"/>
          <w:szCs w:val="20"/>
          <w:color w:val="auto"/>
        </w:rPr>
      </w:pPr>
      <w:r>
        <w:rPr>
          <w:rFonts w:ascii="Arial" w:cs="Arial" w:eastAsia="Arial" w:hAnsi="Arial"/>
          <w:sz w:val="18"/>
          <w:szCs w:val="18"/>
          <w:color w:val="auto"/>
        </w:rPr>
        <w:t>(in millions, except percentages)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tcBorders>
              <w:bottom w:val="single" w:sz="8" w:color="D2DEEE"/>
            </w:tcBorders>
          </w:tcPr>
          <w:p>
            <w:pPr>
              <w:spacing w:after="0"/>
              <w:rPr>
                <w:sz w:val="14"/>
                <w:szCs w:val="14"/>
                <w:color w:val="auto"/>
              </w:rPr>
            </w:pPr>
          </w:p>
        </w:tc>
        <w:tc>
          <w:tcPr>
            <w:tcW w:w="3660" w:type="dxa"/>
            <w:vAlign w:val="bottom"/>
            <w:tcBorders>
              <w:bottom w:val="single" w:sz="8" w:color="D2DEEE"/>
            </w:tcBorders>
          </w:tcPr>
          <w:p>
            <w:pPr>
              <w:spacing w:after="0"/>
              <w:rPr>
                <w:sz w:val="14"/>
                <w:szCs w:val="14"/>
                <w:color w:val="auto"/>
              </w:rPr>
            </w:pPr>
          </w:p>
        </w:tc>
        <w:tc>
          <w:tcPr>
            <w:tcW w:w="340" w:type="dxa"/>
            <w:vAlign w:val="bottom"/>
            <w:tcBorders>
              <w:bottom w:val="single" w:sz="8" w:color="D2DEEE"/>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2015</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D2DEEE"/>
            </w:tcBorders>
          </w:tcPr>
          <w:p>
            <w:pPr>
              <w:spacing w:after="0"/>
              <w:rPr>
                <w:sz w:val="14"/>
                <w:szCs w:val="14"/>
                <w:color w:val="auto"/>
              </w:rPr>
            </w:pPr>
          </w:p>
        </w:tc>
        <w:tc>
          <w:tcPr>
            <w:tcW w:w="240" w:type="dxa"/>
            <w:vAlign w:val="bottom"/>
            <w:tcBorders>
              <w:bottom w:val="single" w:sz="8" w:color="D2DEEE"/>
            </w:tcBorders>
          </w:tcPr>
          <w:p>
            <w:pPr>
              <w:spacing w:after="0"/>
              <w:rPr>
                <w:sz w:val="14"/>
                <w:szCs w:val="14"/>
                <w:color w:val="auto"/>
              </w:rPr>
            </w:pPr>
          </w:p>
        </w:tc>
      </w:tr>
      <w:tr>
        <w:trPr>
          <w:trHeight w:val="196"/>
        </w:trPr>
        <w:tc>
          <w:tcPr>
            <w:tcW w:w="6380" w:type="dxa"/>
            <w:vAlign w:val="bottom"/>
            <w:shd w:val="clear" w:color="auto" w:fill="D2DEEE"/>
          </w:tcPr>
          <w:p>
            <w:pPr>
              <w:spacing w:after="0" w:line="195" w:lineRule="exact"/>
              <w:rPr>
                <w:sz w:val="20"/>
                <w:szCs w:val="20"/>
                <w:color w:val="auto"/>
              </w:rPr>
            </w:pPr>
            <w:r>
              <w:rPr>
                <w:rFonts w:ascii="Arial" w:cs="Arial" w:eastAsia="Arial" w:hAnsi="Arial"/>
                <w:sz w:val="18"/>
                <w:szCs w:val="18"/>
                <w:color w:val="auto"/>
              </w:rPr>
              <w:t>GAAP Revenue</w:t>
            </w:r>
          </w:p>
        </w:tc>
        <w:tc>
          <w:tcPr>
            <w:tcW w:w="4100" w:type="dxa"/>
            <w:vAlign w:val="bottom"/>
            <w:gridSpan w:val="3"/>
            <w:shd w:val="clear" w:color="auto" w:fill="D2DEEE"/>
          </w:tcPr>
          <w:p>
            <w:pPr>
              <w:jc w:val="right"/>
              <w:spacing w:after="0" w:line="196" w:lineRule="exact"/>
              <w:rPr>
                <w:sz w:val="20"/>
                <w:szCs w:val="20"/>
                <w:color w:val="auto"/>
              </w:rPr>
            </w:pPr>
            <w:r>
              <w:rPr>
                <w:rFonts w:ascii="Arial" w:cs="Arial" w:eastAsia="Arial" w:hAnsi="Arial"/>
                <w:sz w:val="18"/>
                <w:szCs w:val="18"/>
                <w:color w:val="auto"/>
              </w:rPr>
              <w:t>$</w:t>
            </w:r>
          </w:p>
        </w:tc>
        <w:tc>
          <w:tcPr>
            <w:tcW w:w="700" w:type="dxa"/>
            <w:vAlign w:val="bottom"/>
            <w:gridSpan w:val="3"/>
            <w:shd w:val="clear" w:color="auto" w:fill="D2DEEE"/>
          </w:tcPr>
          <w:p>
            <w:pPr>
              <w:jc w:val="right"/>
              <w:ind w:right="100"/>
              <w:spacing w:after="0" w:line="196" w:lineRule="exact"/>
              <w:rPr>
                <w:sz w:val="20"/>
                <w:szCs w:val="20"/>
                <w:color w:val="auto"/>
              </w:rPr>
            </w:pPr>
            <w:r>
              <w:rPr>
                <w:rFonts w:ascii="Arial" w:cs="Arial" w:eastAsia="Arial" w:hAnsi="Arial"/>
                <w:sz w:val="18"/>
                <w:szCs w:val="18"/>
                <w:color w:val="auto"/>
                <w:w w:val="96"/>
              </w:rPr>
              <w:t>3,582.4</w:t>
            </w:r>
          </w:p>
        </w:tc>
        <w:tc>
          <w:tcPr>
            <w:tcW w:w="240" w:type="dxa"/>
            <w:vAlign w:val="bottom"/>
            <w:shd w:val="clear" w:color="auto" w:fill="D2DEEE"/>
          </w:tcPr>
          <w:p>
            <w:pPr>
              <w:spacing w:after="0"/>
              <w:rPr>
                <w:sz w:val="17"/>
                <w:szCs w:val="17"/>
                <w:color w:val="auto"/>
              </w:rPr>
            </w:pPr>
          </w:p>
        </w:tc>
      </w:tr>
      <w:tr>
        <w:trPr>
          <w:trHeight w:val="203"/>
        </w:trPr>
        <w:tc>
          <w:tcPr>
            <w:tcW w:w="6380" w:type="dxa"/>
            <w:vAlign w:val="bottom"/>
          </w:tcPr>
          <w:p>
            <w:pPr>
              <w:ind w:left="440"/>
              <w:spacing w:after="0" w:line="202" w:lineRule="exact"/>
              <w:rPr>
                <w:sz w:val="20"/>
                <w:szCs w:val="20"/>
                <w:color w:val="auto"/>
              </w:rPr>
            </w:pPr>
            <w:r>
              <w:rPr>
                <w:rFonts w:ascii="Arial" w:cs="Arial" w:eastAsia="Arial" w:hAnsi="Arial"/>
                <w:sz w:val="18"/>
                <w:szCs w:val="18"/>
                <w:color w:val="auto"/>
              </w:rPr>
              <w:t>Add: Purchase Accounting Adjustment to Acquired Deferred Revenue</w:t>
            </w:r>
          </w:p>
        </w:tc>
        <w:tc>
          <w:tcPr>
            <w:tcW w:w="3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10.6</w:t>
            </w:r>
          </w:p>
        </w:tc>
        <w:tc>
          <w:tcPr>
            <w:tcW w:w="240" w:type="dxa"/>
            <w:vAlign w:val="bottom"/>
          </w:tcPr>
          <w:p>
            <w:pPr>
              <w:spacing w:after="0"/>
              <w:rPr>
                <w:sz w:val="17"/>
                <w:szCs w:val="17"/>
                <w:color w:val="auto"/>
              </w:rPr>
            </w:pPr>
          </w:p>
        </w:tc>
      </w:tr>
      <w:tr>
        <w:trPr>
          <w:trHeight w:val="203"/>
        </w:trPr>
        <w:tc>
          <w:tcPr>
            <w:tcW w:w="6380" w:type="dxa"/>
            <w:vAlign w:val="bottom"/>
            <w:shd w:val="clear" w:color="auto" w:fill="D2DEEE"/>
          </w:tcPr>
          <w:p>
            <w:pPr>
              <w:ind w:left="440"/>
              <w:spacing w:after="0" w:line="202" w:lineRule="exact"/>
              <w:rPr>
                <w:sz w:val="20"/>
                <w:szCs w:val="20"/>
                <w:color w:val="auto"/>
              </w:rPr>
            </w:pPr>
            <w:r>
              <w:rPr>
                <w:rFonts w:ascii="Arial" w:cs="Arial" w:eastAsia="Arial" w:hAnsi="Arial"/>
                <w:sz w:val="18"/>
                <w:szCs w:val="18"/>
                <w:color w:val="auto"/>
              </w:rPr>
              <w:t>Rounding</w:t>
            </w:r>
          </w:p>
        </w:tc>
        <w:tc>
          <w:tcPr>
            <w:tcW w:w="3660" w:type="dxa"/>
            <w:vAlign w:val="bottom"/>
            <w:shd w:val="clear" w:color="auto" w:fill="D2DEEE"/>
          </w:tcPr>
          <w:p>
            <w:pPr>
              <w:spacing w:after="0"/>
              <w:rPr>
                <w:sz w:val="17"/>
                <w:szCs w:val="17"/>
                <w:color w:val="auto"/>
              </w:rPr>
            </w:pPr>
          </w:p>
        </w:tc>
        <w:tc>
          <w:tcPr>
            <w:tcW w:w="340" w:type="dxa"/>
            <w:vAlign w:val="bottom"/>
            <w:tcBorders>
              <w:bottom w:val="single" w:sz="8" w:color="auto"/>
            </w:tcBorders>
            <w:shd w:val="clear" w:color="auto" w:fill="D2DEEE"/>
          </w:tcPr>
          <w:p>
            <w:pPr>
              <w:spacing w:after="0"/>
              <w:rPr>
                <w:sz w:val="17"/>
                <w:szCs w:val="17"/>
                <w:color w:val="auto"/>
              </w:rPr>
            </w:pPr>
          </w:p>
        </w:tc>
        <w:tc>
          <w:tcPr>
            <w:tcW w:w="100" w:type="dxa"/>
            <w:vAlign w:val="bottom"/>
            <w:tcBorders>
              <w:bottom w:val="single" w:sz="8" w:color="auto"/>
            </w:tcBorders>
            <w:shd w:val="clear" w:color="auto" w:fill="D2DEEE"/>
          </w:tcPr>
          <w:p>
            <w:pPr>
              <w:spacing w:after="0"/>
              <w:rPr>
                <w:sz w:val="17"/>
                <w:szCs w:val="17"/>
                <w:color w:val="auto"/>
              </w:rPr>
            </w:pPr>
          </w:p>
        </w:tc>
        <w:tc>
          <w:tcPr>
            <w:tcW w:w="600" w:type="dxa"/>
            <w:vAlign w:val="bottom"/>
            <w:tcBorders>
              <w:bottom w:val="single" w:sz="8" w:color="auto"/>
            </w:tcBorders>
            <w:gridSpan w:val="2"/>
            <w:shd w:val="clear" w:color="auto" w:fill="D2DEEE"/>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D2DEEE"/>
          </w:tcPr>
          <w:p>
            <w:pPr>
              <w:spacing w:after="0"/>
              <w:rPr>
                <w:sz w:val="17"/>
                <w:szCs w:val="17"/>
                <w:color w:val="auto"/>
              </w:rPr>
            </w:pPr>
          </w:p>
        </w:tc>
        <w:tc>
          <w:tcPr>
            <w:tcW w:w="240" w:type="dxa"/>
            <w:vAlign w:val="bottom"/>
            <w:tcBorders>
              <w:bottom w:val="single" w:sz="8" w:color="auto"/>
            </w:tcBorders>
            <w:shd w:val="clear" w:color="auto" w:fill="D2DEEE"/>
          </w:tcPr>
          <w:p>
            <w:pPr>
              <w:spacing w:after="0"/>
              <w:rPr>
                <w:sz w:val="17"/>
                <w:szCs w:val="17"/>
                <w:color w:val="auto"/>
              </w:rPr>
            </w:pPr>
          </w:p>
        </w:tc>
      </w:tr>
      <w:tr>
        <w:trPr>
          <w:trHeight w:val="196"/>
        </w:trPr>
        <w:tc>
          <w:tcPr>
            <w:tcW w:w="6380" w:type="dxa"/>
            <w:vAlign w:val="bottom"/>
          </w:tcPr>
          <w:p>
            <w:pPr>
              <w:spacing w:after="0" w:line="195" w:lineRule="exact"/>
              <w:rPr>
                <w:sz w:val="20"/>
                <w:szCs w:val="20"/>
                <w:color w:val="auto"/>
              </w:rPr>
            </w:pPr>
            <w:r>
              <w:rPr>
                <w:rFonts w:ascii="Arial" w:cs="Arial" w:eastAsia="Arial" w:hAnsi="Arial"/>
                <w:sz w:val="18"/>
                <w:szCs w:val="18"/>
                <w:color w:val="auto"/>
              </w:rPr>
              <w:t>Adjusted Revenue (A)</w:t>
            </w:r>
          </w:p>
        </w:tc>
        <w:tc>
          <w:tcPr>
            <w:tcW w:w="410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100"/>
              <w:spacing w:after="0" w:line="196" w:lineRule="exact"/>
              <w:rPr>
                <w:sz w:val="20"/>
                <w:szCs w:val="20"/>
                <w:color w:val="auto"/>
              </w:rPr>
            </w:pPr>
            <w:r>
              <w:rPr>
                <w:rFonts w:ascii="Arial" w:cs="Arial" w:eastAsia="Arial" w:hAnsi="Arial"/>
                <w:sz w:val="18"/>
                <w:szCs w:val="18"/>
                <w:color w:val="auto"/>
                <w:w w:val="96"/>
              </w:rPr>
              <w:t>3,593.0</w:t>
            </w:r>
          </w:p>
        </w:tc>
        <w:tc>
          <w:tcPr>
            <w:tcW w:w="240" w:type="dxa"/>
            <w:vAlign w:val="bottom"/>
          </w:tcPr>
          <w:p>
            <w:pPr>
              <w:spacing w:after="0"/>
              <w:rPr>
                <w:sz w:val="17"/>
                <w:szCs w:val="17"/>
                <w:color w:val="auto"/>
              </w:rPr>
            </w:pPr>
          </w:p>
        </w:tc>
      </w:tr>
      <w:tr>
        <w:trPr>
          <w:trHeight w:val="311"/>
        </w:trPr>
        <w:tc>
          <w:tcPr>
            <w:tcW w:w="6380" w:type="dxa"/>
            <w:vAlign w:val="bottom"/>
            <w:shd w:val="clear" w:color="auto" w:fill="D2DEEE"/>
          </w:tcPr>
          <w:p>
            <w:pPr>
              <w:spacing w:after="0"/>
              <w:rPr>
                <w:sz w:val="20"/>
                <w:szCs w:val="20"/>
                <w:color w:val="auto"/>
              </w:rPr>
            </w:pPr>
            <w:r>
              <w:rPr>
                <w:rFonts w:ascii="Arial" w:cs="Arial" w:eastAsia="Arial" w:hAnsi="Arial"/>
                <w:sz w:val="18"/>
                <w:szCs w:val="18"/>
                <w:color w:val="auto"/>
              </w:rPr>
              <w:t>GAAP Net Earnings</w:t>
            </w:r>
          </w:p>
        </w:tc>
        <w:tc>
          <w:tcPr>
            <w:tcW w:w="3660" w:type="dxa"/>
            <w:vAlign w:val="bottom"/>
            <w:shd w:val="clear" w:color="auto" w:fill="D2DEEE"/>
          </w:tcPr>
          <w:p>
            <w:pPr>
              <w:spacing w:after="0"/>
              <w:rPr>
                <w:sz w:val="24"/>
                <w:szCs w:val="24"/>
                <w:color w:val="auto"/>
              </w:rPr>
            </w:pPr>
          </w:p>
        </w:tc>
        <w:tc>
          <w:tcPr>
            <w:tcW w:w="440" w:type="dxa"/>
            <w:vAlign w:val="bottom"/>
            <w:gridSpan w:val="2"/>
            <w:shd w:val="clear" w:color="auto" w:fill="D2DEEE"/>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D2DEEE"/>
          </w:tcPr>
          <w:p>
            <w:pPr>
              <w:jc w:val="right"/>
              <w:spacing w:after="0"/>
              <w:rPr>
                <w:sz w:val="20"/>
                <w:szCs w:val="20"/>
                <w:color w:val="auto"/>
              </w:rPr>
            </w:pPr>
            <w:r>
              <w:rPr>
                <w:rFonts w:ascii="Arial" w:cs="Arial" w:eastAsia="Arial" w:hAnsi="Arial"/>
                <w:sz w:val="18"/>
                <w:szCs w:val="18"/>
                <w:color w:val="auto"/>
              </w:rPr>
              <w:t>696.1</w:t>
            </w:r>
          </w:p>
        </w:tc>
        <w:tc>
          <w:tcPr>
            <w:tcW w:w="100" w:type="dxa"/>
            <w:vAlign w:val="bottom"/>
            <w:shd w:val="clear" w:color="auto" w:fill="D2DEEE"/>
          </w:tcPr>
          <w:p>
            <w:pPr>
              <w:spacing w:after="0"/>
              <w:rPr>
                <w:sz w:val="24"/>
                <w:szCs w:val="24"/>
                <w:color w:val="auto"/>
              </w:rPr>
            </w:pPr>
          </w:p>
        </w:tc>
        <w:tc>
          <w:tcPr>
            <w:tcW w:w="240" w:type="dxa"/>
            <w:vAlign w:val="bottom"/>
            <w:shd w:val="clear" w:color="auto" w:fill="D2DEEE"/>
          </w:tcPr>
          <w:p>
            <w:pPr>
              <w:spacing w:after="0"/>
              <w:rPr>
                <w:sz w:val="24"/>
                <w:szCs w:val="24"/>
                <w:color w:val="auto"/>
              </w:rPr>
            </w:pPr>
          </w:p>
        </w:tc>
      </w:tr>
      <w:tr>
        <w:trPr>
          <w:trHeight w:val="203"/>
        </w:trPr>
        <w:tc>
          <w:tcPr>
            <w:tcW w:w="6380" w:type="dxa"/>
            <w:vAlign w:val="bottom"/>
          </w:tcPr>
          <w:p>
            <w:pPr>
              <w:ind w:left="440"/>
              <w:spacing w:after="0" w:line="202" w:lineRule="exact"/>
              <w:rPr>
                <w:sz w:val="20"/>
                <w:szCs w:val="20"/>
                <w:color w:val="auto"/>
              </w:rPr>
            </w:pPr>
            <w:r>
              <w:rPr>
                <w:rFonts w:ascii="Arial" w:cs="Arial" w:eastAsia="Arial" w:hAnsi="Arial"/>
                <w:sz w:val="18"/>
                <w:szCs w:val="18"/>
                <w:color w:val="auto"/>
              </w:rPr>
              <w:t>Add: Taxes</w:t>
            </w:r>
          </w:p>
        </w:tc>
        <w:tc>
          <w:tcPr>
            <w:tcW w:w="3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306.3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3"/>
        </w:trPr>
        <w:tc>
          <w:tcPr>
            <w:tcW w:w="6380" w:type="dxa"/>
            <w:vAlign w:val="bottom"/>
            <w:shd w:val="clear" w:color="auto" w:fill="D2DEEE"/>
          </w:tcPr>
          <w:p>
            <w:pPr>
              <w:ind w:left="440"/>
              <w:spacing w:after="0" w:line="202" w:lineRule="exact"/>
              <w:rPr>
                <w:sz w:val="20"/>
                <w:szCs w:val="20"/>
                <w:color w:val="auto"/>
              </w:rPr>
            </w:pPr>
            <w:r>
              <w:rPr>
                <w:rFonts w:ascii="Arial" w:cs="Arial" w:eastAsia="Arial" w:hAnsi="Arial"/>
                <w:sz w:val="18"/>
                <w:szCs w:val="18"/>
                <w:color w:val="auto"/>
              </w:rPr>
              <w:t>Add: Amortization</w:t>
            </w:r>
          </w:p>
        </w:tc>
        <w:tc>
          <w:tcPr>
            <w:tcW w:w="3660" w:type="dxa"/>
            <w:vAlign w:val="bottom"/>
            <w:shd w:val="clear" w:color="auto" w:fill="D2DEEE"/>
          </w:tcPr>
          <w:p>
            <w:pPr>
              <w:spacing w:after="0"/>
              <w:rPr>
                <w:sz w:val="17"/>
                <w:szCs w:val="17"/>
                <w:color w:val="auto"/>
              </w:rPr>
            </w:pPr>
          </w:p>
        </w:tc>
        <w:tc>
          <w:tcPr>
            <w:tcW w:w="340" w:type="dxa"/>
            <w:vAlign w:val="bottom"/>
            <w:shd w:val="clear" w:color="auto" w:fill="D2DEEE"/>
          </w:tcPr>
          <w:p>
            <w:pPr>
              <w:spacing w:after="0"/>
              <w:rPr>
                <w:sz w:val="17"/>
                <w:szCs w:val="17"/>
                <w:color w:val="auto"/>
              </w:rPr>
            </w:pPr>
          </w:p>
        </w:tc>
        <w:tc>
          <w:tcPr>
            <w:tcW w:w="100" w:type="dxa"/>
            <w:vAlign w:val="bottom"/>
            <w:shd w:val="clear" w:color="auto" w:fill="D2DEEE"/>
          </w:tcPr>
          <w:p>
            <w:pPr>
              <w:spacing w:after="0"/>
              <w:rPr>
                <w:sz w:val="17"/>
                <w:szCs w:val="17"/>
                <w:color w:val="auto"/>
              </w:rPr>
            </w:pPr>
          </w:p>
        </w:tc>
        <w:tc>
          <w:tcPr>
            <w:tcW w:w="600" w:type="dxa"/>
            <w:vAlign w:val="bottom"/>
            <w:gridSpan w:val="2"/>
            <w:shd w:val="clear" w:color="auto" w:fill="D2DEEE"/>
          </w:tcPr>
          <w:p>
            <w:pPr>
              <w:jc w:val="right"/>
              <w:spacing w:after="0" w:line="202" w:lineRule="exact"/>
              <w:rPr>
                <w:sz w:val="20"/>
                <w:szCs w:val="20"/>
                <w:color w:val="auto"/>
              </w:rPr>
            </w:pPr>
            <w:r>
              <w:rPr>
                <w:rFonts w:ascii="Arial" w:cs="Arial" w:eastAsia="Arial" w:hAnsi="Arial"/>
                <w:sz w:val="18"/>
                <w:szCs w:val="18"/>
                <w:color w:val="auto"/>
              </w:rPr>
              <w:t>166.1</w:t>
            </w:r>
          </w:p>
        </w:tc>
        <w:tc>
          <w:tcPr>
            <w:tcW w:w="100" w:type="dxa"/>
            <w:vAlign w:val="bottom"/>
            <w:shd w:val="clear" w:color="auto" w:fill="D2DEEE"/>
          </w:tcPr>
          <w:p>
            <w:pPr>
              <w:spacing w:after="0"/>
              <w:rPr>
                <w:sz w:val="17"/>
                <w:szCs w:val="17"/>
                <w:color w:val="auto"/>
              </w:rPr>
            </w:pPr>
          </w:p>
        </w:tc>
        <w:tc>
          <w:tcPr>
            <w:tcW w:w="240" w:type="dxa"/>
            <w:vAlign w:val="bottom"/>
            <w:shd w:val="clear" w:color="auto" w:fill="D2DEEE"/>
          </w:tcPr>
          <w:p>
            <w:pPr>
              <w:spacing w:after="0"/>
              <w:rPr>
                <w:sz w:val="17"/>
                <w:szCs w:val="17"/>
                <w:color w:val="auto"/>
              </w:rPr>
            </w:pPr>
          </w:p>
        </w:tc>
      </w:tr>
      <w:tr>
        <w:trPr>
          <w:trHeight w:val="203"/>
        </w:trPr>
        <w:tc>
          <w:tcPr>
            <w:tcW w:w="6380" w:type="dxa"/>
            <w:vAlign w:val="bottom"/>
          </w:tcPr>
          <w:p>
            <w:pPr>
              <w:ind w:left="440"/>
              <w:spacing w:after="0" w:line="202" w:lineRule="exact"/>
              <w:rPr>
                <w:sz w:val="20"/>
                <w:szCs w:val="20"/>
                <w:color w:val="auto"/>
              </w:rPr>
            </w:pPr>
            <w:r>
              <w:rPr>
                <w:rFonts w:ascii="Arial" w:cs="Arial" w:eastAsia="Arial" w:hAnsi="Arial"/>
                <w:sz w:val="18"/>
                <w:szCs w:val="18"/>
                <w:color w:val="auto"/>
              </w:rPr>
              <w:t>Add: Interest Expense</w:t>
            </w:r>
          </w:p>
        </w:tc>
        <w:tc>
          <w:tcPr>
            <w:tcW w:w="3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84.2</w:t>
            </w:r>
          </w:p>
        </w:tc>
        <w:tc>
          <w:tcPr>
            <w:tcW w:w="240" w:type="dxa"/>
            <w:vAlign w:val="bottom"/>
          </w:tcPr>
          <w:p>
            <w:pPr>
              <w:spacing w:after="0"/>
              <w:rPr>
                <w:sz w:val="17"/>
                <w:szCs w:val="17"/>
                <w:color w:val="auto"/>
              </w:rPr>
            </w:pPr>
          </w:p>
        </w:tc>
      </w:tr>
      <w:tr>
        <w:trPr>
          <w:trHeight w:val="203"/>
        </w:trPr>
        <w:tc>
          <w:tcPr>
            <w:tcW w:w="6380" w:type="dxa"/>
            <w:vAlign w:val="bottom"/>
            <w:shd w:val="clear" w:color="auto" w:fill="D2DEEE"/>
          </w:tcPr>
          <w:p>
            <w:pPr>
              <w:ind w:left="440"/>
              <w:spacing w:after="0" w:line="202" w:lineRule="exact"/>
              <w:rPr>
                <w:sz w:val="20"/>
                <w:szCs w:val="20"/>
                <w:color w:val="auto"/>
              </w:rPr>
            </w:pPr>
            <w:r>
              <w:rPr>
                <w:rFonts w:ascii="Arial" w:cs="Arial" w:eastAsia="Arial" w:hAnsi="Arial"/>
                <w:sz w:val="18"/>
                <w:szCs w:val="18"/>
                <w:color w:val="auto"/>
              </w:rPr>
              <w:t>Add: Depreciation</w:t>
            </w:r>
          </w:p>
        </w:tc>
        <w:tc>
          <w:tcPr>
            <w:tcW w:w="3660" w:type="dxa"/>
            <w:vAlign w:val="bottom"/>
            <w:shd w:val="clear" w:color="auto" w:fill="D2DEEE"/>
          </w:tcPr>
          <w:p>
            <w:pPr>
              <w:spacing w:after="0"/>
              <w:rPr>
                <w:sz w:val="17"/>
                <w:szCs w:val="17"/>
                <w:color w:val="auto"/>
              </w:rPr>
            </w:pPr>
          </w:p>
        </w:tc>
        <w:tc>
          <w:tcPr>
            <w:tcW w:w="340" w:type="dxa"/>
            <w:vAlign w:val="bottom"/>
            <w:shd w:val="clear" w:color="auto" w:fill="D2DEEE"/>
          </w:tcPr>
          <w:p>
            <w:pPr>
              <w:spacing w:after="0"/>
              <w:rPr>
                <w:sz w:val="17"/>
                <w:szCs w:val="17"/>
                <w:color w:val="auto"/>
              </w:rPr>
            </w:pPr>
          </w:p>
        </w:tc>
        <w:tc>
          <w:tcPr>
            <w:tcW w:w="100" w:type="dxa"/>
            <w:vAlign w:val="bottom"/>
            <w:shd w:val="clear" w:color="auto" w:fill="D2DEEE"/>
          </w:tcPr>
          <w:p>
            <w:pPr>
              <w:spacing w:after="0"/>
              <w:rPr>
                <w:sz w:val="17"/>
                <w:szCs w:val="17"/>
                <w:color w:val="auto"/>
              </w:rPr>
            </w:pPr>
          </w:p>
        </w:tc>
        <w:tc>
          <w:tcPr>
            <w:tcW w:w="700" w:type="dxa"/>
            <w:vAlign w:val="bottom"/>
            <w:gridSpan w:val="3"/>
            <w:shd w:val="clear" w:color="auto" w:fill="D2DEEE"/>
          </w:tcPr>
          <w:p>
            <w:pPr>
              <w:jc w:val="right"/>
              <w:ind w:right="100"/>
              <w:spacing w:after="0" w:line="202" w:lineRule="exact"/>
              <w:rPr>
                <w:sz w:val="20"/>
                <w:szCs w:val="20"/>
                <w:color w:val="auto"/>
              </w:rPr>
            </w:pPr>
            <w:r>
              <w:rPr>
                <w:rFonts w:ascii="Arial" w:cs="Arial" w:eastAsia="Arial" w:hAnsi="Arial"/>
                <w:sz w:val="18"/>
                <w:szCs w:val="18"/>
                <w:color w:val="auto"/>
              </w:rPr>
              <w:t>38.2</w:t>
            </w:r>
          </w:p>
        </w:tc>
        <w:tc>
          <w:tcPr>
            <w:tcW w:w="240" w:type="dxa"/>
            <w:vAlign w:val="bottom"/>
            <w:shd w:val="clear" w:color="auto" w:fill="D2DEEE"/>
          </w:tcPr>
          <w:p>
            <w:pPr>
              <w:spacing w:after="0"/>
              <w:rPr>
                <w:sz w:val="17"/>
                <w:szCs w:val="17"/>
                <w:color w:val="auto"/>
              </w:rPr>
            </w:pPr>
          </w:p>
        </w:tc>
      </w:tr>
      <w:tr>
        <w:trPr>
          <w:trHeight w:val="203"/>
        </w:trPr>
        <w:tc>
          <w:tcPr>
            <w:tcW w:w="6380" w:type="dxa"/>
            <w:vAlign w:val="bottom"/>
          </w:tcPr>
          <w:p>
            <w:pPr>
              <w:ind w:left="440"/>
              <w:spacing w:after="0" w:line="202" w:lineRule="exact"/>
              <w:rPr>
                <w:sz w:val="20"/>
                <w:szCs w:val="20"/>
                <w:color w:val="auto"/>
              </w:rPr>
            </w:pPr>
            <w:r>
              <w:rPr>
                <w:rFonts w:ascii="Arial" w:cs="Arial" w:eastAsia="Arial" w:hAnsi="Arial"/>
                <w:sz w:val="18"/>
                <w:szCs w:val="18"/>
                <w:color w:val="auto"/>
              </w:rPr>
              <w:t>Add: Purchase Accounting Adjustment to Acquired Deferred Revenue</w:t>
            </w:r>
          </w:p>
        </w:tc>
        <w:tc>
          <w:tcPr>
            <w:tcW w:w="3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10.6</w:t>
            </w:r>
          </w:p>
        </w:tc>
        <w:tc>
          <w:tcPr>
            <w:tcW w:w="240" w:type="dxa"/>
            <w:vAlign w:val="bottom"/>
          </w:tcPr>
          <w:p>
            <w:pPr>
              <w:spacing w:after="0"/>
              <w:rPr>
                <w:sz w:val="17"/>
                <w:szCs w:val="17"/>
                <w:color w:val="auto"/>
              </w:rPr>
            </w:pPr>
          </w:p>
        </w:tc>
      </w:tr>
      <w:tr>
        <w:trPr>
          <w:trHeight w:val="203"/>
        </w:trPr>
        <w:tc>
          <w:tcPr>
            <w:tcW w:w="6380" w:type="dxa"/>
            <w:vAlign w:val="bottom"/>
            <w:shd w:val="clear" w:color="auto" w:fill="D2DEEE"/>
          </w:tcPr>
          <w:p>
            <w:pPr>
              <w:ind w:left="440"/>
              <w:spacing w:after="0" w:line="202" w:lineRule="exact"/>
              <w:rPr>
                <w:sz w:val="20"/>
                <w:szCs w:val="20"/>
                <w:color w:val="auto"/>
              </w:rPr>
            </w:pPr>
            <w:r>
              <w:rPr>
                <w:rFonts w:ascii="Arial" w:cs="Arial" w:eastAsia="Arial" w:hAnsi="Arial"/>
                <w:sz w:val="18"/>
                <w:szCs w:val="18"/>
                <w:color w:val="auto"/>
              </w:rPr>
              <w:t>Add: Acquisition-Related Inventory Step-up Charge</w:t>
            </w:r>
          </w:p>
        </w:tc>
        <w:tc>
          <w:tcPr>
            <w:tcW w:w="3660" w:type="dxa"/>
            <w:vAlign w:val="bottom"/>
            <w:shd w:val="clear" w:color="auto" w:fill="D2DEEE"/>
          </w:tcPr>
          <w:p>
            <w:pPr>
              <w:spacing w:after="0"/>
              <w:rPr>
                <w:sz w:val="17"/>
                <w:szCs w:val="17"/>
                <w:color w:val="auto"/>
              </w:rPr>
            </w:pPr>
          </w:p>
        </w:tc>
        <w:tc>
          <w:tcPr>
            <w:tcW w:w="340" w:type="dxa"/>
            <w:vAlign w:val="bottom"/>
            <w:shd w:val="clear" w:color="auto" w:fill="D2DEEE"/>
          </w:tcPr>
          <w:p>
            <w:pPr>
              <w:spacing w:after="0"/>
              <w:rPr>
                <w:sz w:val="17"/>
                <w:szCs w:val="17"/>
                <w:color w:val="auto"/>
              </w:rPr>
            </w:pPr>
          </w:p>
        </w:tc>
        <w:tc>
          <w:tcPr>
            <w:tcW w:w="100" w:type="dxa"/>
            <w:vAlign w:val="bottom"/>
            <w:shd w:val="clear" w:color="auto" w:fill="D2DEEE"/>
          </w:tcPr>
          <w:p>
            <w:pPr>
              <w:spacing w:after="0"/>
              <w:rPr>
                <w:sz w:val="17"/>
                <w:szCs w:val="17"/>
                <w:color w:val="auto"/>
              </w:rPr>
            </w:pPr>
          </w:p>
        </w:tc>
        <w:tc>
          <w:tcPr>
            <w:tcW w:w="700" w:type="dxa"/>
            <w:vAlign w:val="bottom"/>
            <w:gridSpan w:val="3"/>
            <w:shd w:val="clear" w:color="auto" w:fill="D2DEEE"/>
          </w:tcPr>
          <w:p>
            <w:pPr>
              <w:jc w:val="right"/>
              <w:ind w:right="100"/>
              <w:spacing w:after="0" w:line="202" w:lineRule="exact"/>
              <w:rPr>
                <w:sz w:val="20"/>
                <w:szCs w:val="20"/>
                <w:color w:val="auto"/>
              </w:rPr>
            </w:pPr>
            <w:r>
              <w:rPr>
                <w:rFonts w:ascii="Arial" w:cs="Arial" w:eastAsia="Arial" w:hAnsi="Arial"/>
                <w:sz w:val="18"/>
                <w:szCs w:val="18"/>
                <w:color w:val="auto"/>
              </w:rPr>
              <w:t>4.6</w:t>
            </w:r>
          </w:p>
        </w:tc>
        <w:tc>
          <w:tcPr>
            <w:tcW w:w="240" w:type="dxa"/>
            <w:vAlign w:val="bottom"/>
            <w:shd w:val="clear" w:color="auto" w:fill="D2DEEE"/>
          </w:tcPr>
          <w:p>
            <w:pPr>
              <w:spacing w:after="0"/>
              <w:rPr>
                <w:sz w:val="17"/>
                <w:szCs w:val="17"/>
                <w:color w:val="auto"/>
              </w:rPr>
            </w:pPr>
          </w:p>
        </w:tc>
      </w:tr>
      <w:tr>
        <w:trPr>
          <w:trHeight w:val="203"/>
        </w:trPr>
        <w:tc>
          <w:tcPr>
            <w:tcW w:w="6380" w:type="dxa"/>
            <w:vAlign w:val="bottom"/>
          </w:tcPr>
          <w:p>
            <w:pPr>
              <w:ind w:left="440"/>
              <w:spacing w:after="0" w:line="202" w:lineRule="exact"/>
              <w:rPr>
                <w:sz w:val="20"/>
                <w:szCs w:val="20"/>
                <w:color w:val="auto"/>
              </w:rPr>
            </w:pPr>
            <w:r>
              <w:rPr>
                <w:rFonts w:ascii="Arial" w:cs="Arial" w:eastAsia="Arial" w:hAnsi="Arial"/>
                <w:sz w:val="18"/>
                <w:szCs w:val="18"/>
                <w:color w:val="auto"/>
              </w:rPr>
              <w:t>Add: Impairment Charge on Minority Investment</w:t>
            </w:r>
          </w:p>
        </w:tc>
        <w:tc>
          <w:tcPr>
            <w:tcW w:w="3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9.5</w:t>
            </w:r>
          </w:p>
        </w:tc>
        <w:tc>
          <w:tcPr>
            <w:tcW w:w="240" w:type="dxa"/>
            <w:vAlign w:val="bottom"/>
          </w:tcPr>
          <w:p>
            <w:pPr>
              <w:spacing w:after="0"/>
              <w:rPr>
                <w:sz w:val="17"/>
                <w:szCs w:val="17"/>
                <w:color w:val="auto"/>
              </w:rPr>
            </w:pPr>
          </w:p>
        </w:tc>
      </w:tr>
      <w:tr>
        <w:trPr>
          <w:trHeight w:val="203"/>
        </w:trPr>
        <w:tc>
          <w:tcPr>
            <w:tcW w:w="6380" w:type="dxa"/>
            <w:vAlign w:val="bottom"/>
            <w:shd w:val="clear" w:color="auto" w:fill="D2DEEE"/>
          </w:tcPr>
          <w:p>
            <w:pPr>
              <w:ind w:left="440"/>
              <w:spacing w:after="0" w:line="202" w:lineRule="exact"/>
              <w:rPr>
                <w:sz w:val="20"/>
                <w:szCs w:val="20"/>
                <w:color w:val="auto"/>
              </w:rPr>
            </w:pPr>
            <w:r>
              <w:rPr>
                <w:rFonts w:ascii="Arial" w:cs="Arial" w:eastAsia="Arial" w:hAnsi="Arial"/>
                <w:sz w:val="18"/>
                <w:szCs w:val="18"/>
                <w:color w:val="auto"/>
              </w:rPr>
              <w:t>Less: Gain on Disposal of a Business</w:t>
            </w:r>
          </w:p>
        </w:tc>
        <w:tc>
          <w:tcPr>
            <w:tcW w:w="3660" w:type="dxa"/>
            <w:vAlign w:val="bottom"/>
            <w:shd w:val="clear" w:color="auto" w:fill="D2DEEE"/>
          </w:tcPr>
          <w:p>
            <w:pPr>
              <w:spacing w:after="0"/>
              <w:rPr>
                <w:sz w:val="17"/>
                <w:szCs w:val="17"/>
                <w:color w:val="auto"/>
              </w:rPr>
            </w:pPr>
          </w:p>
        </w:tc>
        <w:tc>
          <w:tcPr>
            <w:tcW w:w="340" w:type="dxa"/>
            <w:vAlign w:val="bottom"/>
            <w:tcBorders>
              <w:bottom w:val="single" w:sz="8" w:color="auto"/>
            </w:tcBorders>
            <w:shd w:val="clear" w:color="auto" w:fill="D2DEEE"/>
          </w:tcPr>
          <w:p>
            <w:pPr>
              <w:spacing w:after="0"/>
              <w:rPr>
                <w:sz w:val="17"/>
                <w:szCs w:val="17"/>
                <w:color w:val="auto"/>
              </w:rPr>
            </w:pPr>
          </w:p>
        </w:tc>
        <w:tc>
          <w:tcPr>
            <w:tcW w:w="100" w:type="dxa"/>
            <w:vAlign w:val="bottom"/>
            <w:tcBorders>
              <w:bottom w:val="single" w:sz="8" w:color="auto"/>
            </w:tcBorders>
            <w:shd w:val="clear" w:color="auto" w:fill="D2DEEE"/>
          </w:tcPr>
          <w:p>
            <w:pPr>
              <w:spacing w:after="0"/>
              <w:rPr>
                <w:sz w:val="17"/>
                <w:szCs w:val="17"/>
                <w:color w:val="auto"/>
              </w:rPr>
            </w:pPr>
          </w:p>
        </w:tc>
        <w:tc>
          <w:tcPr>
            <w:tcW w:w="700" w:type="dxa"/>
            <w:vAlign w:val="bottom"/>
            <w:tcBorders>
              <w:bottom w:val="single" w:sz="8" w:color="auto"/>
            </w:tcBorders>
            <w:gridSpan w:val="3"/>
            <w:shd w:val="clear" w:color="auto" w:fill="D2DEEE"/>
          </w:tcPr>
          <w:p>
            <w:pPr>
              <w:jc w:val="right"/>
              <w:ind w:right="40"/>
              <w:spacing w:after="0" w:line="202" w:lineRule="exact"/>
              <w:rPr>
                <w:sz w:val="20"/>
                <w:szCs w:val="20"/>
                <w:color w:val="auto"/>
              </w:rPr>
            </w:pPr>
            <w:r>
              <w:rPr>
                <w:rFonts w:ascii="Arial" w:cs="Arial" w:eastAsia="Arial" w:hAnsi="Arial"/>
                <w:sz w:val="18"/>
                <w:szCs w:val="18"/>
                <w:color w:val="auto"/>
              </w:rPr>
              <w:t>(70.9)</w:t>
            </w:r>
          </w:p>
        </w:tc>
        <w:tc>
          <w:tcPr>
            <w:tcW w:w="240" w:type="dxa"/>
            <w:vAlign w:val="bottom"/>
            <w:tcBorders>
              <w:bottom w:val="single" w:sz="8" w:color="auto"/>
            </w:tcBorders>
            <w:shd w:val="clear" w:color="auto" w:fill="D2DEEE"/>
          </w:tcPr>
          <w:p>
            <w:pPr>
              <w:spacing w:after="0"/>
              <w:rPr>
                <w:sz w:val="17"/>
                <w:szCs w:val="17"/>
                <w:color w:val="auto"/>
              </w:rPr>
            </w:pPr>
          </w:p>
        </w:tc>
      </w:tr>
      <w:tr>
        <w:trPr>
          <w:trHeight w:val="196"/>
        </w:trPr>
        <w:tc>
          <w:tcPr>
            <w:tcW w:w="6380" w:type="dxa"/>
            <w:vAlign w:val="bottom"/>
          </w:tcPr>
          <w:p>
            <w:pPr>
              <w:spacing w:after="0" w:line="195" w:lineRule="exact"/>
              <w:rPr>
                <w:sz w:val="20"/>
                <w:szCs w:val="20"/>
                <w:color w:val="auto"/>
              </w:rPr>
            </w:pPr>
            <w:r>
              <w:rPr>
                <w:rFonts w:ascii="Arial" w:cs="Arial" w:eastAsia="Arial" w:hAnsi="Arial"/>
                <w:sz w:val="18"/>
                <w:szCs w:val="18"/>
                <w:color w:val="auto"/>
              </w:rPr>
              <w:t>EBITDA (B)</w:t>
            </w:r>
          </w:p>
        </w:tc>
        <w:tc>
          <w:tcPr>
            <w:tcW w:w="3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100"/>
              <w:spacing w:after="0" w:line="196" w:lineRule="exact"/>
              <w:rPr>
                <w:sz w:val="20"/>
                <w:szCs w:val="20"/>
                <w:color w:val="auto"/>
              </w:rPr>
            </w:pPr>
            <w:r>
              <w:rPr>
                <w:rFonts w:ascii="Arial" w:cs="Arial" w:eastAsia="Arial" w:hAnsi="Arial"/>
                <w:sz w:val="18"/>
                <w:szCs w:val="18"/>
                <w:color w:val="auto"/>
                <w:w w:val="96"/>
              </w:rPr>
              <w:t>1,244.7</w:t>
            </w:r>
          </w:p>
        </w:tc>
        <w:tc>
          <w:tcPr>
            <w:tcW w:w="240" w:type="dxa"/>
            <w:vAlign w:val="bottom"/>
          </w:tcPr>
          <w:p>
            <w:pPr>
              <w:spacing w:after="0"/>
              <w:rPr>
                <w:sz w:val="17"/>
                <w:szCs w:val="17"/>
                <w:color w:val="auto"/>
              </w:rPr>
            </w:pPr>
          </w:p>
        </w:tc>
      </w:tr>
      <w:tr>
        <w:trPr>
          <w:trHeight w:val="203"/>
        </w:trPr>
        <w:tc>
          <w:tcPr>
            <w:tcW w:w="6380" w:type="dxa"/>
            <w:vAlign w:val="bottom"/>
            <w:shd w:val="clear" w:color="auto" w:fill="D2DEEE"/>
          </w:tcPr>
          <w:p>
            <w:pPr>
              <w:spacing w:after="0" w:line="202" w:lineRule="exact"/>
              <w:rPr>
                <w:sz w:val="20"/>
                <w:szCs w:val="20"/>
                <w:color w:val="auto"/>
              </w:rPr>
            </w:pPr>
            <w:r>
              <w:rPr>
                <w:rFonts w:ascii="Arial" w:cs="Arial" w:eastAsia="Arial" w:hAnsi="Arial"/>
                <w:sz w:val="18"/>
                <w:szCs w:val="18"/>
                <w:color w:val="auto"/>
              </w:rPr>
              <w:t>EBITDA Margin (B) / (A)</w:t>
            </w:r>
          </w:p>
        </w:tc>
        <w:tc>
          <w:tcPr>
            <w:tcW w:w="3660" w:type="dxa"/>
            <w:vAlign w:val="bottom"/>
            <w:shd w:val="clear" w:color="auto" w:fill="D2DEEE"/>
          </w:tcPr>
          <w:p>
            <w:pPr>
              <w:spacing w:after="0"/>
              <w:rPr>
                <w:sz w:val="17"/>
                <w:szCs w:val="17"/>
                <w:color w:val="auto"/>
              </w:rPr>
            </w:pPr>
          </w:p>
        </w:tc>
        <w:tc>
          <w:tcPr>
            <w:tcW w:w="340" w:type="dxa"/>
            <w:vAlign w:val="bottom"/>
            <w:shd w:val="clear" w:color="auto" w:fill="D2DEEE"/>
          </w:tcPr>
          <w:p>
            <w:pPr>
              <w:spacing w:after="0"/>
              <w:rPr>
                <w:sz w:val="17"/>
                <w:szCs w:val="17"/>
                <w:color w:val="auto"/>
              </w:rPr>
            </w:pPr>
          </w:p>
        </w:tc>
        <w:tc>
          <w:tcPr>
            <w:tcW w:w="100" w:type="dxa"/>
            <w:vAlign w:val="bottom"/>
            <w:shd w:val="clear" w:color="auto" w:fill="D2DEEE"/>
          </w:tcPr>
          <w:p>
            <w:pPr>
              <w:spacing w:after="0"/>
              <w:rPr>
                <w:sz w:val="17"/>
                <w:szCs w:val="17"/>
                <w:color w:val="auto"/>
              </w:rPr>
            </w:pPr>
          </w:p>
        </w:tc>
        <w:tc>
          <w:tcPr>
            <w:tcW w:w="940" w:type="dxa"/>
            <w:vAlign w:val="bottom"/>
            <w:gridSpan w:val="4"/>
            <w:shd w:val="clear" w:color="auto" w:fill="D2DEEE"/>
          </w:tcPr>
          <w:p>
            <w:pPr>
              <w:jc w:val="right"/>
              <w:ind w:right="92"/>
              <w:spacing w:after="0" w:line="202" w:lineRule="exact"/>
              <w:rPr>
                <w:sz w:val="20"/>
                <w:szCs w:val="20"/>
                <w:color w:val="auto"/>
              </w:rPr>
            </w:pPr>
            <w:r>
              <w:rPr>
                <w:rFonts w:ascii="Arial" w:cs="Arial" w:eastAsia="Arial" w:hAnsi="Arial"/>
                <w:sz w:val="18"/>
                <w:szCs w:val="18"/>
                <w:color w:val="auto"/>
              </w:rPr>
              <w:t>34.6%</w:t>
            </w:r>
          </w:p>
        </w:tc>
      </w:tr>
      <w:tr>
        <w:trPr>
          <w:trHeight w:val="149"/>
        </w:trPr>
        <w:tc>
          <w:tcPr>
            <w:tcW w:w="6380" w:type="dxa"/>
            <w:vAlign w:val="bottom"/>
          </w:tcPr>
          <w:p>
            <w:pPr>
              <w:spacing w:after="0"/>
              <w:rPr>
                <w:sz w:val="12"/>
                <w:szCs w:val="12"/>
                <w:color w:val="auto"/>
              </w:rPr>
            </w:pPr>
          </w:p>
        </w:tc>
        <w:tc>
          <w:tcPr>
            <w:tcW w:w="4800" w:type="dxa"/>
            <w:vAlign w:val="bottom"/>
            <w:gridSpan w:val="6"/>
          </w:tcPr>
          <w:p>
            <w:pPr>
              <w:spacing w:after="0"/>
              <w:rPr>
                <w:sz w:val="12"/>
                <w:szCs w:val="12"/>
                <w:color w:val="auto"/>
              </w:rPr>
            </w:pPr>
          </w:p>
        </w:tc>
        <w:tc>
          <w:tcPr>
            <w:tcW w:w="240" w:type="dxa"/>
            <w:vAlign w:val="bottom"/>
          </w:tcPr>
          <w:p>
            <w:pPr>
              <w:spacing w:after="0"/>
              <w:rPr>
                <w:sz w:val="12"/>
                <w:szCs w:val="12"/>
                <w:color w:val="auto"/>
              </w:rPr>
            </w:pPr>
          </w:p>
        </w:tc>
      </w:tr>
      <w:tr>
        <w:trPr>
          <w:trHeight w:val="309"/>
        </w:trPr>
        <w:tc>
          <w:tcPr>
            <w:tcW w:w="6380" w:type="dxa"/>
            <w:vAlign w:val="bottom"/>
          </w:tcPr>
          <w:p>
            <w:pPr>
              <w:spacing w:after="0"/>
              <w:rPr>
                <w:sz w:val="24"/>
                <w:szCs w:val="24"/>
                <w:color w:val="auto"/>
              </w:rPr>
            </w:pPr>
          </w:p>
        </w:tc>
        <w:tc>
          <w:tcPr>
            <w:tcW w:w="4600" w:type="dxa"/>
            <w:vAlign w:val="bottom"/>
            <w:tcBorders>
              <w:right w:val="single" w:sz="8" w:color="225CAB"/>
            </w:tcBorders>
            <w:gridSpan w:val="4"/>
          </w:tcPr>
          <w:p>
            <w:pPr>
              <w:jc w:val="right"/>
              <w:ind w:right="33"/>
              <w:spacing w:after="0"/>
              <w:rPr>
                <w:sz w:val="20"/>
                <w:szCs w:val="20"/>
                <w:color w:val="auto"/>
              </w:rPr>
            </w:pPr>
            <w:r>
              <w:rPr>
                <w:rFonts w:ascii="Arial" w:cs="Arial" w:eastAsia="Arial" w:hAnsi="Arial"/>
                <w:sz w:val="18"/>
                <w:szCs w:val="18"/>
                <w:b w:val="1"/>
                <w:bCs w:val="1"/>
                <w:color w:val="225CAB"/>
              </w:rPr>
              <w:t>Roper Technologies, Inc. 2016 Proxy Statement</w:t>
            </w:r>
          </w:p>
        </w:tc>
        <w:tc>
          <w:tcPr>
            <w:tcW w:w="200" w:type="dxa"/>
            <w:vAlign w:val="bottom"/>
            <w:gridSpan w:val="2"/>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b w:val="1"/>
                <w:bCs w:val="1"/>
                <w:color w:val="225CAB"/>
              </w:rPr>
              <w:t>59</w:t>
            </w:r>
          </w:p>
        </w:tc>
      </w:tr>
      <w:tr>
        <w:trPr>
          <w:trHeight w:val="83"/>
        </w:trPr>
        <w:tc>
          <w:tcPr>
            <w:tcW w:w="6380" w:type="dxa"/>
            <w:vAlign w:val="bottom"/>
          </w:tcPr>
          <w:p>
            <w:pPr>
              <w:spacing w:after="0"/>
              <w:rPr>
                <w:sz w:val="7"/>
                <w:szCs w:val="7"/>
                <w:color w:val="auto"/>
              </w:rPr>
            </w:pPr>
          </w:p>
        </w:tc>
        <w:tc>
          <w:tcPr>
            <w:tcW w:w="36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Borders>
              <w:right w:val="single" w:sz="8" w:color="225CAB"/>
            </w:tcBorders>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-213995</wp:posOffset>
            </wp:positionV>
            <wp:extent cx="420370" cy="2057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spacing w:after="0"/>
        <w:rPr>
          <w:sz w:val="20"/>
          <w:szCs w:val="20"/>
          <w:color w:val="auto"/>
        </w:rPr>
      </w:pPr>
      <w:r>
        <w:rPr>
          <w:rFonts w:ascii="Arial" w:cs="Arial" w:eastAsia="Arial" w:hAnsi="Arial"/>
          <w:sz w:val="32"/>
          <w:szCs w:val="32"/>
          <w:color w:val="225CAB"/>
        </w:rPr>
        <w:t>APPENDIX B—ROPER TECHNOLOGIES, INC. 2016 INCENTIVE PLAN</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ROPER TECHNOLOGIES, INC.</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2016 INCENTIVE PLAN</w:t>
      </w:r>
    </w:p>
    <w:p>
      <w:pPr>
        <w:spacing w:after="0" w:line="136"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ARTICLE 1</w:t>
      </w:r>
    </w:p>
    <w:p>
      <w:pPr>
        <w:spacing w:after="0" w:line="18"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PURPOSE</w:t>
      </w:r>
    </w:p>
    <w:p>
      <w:pPr>
        <w:spacing w:after="0" w:line="136" w:lineRule="exact"/>
        <w:rPr>
          <w:sz w:val="20"/>
          <w:szCs w:val="20"/>
          <w:color w:val="auto"/>
        </w:rPr>
      </w:pPr>
    </w:p>
    <w:p>
      <w:pPr>
        <w:ind w:right="140" w:firstLine="456"/>
        <w:spacing w:after="0" w:line="239"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b w:val="1"/>
          <w:bCs w:val="1"/>
          <w:color w:val="auto"/>
        </w:rPr>
        <w:t>GENERAL.</w:t>
      </w:r>
      <w:r>
        <w:rPr>
          <w:rFonts w:ascii="Arial" w:cs="Arial" w:eastAsia="Arial" w:hAnsi="Arial"/>
          <w:sz w:val="18"/>
          <w:szCs w:val="18"/>
          <w:color w:val="auto"/>
        </w:rPr>
        <w:t xml:space="preserve"> The purpose of the Roper Technologies, Inc. 2016 Incentive Plan (as may be amended from time to time, the “Plan”) is to promote the success, and enhance the value, of Roper Technologies, Inc. (together with any successor, the “Company”), by linking the personal interests of employees, officers, directors and consultants of the Company or any Affiliate (as defined below) to those of Company shareholders and by providing such persons with an incentive for outstanding performance. The Plan is further intended to provide flexibility to the Company in its ability to motivate, attract, and retain the services of employees, officers, directors and consultants upon whose judgment, interest, and special effort the successful conduct of the Company’s operation is largely dependent. Accordingly, the Plan permits the grant of incentive awards from time to time to selected employees, officers, directors and consultants of the Company and its Affiliates.</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w:t>
      </w:r>
    </w:p>
    <w:p>
      <w:pPr>
        <w:spacing w:after="0" w:line="136" w:lineRule="exact"/>
        <w:rPr>
          <w:sz w:val="20"/>
          <w:szCs w:val="20"/>
          <w:color w:val="auto"/>
        </w:rPr>
      </w:pPr>
    </w:p>
    <w:p>
      <w:pPr>
        <w:ind w:right="20" w:firstLine="456"/>
        <w:spacing w:after="0" w:line="249"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b w:val="1"/>
          <w:bCs w:val="1"/>
          <w:color w:val="auto"/>
        </w:rPr>
        <w:t>DEFINITIONS.</w:t>
      </w:r>
      <w:r>
        <w:rPr>
          <w:rFonts w:ascii="Arial" w:cs="Arial" w:eastAsia="Arial" w:hAnsi="Arial"/>
          <w:sz w:val="18"/>
          <w:szCs w:val="18"/>
          <w:color w:val="auto"/>
        </w:rPr>
        <w:t xml:space="preserve"> When a word or phrase appears in this Plan with the initial letter capitalized, and the word or phrase does not commence a sentence, the word or phrase shall generally be given the meaning ascribed to it in this Section or in Section 1.1 unless a clearly different meaning is required by the context. The following words and phrases shall have the following meanings:</w:t>
      </w:r>
    </w:p>
    <w:p>
      <w:pPr>
        <w:spacing w:after="0" w:line="67" w:lineRule="exact"/>
        <w:rPr>
          <w:sz w:val="20"/>
          <w:szCs w:val="20"/>
          <w:color w:val="auto"/>
        </w:rPr>
      </w:pPr>
    </w:p>
    <w:p>
      <w:pPr>
        <w:ind w:left="460" w:right="760" w:firstLine="443"/>
        <w:spacing w:after="0" w:line="239" w:lineRule="auto"/>
        <w:tabs>
          <w:tab w:leader="none" w:pos="1162"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“Affiliate” means (i) any Subsidiary or Parent, or (ii) an entity that directly or through one or more intermediaries controls, is controlled by or is under common control with, the Company, as determined by the Committee.</w:t>
      </w:r>
    </w:p>
    <w:p>
      <w:pPr>
        <w:spacing w:after="0" w:line="73" w:lineRule="exact"/>
        <w:rPr>
          <w:rFonts w:ascii="Arial" w:cs="Arial" w:eastAsia="Arial" w:hAnsi="Arial"/>
          <w:sz w:val="18"/>
          <w:szCs w:val="18"/>
          <w:color w:val="auto"/>
        </w:rPr>
      </w:pPr>
    </w:p>
    <w:p>
      <w:pPr>
        <w:ind w:left="460" w:right="80" w:firstLine="443"/>
        <w:spacing w:after="0" w:line="238" w:lineRule="auto"/>
        <w:tabs>
          <w:tab w:leader="none" w:pos="1162"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“Award” means any Option, Stock Appreciation Right, Restricted Stock, Restricted Stock Unit, Deferred Stock Unit, Performance Award, Dividend Equivalent, Other Stock-Based Award, or any other right or interest relating to Stock or cash, granted to a Participant under the Plan.</w:t>
      </w:r>
    </w:p>
    <w:p>
      <w:pPr>
        <w:spacing w:after="0" w:line="72" w:lineRule="exact"/>
        <w:rPr>
          <w:rFonts w:ascii="Arial" w:cs="Arial" w:eastAsia="Arial" w:hAnsi="Arial"/>
          <w:sz w:val="18"/>
          <w:szCs w:val="18"/>
          <w:color w:val="auto"/>
        </w:rPr>
      </w:pPr>
    </w:p>
    <w:p>
      <w:pPr>
        <w:ind w:left="460" w:right="200" w:firstLine="443"/>
        <w:spacing w:after="0" w:line="238" w:lineRule="auto"/>
        <w:tabs>
          <w:tab w:leader="none" w:pos="1152"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“Award Certificate” means a written document, in such form as the Committee prescribes from time to time, setting forth the terms and conditions of an Award. Award Certificates may be in the form of individual award agreements or certificates or a program document describing the terms and provisions of an Awards or series of Awards under the Plan.</w:t>
      </w:r>
    </w:p>
    <w:p>
      <w:pPr>
        <w:spacing w:after="0" w:line="72" w:lineRule="exact"/>
        <w:rPr>
          <w:rFonts w:ascii="Arial" w:cs="Arial" w:eastAsia="Arial" w:hAnsi="Arial"/>
          <w:sz w:val="18"/>
          <w:szCs w:val="18"/>
          <w:color w:val="auto"/>
        </w:rPr>
      </w:pPr>
    </w:p>
    <w:p>
      <w:pPr>
        <w:ind w:left="1160" w:hanging="257"/>
        <w:spacing w:after="0"/>
        <w:tabs>
          <w:tab w:leader="none" w:pos="11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“Board” means the Board of Directors of the Company.</w:t>
      </w:r>
    </w:p>
    <w:p>
      <w:pPr>
        <w:spacing w:after="0" w:line="76" w:lineRule="exact"/>
        <w:rPr>
          <w:rFonts w:ascii="Arial" w:cs="Arial" w:eastAsia="Arial" w:hAnsi="Arial"/>
          <w:sz w:val="18"/>
          <w:szCs w:val="18"/>
          <w:color w:val="auto"/>
        </w:rPr>
      </w:pPr>
    </w:p>
    <w:p>
      <w:pPr>
        <w:ind w:left="460" w:firstLine="443"/>
        <w:spacing w:after="0" w:line="235" w:lineRule="auto"/>
        <w:tabs>
          <w:tab w:leader="none" w:pos="1162"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“Cause” as a reason for a Participant’s termination of employment shall have the meaning assigned such term in the employment, severance or similar agreement, if any, between such Participant and the Company or an Affiliate, provided, however that if there is no such employment, severance or similar agreement in which such term is defined, and unless otherwise defined in the applicable Award Certificate, “Cause” shall mean any of the following acts by the Participant, as determined by the Board: gross neglect of duty, prolonged absence from duty without the consent of the Company, intentionally engaging in any activity that is in conflict with or adverse to the business or other interests of the Company, or willful misconduct, misfeasance or malfeasance of duty which is reasonably determined to be detrimental to the Company. With respect to a Participant’s termination of directorship, “Cause” means an act or failure to act that constitutes cause for removal of a director under applicable Delaware law. The determination of the Committee as to the existence of “Cause” shall be conclusive on the Participant and the Company.</w:t>
      </w:r>
    </w:p>
    <w:p>
      <w:pPr>
        <w:spacing w:after="0" w:line="80" w:lineRule="exact"/>
        <w:rPr>
          <w:rFonts w:ascii="Arial" w:cs="Arial" w:eastAsia="Arial" w:hAnsi="Arial"/>
          <w:sz w:val="18"/>
          <w:szCs w:val="18"/>
          <w:color w:val="auto"/>
        </w:rPr>
      </w:pPr>
    </w:p>
    <w:p>
      <w:pPr>
        <w:ind w:left="1120" w:hanging="217"/>
        <w:spacing w:after="0"/>
        <w:tabs>
          <w:tab w:leader="none" w:pos="11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“Change in Control” means and includes the occurrence of any one of the following events:</w:t>
      </w:r>
    </w:p>
    <w:p>
      <w:pPr>
        <w:spacing w:after="0" w:line="76" w:lineRule="exact"/>
        <w:rPr>
          <w:rFonts w:ascii="Arial" w:cs="Arial" w:eastAsia="Arial" w:hAnsi="Arial"/>
          <w:sz w:val="18"/>
          <w:szCs w:val="18"/>
          <w:color w:val="auto"/>
        </w:rPr>
      </w:pPr>
    </w:p>
    <w:p>
      <w:pPr>
        <w:ind w:left="920" w:right="80" w:firstLine="421"/>
        <w:spacing w:after="0" w:line="236" w:lineRule="auto"/>
        <w:tabs>
          <w:tab w:leader="none" w:pos="1603" w:val="left"/>
        </w:tabs>
        <w:numPr>
          <w:ilvl w:val="1"/>
          <w:numId w:val="101"/>
        </w:numPr>
        <w:rPr>
          <w:rFonts w:ascii="Arial" w:cs="Arial" w:eastAsia="Arial" w:hAnsi="Arial"/>
          <w:sz w:val="18"/>
          <w:szCs w:val="18"/>
          <w:color w:val="auto"/>
        </w:rPr>
      </w:pPr>
      <w:r>
        <w:rPr>
          <w:rFonts w:ascii="Arial" w:cs="Arial" w:eastAsia="Arial" w:hAnsi="Arial"/>
          <w:sz w:val="18"/>
          <w:szCs w:val="18"/>
          <w:color w:val="auto"/>
        </w:rPr>
        <w:t>The acquisition by any individual, entity or group (within the meaning of Section 13(d)(3) or 14(d)(2) of the 1934 Act) (a “Person”) of beneficial ownership (within the meaning of Rule 13d-3 promulgated under the 1934 Act) of 25% or more of the combined voting power of the then outstanding voting securities of the Company entitled to vote generally in the election of directors (the “Outstanding Company Voting Securities”); provided, however, that for purposes of this subsection (1), the following acquisitions shall not constitute a Change of Control: (i) any acquisition by a Person who is on the</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336"/>
        </w:trPr>
        <w:tc>
          <w:tcPr>
            <w:tcW w:w="340" w:type="dxa"/>
            <w:vAlign w:val="bottom"/>
            <w:tcBorders>
              <w:right w:val="single" w:sz="8" w:color="225CAB"/>
            </w:tcBorders>
          </w:tcPr>
          <w:p>
            <w:pPr>
              <w:jc w:val="right"/>
              <w:ind w:right="52"/>
              <w:spacing w:after="0"/>
              <w:rPr>
                <w:sz w:val="20"/>
                <w:szCs w:val="20"/>
                <w:color w:val="auto"/>
              </w:rPr>
            </w:pPr>
            <w:r>
              <w:rPr>
                <w:rFonts w:ascii="Arial" w:cs="Arial" w:eastAsia="Arial" w:hAnsi="Arial"/>
                <w:sz w:val="18"/>
                <w:szCs w:val="18"/>
                <w:b w:val="1"/>
                <w:bCs w:val="1"/>
                <w:color w:val="225CAB"/>
                <w:w w:val="89"/>
              </w:rPr>
              <w:t>60</w:t>
            </w:r>
          </w:p>
        </w:tc>
        <w:tc>
          <w:tcPr>
            <w:tcW w:w="5180" w:type="dxa"/>
            <w:vAlign w:val="bottom"/>
          </w:tcPr>
          <w:p>
            <w:pPr>
              <w:ind w:left="1240"/>
              <w:spacing w:after="0"/>
              <w:rPr>
                <w:sz w:val="20"/>
                <w:szCs w:val="20"/>
                <w:color w:val="auto"/>
              </w:rPr>
            </w:pPr>
            <w:r>
              <w:rPr>
                <w:rFonts w:ascii="Arial" w:cs="Arial" w:eastAsia="Arial" w:hAnsi="Arial"/>
                <w:sz w:val="18"/>
                <w:szCs w:val="18"/>
                <w:b w:val="1"/>
                <w:bCs w:val="1"/>
                <w:color w:val="225CAB"/>
                <w:w w:val="96"/>
              </w:rPr>
              <w:t>Roper Technologies, Inc. 2016 Proxy Statement</w:t>
            </w:r>
          </w:p>
        </w:tc>
      </w:tr>
      <w:tr>
        <w:trPr>
          <w:trHeight w:val="110"/>
        </w:trPr>
        <w:tc>
          <w:tcPr>
            <w:tcW w:w="340" w:type="dxa"/>
            <w:vAlign w:val="bottom"/>
            <w:tcBorders>
              <w:right w:val="single" w:sz="8" w:color="225CAB"/>
            </w:tcBorders>
          </w:tcPr>
          <w:p>
            <w:pPr>
              <w:spacing w:after="0"/>
              <w:rPr>
                <w:sz w:val="9"/>
                <w:szCs w:val="9"/>
                <w:color w:val="auto"/>
              </w:rPr>
            </w:pPr>
          </w:p>
        </w:tc>
        <w:tc>
          <w:tcPr>
            <w:tcW w:w="518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-248285</wp:posOffset>
            </wp:positionV>
            <wp:extent cx="420370" cy="2057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920" w:right="100"/>
        <w:spacing w:after="0" w:line="237" w:lineRule="auto"/>
        <w:rPr>
          <w:sz w:val="20"/>
          <w:szCs w:val="20"/>
          <w:color w:val="auto"/>
        </w:rPr>
      </w:pPr>
      <w:r>
        <w:rPr>
          <w:rFonts w:ascii="Arial" w:cs="Arial" w:eastAsia="Arial" w:hAnsi="Arial"/>
          <w:sz w:val="18"/>
          <w:szCs w:val="18"/>
          <w:color w:val="auto"/>
        </w:rPr>
        <w:t>Effective Date the beneficial owner of 25% or more of the Outstanding Company Voting Securities, (ii) any acquisition directly from the Company, (iii) any acquisition by the Company, (iv) any acquisition by any employee benefit plan (or related trust) sponsored or maintained by the Company or any corporation controlled by the Company, or (v) any acquisition by any corporation pursuant to a transaction which complies with clauses (i), (ii) and (iii) of subsection (3) of this definition; or</w:t>
      </w:r>
    </w:p>
    <w:p>
      <w:pPr>
        <w:spacing w:after="0" w:line="74" w:lineRule="exact"/>
        <w:rPr>
          <w:sz w:val="20"/>
          <w:szCs w:val="20"/>
          <w:color w:val="auto"/>
        </w:rPr>
      </w:pPr>
    </w:p>
    <w:p>
      <w:pPr>
        <w:ind w:left="920" w:right="60" w:firstLine="421"/>
        <w:spacing w:after="0" w:line="236" w:lineRule="auto"/>
        <w:tabs>
          <w:tab w:leader="none" w:pos="1603" w:val="left"/>
        </w:tabs>
        <w:numPr>
          <w:ilvl w:val="2"/>
          <w:numId w:val="102"/>
        </w:numPr>
        <w:rPr>
          <w:rFonts w:ascii="Arial" w:cs="Arial" w:eastAsia="Arial" w:hAnsi="Arial"/>
          <w:sz w:val="18"/>
          <w:szCs w:val="18"/>
          <w:color w:val="auto"/>
        </w:rPr>
      </w:pPr>
      <w:r>
        <w:rPr>
          <w:rFonts w:ascii="Arial" w:cs="Arial" w:eastAsia="Arial" w:hAnsi="Arial"/>
          <w:sz w:val="18"/>
          <w:szCs w:val="18"/>
          <w:color w:val="auto"/>
        </w:rPr>
        <w:t>Individuals who, as of the Effective Date, constitute the Board (the “Incumbent Board”) cease for any reason to constitute at least a majority of the Board; provided, however, that any individual becoming a director subsequent to the Effective Date whose election, or nomination for election by the Company’s shareholders,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74" w:lineRule="exact"/>
        <w:rPr>
          <w:rFonts w:ascii="Arial" w:cs="Arial" w:eastAsia="Arial" w:hAnsi="Arial"/>
          <w:sz w:val="18"/>
          <w:szCs w:val="18"/>
          <w:color w:val="auto"/>
        </w:rPr>
      </w:pPr>
    </w:p>
    <w:p>
      <w:pPr>
        <w:ind w:left="920" w:right="180" w:firstLine="421"/>
        <w:spacing w:after="0" w:line="235" w:lineRule="auto"/>
        <w:tabs>
          <w:tab w:leader="none" w:pos="1603" w:val="left"/>
        </w:tabs>
        <w:numPr>
          <w:ilvl w:val="2"/>
          <w:numId w:val="102"/>
        </w:numPr>
        <w:rPr>
          <w:rFonts w:ascii="Arial" w:cs="Arial" w:eastAsia="Arial" w:hAnsi="Arial"/>
          <w:sz w:val="18"/>
          <w:szCs w:val="18"/>
          <w:color w:val="auto"/>
        </w:rPr>
      </w:pPr>
      <w:r>
        <w:rPr>
          <w:rFonts w:ascii="Arial" w:cs="Arial" w:eastAsia="Arial" w:hAnsi="Arial"/>
          <w:sz w:val="18"/>
          <w:szCs w:val="18"/>
          <w:color w:val="auto"/>
        </w:rPr>
        <w:t>Consummation of a reorganization, merger or consolidation or sale or other disposition of all or substantially all of the assets of the Company (a “Business Combination”), in each case, unless, following such Business Combination, (i) all or substantially all of the individuals and entities who were the beneficial owners of the Outstanding Company Voting Securities immediately prior to such Business Combination beneficially own, directly or indirectly, more than 50% of the combined voting power of the then outstanding voting securities entitled to vote generally in the election of directors of the corporation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Voting Securities, and (ii) no Person (excluding any corporation resulting from such Business Combination or any employee benefit plan (or related trust) of the Company or such corporation resulting from such Business Combination) beneficially owns, directly or indirectly, 25% or more of the combined voting power of the then outstanding voting securities of such corporation except to the extent that such ownership existed prior to the Business Combination, and (iii) at least a majority of the members of the board of directors of the corporation resulting from such Business Combination were members of the Incumbent Board at the time of the execution of the initial agreement, or of the action of the Board, providing for such Business Combination.</w:t>
      </w:r>
    </w:p>
    <w:p>
      <w:pPr>
        <w:spacing w:after="0" w:line="79" w:lineRule="exact"/>
        <w:rPr>
          <w:rFonts w:ascii="Arial" w:cs="Arial" w:eastAsia="Arial" w:hAnsi="Arial"/>
          <w:sz w:val="18"/>
          <w:szCs w:val="18"/>
          <w:color w:val="auto"/>
        </w:rPr>
      </w:pPr>
    </w:p>
    <w:p>
      <w:pPr>
        <w:ind w:left="460" w:right="560" w:firstLine="443"/>
        <w:spacing w:after="0" w:line="239" w:lineRule="auto"/>
        <w:tabs>
          <w:tab w:leader="none" w:pos="1162" w:val="left"/>
        </w:tabs>
        <w:numPr>
          <w:ilvl w:val="1"/>
          <w:numId w:val="103"/>
        </w:numPr>
        <w:rPr>
          <w:rFonts w:ascii="Arial" w:cs="Arial" w:eastAsia="Arial" w:hAnsi="Arial"/>
          <w:sz w:val="18"/>
          <w:szCs w:val="18"/>
          <w:color w:val="auto"/>
        </w:rPr>
      </w:pPr>
      <w:r>
        <w:rPr>
          <w:rFonts w:ascii="Arial" w:cs="Arial" w:eastAsia="Arial" w:hAnsi="Arial"/>
          <w:sz w:val="18"/>
          <w:szCs w:val="18"/>
          <w:color w:val="auto"/>
        </w:rPr>
        <w:t>“Code” means the Internal Revenue Code of 1986, as amended from time to time, and includes a reference to any applicable regulations thereunder and any successor or similar provision.</w:t>
      </w:r>
    </w:p>
    <w:p>
      <w:pPr>
        <w:spacing w:after="0" w:line="73" w:lineRule="exact"/>
        <w:rPr>
          <w:rFonts w:ascii="Arial" w:cs="Arial" w:eastAsia="Arial" w:hAnsi="Arial"/>
          <w:sz w:val="18"/>
          <w:szCs w:val="18"/>
          <w:color w:val="auto"/>
        </w:rPr>
      </w:pPr>
    </w:p>
    <w:p>
      <w:pPr>
        <w:ind w:left="1160" w:hanging="257"/>
        <w:spacing w:after="0"/>
        <w:tabs>
          <w:tab w:leader="none" w:pos="116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“Committee” means the committee of the Board described in Article 4.</w:t>
      </w:r>
    </w:p>
    <w:p>
      <w:pPr>
        <w:spacing w:after="0" w:line="76" w:lineRule="exact"/>
        <w:rPr>
          <w:rFonts w:ascii="Arial" w:cs="Arial" w:eastAsia="Arial" w:hAnsi="Arial"/>
          <w:sz w:val="18"/>
          <w:szCs w:val="18"/>
          <w:color w:val="auto"/>
        </w:rPr>
      </w:pPr>
    </w:p>
    <w:p>
      <w:pPr>
        <w:ind w:left="460" w:right="80" w:firstLine="443"/>
        <w:spacing w:after="0" w:line="264" w:lineRule="auto"/>
        <w:tabs>
          <w:tab w:leader="none" w:pos="1103" w:val="left"/>
        </w:tabs>
        <w:numPr>
          <w:ilvl w:val="1"/>
          <w:numId w:val="103"/>
        </w:numPr>
        <w:rPr>
          <w:rFonts w:ascii="Arial" w:cs="Arial" w:eastAsia="Arial" w:hAnsi="Arial"/>
          <w:sz w:val="16"/>
          <w:szCs w:val="16"/>
          <w:color w:val="auto"/>
        </w:rPr>
      </w:pPr>
      <w:r>
        <w:rPr>
          <w:rFonts w:ascii="Arial" w:cs="Arial" w:eastAsia="Arial" w:hAnsi="Arial"/>
          <w:sz w:val="16"/>
          <w:szCs w:val="16"/>
          <w:color w:val="auto"/>
        </w:rPr>
        <w:t>“Continuous Status as a Participant” means the absence of any interruption or termination of service as an employee, officer, consultant or director of the Company or any Affiliate, as applicable; provided, however, that for purposes of an Incentive Stock Option “Continuous Status as a Participant” means the absence of any interruption or termination of service as an employee of the Company or any Parent or Subsidiary, as applicable, pursuant to applicable tax regulations. Continuous Status as a Participant shall not be considered interrupted in any of the following cases: (i) a Participant transfers employment between the Company and an Affiliate or between Affiliates,</w:t>
      </w:r>
    </w:p>
    <w:p>
      <w:pPr>
        <w:ind w:left="460" w:right="20" w:firstLine="4"/>
        <w:spacing w:after="0" w:line="235" w:lineRule="auto"/>
        <w:tabs>
          <w:tab w:leader="none" w:pos="704"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 the discretion of the Committee as specified at or prior to such occurrence, in the case of a spin-off, sale or disposition of the Participant’s employer from the Company or any Affiliate, (iii) unless otherwise determined by the Committee at the time of any such change, a Participant’s change in status among employee, director or consultant of the Company or an Affiliate, (iv) a Participant’s short-term disability, or (v) a Participant’s leave of absence authorized in writing by the Company prior to its commencement; provided, however, that for purposes of Incentive Stock Options, if any such leave exceeds 90 days, and the Participant’s reemployment upon expiration of such leave is not guaranteed by statute or contract, then on the 91st day of such leave any Incentive Stock Option held by the Participant shall cease to be treated as an Incentive Stock Option and shall be treated for tax purposes as a Nonstatutory Stock Option. Whether military, government or other service or other leave of absence shall constitute a termination of Continuous Status as a Participant shall be determined in each case by the Committee at its discretion, and any determination by the Committee shall be final and conclusive; provided, however, that for purposes of any Award that is subject to Code Section 409A, the determination of a leave of absence must comply with the requirements of a “bona fide leave of absence” as provided in Treas. Reg. Section 1.409A-1(h).</w:t>
      </w:r>
    </w:p>
    <w:p>
      <w:pPr>
        <w:spacing w:after="0" w:line="144" w:lineRule="exact"/>
        <w:rPr>
          <w:sz w:val="20"/>
          <w:szCs w:val="20"/>
          <w:color w:val="auto"/>
        </w:rPr>
      </w:pPr>
    </w:p>
    <w:tbl>
      <w:tblPr>
        <w:tblLayout w:type="fixed"/>
        <w:tblInd w:w="6900" w:type="dxa"/>
        <w:tblCellMar>
          <w:top w:w="0" w:type="dxa"/>
          <w:left w:w="0" w:type="dxa"/>
          <w:bottom w:w="0" w:type="dxa"/>
          <w:right w:w="0" w:type="dxa"/>
        </w:tblCellMar>
      </w:tblPr>
      <w:tr>
        <w:trPr>
          <w:trHeight w:val="309"/>
        </w:trPr>
        <w:tc>
          <w:tcPr>
            <w:tcW w:w="4080" w:type="dxa"/>
            <w:vAlign w:val="bottom"/>
            <w:tcBorders>
              <w:right w:val="single" w:sz="8" w:color="225CAB"/>
            </w:tcBorders>
          </w:tcPr>
          <w:p>
            <w:pPr>
              <w:spacing w:after="0"/>
              <w:rPr>
                <w:sz w:val="20"/>
                <w:szCs w:val="20"/>
                <w:color w:val="auto"/>
              </w:rPr>
            </w:pPr>
            <w:r>
              <w:rPr>
                <w:rFonts w:ascii="Arial" w:cs="Arial" w:eastAsia="Arial" w:hAnsi="Arial"/>
                <w:sz w:val="18"/>
                <w:szCs w:val="18"/>
                <w:b w:val="1"/>
                <w:bCs w:val="1"/>
                <w:color w:val="225CAB"/>
                <w:w w:val="99"/>
              </w:rPr>
              <w:t>Roper Technologies, Inc. 2016 Proxy Statement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225CAB"/>
              </w:rPr>
              <w:t>61</w:t>
            </w:r>
          </w:p>
        </w:tc>
      </w:tr>
      <w:tr>
        <w:trPr>
          <w:trHeight w:val="83"/>
        </w:trPr>
        <w:tc>
          <w:tcPr>
            <w:tcW w:w="4080" w:type="dxa"/>
            <w:vAlign w:val="bottom"/>
            <w:tcBorders>
              <w:right w:val="single" w:sz="8" w:color="225CAB"/>
            </w:tcBorders>
          </w:tcPr>
          <w:p>
            <w:pPr>
              <w:spacing w:after="0"/>
              <w:rPr>
                <w:sz w:val="7"/>
                <w:szCs w:val="7"/>
                <w:color w:val="auto"/>
              </w:rPr>
            </w:pPr>
          </w:p>
        </w:tc>
        <w:tc>
          <w:tcPr>
            <w:tcW w:w="44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-213995</wp:posOffset>
            </wp:positionV>
            <wp:extent cx="420370" cy="2057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100" w:hanging="197"/>
        <w:spacing w:after="0"/>
        <w:tabs>
          <w:tab w:leader="none" w:pos="11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“Covered Employee” means a covered employee as defined in Code Section 162(m)(3).</w:t>
      </w:r>
    </w:p>
    <w:p>
      <w:pPr>
        <w:spacing w:after="0" w:line="76" w:lineRule="exact"/>
        <w:rPr>
          <w:rFonts w:ascii="Arial" w:cs="Arial" w:eastAsia="Arial" w:hAnsi="Arial"/>
          <w:sz w:val="18"/>
          <w:szCs w:val="18"/>
          <w:color w:val="auto"/>
        </w:rPr>
      </w:pPr>
    </w:p>
    <w:p>
      <w:pPr>
        <w:ind w:left="460" w:right="260" w:firstLine="443"/>
        <w:spacing w:after="0" w:line="238" w:lineRule="auto"/>
        <w:tabs>
          <w:tab w:leader="none" w:pos="1152" w:val="left"/>
        </w:tabs>
        <w:numPr>
          <w:ilvl w:val="0"/>
          <w:numId w:val="105"/>
        </w:numPr>
        <w:rPr>
          <w:rFonts w:ascii="Arial" w:cs="Arial" w:eastAsia="Arial" w:hAnsi="Arial"/>
          <w:sz w:val="18"/>
          <w:szCs w:val="18"/>
          <w:color w:val="auto"/>
        </w:rPr>
      </w:pPr>
      <w:r>
        <w:rPr>
          <w:rFonts w:ascii="Arial" w:cs="Arial" w:eastAsia="Arial" w:hAnsi="Arial"/>
          <w:sz w:val="18"/>
          <w:szCs w:val="18"/>
          <w:color w:val="auto"/>
        </w:rPr>
        <w:t>“Deferred Stock Unit” means a right granted to a Participant under Article 10 to receive Shares (or the equivalent value in cash or other property if the Committee so provides) at a future time as determined by the Committee, or as determined by the Participant within guidelines established by the Committee in the case of voluntary deferral elections.</w:t>
      </w:r>
    </w:p>
    <w:p>
      <w:pPr>
        <w:spacing w:after="0" w:line="72" w:lineRule="exact"/>
        <w:rPr>
          <w:rFonts w:ascii="Arial" w:cs="Arial" w:eastAsia="Arial" w:hAnsi="Arial"/>
          <w:sz w:val="18"/>
          <w:szCs w:val="18"/>
          <w:color w:val="auto"/>
        </w:rPr>
      </w:pPr>
    </w:p>
    <w:p>
      <w:pPr>
        <w:ind w:left="460" w:right="40" w:firstLine="443"/>
        <w:spacing w:after="0" w:line="236" w:lineRule="auto"/>
        <w:tabs>
          <w:tab w:leader="none" w:pos="1103" w:val="left"/>
        </w:tabs>
        <w:numPr>
          <w:ilvl w:val="0"/>
          <w:numId w:val="105"/>
        </w:numPr>
        <w:rPr>
          <w:rFonts w:ascii="Arial" w:cs="Arial" w:eastAsia="Arial" w:hAnsi="Arial"/>
          <w:sz w:val="18"/>
          <w:szCs w:val="18"/>
          <w:color w:val="auto"/>
        </w:rPr>
      </w:pPr>
      <w:r>
        <w:rPr>
          <w:rFonts w:ascii="Arial" w:cs="Arial" w:eastAsia="Arial" w:hAnsi="Arial"/>
          <w:sz w:val="18"/>
          <w:szCs w:val="18"/>
          <w:color w:val="auto"/>
        </w:rPr>
        <w:t>“Disability” of a Participant means that the Participant (i) is unable to engage in any substantial gainful activity by reason of any medically determinable physical or mental impairment which can be expected to result in death or can be expected to last for a continuous period of not less than 12 months, or (ii) is, by reason of any medically determinable physical or mental impairment which can be expected to result in death or can be expected to last for a continuous period of not less than 12 months, receiving income replacement benefits for a period of not less than 3 months under an accident and health plan covering employees of the Participant’s employer. If the determination of Disability relates to an Incentive Stock Option, Disability means that condition described in Section 22(e)(3) of the Code. In the event of a dispute, the determination of whether a Participant is Disabled will be made by the Committee and may be supported by the advice of a physician competent in the area to which such Disability relates.</w:t>
      </w:r>
    </w:p>
    <w:p>
      <w:pPr>
        <w:spacing w:after="0" w:line="73" w:lineRule="exact"/>
        <w:rPr>
          <w:rFonts w:ascii="Arial" w:cs="Arial" w:eastAsia="Arial" w:hAnsi="Arial"/>
          <w:sz w:val="18"/>
          <w:szCs w:val="18"/>
          <w:color w:val="auto"/>
        </w:rPr>
      </w:pPr>
    </w:p>
    <w:p>
      <w:pPr>
        <w:ind w:left="1220" w:hanging="317"/>
        <w:spacing w:after="0"/>
        <w:tabs>
          <w:tab w:leader="none" w:pos="12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“Dividend Equivalent” means a right granted to a Participant under Article 12.</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“Effective Date” has the meaning assigned such term in Section 3.1.</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“Eligible Participant” means an employee, officer, consultant or director of the Company or any Affiliate.</w:t>
      </w:r>
    </w:p>
    <w:p>
      <w:pPr>
        <w:spacing w:after="0" w:line="76" w:lineRule="exact"/>
        <w:rPr>
          <w:rFonts w:ascii="Arial" w:cs="Arial" w:eastAsia="Arial" w:hAnsi="Arial"/>
          <w:sz w:val="18"/>
          <w:szCs w:val="18"/>
          <w:color w:val="auto"/>
        </w:rPr>
      </w:pPr>
    </w:p>
    <w:p>
      <w:pPr>
        <w:ind w:left="460" w:right="80" w:firstLine="443"/>
        <w:spacing w:after="0" w:line="239" w:lineRule="auto"/>
        <w:tabs>
          <w:tab w:leader="none" w:pos="1162"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“Exchange” means the New York Stock Exchange or any national securities exchange on which the Stock may from time to time be listed or traded.</w:t>
      </w:r>
    </w:p>
    <w:p>
      <w:pPr>
        <w:spacing w:after="0" w:line="73" w:lineRule="exact"/>
        <w:rPr>
          <w:rFonts w:ascii="Arial" w:cs="Arial" w:eastAsia="Arial" w:hAnsi="Arial"/>
          <w:sz w:val="18"/>
          <w:szCs w:val="18"/>
          <w:color w:val="auto"/>
        </w:rPr>
      </w:pPr>
    </w:p>
    <w:p>
      <w:pPr>
        <w:ind w:left="460" w:right="40" w:firstLine="443"/>
        <w:spacing w:after="0" w:line="236" w:lineRule="auto"/>
        <w:tabs>
          <w:tab w:leader="none" w:pos="1162" w:val="left"/>
        </w:tabs>
        <w:numPr>
          <w:ilvl w:val="0"/>
          <w:numId w:val="105"/>
        </w:numPr>
        <w:rPr>
          <w:rFonts w:ascii="Arial" w:cs="Arial" w:eastAsia="Arial" w:hAnsi="Arial"/>
          <w:sz w:val="18"/>
          <w:szCs w:val="18"/>
          <w:color w:val="auto"/>
        </w:rPr>
      </w:pPr>
      <w:r>
        <w:rPr>
          <w:rFonts w:ascii="Arial" w:cs="Arial" w:eastAsia="Arial" w:hAnsi="Arial"/>
          <w:sz w:val="18"/>
          <w:szCs w:val="18"/>
          <w:color w:val="auto"/>
        </w:rPr>
        <w:t>“Fair Market Value” means, on any date, (i) if the Stock is listed on a securities exchange, the closing sales price on the principal such exchange on such date or, in the absence of reported sales on such date, the closing price on the immediately preceding date on which sales were reported, (ii) if the Stock is not listed on a securities exchange, the mean between the bid and offered prices of the Stock as quoted by the applicable interdealer quotation system for such date, or (iii) fair market value as determined by such other method as the Committee determines in good faith to be reasonable.</w:t>
      </w:r>
    </w:p>
    <w:p>
      <w:pPr>
        <w:spacing w:after="0" w:line="76" w:lineRule="exact"/>
        <w:rPr>
          <w:rFonts w:ascii="Arial" w:cs="Arial" w:eastAsia="Arial" w:hAnsi="Arial"/>
          <w:sz w:val="18"/>
          <w:szCs w:val="18"/>
          <w:color w:val="auto"/>
        </w:rPr>
      </w:pPr>
    </w:p>
    <w:p>
      <w:pPr>
        <w:ind w:left="460" w:firstLine="443"/>
        <w:spacing w:after="0" w:line="239" w:lineRule="auto"/>
        <w:tabs>
          <w:tab w:leader="none" w:pos="1122" w:val="left"/>
        </w:tabs>
        <w:numPr>
          <w:ilvl w:val="0"/>
          <w:numId w:val="105"/>
        </w:numPr>
        <w:rPr>
          <w:rFonts w:ascii="Arial" w:cs="Arial" w:eastAsia="Arial" w:hAnsi="Arial"/>
          <w:sz w:val="18"/>
          <w:szCs w:val="18"/>
          <w:color w:val="auto"/>
        </w:rPr>
      </w:pPr>
      <w:r>
        <w:rPr>
          <w:rFonts w:ascii="Arial" w:cs="Arial" w:eastAsia="Arial" w:hAnsi="Arial"/>
          <w:sz w:val="18"/>
          <w:szCs w:val="18"/>
          <w:color w:val="auto"/>
        </w:rPr>
        <w:t>“Full-Value Award” means any Award other than an Option or SAR, and which is settled by the issuance of Stock (or at the discretion of the Committee, settled in cash valued by reference to Stock value).</w:t>
      </w:r>
    </w:p>
    <w:p>
      <w:pPr>
        <w:spacing w:after="0" w:line="69" w:lineRule="exact"/>
        <w:rPr>
          <w:rFonts w:ascii="Arial" w:cs="Arial" w:eastAsia="Arial" w:hAnsi="Arial"/>
          <w:sz w:val="18"/>
          <w:szCs w:val="18"/>
          <w:color w:val="auto"/>
        </w:rPr>
      </w:pPr>
    </w:p>
    <w:p>
      <w:pPr>
        <w:ind w:left="1160" w:hanging="257"/>
        <w:spacing w:after="0"/>
        <w:tabs>
          <w:tab w:leader="none" w:pos="11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“Good Reason” has the meaning assigned such term in an employment, severance or similar agreement, if any, between a</w:t>
      </w:r>
    </w:p>
    <w:p>
      <w:pPr>
        <w:jc w:val="both"/>
        <w:ind w:left="460" w:right="40"/>
        <w:spacing w:after="0" w:line="238" w:lineRule="auto"/>
        <w:rPr>
          <w:rFonts w:ascii="Arial" w:cs="Arial" w:eastAsia="Arial" w:hAnsi="Arial"/>
          <w:sz w:val="18"/>
          <w:szCs w:val="18"/>
          <w:color w:val="auto"/>
        </w:rPr>
      </w:pPr>
      <w:r>
        <w:rPr>
          <w:rFonts w:ascii="Arial" w:cs="Arial" w:eastAsia="Arial" w:hAnsi="Arial"/>
          <w:sz w:val="18"/>
          <w:szCs w:val="18"/>
          <w:color w:val="auto"/>
        </w:rPr>
        <w:t>Participant and the Company or an Affiliate; provided, however, that if there is no such employment, severance or similar agreement in which such term is defined, “Good Reason” shall have the meaning, if any, given such term in the applicable Award Certificate. If not defined in any such document, the term “Good Reason” as used herein shall not apply to a particular Award.</w:t>
      </w:r>
    </w:p>
    <w:p>
      <w:pPr>
        <w:spacing w:after="0" w:line="72" w:lineRule="exact"/>
        <w:rPr>
          <w:rFonts w:ascii="Arial" w:cs="Arial" w:eastAsia="Arial" w:hAnsi="Arial"/>
          <w:sz w:val="18"/>
          <w:szCs w:val="18"/>
          <w:color w:val="auto"/>
        </w:rPr>
      </w:pPr>
    </w:p>
    <w:p>
      <w:pPr>
        <w:ind w:left="460" w:right="280" w:firstLine="443"/>
        <w:spacing w:after="0" w:line="238" w:lineRule="auto"/>
        <w:tabs>
          <w:tab w:leader="none" w:pos="1113" w:val="left"/>
        </w:tabs>
        <w:numPr>
          <w:ilvl w:val="0"/>
          <w:numId w:val="105"/>
        </w:numPr>
        <w:rPr>
          <w:rFonts w:ascii="Arial" w:cs="Arial" w:eastAsia="Arial" w:hAnsi="Arial"/>
          <w:sz w:val="18"/>
          <w:szCs w:val="18"/>
          <w:color w:val="auto"/>
        </w:rPr>
      </w:pPr>
      <w:r>
        <w:rPr>
          <w:rFonts w:ascii="Arial" w:cs="Arial" w:eastAsia="Arial" w:hAnsi="Arial"/>
          <w:sz w:val="18"/>
          <w:szCs w:val="18"/>
          <w:color w:val="auto"/>
        </w:rPr>
        <w:t>“Grant Date” of an Award means the first date on which all necessary corporate action has been taken to approve the grant of the Award as provided in the Plan, or such later date as is determined and specified as part of that authorization process. Notice of the grant shall be provided to the grantee within a reasonable time after the Grant Date.</w:t>
      </w:r>
    </w:p>
    <w:p>
      <w:pPr>
        <w:spacing w:after="0" w:line="68" w:lineRule="exact"/>
        <w:rPr>
          <w:rFonts w:ascii="Arial" w:cs="Arial" w:eastAsia="Arial" w:hAnsi="Arial"/>
          <w:sz w:val="18"/>
          <w:szCs w:val="18"/>
          <w:color w:val="auto"/>
        </w:rPr>
      </w:pPr>
    </w:p>
    <w:p>
      <w:pPr>
        <w:ind w:left="1160" w:hanging="257"/>
        <w:spacing w:after="0"/>
        <w:tabs>
          <w:tab w:leader="none" w:pos="11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“Incentive Stock Option” means an Option that is intended to be an incentive stock option and meets the requirements of</w:t>
      </w:r>
    </w:p>
    <w:p>
      <w:pPr>
        <w:ind w:left="460"/>
        <w:spacing w:after="0"/>
        <w:rPr>
          <w:sz w:val="20"/>
          <w:szCs w:val="20"/>
          <w:color w:val="auto"/>
        </w:rPr>
      </w:pPr>
      <w:r>
        <w:rPr>
          <w:rFonts w:ascii="Arial" w:cs="Arial" w:eastAsia="Arial" w:hAnsi="Arial"/>
          <w:sz w:val="18"/>
          <w:szCs w:val="18"/>
          <w:color w:val="auto"/>
        </w:rPr>
        <w:t>Section 422 of the Code or any successor provision thereto.</w:t>
      </w:r>
    </w:p>
    <w:p>
      <w:pPr>
        <w:spacing w:after="0" w:line="77" w:lineRule="exact"/>
        <w:rPr>
          <w:sz w:val="20"/>
          <w:szCs w:val="20"/>
          <w:color w:val="auto"/>
        </w:rPr>
      </w:pPr>
    </w:p>
    <w:p>
      <w:pPr>
        <w:ind w:left="460" w:right="80" w:firstLine="443"/>
        <w:spacing w:after="0" w:line="239" w:lineRule="auto"/>
        <w:tabs>
          <w:tab w:leader="none" w:pos="1152"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“Independent Directors” means those members of the Board of Directors who qualify at any given time as an “independent” director under the applicable rules of each Exchange on which the Shares are listed.</w:t>
      </w:r>
    </w:p>
    <w:p>
      <w:pPr>
        <w:spacing w:after="0" w:line="73" w:lineRule="exact"/>
        <w:rPr>
          <w:rFonts w:ascii="Arial" w:cs="Arial" w:eastAsia="Arial" w:hAnsi="Arial"/>
          <w:sz w:val="18"/>
          <w:szCs w:val="18"/>
          <w:color w:val="auto"/>
        </w:rPr>
      </w:pPr>
    </w:p>
    <w:p>
      <w:pPr>
        <w:ind w:left="1200" w:hanging="297"/>
        <w:spacing w:after="0"/>
        <w:tabs>
          <w:tab w:leader="none" w:pos="12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“Non-Employee Director” means a director of the Company who is not a common law employee of the Company or an Affiliate.</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“Nonstatutory Stock Option” means an Option that is not an Incentive Stock Option.</w:t>
      </w:r>
    </w:p>
    <w:p>
      <w:pPr>
        <w:spacing w:after="0" w:line="76" w:lineRule="exact"/>
        <w:rPr>
          <w:rFonts w:ascii="Arial" w:cs="Arial" w:eastAsia="Arial" w:hAnsi="Arial"/>
          <w:sz w:val="18"/>
          <w:szCs w:val="18"/>
          <w:color w:val="auto"/>
        </w:rPr>
      </w:pPr>
    </w:p>
    <w:p>
      <w:pPr>
        <w:ind w:left="460" w:right="340" w:firstLine="443"/>
        <w:spacing w:after="0" w:line="239" w:lineRule="auto"/>
        <w:tabs>
          <w:tab w:leader="none" w:pos="1152" w:val="left"/>
        </w:tabs>
        <w:numPr>
          <w:ilvl w:val="0"/>
          <w:numId w:val="106"/>
        </w:numPr>
        <w:rPr>
          <w:rFonts w:ascii="Arial" w:cs="Arial" w:eastAsia="Arial" w:hAnsi="Arial"/>
          <w:sz w:val="18"/>
          <w:szCs w:val="18"/>
          <w:color w:val="auto"/>
        </w:rPr>
      </w:pPr>
      <w:r>
        <w:rPr>
          <w:rFonts w:ascii="Arial" w:cs="Arial" w:eastAsia="Arial" w:hAnsi="Arial"/>
          <w:sz w:val="18"/>
          <w:szCs w:val="18"/>
          <w:color w:val="auto"/>
        </w:rPr>
        <w:t>“Option” means a right granted to a Participant under Article 7 of the Plan to purchase Stock at a specified price during specified time periods. An Option may be either an Incentive Stock Option or a Nonstatutory Stock Option.</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336"/>
        </w:trPr>
        <w:tc>
          <w:tcPr>
            <w:tcW w:w="340" w:type="dxa"/>
            <w:vAlign w:val="bottom"/>
            <w:tcBorders>
              <w:right w:val="single" w:sz="8" w:color="225CAB"/>
            </w:tcBorders>
          </w:tcPr>
          <w:p>
            <w:pPr>
              <w:jc w:val="right"/>
              <w:ind w:right="52"/>
              <w:spacing w:after="0"/>
              <w:rPr>
                <w:sz w:val="20"/>
                <w:szCs w:val="20"/>
                <w:color w:val="auto"/>
              </w:rPr>
            </w:pPr>
            <w:r>
              <w:rPr>
                <w:rFonts w:ascii="Arial" w:cs="Arial" w:eastAsia="Arial" w:hAnsi="Arial"/>
                <w:sz w:val="18"/>
                <w:szCs w:val="18"/>
                <w:b w:val="1"/>
                <w:bCs w:val="1"/>
                <w:color w:val="225CAB"/>
                <w:w w:val="89"/>
              </w:rPr>
              <w:t>62</w:t>
            </w:r>
          </w:p>
        </w:tc>
        <w:tc>
          <w:tcPr>
            <w:tcW w:w="5180" w:type="dxa"/>
            <w:vAlign w:val="bottom"/>
          </w:tcPr>
          <w:p>
            <w:pPr>
              <w:ind w:left="1240"/>
              <w:spacing w:after="0"/>
              <w:rPr>
                <w:sz w:val="20"/>
                <w:szCs w:val="20"/>
                <w:color w:val="auto"/>
              </w:rPr>
            </w:pPr>
            <w:r>
              <w:rPr>
                <w:rFonts w:ascii="Arial" w:cs="Arial" w:eastAsia="Arial" w:hAnsi="Arial"/>
                <w:sz w:val="18"/>
                <w:szCs w:val="18"/>
                <w:b w:val="1"/>
                <w:bCs w:val="1"/>
                <w:color w:val="225CAB"/>
                <w:w w:val="96"/>
              </w:rPr>
              <w:t>Roper Technologies, Inc. 2016 Proxy Statement</w:t>
            </w:r>
          </w:p>
        </w:tc>
      </w:tr>
      <w:tr>
        <w:trPr>
          <w:trHeight w:val="110"/>
        </w:trPr>
        <w:tc>
          <w:tcPr>
            <w:tcW w:w="340" w:type="dxa"/>
            <w:vAlign w:val="bottom"/>
            <w:tcBorders>
              <w:right w:val="single" w:sz="8" w:color="225CAB"/>
            </w:tcBorders>
          </w:tcPr>
          <w:p>
            <w:pPr>
              <w:spacing w:after="0"/>
              <w:rPr>
                <w:sz w:val="9"/>
                <w:szCs w:val="9"/>
                <w:color w:val="auto"/>
              </w:rPr>
            </w:pPr>
          </w:p>
        </w:tc>
        <w:tc>
          <w:tcPr>
            <w:tcW w:w="518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-248285</wp:posOffset>
            </wp:positionV>
            <wp:extent cx="420370" cy="2057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60" w:right="20" w:firstLine="443"/>
        <w:spacing w:after="0" w:line="239" w:lineRule="auto"/>
        <w:tabs>
          <w:tab w:leader="none" w:pos="1152" w:val="left"/>
        </w:tabs>
        <w:numPr>
          <w:ilvl w:val="0"/>
          <w:numId w:val="107"/>
        </w:numPr>
        <w:rPr>
          <w:rFonts w:ascii="Arial" w:cs="Arial" w:eastAsia="Arial" w:hAnsi="Arial"/>
          <w:sz w:val="18"/>
          <w:szCs w:val="18"/>
          <w:color w:val="auto"/>
        </w:rPr>
      </w:pPr>
      <w:r>
        <w:rPr>
          <w:rFonts w:ascii="Arial" w:cs="Arial" w:eastAsia="Arial" w:hAnsi="Arial"/>
          <w:sz w:val="18"/>
          <w:szCs w:val="18"/>
          <w:color w:val="auto"/>
        </w:rPr>
        <w:t>“Other Stock-Based Award” means a right, granted to a Participant under Article 13, that relates to or is valued by reference to Stock or other Awards relating to Stock.</w:t>
      </w:r>
    </w:p>
    <w:p>
      <w:pPr>
        <w:spacing w:after="0" w:line="74" w:lineRule="exact"/>
        <w:rPr>
          <w:sz w:val="20"/>
          <w:szCs w:val="20"/>
          <w:color w:val="auto"/>
        </w:rPr>
      </w:pPr>
    </w:p>
    <w:p>
      <w:pPr>
        <w:ind w:left="460" w:right="20" w:firstLine="443"/>
        <w:spacing w:after="0" w:line="238" w:lineRule="auto"/>
        <w:tabs>
          <w:tab w:leader="none" w:pos="1259" w:val="left"/>
        </w:tabs>
        <w:numPr>
          <w:ilvl w:val="1"/>
          <w:numId w:val="108"/>
        </w:numPr>
        <w:rPr>
          <w:rFonts w:ascii="Arial" w:cs="Arial" w:eastAsia="Arial" w:hAnsi="Arial"/>
          <w:sz w:val="18"/>
          <w:szCs w:val="18"/>
          <w:color w:val="auto"/>
        </w:rPr>
      </w:pPr>
      <w:r>
        <w:rPr>
          <w:rFonts w:ascii="Arial" w:cs="Arial" w:eastAsia="Arial" w:hAnsi="Arial"/>
          <w:sz w:val="18"/>
          <w:szCs w:val="18"/>
          <w:color w:val="auto"/>
        </w:rPr>
        <w:t>“Parent” means a corporation, limited liability company, partnership or other entity which owns or beneficially owns a majority of the outstanding voting stock or voting power of the Company. Notwithstanding the above, with respect to an Incentive Stock Option, Parent shall have the meaning set forth in Section 424(e) of the Code.</w:t>
      </w:r>
    </w:p>
    <w:p>
      <w:pPr>
        <w:spacing w:after="0" w:line="72" w:lineRule="exact"/>
        <w:rPr>
          <w:rFonts w:ascii="Arial" w:cs="Arial" w:eastAsia="Arial" w:hAnsi="Arial"/>
          <w:sz w:val="18"/>
          <w:szCs w:val="18"/>
          <w:color w:val="auto"/>
        </w:rPr>
      </w:pPr>
    </w:p>
    <w:p>
      <w:pPr>
        <w:ind w:left="460" w:right="140" w:firstLine="443"/>
        <w:spacing w:after="0" w:line="238" w:lineRule="auto"/>
        <w:tabs>
          <w:tab w:leader="none" w:pos="1259" w:val="left"/>
        </w:tabs>
        <w:numPr>
          <w:ilvl w:val="1"/>
          <w:numId w:val="108"/>
        </w:numPr>
        <w:rPr>
          <w:rFonts w:ascii="Arial" w:cs="Arial" w:eastAsia="Arial" w:hAnsi="Arial"/>
          <w:sz w:val="18"/>
          <w:szCs w:val="18"/>
          <w:color w:val="auto"/>
        </w:rPr>
      </w:pPr>
      <w:r>
        <w:rPr>
          <w:rFonts w:ascii="Arial" w:cs="Arial" w:eastAsia="Arial" w:hAnsi="Arial"/>
          <w:sz w:val="18"/>
          <w:szCs w:val="18"/>
          <w:color w:val="auto"/>
        </w:rPr>
        <w:t>“Participant” means an Eligible Participant who has been granted an Award under the Plan; provided that in the case of the death of a Participant, the term “Participant” refers to a beneficiary designated pursuant to Section 14.4 or the legal guardian or other legal representative acting in a fiduciary capacity on behalf of the Participant under applicable state law and court supervision.</w:t>
      </w:r>
    </w:p>
    <w:p>
      <w:pPr>
        <w:spacing w:after="0" w:line="72" w:lineRule="exact"/>
        <w:rPr>
          <w:rFonts w:ascii="Arial" w:cs="Arial" w:eastAsia="Arial" w:hAnsi="Arial"/>
          <w:sz w:val="18"/>
          <w:szCs w:val="18"/>
          <w:color w:val="auto"/>
        </w:rPr>
      </w:pPr>
    </w:p>
    <w:p>
      <w:pPr>
        <w:ind w:left="1240" w:hanging="337"/>
        <w:spacing w:after="0"/>
        <w:tabs>
          <w:tab w:leader="none" w:pos="124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“Performance Award” means an Award granted pursuant to Article 9.</w:t>
      </w:r>
    </w:p>
    <w:p>
      <w:pPr>
        <w:spacing w:after="0" w:line="76" w:lineRule="exact"/>
        <w:rPr>
          <w:rFonts w:ascii="Arial" w:cs="Arial" w:eastAsia="Arial" w:hAnsi="Arial"/>
          <w:sz w:val="18"/>
          <w:szCs w:val="18"/>
          <w:color w:val="auto"/>
        </w:rPr>
      </w:pPr>
    </w:p>
    <w:p>
      <w:pPr>
        <w:ind w:left="1260" w:hanging="357"/>
        <w:spacing w:after="0"/>
        <w:tabs>
          <w:tab w:leader="none" w:pos="1260" w:val="left"/>
        </w:tabs>
        <w:numPr>
          <w:ilvl w:val="1"/>
          <w:numId w:val="108"/>
        </w:numPr>
        <w:rPr>
          <w:rFonts w:ascii="Arial" w:cs="Arial" w:eastAsia="Arial" w:hAnsi="Arial"/>
          <w:sz w:val="16"/>
          <w:szCs w:val="16"/>
          <w:color w:val="auto"/>
        </w:rPr>
      </w:pPr>
      <w:r>
        <w:rPr>
          <w:rFonts w:ascii="Arial" w:cs="Arial" w:eastAsia="Arial" w:hAnsi="Arial"/>
          <w:sz w:val="16"/>
          <w:szCs w:val="16"/>
          <w:color w:val="auto"/>
        </w:rPr>
        <w:t>“Person” means any individual, entity or group, within the meaning of Section 3(a)(9) of the 1934 Act and as used in Section 13(d)</w:t>
      </w:r>
    </w:p>
    <w:p>
      <w:pPr>
        <w:spacing w:after="0" w:line="18" w:lineRule="exact"/>
        <w:rPr>
          <w:rFonts w:ascii="Arial" w:cs="Arial" w:eastAsia="Arial" w:hAnsi="Arial"/>
          <w:sz w:val="16"/>
          <w:szCs w:val="16"/>
          <w:color w:val="auto"/>
        </w:rPr>
      </w:pPr>
    </w:p>
    <w:p>
      <w:pPr>
        <w:ind w:left="720" w:hanging="256"/>
        <w:spacing w:after="0"/>
        <w:tabs>
          <w:tab w:leader="none" w:pos="7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or 14(d)(2) of the 1934 Act.</w:t>
      </w:r>
    </w:p>
    <w:p>
      <w:pPr>
        <w:spacing w:after="0" w:line="76" w:lineRule="exact"/>
        <w:rPr>
          <w:rFonts w:ascii="Arial" w:cs="Arial" w:eastAsia="Arial" w:hAnsi="Arial"/>
          <w:sz w:val="18"/>
          <w:szCs w:val="18"/>
          <w:color w:val="auto"/>
        </w:rPr>
      </w:pPr>
    </w:p>
    <w:p>
      <w:pPr>
        <w:ind w:left="1260" w:hanging="357"/>
        <w:spacing w:after="0"/>
        <w:tabs>
          <w:tab w:leader="none" w:pos="126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“Prior Plan” means the Roper Technologies, Inc. Amended and Restated 2006 Incentive Plan.</w:t>
      </w:r>
    </w:p>
    <w:p>
      <w:pPr>
        <w:spacing w:after="0" w:line="76" w:lineRule="exact"/>
        <w:rPr>
          <w:rFonts w:ascii="Arial" w:cs="Arial" w:eastAsia="Arial" w:hAnsi="Arial"/>
          <w:sz w:val="18"/>
          <w:szCs w:val="18"/>
          <w:color w:val="auto"/>
        </w:rPr>
      </w:pPr>
    </w:p>
    <w:p>
      <w:pPr>
        <w:ind w:left="460" w:right="60" w:firstLine="443"/>
        <w:spacing w:after="0" w:line="238" w:lineRule="auto"/>
        <w:tabs>
          <w:tab w:leader="none" w:pos="1158" w:val="left"/>
        </w:tabs>
        <w:numPr>
          <w:ilvl w:val="1"/>
          <w:numId w:val="109"/>
        </w:numPr>
        <w:rPr>
          <w:rFonts w:ascii="Arial" w:cs="Arial" w:eastAsia="Arial" w:hAnsi="Arial"/>
          <w:sz w:val="18"/>
          <w:szCs w:val="18"/>
          <w:color w:val="auto"/>
        </w:rPr>
      </w:pPr>
      <w:r>
        <w:rPr>
          <w:rFonts w:ascii="Arial" w:cs="Arial" w:eastAsia="Arial" w:hAnsi="Arial"/>
          <w:sz w:val="18"/>
          <w:szCs w:val="18"/>
          <w:color w:val="auto"/>
        </w:rPr>
        <w:t>“Qualified Performance-Based Award” means an Award that is either (i) intended to qualify for the Section 162(m) Exemption and is made subject to performance goals based on Qualified Business Criteria as set forth in Section 11.2, or (ii) an Option or SAR having an exercise price equal to or greater than the Fair Market Value of the underlying Stock as of the Grant Date.</w:t>
      </w:r>
    </w:p>
    <w:p>
      <w:pPr>
        <w:spacing w:after="0" w:line="72" w:lineRule="exact"/>
        <w:rPr>
          <w:rFonts w:ascii="Arial" w:cs="Arial" w:eastAsia="Arial" w:hAnsi="Arial"/>
          <w:sz w:val="18"/>
          <w:szCs w:val="18"/>
          <w:color w:val="auto"/>
        </w:rPr>
      </w:pPr>
    </w:p>
    <w:p>
      <w:pPr>
        <w:ind w:left="460" w:right="180" w:firstLine="443"/>
        <w:spacing w:after="0" w:line="239" w:lineRule="auto"/>
        <w:tabs>
          <w:tab w:leader="none" w:pos="1259" w:val="left"/>
        </w:tabs>
        <w:numPr>
          <w:ilvl w:val="1"/>
          <w:numId w:val="109"/>
        </w:numPr>
        <w:rPr>
          <w:rFonts w:ascii="Arial" w:cs="Arial" w:eastAsia="Arial" w:hAnsi="Arial"/>
          <w:sz w:val="18"/>
          <w:szCs w:val="18"/>
          <w:color w:val="auto"/>
        </w:rPr>
      </w:pPr>
      <w:r>
        <w:rPr>
          <w:rFonts w:ascii="Arial" w:cs="Arial" w:eastAsia="Arial" w:hAnsi="Arial"/>
          <w:sz w:val="18"/>
          <w:szCs w:val="18"/>
          <w:color w:val="auto"/>
        </w:rPr>
        <w:t>“Qualified Business Criteria” means one or more of the Business Criteria listed in Section 11.2 upon which performance goals for certain Qualified Performance-Based Awards may be established by the Committee.</w:t>
      </w:r>
    </w:p>
    <w:p>
      <w:pPr>
        <w:spacing w:after="0" w:line="69" w:lineRule="exact"/>
        <w:rPr>
          <w:rFonts w:ascii="Arial" w:cs="Arial" w:eastAsia="Arial" w:hAnsi="Arial"/>
          <w:sz w:val="18"/>
          <w:szCs w:val="18"/>
          <w:color w:val="auto"/>
        </w:rPr>
      </w:pPr>
    </w:p>
    <w:p>
      <w:pPr>
        <w:ind w:left="1260" w:hanging="357"/>
        <w:spacing w:after="0"/>
        <w:tabs>
          <w:tab w:leader="none" w:pos="126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“Restricted Stock” means Stock granted to a Participant under Article 10 that is subject to certain restrictions and to risk of</w:t>
      </w:r>
    </w:p>
    <w:p>
      <w:pPr>
        <w:ind w:left="460"/>
        <w:spacing w:after="0"/>
        <w:rPr>
          <w:rFonts w:ascii="Arial" w:cs="Arial" w:eastAsia="Arial" w:hAnsi="Arial"/>
          <w:sz w:val="18"/>
          <w:szCs w:val="18"/>
          <w:color w:val="auto"/>
        </w:rPr>
      </w:pPr>
      <w:r>
        <w:rPr>
          <w:rFonts w:ascii="Arial" w:cs="Arial" w:eastAsia="Arial" w:hAnsi="Arial"/>
          <w:sz w:val="18"/>
          <w:szCs w:val="18"/>
          <w:color w:val="auto"/>
        </w:rPr>
        <w:t>forfeiture.</w:t>
      </w:r>
    </w:p>
    <w:p>
      <w:pPr>
        <w:spacing w:after="0" w:line="76" w:lineRule="exact"/>
        <w:rPr>
          <w:rFonts w:ascii="Arial" w:cs="Arial" w:eastAsia="Arial" w:hAnsi="Arial"/>
          <w:sz w:val="18"/>
          <w:szCs w:val="18"/>
          <w:color w:val="auto"/>
        </w:rPr>
      </w:pPr>
    </w:p>
    <w:p>
      <w:pPr>
        <w:ind w:left="460" w:right="180" w:firstLine="443"/>
        <w:spacing w:after="0" w:line="299" w:lineRule="auto"/>
        <w:tabs>
          <w:tab w:leader="none" w:pos="1142" w:val="left"/>
        </w:tabs>
        <w:numPr>
          <w:ilvl w:val="1"/>
          <w:numId w:val="109"/>
        </w:numPr>
        <w:rPr>
          <w:rFonts w:ascii="Arial" w:cs="Arial" w:eastAsia="Arial" w:hAnsi="Arial"/>
          <w:sz w:val="16"/>
          <w:szCs w:val="16"/>
          <w:color w:val="auto"/>
        </w:rPr>
      </w:pPr>
      <w:r>
        <w:rPr>
          <w:rFonts w:ascii="Arial" w:cs="Arial" w:eastAsia="Arial" w:hAnsi="Arial"/>
          <w:sz w:val="16"/>
          <w:szCs w:val="16"/>
          <w:color w:val="auto"/>
        </w:rPr>
        <w:t>“Restricted Stock Unit” means the right granted to a Participant under Article 10 to receive shares of Stock (or the equivalent value in cash or other property if the Committee so provides) in the future, which right is subject to certain restrictions and to risk of forfeiture.</w:t>
      </w:r>
    </w:p>
    <w:p>
      <w:pPr>
        <w:spacing w:after="0" w:line="27" w:lineRule="exact"/>
        <w:rPr>
          <w:rFonts w:ascii="Arial" w:cs="Arial" w:eastAsia="Arial" w:hAnsi="Arial"/>
          <w:sz w:val="16"/>
          <w:szCs w:val="16"/>
          <w:color w:val="auto"/>
        </w:rPr>
      </w:pPr>
    </w:p>
    <w:p>
      <w:pPr>
        <w:ind w:left="460" w:right="20" w:firstLine="443"/>
        <w:spacing w:after="0" w:line="237" w:lineRule="auto"/>
        <w:tabs>
          <w:tab w:leader="none" w:pos="1142" w:val="left"/>
        </w:tabs>
        <w:numPr>
          <w:ilvl w:val="1"/>
          <w:numId w:val="109"/>
        </w:numPr>
        <w:rPr>
          <w:rFonts w:ascii="Arial" w:cs="Arial" w:eastAsia="Arial" w:hAnsi="Arial"/>
          <w:sz w:val="18"/>
          <w:szCs w:val="18"/>
          <w:color w:val="auto"/>
        </w:rPr>
      </w:pPr>
      <w:r>
        <w:rPr>
          <w:rFonts w:ascii="Arial" w:cs="Arial" w:eastAsia="Arial" w:hAnsi="Arial"/>
          <w:sz w:val="18"/>
          <w:szCs w:val="18"/>
          <w:color w:val="auto"/>
        </w:rPr>
        <w:t>“Retirement” means a Participant’s voluntary termination of employment with the Company or an Affiliate after attaining any normal or early retirement age specified in any pension, profit sharing or other retirement program sponsored by the Company, or, in the event of the inapplicability thereof with respect to the Participant in question and except as otherwise determined by the Committee, after attaining age 65 with at least five years of service with the Company or its Affiliates.</w:t>
      </w:r>
    </w:p>
    <w:p>
      <w:pPr>
        <w:spacing w:after="0" w:line="73" w:lineRule="exact"/>
        <w:rPr>
          <w:rFonts w:ascii="Arial" w:cs="Arial" w:eastAsia="Arial" w:hAnsi="Arial"/>
          <w:sz w:val="18"/>
          <w:szCs w:val="18"/>
          <w:color w:val="auto"/>
        </w:rPr>
      </w:pPr>
    </w:p>
    <w:p>
      <w:pPr>
        <w:ind w:left="460" w:right="140" w:firstLine="443"/>
        <w:spacing w:after="0" w:line="239" w:lineRule="auto"/>
        <w:tabs>
          <w:tab w:leader="none" w:pos="1239" w:val="left"/>
        </w:tabs>
        <w:numPr>
          <w:ilvl w:val="1"/>
          <w:numId w:val="109"/>
        </w:numPr>
        <w:rPr>
          <w:rFonts w:ascii="Arial" w:cs="Arial" w:eastAsia="Arial" w:hAnsi="Arial"/>
          <w:sz w:val="18"/>
          <w:szCs w:val="18"/>
          <w:color w:val="auto"/>
        </w:rPr>
      </w:pPr>
      <w:r>
        <w:rPr>
          <w:rFonts w:ascii="Arial" w:cs="Arial" w:eastAsia="Arial" w:hAnsi="Arial"/>
          <w:sz w:val="18"/>
          <w:szCs w:val="18"/>
          <w:color w:val="auto"/>
        </w:rPr>
        <w:t>“Section 162(m) Exemption” means the exemption from the limitation on deductibility imposed by Section 162(m) of the Code that is set forth in Section 162(m)(4)(C) of the Code or any successor provision thereto.</w:t>
      </w:r>
    </w:p>
    <w:p>
      <w:pPr>
        <w:spacing w:after="0" w:line="73" w:lineRule="exact"/>
        <w:rPr>
          <w:rFonts w:ascii="Arial" w:cs="Arial" w:eastAsia="Arial" w:hAnsi="Arial"/>
          <w:sz w:val="18"/>
          <w:szCs w:val="18"/>
          <w:color w:val="auto"/>
        </w:rPr>
      </w:pPr>
    </w:p>
    <w:p>
      <w:pPr>
        <w:ind w:left="460" w:right="40" w:firstLine="443"/>
        <w:spacing w:after="0" w:line="238" w:lineRule="auto"/>
        <w:tabs>
          <w:tab w:leader="none" w:pos="1142" w:val="left"/>
        </w:tabs>
        <w:numPr>
          <w:ilvl w:val="1"/>
          <w:numId w:val="109"/>
        </w:numPr>
        <w:rPr>
          <w:rFonts w:ascii="Arial" w:cs="Arial" w:eastAsia="Arial" w:hAnsi="Arial"/>
          <w:sz w:val="18"/>
          <w:szCs w:val="18"/>
          <w:color w:val="auto"/>
        </w:rPr>
      </w:pPr>
      <w:r>
        <w:rPr>
          <w:rFonts w:ascii="Arial" w:cs="Arial" w:eastAsia="Arial" w:hAnsi="Arial"/>
          <w:sz w:val="18"/>
          <w:szCs w:val="18"/>
          <w:color w:val="auto"/>
        </w:rPr>
        <w:t>“Shares” means shares of the Company’s Stock. If there has been an adjustment or substitution with respect to the Shares (whether or not pursuant to Article 15), the term “Shares” shall also include any shares of stock or other securities that are substituted for Shares or into which Shares are adjusted.</w:t>
      </w:r>
    </w:p>
    <w:p>
      <w:pPr>
        <w:spacing w:after="0" w:line="72" w:lineRule="exact"/>
        <w:rPr>
          <w:rFonts w:ascii="Arial" w:cs="Arial" w:eastAsia="Arial" w:hAnsi="Arial"/>
          <w:sz w:val="18"/>
          <w:szCs w:val="18"/>
          <w:color w:val="auto"/>
        </w:rPr>
      </w:pPr>
    </w:p>
    <w:p>
      <w:pPr>
        <w:ind w:left="460" w:right="700" w:firstLine="443"/>
        <w:spacing w:after="0" w:line="239" w:lineRule="auto"/>
        <w:tabs>
          <w:tab w:leader="none" w:pos="1356" w:val="left"/>
        </w:tabs>
        <w:numPr>
          <w:ilvl w:val="1"/>
          <w:numId w:val="109"/>
        </w:numPr>
        <w:rPr>
          <w:rFonts w:ascii="Arial" w:cs="Arial" w:eastAsia="Arial" w:hAnsi="Arial"/>
          <w:sz w:val="18"/>
          <w:szCs w:val="18"/>
          <w:color w:val="auto"/>
        </w:rPr>
      </w:pPr>
      <w:r>
        <w:rPr>
          <w:rFonts w:ascii="Arial" w:cs="Arial" w:eastAsia="Arial" w:hAnsi="Arial"/>
          <w:sz w:val="18"/>
          <w:szCs w:val="18"/>
          <w:color w:val="auto"/>
        </w:rPr>
        <w:t>“Stock” means the $0.01 par value Common Stock of the Company and such other securities of the Company as may be substituted for Stock pursuant to Article 15.</w:t>
      </w:r>
    </w:p>
    <w:p>
      <w:pPr>
        <w:spacing w:after="0" w:line="73" w:lineRule="exact"/>
        <w:rPr>
          <w:rFonts w:ascii="Arial" w:cs="Arial" w:eastAsia="Arial" w:hAnsi="Arial"/>
          <w:sz w:val="18"/>
          <w:szCs w:val="18"/>
          <w:color w:val="auto"/>
        </w:rPr>
      </w:pPr>
    </w:p>
    <w:p>
      <w:pPr>
        <w:jc w:val="both"/>
        <w:ind w:left="460" w:right="80" w:firstLine="443"/>
        <w:spacing w:after="0" w:line="238" w:lineRule="auto"/>
        <w:tabs>
          <w:tab w:leader="none" w:pos="1259" w:val="left"/>
        </w:tabs>
        <w:numPr>
          <w:ilvl w:val="1"/>
          <w:numId w:val="109"/>
        </w:numPr>
        <w:rPr>
          <w:rFonts w:ascii="Arial" w:cs="Arial" w:eastAsia="Arial" w:hAnsi="Arial"/>
          <w:sz w:val="18"/>
          <w:szCs w:val="18"/>
          <w:color w:val="auto"/>
        </w:rPr>
      </w:pPr>
      <w:r>
        <w:rPr>
          <w:rFonts w:ascii="Arial" w:cs="Arial" w:eastAsia="Arial" w:hAnsi="Arial"/>
          <w:sz w:val="18"/>
          <w:szCs w:val="18"/>
          <w:color w:val="auto"/>
        </w:rPr>
        <w:t>“Stock Appreciation Right” or “SAR” means a right granted to a Participant under Article 8 to receive a payment (in cash or Stock) equal to the difference between the Fair Market Value of a Share as of the date of exercise of the SAR over the base price of the SAR, all as determined pursuant to Article 8.</w:t>
      </w:r>
    </w:p>
    <w:p>
      <w:pPr>
        <w:spacing w:after="0" w:line="72" w:lineRule="exact"/>
        <w:rPr>
          <w:rFonts w:ascii="Arial" w:cs="Arial" w:eastAsia="Arial" w:hAnsi="Arial"/>
          <w:sz w:val="18"/>
          <w:szCs w:val="18"/>
          <w:color w:val="auto"/>
        </w:rPr>
      </w:pPr>
    </w:p>
    <w:p>
      <w:pPr>
        <w:ind w:left="460" w:right="420" w:firstLine="443"/>
        <w:spacing w:after="0" w:line="238" w:lineRule="auto"/>
        <w:tabs>
          <w:tab w:leader="none" w:pos="1259" w:val="left"/>
        </w:tabs>
        <w:numPr>
          <w:ilvl w:val="1"/>
          <w:numId w:val="109"/>
        </w:numPr>
        <w:rPr>
          <w:rFonts w:ascii="Arial" w:cs="Arial" w:eastAsia="Arial" w:hAnsi="Arial"/>
          <w:sz w:val="18"/>
          <w:szCs w:val="18"/>
          <w:color w:val="auto"/>
        </w:rPr>
      </w:pPr>
      <w:r>
        <w:rPr>
          <w:rFonts w:ascii="Arial" w:cs="Arial" w:eastAsia="Arial" w:hAnsi="Arial"/>
          <w:sz w:val="18"/>
          <w:szCs w:val="18"/>
          <w:color w:val="auto"/>
        </w:rPr>
        <w:t>“Subsidiary” means any corporation, limited liability company, partnership or other entity of which a majority of the outstanding voting stock or voting power is beneficially owned directly or indirectly by the Company. Notwithstanding the above, with respect to an Incentive Stock Option, Subsidiary shall have the meaning set forth in Section 424(f) of the Code.</w:t>
      </w:r>
    </w:p>
    <w:p>
      <w:pPr>
        <w:spacing w:after="0" w:line="72" w:lineRule="exact"/>
        <w:rPr>
          <w:rFonts w:ascii="Arial" w:cs="Arial" w:eastAsia="Arial" w:hAnsi="Arial"/>
          <w:sz w:val="18"/>
          <w:szCs w:val="18"/>
          <w:color w:val="auto"/>
        </w:rPr>
      </w:pPr>
    </w:p>
    <w:p>
      <w:pPr>
        <w:ind w:left="1260" w:hanging="357"/>
        <w:spacing w:after="0"/>
        <w:tabs>
          <w:tab w:leader="none" w:pos="126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“1933 Act” means the Securities Act of 1933, as amended from time to time.</w:t>
      </w:r>
    </w:p>
    <w:p>
      <w:pPr>
        <w:spacing w:after="0" w:line="76" w:lineRule="exact"/>
        <w:rPr>
          <w:rFonts w:ascii="Arial" w:cs="Arial" w:eastAsia="Arial" w:hAnsi="Arial"/>
          <w:sz w:val="18"/>
          <w:szCs w:val="18"/>
          <w:color w:val="auto"/>
        </w:rPr>
      </w:pPr>
    </w:p>
    <w:p>
      <w:pPr>
        <w:ind w:left="1260" w:hanging="357"/>
        <w:spacing w:after="0"/>
        <w:tabs>
          <w:tab w:leader="none" w:pos="126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“1934 Act” means the Securities Exchange Act of 1934, as amended from time to time.</w:t>
      </w:r>
    </w:p>
    <w:p>
      <w:pPr>
        <w:spacing w:after="0" w:line="141" w:lineRule="exact"/>
        <w:rPr>
          <w:sz w:val="20"/>
          <w:szCs w:val="20"/>
          <w:color w:val="auto"/>
        </w:rPr>
      </w:pPr>
    </w:p>
    <w:tbl>
      <w:tblPr>
        <w:tblLayout w:type="fixed"/>
        <w:tblInd w:w="6900" w:type="dxa"/>
        <w:tblCellMar>
          <w:top w:w="0" w:type="dxa"/>
          <w:left w:w="0" w:type="dxa"/>
          <w:bottom w:w="0" w:type="dxa"/>
          <w:right w:w="0" w:type="dxa"/>
        </w:tblCellMar>
      </w:tblPr>
      <w:tr>
        <w:trPr>
          <w:trHeight w:val="309"/>
        </w:trPr>
        <w:tc>
          <w:tcPr>
            <w:tcW w:w="4080" w:type="dxa"/>
            <w:vAlign w:val="bottom"/>
            <w:tcBorders>
              <w:right w:val="single" w:sz="8" w:color="225CAB"/>
            </w:tcBorders>
          </w:tcPr>
          <w:p>
            <w:pPr>
              <w:spacing w:after="0"/>
              <w:rPr>
                <w:sz w:val="20"/>
                <w:szCs w:val="20"/>
                <w:color w:val="auto"/>
              </w:rPr>
            </w:pPr>
            <w:r>
              <w:rPr>
                <w:rFonts w:ascii="Arial" w:cs="Arial" w:eastAsia="Arial" w:hAnsi="Arial"/>
                <w:sz w:val="18"/>
                <w:szCs w:val="18"/>
                <w:b w:val="1"/>
                <w:bCs w:val="1"/>
                <w:color w:val="225CAB"/>
                <w:w w:val="99"/>
              </w:rPr>
              <w:t>Roper Technologies, Inc. 2016 Proxy Statement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225CAB"/>
              </w:rPr>
              <w:t>63</w:t>
            </w:r>
          </w:p>
        </w:tc>
      </w:tr>
      <w:tr>
        <w:trPr>
          <w:trHeight w:val="83"/>
        </w:trPr>
        <w:tc>
          <w:tcPr>
            <w:tcW w:w="4080" w:type="dxa"/>
            <w:vAlign w:val="bottom"/>
            <w:tcBorders>
              <w:right w:val="single" w:sz="8" w:color="225CAB"/>
            </w:tcBorders>
          </w:tcPr>
          <w:p>
            <w:pPr>
              <w:spacing w:after="0"/>
              <w:rPr>
                <w:sz w:val="7"/>
                <w:szCs w:val="7"/>
                <w:color w:val="auto"/>
              </w:rPr>
            </w:pPr>
          </w:p>
        </w:tc>
        <w:tc>
          <w:tcPr>
            <w:tcW w:w="44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-213995</wp:posOffset>
            </wp:positionV>
            <wp:extent cx="420370" cy="2057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EFFECTIVE TERM OF PLAN</w:t>
      </w:r>
    </w:p>
    <w:p>
      <w:pPr>
        <w:spacing w:after="0" w:line="136"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b w:val="1"/>
          <w:bCs w:val="1"/>
          <w:color w:val="auto"/>
        </w:rPr>
        <w:t>EFFECTIVE DATE.</w:t>
      </w:r>
      <w:r>
        <w:rPr>
          <w:rFonts w:ascii="Arial" w:cs="Arial" w:eastAsia="Arial" w:hAnsi="Arial"/>
          <w:sz w:val="18"/>
          <w:szCs w:val="18"/>
          <w:color w:val="auto"/>
        </w:rPr>
        <w:t xml:space="preserve"> The Plan first became effective on May 27, 2016, the date that it was approved by the shareholders of the Company (the “Effective Date”).</w:t>
      </w:r>
    </w:p>
    <w:p>
      <w:pPr>
        <w:spacing w:after="0" w:line="112"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b w:val="1"/>
          <w:bCs w:val="1"/>
          <w:color w:val="auto"/>
        </w:rPr>
        <w:t>TERMINATION OF PLAN.</w:t>
      </w:r>
      <w:r>
        <w:rPr>
          <w:rFonts w:ascii="Arial" w:cs="Arial" w:eastAsia="Arial" w:hAnsi="Arial"/>
          <w:sz w:val="18"/>
          <w:szCs w:val="18"/>
          <w:color w:val="auto"/>
        </w:rPr>
        <w:t xml:space="preserve"> The Plan shall terminate on the tenth anniversary of the Effective Date unless earlier terminated as provided herein. The termination of the Plan shall not affect the validity of any Award outstanding on the date of termination.</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ADMINISTRATION</w:t>
      </w:r>
    </w:p>
    <w:p>
      <w:pPr>
        <w:spacing w:after="0" w:line="136" w:lineRule="exact"/>
        <w:rPr>
          <w:sz w:val="20"/>
          <w:szCs w:val="20"/>
          <w:color w:val="auto"/>
        </w:rPr>
      </w:pPr>
    </w:p>
    <w:p>
      <w:pPr>
        <w:ind w:right="40" w:firstLine="456"/>
        <w:spacing w:after="0" w:line="237"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b w:val="1"/>
          <w:bCs w:val="1"/>
          <w:color w:val="auto"/>
        </w:rPr>
        <w:t>COMMITTEE.</w:t>
      </w:r>
      <w:r>
        <w:rPr>
          <w:rFonts w:ascii="Arial" w:cs="Arial" w:eastAsia="Arial" w:hAnsi="Arial"/>
          <w:sz w:val="18"/>
          <w:szCs w:val="18"/>
          <w:color w:val="auto"/>
        </w:rPr>
        <w:t xml:space="preserve"> The Plan shall be administered by a Committee appointed by the Board (which Committee shall consist of two or more Independent Directors) or, at the discretion of the Board from time to time, the Plan may be administered by the Board. The members of the Committee shall be appointed by, and may be changed at any time and from time to time in the discretion of, the Board. Unless and until changed by the Board, the Compensation Committee of the Board is designated as the Committee to administer the Plan. The Board may reserve to itself any or all of the authority and responsibility of the Committee under the Plan or may act as administrator of the Plan for any and all purposes. To the extent the Board has reserved any authority and responsibility or during any time that the Board is acting as administrator of the Plan, it shall have all the powers and protections of the Committee hereunder, and any reference herein to the Committee (other than in this Section 4.1) shall include the Board. To the extent any action of the Board under the Plan conflicts with actions taken by the Committee, the actions of the Board shall control. Notwithstanding the foregoing, grants of Awards to Non-Employee Directors under the Plan shall be made only in accordance with the terms, conditions and parameters of a plan, program or policy for the compensation of Non-Employee Directors as in effect from time to time that is approved and administered by a committee of the Board consisting solely of Independent Directors and is in accordance with Section 5.4(b) hereof.</w:t>
      </w:r>
    </w:p>
    <w:p>
      <w:pPr>
        <w:spacing w:after="0" w:line="140" w:lineRule="exact"/>
        <w:rPr>
          <w:sz w:val="20"/>
          <w:szCs w:val="20"/>
          <w:color w:val="auto"/>
        </w:rPr>
      </w:pPr>
    </w:p>
    <w:p>
      <w:pPr>
        <w:ind w:firstLine="456"/>
        <w:spacing w:after="0" w:line="238"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b w:val="1"/>
          <w:bCs w:val="1"/>
          <w:color w:val="auto"/>
        </w:rPr>
        <w:t>ACTION AND INTERPRETATIONS BY THE COMMITTEE.</w:t>
      </w:r>
      <w:r>
        <w:rPr>
          <w:rFonts w:ascii="Arial" w:cs="Arial" w:eastAsia="Arial" w:hAnsi="Arial"/>
          <w:sz w:val="18"/>
          <w:szCs w:val="18"/>
          <w:color w:val="auto"/>
        </w:rPr>
        <w:t xml:space="preserve"> For purposes of administering the Plan, the Committee may from time to time adopt rules, regulations, guidelines and procedures for carrying out the provisions and purposes of the Plan and make such other determinations, not inconsistent with the Plan, as the Committee may deem appropriate. The Committee’s interpretation of the Plan, any Awards granted under the Plan, any Award Certificate and all decisions and determinations by the Committee with respect to the Plan are final, binding, and conclusive on all parties and shall be given the maximum deference permitted by applicable law. Each member of the Committee is entitled to, in good faith, rely or act upon any report or other information furnished to that member by any officer or other employee of the Company or any Affiliate, the Company’s or an Affiliate’s independent certified public accountants, Company counsel or any executive compensation consultant or other professional retained by the Company or the Committee to assist in the administration of the Plan. No member of the Committee will be liable for any good faith determination, act or omission in connection with the Plan or any Award.</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b w:val="1"/>
          <w:bCs w:val="1"/>
          <w:color w:val="auto"/>
        </w:rPr>
        <w:t>AUTHORITY OF COMMITTEE.</w:t>
      </w:r>
      <w:r>
        <w:rPr>
          <w:rFonts w:ascii="Arial" w:cs="Arial" w:eastAsia="Arial" w:hAnsi="Arial"/>
          <w:sz w:val="18"/>
          <w:szCs w:val="18"/>
          <w:color w:val="auto"/>
        </w:rPr>
        <w:t xml:space="preserve"> Except as provided herein, the Committee has the exclusive power, authority and discretion to:</w:t>
      </w:r>
    </w:p>
    <w:p>
      <w:pPr>
        <w:spacing w:after="0" w:line="99" w:lineRule="exact"/>
        <w:rPr>
          <w:sz w:val="20"/>
          <w:szCs w:val="20"/>
          <w:color w:val="auto"/>
        </w:rPr>
      </w:pPr>
    </w:p>
    <w:p>
      <w:pPr>
        <w:ind w:left="1160" w:hanging="257"/>
        <w:spacing w:after="0"/>
        <w:tabs>
          <w:tab w:leader="none" w:pos="11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Grant Awards;</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Designate Participants;</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Determine the type or types of Awards to be granted to each Participant;</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Determine the number of Awards to be granted and the number of Shares or dollar amount to which an Award will relate;</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Determine the terms and conditions of any Award granted under the Plan;</w:t>
      </w:r>
    </w:p>
    <w:p>
      <w:pPr>
        <w:spacing w:after="0" w:line="76" w:lineRule="exact"/>
        <w:rPr>
          <w:rFonts w:ascii="Arial" w:cs="Arial" w:eastAsia="Arial" w:hAnsi="Arial"/>
          <w:sz w:val="18"/>
          <w:szCs w:val="18"/>
          <w:color w:val="auto"/>
        </w:rPr>
      </w:pPr>
    </w:p>
    <w:p>
      <w:pPr>
        <w:ind w:left="1120" w:hanging="217"/>
        <w:spacing w:after="0"/>
        <w:tabs>
          <w:tab w:leader="none" w:pos="11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Prescribe the form of each Award Certificate, which need not be identical for each Participant;</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Decide all other matters that must be determined in connection with an Award;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336"/>
        </w:trPr>
        <w:tc>
          <w:tcPr>
            <w:tcW w:w="340" w:type="dxa"/>
            <w:vAlign w:val="bottom"/>
            <w:tcBorders>
              <w:right w:val="single" w:sz="8" w:color="225CAB"/>
            </w:tcBorders>
          </w:tcPr>
          <w:p>
            <w:pPr>
              <w:jc w:val="right"/>
              <w:ind w:right="52"/>
              <w:spacing w:after="0"/>
              <w:rPr>
                <w:sz w:val="20"/>
                <w:szCs w:val="20"/>
                <w:color w:val="auto"/>
              </w:rPr>
            </w:pPr>
            <w:r>
              <w:rPr>
                <w:rFonts w:ascii="Arial" w:cs="Arial" w:eastAsia="Arial" w:hAnsi="Arial"/>
                <w:sz w:val="18"/>
                <w:szCs w:val="18"/>
                <w:b w:val="1"/>
                <w:bCs w:val="1"/>
                <w:color w:val="225CAB"/>
                <w:w w:val="89"/>
              </w:rPr>
              <w:t>64</w:t>
            </w:r>
          </w:p>
        </w:tc>
        <w:tc>
          <w:tcPr>
            <w:tcW w:w="5180" w:type="dxa"/>
            <w:vAlign w:val="bottom"/>
          </w:tcPr>
          <w:p>
            <w:pPr>
              <w:ind w:left="1240"/>
              <w:spacing w:after="0"/>
              <w:rPr>
                <w:sz w:val="20"/>
                <w:szCs w:val="20"/>
                <w:color w:val="auto"/>
              </w:rPr>
            </w:pPr>
            <w:r>
              <w:rPr>
                <w:rFonts w:ascii="Arial" w:cs="Arial" w:eastAsia="Arial" w:hAnsi="Arial"/>
                <w:sz w:val="18"/>
                <w:szCs w:val="18"/>
                <w:b w:val="1"/>
                <w:bCs w:val="1"/>
                <w:color w:val="225CAB"/>
                <w:w w:val="96"/>
              </w:rPr>
              <w:t>Roper Technologies, Inc. 2016 Proxy Statement</w:t>
            </w:r>
          </w:p>
        </w:tc>
      </w:tr>
      <w:tr>
        <w:trPr>
          <w:trHeight w:val="110"/>
        </w:trPr>
        <w:tc>
          <w:tcPr>
            <w:tcW w:w="340" w:type="dxa"/>
            <w:vAlign w:val="bottom"/>
            <w:tcBorders>
              <w:right w:val="single" w:sz="8" w:color="225CAB"/>
            </w:tcBorders>
          </w:tcPr>
          <w:p>
            <w:pPr>
              <w:spacing w:after="0"/>
              <w:rPr>
                <w:sz w:val="9"/>
                <w:szCs w:val="9"/>
                <w:color w:val="auto"/>
              </w:rPr>
            </w:pPr>
          </w:p>
        </w:tc>
        <w:tc>
          <w:tcPr>
            <w:tcW w:w="518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-248285</wp:posOffset>
            </wp:positionV>
            <wp:extent cx="420370" cy="2057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900"/>
        <w:spacing w:after="0"/>
        <w:rPr>
          <w:sz w:val="20"/>
          <w:szCs w:val="20"/>
          <w:color w:val="auto"/>
        </w:rPr>
      </w:pPr>
      <w:r>
        <w:rPr>
          <w:rFonts w:ascii="Arial" w:cs="Arial" w:eastAsia="Arial" w:hAnsi="Arial"/>
          <w:sz w:val="16"/>
          <w:szCs w:val="16"/>
          <w:color w:val="auto"/>
        </w:rPr>
        <w:t>(h) Establish, adopt or revise any rules, regulations, guidelines or procedures as it may deem necessary or advisable to administer the</w:t>
      </w:r>
    </w:p>
    <w:p>
      <w:pPr>
        <w:spacing w:after="0" w:line="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Plan;</w:t>
      </w:r>
    </w:p>
    <w:p>
      <w:pPr>
        <w:spacing w:after="0" w:line="77" w:lineRule="exact"/>
        <w:rPr>
          <w:sz w:val="20"/>
          <w:szCs w:val="20"/>
          <w:color w:val="auto"/>
        </w:rPr>
      </w:pPr>
    </w:p>
    <w:p>
      <w:pPr>
        <w:ind w:left="460" w:right="780" w:firstLine="443"/>
        <w:spacing w:after="0" w:line="239" w:lineRule="auto"/>
        <w:tabs>
          <w:tab w:leader="none" w:pos="1103" w:val="left"/>
        </w:tabs>
        <w:numPr>
          <w:ilvl w:val="0"/>
          <w:numId w:val="111"/>
        </w:numPr>
        <w:rPr>
          <w:rFonts w:ascii="Arial" w:cs="Arial" w:eastAsia="Arial" w:hAnsi="Arial"/>
          <w:sz w:val="18"/>
          <w:szCs w:val="18"/>
          <w:color w:val="auto"/>
        </w:rPr>
      </w:pPr>
      <w:r>
        <w:rPr>
          <w:rFonts w:ascii="Arial" w:cs="Arial" w:eastAsia="Arial" w:hAnsi="Arial"/>
          <w:sz w:val="18"/>
          <w:szCs w:val="18"/>
          <w:color w:val="auto"/>
        </w:rPr>
        <w:t>Make all other decisions and determinations that may be required under the Plan or as the Committee deems necessary or advisable to administer the Plan;</w:t>
      </w:r>
    </w:p>
    <w:p>
      <w:pPr>
        <w:spacing w:after="0" w:line="73" w:lineRule="exact"/>
        <w:rPr>
          <w:rFonts w:ascii="Arial" w:cs="Arial" w:eastAsia="Arial" w:hAnsi="Arial"/>
          <w:sz w:val="18"/>
          <w:szCs w:val="18"/>
          <w:color w:val="auto"/>
        </w:rPr>
      </w:pPr>
    </w:p>
    <w:p>
      <w:pPr>
        <w:ind w:left="1100" w:hanging="197"/>
        <w:spacing w:after="0"/>
        <w:tabs>
          <w:tab w:leader="none" w:pos="11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Amend the Plan or any Award Certificate as provided herein;</w:t>
      </w:r>
    </w:p>
    <w:p>
      <w:pPr>
        <w:spacing w:after="0" w:line="76" w:lineRule="exact"/>
        <w:rPr>
          <w:rFonts w:ascii="Arial" w:cs="Arial" w:eastAsia="Arial" w:hAnsi="Arial"/>
          <w:sz w:val="18"/>
          <w:szCs w:val="18"/>
          <w:color w:val="auto"/>
        </w:rPr>
      </w:pPr>
    </w:p>
    <w:p>
      <w:pPr>
        <w:ind w:left="460" w:firstLine="443"/>
        <w:spacing w:after="0" w:line="239" w:lineRule="auto"/>
        <w:tabs>
          <w:tab w:leader="none" w:pos="1152" w:val="left"/>
        </w:tabs>
        <w:numPr>
          <w:ilvl w:val="0"/>
          <w:numId w:val="111"/>
        </w:numPr>
        <w:rPr>
          <w:rFonts w:ascii="Arial" w:cs="Arial" w:eastAsia="Arial" w:hAnsi="Arial"/>
          <w:sz w:val="18"/>
          <w:szCs w:val="18"/>
          <w:color w:val="auto"/>
        </w:rPr>
      </w:pPr>
      <w:r>
        <w:rPr>
          <w:rFonts w:ascii="Arial" w:cs="Arial" w:eastAsia="Arial" w:hAnsi="Arial"/>
          <w:sz w:val="18"/>
          <w:szCs w:val="18"/>
          <w:color w:val="auto"/>
        </w:rPr>
        <w:t>Correct any defect, supply any omission or reconcile any inconsistency in the Plan or in any Award in the manner and to the extent it deems necessary to carry out the intent of the Plan; and</w:t>
      </w:r>
    </w:p>
    <w:p>
      <w:pPr>
        <w:spacing w:after="0" w:line="73" w:lineRule="exact"/>
        <w:rPr>
          <w:rFonts w:ascii="Arial" w:cs="Arial" w:eastAsia="Arial" w:hAnsi="Arial"/>
          <w:sz w:val="18"/>
          <w:szCs w:val="18"/>
          <w:color w:val="auto"/>
        </w:rPr>
      </w:pPr>
    </w:p>
    <w:p>
      <w:pPr>
        <w:ind w:left="460" w:right="100" w:firstLine="443"/>
        <w:spacing w:after="0" w:line="238" w:lineRule="auto"/>
        <w:tabs>
          <w:tab w:leader="none" w:pos="1093"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Adopt such modifications, procedures, and subplans as may be necessary or desirable to comply with provisions of the laws of non-U.S. jurisdictions in which the Company or any Affiliate may operate, in order to assure the viability of the benefits of Awards granted to participants located in such other jurisdictions and to meet the objectives of the Plan.</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Notwithstanding the foregoing:</w:t>
      </w:r>
    </w:p>
    <w:p>
      <w:pPr>
        <w:spacing w:after="0" w:line="77" w:lineRule="exact"/>
        <w:rPr>
          <w:sz w:val="20"/>
          <w:szCs w:val="20"/>
          <w:color w:val="auto"/>
        </w:rPr>
      </w:pPr>
    </w:p>
    <w:p>
      <w:pPr>
        <w:ind w:left="460" w:right="20" w:firstLine="443"/>
        <w:spacing w:after="0" w:line="236" w:lineRule="auto"/>
        <w:tabs>
          <w:tab w:leader="none" w:pos="1162"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Board or the Committee may, by resolution, expressly delegate to a special committee, consisting of one or more directors who may but need not be officers of the Company, the authority, within specified parameters, to (i) designate officers, employees and/or consultants of the Company or any of its Affiliates to be recipients of Awards under the Plan, and (ii) to determine the number of such Awards to be received by any such Participants; provided, however, that such delegation of duties and responsibilities to an officer of the Company may not be made with respect to the grant of Awards to eligible participants (a) who are subject to Section 16(a) of the 1934 Act at the Grant Date, or (b) who as of the Grant Date are reasonably anticipated to be become Covered Employees during the term of the Award. The acts of such delegates shall be treated hereunder as acts of the Board and such delegates shall report regularly to the Board and the Compensation Committee regarding the delegated duties and responsibilities and any Awards so granted.</w:t>
      </w:r>
    </w:p>
    <w:p>
      <w:pPr>
        <w:spacing w:after="0" w:line="73" w:lineRule="exact"/>
        <w:rPr>
          <w:rFonts w:ascii="Arial" w:cs="Arial" w:eastAsia="Arial" w:hAnsi="Arial"/>
          <w:sz w:val="18"/>
          <w:szCs w:val="18"/>
          <w:color w:val="auto"/>
        </w:rPr>
      </w:pPr>
    </w:p>
    <w:p>
      <w:pPr>
        <w:ind w:left="460" w:right="40" w:firstLine="443"/>
        <w:spacing w:after="0" w:line="273" w:lineRule="auto"/>
        <w:tabs>
          <w:tab w:leader="none" w:pos="1162"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Board may from time to time reserve to the Independent Directors (or any subset thereof), as a group, any or all of the authority and responsibility of the Committee under the Plan. To the extent and during such time as the Board has so reserved any authority and responsibility, the Independent Directors shall have all the powers of the Committee hereunder, and any reference herein to the Committee (other than in this Section 4.3) shall include the Independent Directors. To the extent any action of the Independent Directors under the Plan made within such authority conflicts with actions taken by the Committee, the actions of the Independent Directors shall control.</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SUBJECT TO THE PLAN</w:t>
      </w:r>
    </w:p>
    <w:p>
      <w:pPr>
        <w:spacing w:after="0" w:line="136" w:lineRule="exact"/>
        <w:rPr>
          <w:sz w:val="20"/>
          <w:szCs w:val="20"/>
          <w:color w:val="auto"/>
        </w:rPr>
      </w:pPr>
    </w:p>
    <w:p>
      <w:pPr>
        <w:ind w:right="60" w:firstLine="456"/>
        <w:spacing w:after="0" w:line="273"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b w:val="1"/>
          <w:bCs w:val="1"/>
          <w:color w:val="auto"/>
        </w:rPr>
        <w:t>NUMBER OF SHARES.</w:t>
      </w:r>
      <w:r>
        <w:rPr>
          <w:rFonts w:ascii="Arial" w:cs="Arial" w:eastAsia="Arial" w:hAnsi="Arial"/>
          <w:sz w:val="16"/>
          <w:szCs w:val="16"/>
          <w:color w:val="auto"/>
        </w:rPr>
        <w:t xml:space="preserve"> Subject to adjustment as provided in Sections 5.2 and 15.1, the aggregate number of Shares reserved and available for issuance pursuant to Awards granted under the Plan from the Effective Date shall be (i) 7,924,932, (ii) plus the number of Shares (not to exceed 2,075,068) remaining available for issuance under the Prior Plan but not subject to outstanding awards as of the Effective Date, plus</w:t>
      </w:r>
    </w:p>
    <w:p>
      <w:pPr>
        <w:spacing w:after="0" w:line="2" w:lineRule="exact"/>
        <w:rPr>
          <w:sz w:val="20"/>
          <w:szCs w:val="20"/>
          <w:color w:val="auto"/>
        </w:rPr>
      </w:pPr>
    </w:p>
    <w:p>
      <w:pPr>
        <w:jc w:val="both"/>
        <w:ind w:right="140" w:firstLine="8"/>
        <w:spacing w:after="0" w:line="237" w:lineRule="auto"/>
        <w:tabs>
          <w:tab w:leader="none" w:pos="283"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number of additional Shares underlying awards outstanding under the Prior Plan as of the Effective Date (not to exceed 4,616,583) that thereafter terminate or expire unexercised, or are cancelled, forfeited or lapse for any reason after the Effective Date. The maximum number of Shares that may be issued upon exercise of Incentive Stock Options granted under the Plan shall be the sum of the foregoing. From and after the Effective Date, no further awards shall be granted under the Prior Plan.</w:t>
      </w:r>
    </w:p>
    <w:p>
      <w:pPr>
        <w:spacing w:after="0" w:line="13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b w:val="1"/>
          <w:bCs w:val="1"/>
          <w:color w:val="auto"/>
        </w:rPr>
        <w:t>SHARE COUNTING.</w:t>
      </w:r>
    </w:p>
    <w:p>
      <w:pPr>
        <w:spacing w:after="0" w:line="99" w:lineRule="exact"/>
        <w:rPr>
          <w:sz w:val="20"/>
          <w:szCs w:val="20"/>
          <w:color w:val="auto"/>
        </w:rPr>
      </w:pPr>
    </w:p>
    <w:p>
      <w:pPr>
        <w:ind w:left="460" w:right="60" w:firstLine="443"/>
        <w:spacing w:after="0" w:line="237" w:lineRule="auto"/>
        <w:tabs>
          <w:tab w:leader="none" w:pos="1162"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Awards of Options and Stock Appreciation Rights shall count against the number of Shares remaining available for issuance pursuant to Awards granted under the Plan as 1.0 Share for each Share covered by such Awards, and Full-Value Awards shall count against the number of Shares remaining available for issuance pursuant to Awards granted under the Plan as 3.0 Shares for each Share covered by such Awards.</w:t>
      </w:r>
    </w:p>
    <w:p>
      <w:pPr>
        <w:spacing w:after="0" w:line="138" w:lineRule="exact"/>
        <w:rPr>
          <w:sz w:val="20"/>
          <w:szCs w:val="20"/>
          <w:color w:val="auto"/>
        </w:rPr>
      </w:pPr>
    </w:p>
    <w:tbl>
      <w:tblPr>
        <w:tblLayout w:type="fixed"/>
        <w:tblInd w:w="6900" w:type="dxa"/>
        <w:tblCellMar>
          <w:top w:w="0" w:type="dxa"/>
          <w:left w:w="0" w:type="dxa"/>
          <w:bottom w:w="0" w:type="dxa"/>
          <w:right w:w="0" w:type="dxa"/>
        </w:tblCellMar>
      </w:tblPr>
      <w:tr>
        <w:trPr>
          <w:trHeight w:val="309"/>
        </w:trPr>
        <w:tc>
          <w:tcPr>
            <w:tcW w:w="4080" w:type="dxa"/>
            <w:vAlign w:val="bottom"/>
            <w:tcBorders>
              <w:right w:val="single" w:sz="8" w:color="225CAB"/>
            </w:tcBorders>
          </w:tcPr>
          <w:p>
            <w:pPr>
              <w:spacing w:after="0"/>
              <w:rPr>
                <w:sz w:val="20"/>
                <w:szCs w:val="20"/>
                <w:color w:val="auto"/>
              </w:rPr>
            </w:pPr>
            <w:r>
              <w:rPr>
                <w:rFonts w:ascii="Arial" w:cs="Arial" w:eastAsia="Arial" w:hAnsi="Arial"/>
                <w:sz w:val="18"/>
                <w:szCs w:val="18"/>
                <w:b w:val="1"/>
                <w:bCs w:val="1"/>
                <w:color w:val="225CAB"/>
                <w:w w:val="99"/>
              </w:rPr>
              <w:t>Roper Technologies, Inc. 2016 Proxy Statement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225CAB"/>
              </w:rPr>
              <w:t>65</w:t>
            </w:r>
          </w:p>
        </w:tc>
      </w:tr>
      <w:tr>
        <w:trPr>
          <w:trHeight w:val="83"/>
        </w:trPr>
        <w:tc>
          <w:tcPr>
            <w:tcW w:w="4080" w:type="dxa"/>
            <w:vAlign w:val="bottom"/>
            <w:tcBorders>
              <w:right w:val="single" w:sz="8" w:color="225CAB"/>
            </w:tcBorders>
          </w:tcPr>
          <w:p>
            <w:pPr>
              <w:spacing w:after="0"/>
              <w:rPr>
                <w:sz w:val="7"/>
                <w:szCs w:val="7"/>
                <w:color w:val="auto"/>
              </w:rPr>
            </w:pPr>
          </w:p>
        </w:tc>
        <w:tc>
          <w:tcPr>
            <w:tcW w:w="44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-213995</wp:posOffset>
            </wp:positionV>
            <wp:extent cx="420370" cy="2057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60" w:right="80" w:firstLine="443"/>
        <w:spacing w:after="0" w:line="238" w:lineRule="auto"/>
        <w:tabs>
          <w:tab w:leader="none" w:pos="1162"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full number of Shares subject to an Option shall count against the number of Shares remaining available for issuance pursuant to Awards granted under the Plan, even if the exercise price of the Option is satisfied through net-settlement or by delivering Shares to the Company (by either actual delivery or attestation).</w:t>
      </w:r>
    </w:p>
    <w:p>
      <w:pPr>
        <w:spacing w:after="0" w:line="72" w:lineRule="exact"/>
        <w:rPr>
          <w:rFonts w:ascii="Arial" w:cs="Arial" w:eastAsia="Arial" w:hAnsi="Arial"/>
          <w:sz w:val="18"/>
          <w:szCs w:val="18"/>
          <w:color w:val="auto"/>
        </w:rPr>
      </w:pPr>
    </w:p>
    <w:p>
      <w:pPr>
        <w:ind w:left="460" w:right="60" w:firstLine="443"/>
        <w:spacing w:after="0" w:line="238" w:lineRule="auto"/>
        <w:tabs>
          <w:tab w:leader="none" w:pos="1152" w:val="left"/>
        </w:tabs>
        <w:numPr>
          <w:ilvl w:val="0"/>
          <w:numId w:val="115"/>
        </w:numPr>
        <w:rPr>
          <w:rFonts w:ascii="Arial" w:cs="Arial" w:eastAsia="Arial" w:hAnsi="Arial"/>
          <w:sz w:val="18"/>
          <w:szCs w:val="18"/>
          <w:color w:val="auto"/>
        </w:rPr>
      </w:pPr>
      <w:r>
        <w:rPr>
          <w:rFonts w:ascii="Arial" w:cs="Arial" w:eastAsia="Arial" w:hAnsi="Arial"/>
          <w:sz w:val="18"/>
          <w:szCs w:val="18"/>
          <w:color w:val="auto"/>
        </w:rPr>
        <w:t>Upon exercise of Stock Appreciation Rights that are settled in Shares, the full number of Stock Appreciation Rights (rather than any lesser number based on the net number of Shares actually delivered upon exercise) shall count against the number of Shares remaining available for issuance pursuant to Awards granted under the Plan.</w:t>
      </w:r>
    </w:p>
    <w:p>
      <w:pPr>
        <w:spacing w:after="0" w:line="72" w:lineRule="exact"/>
        <w:rPr>
          <w:rFonts w:ascii="Arial" w:cs="Arial" w:eastAsia="Arial" w:hAnsi="Arial"/>
          <w:sz w:val="18"/>
          <w:szCs w:val="18"/>
          <w:color w:val="auto"/>
        </w:rPr>
      </w:pPr>
    </w:p>
    <w:p>
      <w:pPr>
        <w:ind w:left="460" w:right="720" w:firstLine="443"/>
        <w:spacing w:after="0" w:line="238" w:lineRule="auto"/>
        <w:tabs>
          <w:tab w:leader="none" w:pos="1162" w:val="left"/>
        </w:tabs>
        <w:numPr>
          <w:ilvl w:val="0"/>
          <w:numId w:val="115"/>
        </w:numPr>
        <w:rPr>
          <w:rFonts w:ascii="Arial" w:cs="Arial" w:eastAsia="Arial" w:hAnsi="Arial"/>
          <w:sz w:val="18"/>
          <w:szCs w:val="18"/>
          <w:color w:val="auto"/>
        </w:rPr>
      </w:pPr>
      <w:r>
        <w:rPr>
          <w:rFonts w:ascii="Arial" w:cs="Arial" w:eastAsia="Arial" w:hAnsi="Arial"/>
          <w:sz w:val="18"/>
          <w:szCs w:val="18"/>
          <w:color w:val="auto"/>
        </w:rPr>
        <w:t>Shares withheld from an Award to satisfy tax withholding requirements shall count against the number of Shares remaining available for issuance pursuant to Awards granted under the Plan, and Shares delivered by a Participant to satisfy tax withholding requirements shall not be added to the Plan share reserve.</w:t>
      </w:r>
    </w:p>
    <w:p>
      <w:pPr>
        <w:spacing w:after="0" w:line="72" w:lineRule="exact"/>
        <w:rPr>
          <w:rFonts w:ascii="Arial" w:cs="Arial" w:eastAsia="Arial" w:hAnsi="Arial"/>
          <w:sz w:val="18"/>
          <w:szCs w:val="18"/>
          <w:color w:val="auto"/>
        </w:rPr>
      </w:pPr>
    </w:p>
    <w:p>
      <w:pPr>
        <w:jc w:val="both"/>
        <w:ind w:left="460" w:right="80" w:firstLine="443"/>
        <w:spacing w:after="0" w:line="238" w:lineRule="auto"/>
        <w:tabs>
          <w:tab w:leader="none" w:pos="1162"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To the extent that an Award is canceled, terminates, expires, is forfeited or lapses for any reason, any unissued or forfeited Shares subject to the Award (based on the number set forth in clause (a)) will again be available for issuance pursuant to Awards granted under the Plan.</w:t>
      </w:r>
    </w:p>
    <w:p>
      <w:pPr>
        <w:spacing w:after="0" w:line="72" w:lineRule="exact"/>
        <w:rPr>
          <w:rFonts w:ascii="Arial" w:cs="Arial" w:eastAsia="Arial" w:hAnsi="Arial"/>
          <w:sz w:val="18"/>
          <w:szCs w:val="18"/>
          <w:color w:val="auto"/>
        </w:rPr>
      </w:pPr>
    </w:p>
    <w:p>
      <w:pPr>
        <w:ind w:left="1120" w:hanging="217"/>
        <w:spacing w:after="0"/>
        <w:tabs>
          <w:tab w:leader="none" w:pos="11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Shares subject to Awards settled in cash will again be available for issuance pursuant to Awards granted under the Plan.</w:t>
      </w:r>
    </w:p>
    <w:p>
      <w:pPr>
        <w:spacing w:after="0" w:line="76" w:lineRule="exact"/>
        <w:rPr>
          <w:rFonts w:ascii="Arial" w:cs="Arial" w:eastAsia="Arial" w:hAnsi="Arial"/>
          <w:sz w:val="18"/>
          <w:szCs w:val="18"/>
          <w:color w:val="auto"/>
        </w:rPr>
      </w:pPr>
    </w:p>
    <w:p>
      <w:pPr>
        <w:ind w:left="460" w:firstLine="443"/>
        <w:spacing w:after="0" w:line="239" w:lineRule="auto"/>
        <w:tabs>
          <w:tab w:leader="none" w:pos="1162" w:val="left"/>
        </w:tabs>
        <w:numPr>
          <w:ilvl w:val="0"/>
          <w:numId w:val="115"/>
        </w:numPr>
        <w:rPr>
          <w:rFonts w:ascii="Arial" w:cs="Arial" w:eastAsia="Arial" w:hAnsi="Arial"/>
          <w:sz w:val="18"/>
          <w:szCs w:val="18"/>
          <w:color w:val="auto"/>
        </w:rPr>
      </w:pPr>
      <w:r>
        <w:rPr>
          <w:rFonts w:ascii="Arial" w:cs="Arial" w:eastAsia="Arial" w:hAnsi="Arial"/>
          <w:sz w:val="18"/>
          <w:szCs w:val="18"/>
          <w:color w:val="auto"/>
        </w:rPr>
        <w:t>Substitute Awards granted pursuant to Section 14.10 of the Plan shall not count against the Shares otherwise available for issuance under the Plan under Section 5.1.</w:t>
      </w:r>
    </w:p>
    <w:p>
      <w:pPr>
        <w:spacing w:after="0" w:line="73" w:lineRule="exact"/>
        <w:rPr>
          <w:rFonts w:ascii="Arial" w:cs="Arial" w:eastAsia="Arial" w:hAnsi="Arial"/>
          <w:sz w:val="18"/>
          <w:szCs w:val="18"/>
          <w:color w:val="auto"/>
        </w:rPr>
      </w:pPr>
    </w:p>
    <w:p>
      <w:pPr>
        <w:ind w:left="460" w:right="200" w:firstLine="443"/>
        <w:spacing w:after="0" w:line="237" w:lineRule="auto"/>
        <w:tabs>
          <w:tab w:leader="none" w:pos="1162" w:val="left"/>
        </w:tabs>
        <w:numPr>
          <w:ilvl w:val="0"/>
          <w:numId w:val="115"/>
        </w:numPr>
        <w:rPr>
          <w:rFonts w:ascii="Arial" w:cs="Arial" w:eastAsia="Arial" w:hAnsi="Arial"/>
          <w:sz w:val="18"/>
          <w:szCs w:val="18"/>
          <w:color w:val="auto"/>
        </w:rPr>
      </w:pPr>
      <w:r>
        <w:rPr>
          <w:rFonts w:ascii="Arial" w:cs="Arial" w:eastAsia="Arial" w:hAnsi="Arial"/>
          <w:sz w:val="18"/>
          <w:szCs w:val="18"/>
          <w:color w:val="auto"/>
        </w:rPr>
        <w:t>Subject to applicable Exchange requirements, shares available under a shareholder-approved plan of a company acquired by the Company (as appropriately adjusted to Shares to reflect the transaction) may be issued under the Plan pursuant to Awards granted to individuals who were not employees of the Company or its Affiliates immediately before such transaction and will not count against the maximum share limitation specified in Section 5.1.</w:t>
      </w:r>
    </w:p>
    <w:p>
      <w:pPr>
        <w:spacing w:after="0" w:line="133"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b w:val="1"/>
          <w:bCs w:val="1"/>
          <w:color w:val="auto"/>
        </w:rPr>
        <w:t>STOCK DISTRIBUTED.</w:t>
      </w:r>
      <w:r>
        <w:rPr>
          <w:rFonts w:ascii="Arial" w:cs="Arial" w:eastAsia="Arial" w:hAnsi="Arial"/>
          <w:sz w:val="18"/>
          <w:szCs w:val="18"/>
          <w:color w:val="auto"/>
        </w:rPr>
        <w:t xml:space="preserve"> Any Stock distributed pursuant to an Award may consist, in whole or in part, of authorized and unissued Stock, treasury Stock or Stock purchased on the open market.</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b w:val="1"/>
          <w:bCs w:val="1"/>
          <w:color w:val="auto"/>
        </w:rPr>
        <w:t>LIMITATION ON INDIVIDUAL AWARDS.</w:t>
      </w:r>
    </w:p>
    <w:p>
      <w:pPr>
        <w:spacing w:after="0" w:line="162" w:lineRule="exact"/>
        <w:rPr>
          <w:sz w:val="20"/>
          <w:szCs w:val="20"/>
          <w:color w:val="auto"/>
        </w:rPr>
      </w:pPr>
    </w:p>
    <w:p>
      <w:pPr>
        <w:ind w:left="720" w:hanging="256"/>
        <w:spacing w:after="0"/>
        <w:tabs>
          <w:tab w:leader="none" w:pos="720" w:val="left"/>
        </w:tabs>
        <w:numPr>
          <w:ilvl w:val="1"/>
          <w:numId w:val="116"/>
        </w:numPr>
        <w:rPr>
          <w:rFonts w:ascii="Arial" w:cs="Arial" w:eastAsia="Arial" w:hAnsi="Arial"/>
          <w:sz w:val="18"/>
          <w:szCs w:val="18"/>
          <w:color w:val="auto"/>
        </w:rPr>
      </w:pPr>
      <w:r>
        <w:rPr>
          <w:rFonts w:ascii="Arial" w:cs="Arial" w:eastAsia="Arial" w:hAnsi="Arial"/>
          <w:sz w:val="18"/>
          <w:szCs w:val="18"/>
          <w:i w:val="1"/>
          <w:iCs w:val="1"/>
          <w:color w:val="auto"/>
        </w:rPr>
        <w:t>Employee Awards</w:t>
      </w:r>
      <w:r>
        <w:rPr>
          <w:rFonts w:ascii="Arial" w:cs="Arial" w:eastAsia="Arial" w:hAnsi="Arial"/>
          <w:sz w:val="18"/>
          <w:szCs w:val="18"/>
          <w:color w:val="auto"/>
        </w:rPr>
        <w:t>. Notwithstanding any provision in the Plan to the contrary (but subject to adjustment as provided in Section 15.1):</w:t>
      </w:r>
    </w:p>
    <w:p>
      <w:pPr>
        <w:spacing w:after="0" w:line="13" w:lineRule="exact"/>
        <w:rPr>
          <w:rFonts w:ascii="Arial" w:cs="Arial" w:eastAsia="Arial" w:hAnsi="Arial"/>
          <w:sz w:val="18"/>
          <w:szCs w:val="18"/>
          <w:color w:val="auto"/>
        </w:rPr>
      </w:pPr>
    </w:p>
    <w:p>
      <w:pPr>
        <w:ind w:right="20" w:firstLine="8"/>
        <w:spacing w:after="0" w:line="236" w:lineRule="auto"/>
        <w:tabs>
          <w:tab w:leader="none" w:pos="20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maximum number of Shares with respect to one or more Options and/or SARs that may be granted during any calendar year under the Plan to any one Participant is 450,000; (ii) the maximum number of Shares with respect to Full-Value Awards that are Performance Awards granted in any calendar year to any one Participant is 450,000; and (iii) the aggregate dollar value of any cash-based Performance Award that may be paid to any one Participant during any one calendar year under the Plan is $10,000,000 For purposes of applying the foregoing limits in the case of multi-year performance periods, the amount of cash or property or number of Shares deemed granted or paid with respect to any year is the total amount payable or Shares earned for the performance period divided by the number of years in the performance period.</w:t>
      </w:r>
    </w:p>
    <w:p>
      <w:pPr>
        <w:spacing w:after="0" w:line="138" w:lineRule="exact"/>
        <w:rPr>
          <w:rFonts w:ascii="Arial" w:cs="Arial" w:eastAsia="Arial" w:hAnsi="Arial"/>
          <w:sz w:val="18"/>
          <w:szCs w:val="18"/>
          <w:color w:val="auto"/>
        </w:rPr>
      </w:pPr>
    </w:p>
    <w:p>
      <w:pPr>
        <w:ind w:right="40" w:firstLine="464"/>
        <w:spacing w:after="0" w:line="247" w:lineRule="auto"/>
        <w:tabs>
          <w:tab w:leader="none" w:pos="720" w:val="left"/>
        </w:tabs>
        <w:numPr>
          <w:ilvl w:val="1"/>
          <w:numId w:val="117"/>
        </w:numPr>
        <w:rPr>
          <w:rFonts w:ascii="Arial" w:cs="Arial" w:eastAsia="Arial" w:hAnsi="Arial"/>
          <w:sz w:val="18"/>
          <w:szCs w:val="18"/>
          <w:color w:val="auto"/>
        </w:rPr>
      </w:pPr>
      <w:r>
        <w:rPr>
          <w:rFonts w:ascii="Arial" w:cs="Arial" w:eastAsia="Arial" w:hAnsi="Arial"/>
          <w:sz w:val="18"/>
          <w:szCs w:val="18"/>
          <w:i w:val="1"/>
          <w:iCs w:val="1"/>
          <w:color w:val="auto"/>
        </w:rPr>
        <w:t>Non-Employee Director Awards</w:t>
      </w:r>
      <w:r>
        <w:rPr>
          <w:rFonts w:ascii="Arial" w:cs="Arial" w:eastAsia="Arial" w:hAnsi="Arial"/>
          <w:sz w:val="18"/>
          <w:szCs w:val="18"/>
          <w:color w:val="auto"/>
        </w:rPr>
        <w:t>. Notwithstanding any provision in the Plan to the contrary (but subject to adjustment as provided in</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15.1), the maximum aggregate number of Shares associated with any Award granted under the Plan in any calendar year to any one Non-Employee Director (other than a non-executive chairman) is 6,000 Shares.</w:t>
      </w:r>
    </w:p>
    <w:p>
      <w:pPr>
        <w:spacing w:after="0" w:line="127" w:lineRule="exact"/>
        <w:rPr>
          <w:sz w:val="20"/>
          <w:szCs w:val="20"/>
          <w:color w:val="auto"/>
        </w:rPr>
      </w:pPr>
    </w:p>
    <w:p>
      <w:pPr>
        <w:ind w:firstLine="456"/>
        <w:spacing w:after="0" w:line="274"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b w:val="1"/>
          <w:bCs w:val="1"/>
          <w:color w:val="auto"/>
        </w:rPr>
        <w:t>MINIMUM VESTING REQUIREMENTS FOR OPTIONS AND SARS.</w:t>
      </w:r>
      <w:r>
        <w:rPr>
          <w:rFonts w:ascii="Arial" w:cs="Arial" w:eastAsia="Arial" w:hAnsi="Arial"/>
          <w:sz w:val="16"/>
          <w:szCs w:val="16"/>
          <w:color w:val="auto"/>
        </w:rPr>
        <w:t xml:space="preserve"> Except in the case of substitute Awards granted pursuant to Section 14.10 and subject to the following sentence, any Options or Stock Appreciation Rights granted under the Plan to an Eligible Participant shall not vest less than one year following the Grant Date. Notwithstanding the foregoing, (i) the Committee may permit and authorize acceleration of vesting of Options and SARs in the event of the Participant’s death or disability or upon, or in connection with Participant’s termination of service following a Change in Control, and (ii) the Committee may grant Options and SARs without respect to the above-described minimum vesting requirements, or may permit and authorize acceleration of vesting of Options and SARs otherwise subject to the above-described minimum vesting requirements, with respect to Options and SARs covering 5% or fewer of the total number of Shares authorized under the Plan.</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336"/>
        </w:trPr>
        <w:tc>
          <w:tcPr>
            <w:tcW w:w="340" w:type="dxa"/>
            <w:vAlign w:val="bottom"/>
            <w:tcBorders>
              <w:right w:val="single" w:sz="8" w:color="225CAB"/>
            </w:tcBorders>
          </w:tcPr>
          <w:p>
            <w:pPr>
              <w:jc w:val="right"/>
              <w:ind w:right="52"/>
              <w:spacing w:after="0"/>
              <w:rPr>
                <w:sz w:val="20"/>
                <w:szCs w:val="20"/>
                <w:color w:val="auto"/>
              </w:rPr>
            </w:pPr>
            <w:r>
              <w:rPr>
                <w:rFonts w:ascii="Arial" w:cs="Arial" w:eastAsia="Arial" w:hAnsi="Arial"/>
                <w:sz w:val="18"/>
                <w:szCs w:val="18"/>
                <w:b w:val="1"/>
                <w:bCs w:val="1"/>
                <w:color w:val="225CAB"/>
                <w:w w:val="89"/>
              </w:rPr>
              <w:t>66</w:t>
            </w:r>
          </w:p>
        </w:tc>
        <w:tc>
          <w:tcPr>
            <w:tcW w:w="5180" w:type="dxa"/>
            <w:vAlign w:val="bottom"/>
          </w:tcPr>
          <w:p>
            <w:pPr>
              <w:ind w:left="1240"/>
              <w:spacing w:after="0"/>
              <w:rPr>
                <w:sz w:val="20"/>
                <w:szCs w:val="20"/>
                <w:color w:val="auto"/>
              </w:rPr>
            </w:pPr>
            <w:r>
              <w:rPr>
                <w:rFonts w:ascii="Arial" w:cs="Arial" w:eastAsia="Arial" w:hAnsi="Arial"/>
                <w:sz w:val="18"/>
                <w:szCs w:val="18"/>
                <w:b w:val="1"/>
                <w:bCs w:val="1"/>
                <w:color w:val="225CAB"/>
                <w:w w:val="96"/>
              </w:rPr>
              <w:t>Roper Technologies, Inc. 2016 Proxy Statement</w:t>
            </w:r>
          </w:p>
        </w:tc>
      </w:tr>
      <w:tr>
        <w:trPr>
          <w:trHeight w:val="110"/>
        </w:trPr>
        <w:tc>
          <w:tcPr>
            <w:tcW w:w="340" w:type="dxa"/>
            <w:vAlign w:val="bottom"/>
            <w:tcBorders>
              <w:right w:val="single" w:sz="8" w:color="225CAB"/>
            </w:tcBorders>
          </w:tcPr>
          <w:p>
            <w:pPr>
              <w:spacing w:after="0"/>
              <w:rPr>
                <w:sz w:val="9"/>
                <w:szCs w:val="9"/>
                <w:color w:val="auto"/>
              </w:rPr>
            </w:pPr>
          </w:p>
        </w:tc>
        <w:tc>
          <w:tcPr>
            <w:tcW w:w="518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-248285</wp:posOffset>
            </wp:positionV>
            <wp:extent cx="420370" cy="2057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ARTICLE 6</w:t>
      </w:r>
    </w:p>
    <w:p>
      <w:pPr>
        <w:spacing w:after="0" w:line="18"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ELIGIBILITY</w:t>
      </w:r>
    </w:p>
    <w:p>
      <w:pPr>
        <w:spacing w:after="0" w:line="136" w:lineRule="exact"/>
        <w:rPr>
          <w:sz w:val="20"/>
          <w:szCs w:val="20"/>
          <w:color w:val="auto"/>
        </w:rPr>
      </w:pPr>
    </w:p>
    <w:p>
      <w:pPr>
        <w:ind w:right="160" w:firstLine="456"/>
        <w:spacing w:after="0" w:line="244"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b w:val="1"/>
          <w:bCs w:val="1"/>
          <w:color w:val="auto"/>
        </w:rPr>
        <w:t>GENERAL.</w:t>
      </w:r>
      <w:r>
        <w:rPr>
          <w:rFonts w:ascii="Arial" w:cs="Arial" w:eastAsia="Arial" w:hAnsi="Arial"/>
          <w:sz w:val="18"/>
          <w:szCs w:val="18"/>
          <w:color w:val="auto"/>
        </w:rPr>
        <w:t xml:space="preserve"> Awards may be granted only to Eligible Participants; except that Incentive Stock Options may be granted to only to Eligible Participants who are employees of the Company or a Parent or Subsidiary as defined in Section 424(e) and (f) of the Code. Eligible Participants who are service providers to an Affiliate may be granted Options or SARs under this Plan only if the Affiliate qualifies as an “eligible issuer of service recipient stock” within the meaning of §1.409A-1(b)(5)(iii)(E) of the final regulations under Code Section 409A.</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7</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OPTIONS</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b w:val="1"/>
          <w:bCs w:val="1"/>
          <w:color w:val="auto"/>
        </w:rPr>
        <w:t>GENERAL.</w:t>
      </w:r>
      <w:r>
        <w:rPr>
          <w:rFonts w:ascii="Arial" w:cs="Arial" w:eastAsia="Arial" w:hAnsi="Arial"/>
          <w:sz w:val="18"/>
          <w:szCs w:val="18"/>
          <w:color w:val="auto"/>
        </w:rPr>
        <w:t xml:space="preserve"> The Committee is authorized to grant Options to Participants on the following terms and conditions:</w:t>
      </w:r>
    </w:p>
    <w:p>
      <w:pPr>
        <w:spacing w:after="0" w:line="81" w:lineRule="exact"/>
        <w:rPr>
          <w:sz w:val="20"/>
          <w:szCs w:val="20"/>
          <w:color w:val="auto"/>
        </w:rPr>
      </w:pPr>
    </w:p>
    <w:p>
      <w:pPr>
        <w:jc w:val="both"/>
        <w:ind w:left="460" w:right="360" w:firstLine="443"/>
        <w:spacing w:after="0" w:line="247" w:lineRule="auto"/>
        <w:tabs>
          <w:tab w:leader="none" w:pos="1162" w:val="left"/>
        </w:tabs>
        <w:numPr>
          <w:ilvl w:val="0"/>
          <w:numId w:val="118"/>
        </w:numPr>
        <w:rPr>
          <w:rFonts w:ascii="Arial" w:cs="Arial" w:eastAsia="Arial" w:hAnsi="Arial"/>
          <w:sz w:val="18"/>
          <w:szCs w:val="18"/>
          <w:color w:val="auto"/>
        </w:rPr>
      </w:pPr>
      <w:r>
        <w:rPr>
          <w:rFonts w:ascii="Arial" w:cs="Arial" w:eastAsia="Arial" w:hAnsi="Arial"/>
          <w:sz w:val="18"/>
          <w:szCs w:val="18"/>
          <w:i w:val="1"/>
          <w:iCs w:val="1"/>
          <w:color w:val="auto"/>
        </w:rPr>
        <w:t>Exercise Price</w:t>
      </w:r>
      <w:r>
        <w:rPr>
          <w:rFonts w:ascii="Arial" w:cs="Arial" w:eastAsia="Arial" w:hAnsi="Arial"/>
          <w:sz w:val="18"/>
          <w:szCs w:val="18"/>
          <w:color w:val="auto"/>
        </w:rPr>
        <w:t>. The exercise price per Share under an Option shall be determined by the Committee, provided that the exercise</w:t>
      </w:r>
      <w:r>
        <w:rPr>
          <w:rFonts w:ascii="Arial" w:cs="Arial" w:eastAsia="Arial" w:hAnsi="Arial"/>
          <w:sz w:val="18"/>
          <w:szCs w:val="18"/>
          <w:i w:val="1"/>
          <w:iCs w:val="1"/>
          <w:color w:val="auto"/>
        </w:rPr>
        <w:t xml:space="preserve"> </w:t>
      </w:r>
      <w:r>
        <w:rPr>
          <w:rFonts w:ascii="Arial" w:cs="Arial" w:eastAsia="Arial" w:hAnsi="Arial"/>
          <w:sz w:val="18"/>
          <w:szCs w:val="18"/>
          <w:color w:val="auto"/>
        </w:rPr>
        <w:t>price for any Option (other than an Option issued as a substitute Award pursuant to Section 14.10) shall not be less than the Fair Market Value as of the Grant Date.</w:t>
      </w:r>
    </w:p>
    <w:p>
      <w:pPr>
        <w:spacing w:after="0" w:line="49" w:lineRule="exact"/>
        <w:rPr>
          <w:rFonts w:ascii="Arial" w:cs="Arial" w:eastAsia="Arial" w:hAnsi="Arial"/>
          <w:sz w:val="18"/>
          <w:szCs w:val="18"/>
          <w:color w:val="auto"/>
        </w:rPr>
      </w:pPr>
    </w:p>
    <w:p>
      <w:pPr>
        <w:ind w:left="460" w:right="20" w:firstLine="443"/>
        <w:spacing w:after="0" w:line="247" w:lineRule="auto"/>
        <w:tabs>
          <w:tab w:leader="none" w:pos="1162" w:val="left"/>
        </w:tabs>
        <w:numPr>
          <w:ilvl w:val="0"/>
          <w:numId w:val="118"/>
        </w:numPr>
        <w:rPr>
          <w:rFonts w:ascii="Arial" w:cs="Arial" w:eastAsia="Arial" w:hAnsi="Arial"/>
          <w:sz w:val="18"/>
          <w:szCs w:val="18"/>
          <w:color w:val="auto"/>
        </w:rPr>
      </w:pPr>
      <w:r>
        <w:rPr>
          <w:rFonts w:ascii="Arial" w:cs="Arial" w:eastAsia="Arial" w:hAnsi="Arial"/>
          <w:sz w:val="18"/>
          <w:szCs w:val="18"/>
          <w:i w:val="1"/>
          <w:iCs w:val="1"/>
          <w:color w:val="auto"/>
        </w:rPr>
        <w:t>Time and Conditions of Exercise</w:t>
      </w:r>
      <w:r>
        <w:rPr>
          <w:rFonts w:ascii="Arial" w:cs="Arial" w:eastAsia="Arial" w:hAnsi="Arial"/>
          <w:sz w:val="18"/>
          <w:szCs w:val="18"/>
          <w:color w:val="auto"/>
        </w:rPr>
        <w:t>. The Committee shall determine the time or times at which an Option may be exercised in whole or</w:t>
      </w:r>
      <w:r>
        <w:rPr>
          <w:rFonts w:ascii="Arial" w:cs="Arial" w:eastAsia="Arial" w:hAnsi="Arial"/>
          <w:sz w:val="18"/>
          <w:szCs w:val="18"/>
          <w:i w:val="1"/>
          <w:iCs w:val="1"/>
          <w:color w:val="auto"/>
        </w:rPr>
        <w:t xml:space="preserve"> </w:t>
      </w:r>
      <w:r>
        <w:rPr>
          <w:rFonts w:ascii="Arial" w:cs="Arial" w:eastAsia="Arial" w:hAnsi="Arial"/>
          <w:sz w:val="18"/>
          <w:szCs w:val="18"/>
          <w:color w:val="auto"/>
        </w:rPr>
        <w:t>in part. The Committee shall also determine the performance or other conditions, if any, that must be satisfied before all or part of an Option may be exercised or vested.</w:t>
      </w:r>
    </w:p>
    <w:p>
      <w:pPr>
        <w:spacing w:after="0" w:line="49" w:lineRule="exact"/>
        <w:rPr>
          <w:rFonts w:ascii="Arial" w:cs="Arial" w:eastAsia="Arial" w:hAnsi="Arial"/>
          <w:sz w:val="18"/>
          <w:szCs w:val="18"/>
          <w:color w:val="auto"/>
        </w:rPr>
      </w:pPr>
    </w:p>
    <w:p>
      <w:pPr>
        <w:ind w:left="1160" w:hanging="257"/>
        <w:spacing w:after="0"/>
        <w:tabs>
          <w:tab w:leader="none" w:pos="1160" w:val="left"/>
        </w:tabs>
        <w:numPr>
          <w:ilvl w:val="0"/>
          <w:numId w:val="118"/>
        </w:numPr>
        <w:rPr>
          <w:rFonts w:ascii="Arial" w:cs="Arial" w:eastAsia="Arial" w:hAnsi="Arial"/>
          <w:sz w:val="18"/>
          <w:szCs w:val="18"/>
          <w:color w:val="auto"/>
        </w:rPr>
      </w:pPr>
      <w:r>
        <w:rPr>
          <w:rFonts w:ascii="Arial" w:cs="Arial" w:eastAsia="Arial" w:hAnsi="Arial"/>
          <w:sz w:val="18"/>
          <w:szCs w:val="18"/>
          <w:i w:val="1"/>
          <w:iCs w:val="1"/>
          <w:color w:val="auto"/>
        </w:rPr>
        <w:t>Exercise Term</w:t>
      </w:r>
      <w:r>
        <w:rPr>
          <w:rFonts w:ascii="Arial" w:cs="Arial" w:eastAsia="Arial" w:hAnsi="Arial"/>
          <w:sz w:val="18"/>
          <w:szCs w:val="18"/>
          <w:color w:val="auto"/>
        </w:rPr>
        <w:t>. In no event may any Option be exercisable for more than ten years from the Grant Date.</w:t>
      </w:r>
    </w:p>
    <w:p>
      <w:pPr>
        <w:spacing w:after="0" w:line="76" w:lineRule="exact"/>
        <w:rPr>
          <w:rFonts w:ascii="Arial" w:cs="Arial" w:eastAsia="Arial" w:hAnsi="Arial"/>
          <w:sz w:val="18"/>
          <w:szCs w:val="18"/>
          <w:color w:val="auto"/>
        </w:rPr>
      </w:pPr>
    </w:p>
    <w:p>
      <w:pPr>
        <w:ind w:left="460" w:right="20" w:firstLine="443"/>
        <w:spacing w:after="0" w:line="239" w:lineRule="auto"/>
        <w:tabs>
          <w:tab w:leader="none" w:pos="1162" w:val="left"/>
        </w:tabs>
        <w:numPr>
          <w:ilvl w:val="0"/>
          <w:numId w:val="118"/>
        </w:numPr>
        <w:rPr>
          <w:rFonts w:ascii="Arial" w:cs="Arial" w:eastAsia="Arial" w:hAnsi="Arial"/>
          <w:sz w:val="18"/>
          <w:szCs w:val="18"/>
          <w:color w:val="auto"/>
        </w:rPr>
      </w:pPr>
      <w:r>
        <w:rPr>
          <w:rFonts w:ascii="Arial" w:cs="Arial" w:eastAsia="Arial" w:hAnsi="Arial"/>
          <w:sz w:val="18"/>
          <w:szCs w:val="18"/>
          <w:i w:val="1"/>
          <w:iCs w:val="1"/>
          <w:color w:val="auto"/>
        </w:rPr>
        <w:t>Method of Payment</w:t>
      </w:r>
      <w:r>
        <w:rPr>
          <w:rFonts w:ascii="Arial" w:cs="Arial" w:eastAsia="Arial" w:hAnsi="Arial"/>
          <w:sz w:val="18"/>
          <w:szCs w:val="18"/>
          <w:color w:val="auto"/>
        </w:rPr>
        <w:t>. The Committee shall determine the methods by which the exercise price of an Option may be paid, the form of</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and the methods by which Shares shall be delivered or deemed to be delivered to Participants. As determined by the Committee at or after the Grant Date, payment of the exercise price of an Option may be made, in whole or in part, in the form of (i) cash or cash equivalents, (ii) delivery (by either actual delivery or attestation) of previously-acquired Shares based on the Fair Market Value of the Shares on the date the Option is exercised, (iii) withholding of Shares from the Option based on the Fair Market Value of the Shares on the date the Option is exercised, (iv) broker-assisted market sales, or (v) any other “cashless exercise” arrangement.</w:t>
      </w:r>
    </w:p>
    <w:p>
      <w:pPr>
        <w:spacing w:after="0" w:line="59" w:lineRule="exact"/>
        <w:rPr>
          <w:rFonts w:ascii="Arial" w:cs="Arial" w:eastAsia="Arial" w:hAnsi="Arial"/>
          <w:sz w:val="18"/>
          <w:szCs w:val="18"/>
          <w:color w:val="auto"/>
        </w:rPr>
      </w:pPr>
    </w:p>
    <w:p>
      <w:pPr>
        <w:jc w:val="both"/>
        <w:ind w:left="460" w:right="120" w:firstLine="443"/>
        <w:spacing w:after="0" w:line="241" w:lineRule="auto"/>
        <w:tabs>
          <w:tab w:leader="none" w:pos="1162" w:val="left"/>
        </w:tabs>
        <w:numPr>
          <w:ilvl w:val="0"/>
          <w:numId w:val="118"/>
        </w:numPr>
        <w:rPr>
          <w:rFonts w:ascii="Arial" w:cs="Arial" w:eastAsia="Arial" w:hAnsi="Arial"/>
          <w:sz w:val="18"/>
          <w:szCs w:val="18"/>
          <w:color w:val="auto"/>
        </w:rPr>
      </w:pPr>
      <w:r>
        <w:rPr>
          <w:rFonts w:ascii="Arial" w:cs="Arial" w:eastAsia="Arial" w:hAnsi="Arial"/>
          <w:sz w:val="18"/>
          <w:szCs w:val="18"/>
          <w:i w:val="1"/>
          <w:iCs w:val="1"/>
          <w:color w:val="auto"/>
        </w:rPr>
        <w:t>Prohibition on Repricing</w:t>
      </w:r>
      <w:r>
        <w:rPr>
          <w:rFonts w:ascii="Arial" w:cs="Arial" w:eastAsia="Arial" w:hAnsi="Arial"/>
          <w:sz w:val="18"/>
          <w:szCs w:val="18"/>
          <w:color w:val="auto"/>
        </w:rPr>
        <w:t>. Except as otherwise required pursuant to Section 15.1, without the prior approval of the shareholders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(i) the exercise price of an Option may not be reduced, directly or indirectly, (ii) an Option may not be cancelled in exchange for an Option, SAR or other Award with an exercise, base or purchase price that is less than the exercise price of the original Option or for a Full-Value Award, and (iii) the Company may not repurchase an Option for value (in cash or otherwise) from a Participant if the then-current Fair Market Value of the Shares underlying the Option is lower than the exercise price per share of the Option.</w:t>
      </w:r>
    </w:p>
    <w:p>
      <w:pPr>
        <w:spacing w:after="0" w:line="132" w:lineRule="exact"/>
        <w:rPr>
          <w:sz w:val="20"/>
          <w:szCs w:val="20"/>
          <w:color w:val="auto"/>
        </w:rPr>
      </w:pPr>
    </w:p>
    <w:p>
      <w:pPr>
        <w:ind w:right="80" w:firstLine="456"/>
        <w:spacing w:after="0" w:line="249"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b w:val="1"/>
          <w:bCs w:val="1"/>
          <w:color w:val="auto"/>
        </w:rPr>
        <w:t>INCENTIVE STOCK OPTIONS.</w:t>
      </w:r>
      <w:r>
        <w:rPr>
          <w:rFonts w:ascii="Arial" w:cs="Arial" w:eastAsia="Arial" w:hAnsi="Arial"/>
          <w:sz w:val="18"/>
          <w:szCs w:val="18"/>
          <w:color w:val="auto"/>
        </w:rPr>
        <w:t xml:space="preserve"> The terms of any Incentive Stock Options granted under the Plan must comply with the requirements of Section 422 of the Code. If all of the requirements of Section 422 of the Code are not met, the Option shall automatically become a Nonstatutory Stock Option.</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8</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APPRECIATION RIGHTS</w:t>
      </w:r>
    </w:p>
    <w:p>
      <w:pPr>
        <w:spacing w:after="0" w:line="136"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b w:val="1"/>
          <w:bCs w:val="1"/>
          <w:color w:val="auto"/>
        </w:rPr>
        <w:t>GRANT OF STOCK APPRECIATION RIGHTS.</w:t>
      </w:r>
      <w:r>
        <w:rPr>
          <w:rFonts w:ascii="Arial" w:cs="Arial" w:eastAsia="Arial" w:hAnsi="Arial"/>
          <w:sz w:val="18"/>
          <w:szCs w:val="18"/>
          <w:color w:val="auto"/>
        </w:rPr>
        <w:t xml:space="preserve"> The Committee is authorized to grant Stock Appreciation Rights to Participants on the following terms and conditions:</w:t>
      </w:r>
    </w:p>
    <w:p>
      <w:pPr>
        <w:spacing w:after="0" w:line="35" w:lineRule="exact"/>
        <w:rPr>
          <w:sz w:val="20"/>
          <w:szCs w:val="20"/>
          <w:color w:val="auto"/>
        </w:rPr>
      </w:pPr>
    </w:p>
    <w:p>
      <w:pPr>
        <w:ind w:left="460" w:right="180" w:firstLine="443"/>
        <w:spacing w:after="0" w:line="247" w:lineRule="auto"/>
        <w:tabs>
          <w:tab w:leader="none" w:pos="1162" w:val="left"/>
        </w:tabs>
        <w:numPr>
          <w:ilvl w:val="0"/>
          <w:numId w:val="119"/>
        </w:numPr>
        <w:rPr>
          <w:rFonts w:ascii="Arial" w:cs="Arial" w:eastAsia="Arial" w:hAnsi="Arial"/>
          <w:sz w:val="18"/>
          <w:szCs w:val="18"/>
          <w:color w:val="auto"/>
        </w:rPr>
      </w:pPr>
      <w:r>
        <w:rPr>
          <w:rFonts w:ascii="Arial" w:cs="Arial" w:eastAsia="Arial" w:hAnsi="Arial"/>
          <w:sz w:val="18"/>
          <w:szCs w:val="18"/>
          <w:i w:val="1"/>
          <w:iCs w:val="1"/>
          <w:color w:val="auto"/>
        </w:rPr>
        <w:t>Base Price</w:t>
      </w:r>
      <w:r>
        <w:rPr>
          <w:rFonts w:ascii="Arial" w:cs="Arial" w:eastAsia="Arial" w:hAnsi="Arial"/>
          <w:sz w:val="18"/>
          <w:szCs w:val="18"/>
          <w:color w:val="auto"/>
        </w:rPr>
        <w:t>. The base price per Share under a Stock Appreciation Right shall be determined by the Committee, provided that the</w:t>
      </w:r>
      <w:r>
        <w:rPr>
          <w:rFonts w:ascii="Arial" w:cs="Arial" w:eastAsia="Arial" w:hAnsi="Arial"/>
          <w:sz w:val="18"/>
          <w:szCs w:val="18"/>
          <w:i w:val="1"/>
          <w:iCs w:val="1"/>
          <w:color w:val="auto"/>
        </w:rPr>
        <w:t xml:space="preserve"> </w:t>
      </w:r>
      <w:r>
        <w:rPr>
          <w:rFonts w:ascii="Arial" w:cs="Arial" w:eastAsia="Arial" w:hAnsi="Arial"/>
          <w:sz w:val="18"/>
          <w:szCs w:val="18"/>
          <w:color w:val="auto"/>
        </w:rPr>
        <w:t>base price for any Stock Appreciation Right (other than a Stock Appreciation Right issued as a substitute Award pursuant to Section 14.10) shall not be less than the Fair Market Value as of the Grant Date.</w:t>
      </w:r>
    </w:p>
    <w:p>
      <w:pPr>
        <w:spacing w:after="0" w:line="49" w:lineRule="exact"/>
        <w:rPr>
          <w:rFonts w:ascii="Arial" w:cs="Arial" w:eastAsia="Arial" w:hAnsi="Arial"/>
          <w:sz w:val="18"/>
          <w:szCs w:val="18"/>
          <w:color w:val="auto"/>
        </w:rPr>
      </w:pPr>
    </w:p>
    <w:p>
      <w:pPr>
        <w:ind w:left="460" w:right="420" w:firstLine="443"/>
        <w:spacing w:after="0" w:line="260" w:lineRule="auto"/>
        <w:tabs>
          <w:tab w:leader="none" w:pos="1162" w:val="left"/>
        </w:tabs>
        <w:numPr>
          <w:ilvl w:val="0"/>
          <w:numId w:val="119"/>
        </w:numPr>
        <w:rPr>
          <w:rFonts w:ascii="Arial" w:cs="Arial" w:eastAsia="Arial" w:hAnsi="Arial"/>
          <w:sz w:val="18"/>
          <w:szCs w:val="18"/>
          <w:color w:val="auto"/>
        </w:rPr>
      </w:pPr>
      <w:r>
        <w:rPr>
          <w:rFonts w:ascii="Arial" w:cs="Arial" w:eastAsia="Arial" w:hAnsi="Arial"/>
          <w:sz w:val="18"/>
          <w:szCs w:val="18"/>
          <w:i w:val="1"/>
          <w:iCs w:val="1"/>
          <w:color w:val="auto"/>
        </w:rPr>
        <w:t xml:space="preserve">Time and Conditions of Exercise. </w:t>
      </w:r>
      <w:r>
        <w:rPr>
          <w:rFonts w:ascii="Arial" w:cs="Arial" w:eastAsia="Arial" w:hAnsi="Arial"/>
          <w:sz w:val="18"/>
          <w:szCs w:val="18"/>
          <w:color w:val="auto"/>
        </w:rPr>
        <w:t>The Committee shall determine the time or times at which a Stock Appreciation Right may be</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exercised in whole or in part.</w:t>
      </w:r>
    </w:p>
    <w:p>
      <w:pPr>
        <w:spacing w:after="0" w:line="120" w:lineRule="exact"/>
        <w:rPr>
          <w:sz w:val="20"/>
          <w:szCs w:val="20"/>
          <w:color w:val="auto"/>
        </w:rPr>
      </w:pPr>
    </w:p>
    <w:tbl>
      <w:tblPr>
        <w:tblLayout w:type="fixed"/>
        <w:tblInd w:w="6900" w:type="dxa"/>
        <w:tblCellMar>
          <w:top w:w="0" w:type="dxa"/>
          <w:left w:w="0" w:type="dxa"/>
          <w:bottom w:w="0" w:type="dxa"/>
          <w:right w:w="0" w:type="dxa"/>
        </w:tblCellMar>
      </w:tblPr>
      <w:tr>
        <w:trPr>
          <w:trHeight w:val="309"/>
        </w:trPr>
        <w:tc>
          <w:tcPr>
            <w:tcW w:w="4080" w:type="dxa"/>
            <w:vAlign w:val="bottom"/>
            <w:tcBorders>
              <w:right w:val="single" w:sz="8" w:color="225CAB"/>
            </w:tcBorders>
          </w:tcPr>
          <w:p>
            <w:pPr>
              <w:spacing w:after="0"/>
              <w:rPr>
                <w:sz w:val="20"/>
                <w:szCs w:val="20"/>
                <w:color w:val="auto"/>
              </w:rPr>
            </w:pPr>
            <w:r>
              <w:rPr>
                <w:rFonts w:ascii="Arial" w:cs="Arial" w:eastAsia="Arial" w:hAnsi="Arial"/>
                <w:sz w:val="18"/>
                <w:szCs w:val="18"/>
                <w:b w:val="1"/>
                <w:bCs w:val="1"/>
                <w:color w:val="225CAB"/>
                <w:w w:val="99"/>
              </w:rPr>
              <w:t>Roper Technologies, Inc. 2016 Proxy Statement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225CAB"/>
              </w:rPr>
              <w:t>67</w:t>
            </w:r>
          </w:p>
        </w:tc>
      </w:tr>
      <w:tr>
        <w:trPr>
          <w:trHeight w:val="83"/>
        </w:trPr>
        <w:tc>
          <w:tcPr>
            <w:tcW w:w="4080" w:type="dxa"/>
            <w:vAlign w:val="bottom"/>
            <w:tcBorders>
              <w:right w:val="single" w:sz="8" w:color="225CAB"/>
            </w:tcBorders>
          </w:tcPr>
          <w:p>
            <w:pPr>
              <w:spacing w:after="0"/>
              <w:rPr>
                <w:sz w:val="7"/>
                <w:szCs w:val="7"/>
                <w:color w:val="auto"/>
              </w:rPr>
            </w:pPr>
          </w:p>
        </w:tc>
        <w:tc>
          <w:tcPr>
            <w:tcW w:w="44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-213995</wp:posOffset>
            </wp:positionV>
            <wp:extent cx="420370" cy="2057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60" w:hanging="257"/>
        <w:spacing w:after="0"/>
        <w:tabs>
          <w:tab w:leader="none" w:pos="1160" w:val="left"/>
        </w:tabs>
        <w:numPr>
          <w:ilvl w:val="0"/>
          <w:numId w:val="120"/>
        </w:numPr>
        <w:rPr>
          <w:rFonts w:ascii="Arial" w:cs="Arial" w:eastAsia="Arial" w:hAnsi="Arial"/>
          <w:sz w:val="18"/>
          <w:szCs w:val="18"/>
          <w:color w:val="auto"/>
        </w:rPr>
      </w:pPr>
      <w:r>
        <w:rPr>
          <w:rFonts w:ascii="Arial" w:cs="Arial" w:eastAsia="Arial" w:hAnsi="Arial"/>
          <w:sz w:val="18"/>
          <w:szCs w:val="18"/>
          <w:i w:val="1"/>
          <w:iCs w:val="1"/>
          <w:color w:val="auto"/>
        </w:rPr>
        <w:t>Exercise Term</w:t>
      </w:r>
      <w:r>
        <w:rPr>
          <w:rFonts w:ascii="Arial" w:cs="Arial" w:eastAsia="Arial" w:hAnsi="Arial"/>
          <w:sz w:val="18"/>
          <w:szCs w:val="18"/>
          <w:color w:val="auto"/>
        </w:rPr>
        <w:t>. In no event may any Stock Appreciation Right be exercisable for more than ten years from the Grant Date.</w:t>
      </w:r>
    </w:p>
    <w:p>
      <w:pPr>
        <w:spacing w:after="0" w:line="76" w:lineRule="exact"/>
        <w:rPr>
          <w:rFonts w:ascii="Arial" w:cs="Arial" w:eastAsia="Arial" w:hAnsi="Arial"/>
          <w:sz w:val="18"/>
          <w:szCs w:val="18"/>
          <w:color w:val="auto"/>
        </w:rPr>
      </w:pPr>
    </w:p>
    <w:p>
      <w:pPr>
        <w:ind w:left="460" w:right="20" w:firstLine="443"/>
        <w:spacing w:after="0" w:line="243" w:lineRule="auto"/>
        <w:tabs>
          <w:tab w:leader="none" w:pos="1162" w:val="left"/>
        </w:tabs>
        <w:numPr>
          <w:ilvl w:val="0"/>
          <w:numId w:val="120"/>
        </w:numPr>
        <w:rPr>
          <w:rFonts w:ascii="Arial" w:cs="Arial" w:eastAsia="Arial" w:hAnsi="Arial"/>
          <w:sz w:val="18"/>
          <w:szCs w:val="18"/>
          <w:color w:val="auto"/>
        </w:rPr>
      </w:pPr>
      <w:r>
        <w:rPr>
          <w:rFonts w:ascii="Arial" w:cs="Arial" w:eastAsia="Arial" w:hAnsi="Arial"/>
          <w:sz w:val="18"/>
          <w:szCs w:val="18"/>
          <w:i w:val="1"/>
          <w:iCs w:val="1"/>
          <w:color w:val="auto"/>
        </w:rPr>
        <w:t>Other Terms</w:t>
      </w:r>
      <w:r>
        <w:rPr>
          <w:rFonts w:ascii="Arial" w:cs="Arial" w:eastAsia="Arial" w:hAnsi="Arial"/>
          <w:sz w:val="18"/>
          <w:szCs w:val="18"/>
          <w:color w:val="auto"/>
        </w:rPr>
        <w:t>. All Stock Appreciation Rights shall be evidenced by an Award Certificate. Subject to the limitations of this Article 8, the</w:t>
      </w:r>
      <w:r>
        <w:rPr>
          <w:rFonts w:ascii="Arial" w:cs="Arial" w:eastAsia="Arial" w:hAnsi="Arial"/>
          <w:sz w:val="18"/>
          <w:szCs w:val="18"/>
          <w:i w:val="1"/>
          <w:iCs w:val="1"/>
          <w:color w:val="auto"/>
        </w:rPr>
        <w:t xml:space="preserve"> </w:t>
      </w:r>
      <w:r>
        <w:rPr>
          <w:rFonts w:ascii="Arial" w:cs="Arial" w:eastAsia="Arial" w:hAnsi="Arial"/>
          <w:sz w:val="18"/>
          <w:szCs w:val="18"/>
          <w:color w:val="auto"/>
        </w:rPr>
        <w:t>terms, methods of exercise, methods of settlement, form of consideration payable in settlement, and any other terms and conditions of any Stock Appreciation Right shall be determined by the Committee at the time of the grant of the Award and shall be reflected in the Award Certificate.</w:t>
      </w:r>
    </w:p>
    <w:p>
      <w:pPr>
        <w:spacing w:after="0" w:line="53" w:lineRule="exact"/>
        <w:rPr>
          <w:rFonts w:ascii="Arial" w:cs="Arial" w:eastAsia="Arial" w:hAnsi="Arial"/>
          <w:sz w:val="18"/>
          <w:szCs w:val="18"/>
          <w:color w:val="auto"/>
        </w:rPr>
      </w:pPr>
    </w:p>
    <w:p>
      <w:pPr>
        <w:ind w:left="460" w:firstLine="443"/>
        <w:spacing w:after="0" w:line="239" w:lineRule="auto"/>
        <w:tabs>
          <w:tab w:leader="none" w:pos="1162" w:val="left"/>
        </w:tabs>
        <w:numPr>
          <w:ilvl w:val="0"/>
          <w:numId w:val="120"/>
        </w:numPr>
        <w:rPr>
          <w:rFonts w:ascii="Arial" w:cs="Arial" w:eastAsia="Arial" w:hAnsi="Arial"/>
          <w:sz w:val="18"/>
          <w:szCs w:val="18"/>
          <w:color w:val="auto"/>
        </w:rPr>
      </w:pPr>
      <w:r>
        <w:rPr>
          <w:rFonts w:ascii="Arial" w:cs="Arial" w:eastAsia="Arial" w:hAnsi="Arial"/>
          <w:sz w:val="18"/>
          <w:szCs w:val="18"/>
          <w:i w:val="1"/>
          <w:iCs w:val="1"/>
          <w:color w:val="auto"/>
        </w:rPr>
        <w:t>Prohibition on Repricing</w:t>
      </w:r>
      <w:r>
        <w:rPr>
          <w:rFonts w:ascii="Arial" w:cs="Arial" w:eastAsia="Arial" w:hAnsi="Arial"/>
          <w:sz w:val="18"/>
          <w:szCs w:val="18"/>
          <w:color w:val="auto"/>
        </w:rPr>
        <w:t>. Except as otherwise required pursuant to Section 15.1, without the prior approval of the shareholder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(i) the base price of a Stock Appreciation Right may not be reduced, directly or indirectly (ii) a Stock Appreciation Right may not be cancelled in exchange for an Option, SAR or other Award with an exercise, base or purchase price that is less than the base price of the original Stock Appreciation Right or for a Full-Value Award, and (iii) the Company may not repurchase a Stock Appreciation Right for value (in cash or otherwise) from a Participant if the then-current Fair Market Value of the Shares underlying the Stock Appreciation Right is lower than the base price per share of the Stock Appreciation Right.</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9</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AWARDS</w:t>
      </w:r>
    </w:p>
    <w:p>
      <w:pPr>
        <w:spacing w:after="0" w:line="136" w:lineRule="exact"/>
        <w:rPr>
          <w:sz w:val="20"/>
          <w:szCs w:val="20"/>
          <w:color w:val="auto"/>
        </w:rPr>
      </w:pPr>
    </w:p>
    <w:p>
      <w:pPr>
        <w:ind w:right="80" w:firstLine="456"/>
        <w:spacing w:after="0" w:line="239"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b w:val="1"/>
          <w:bCs w:val="1"/>
          <w:color w:val="auto"/>
        </w:rPr>
        <w:t>GRANT OF PERFORMANCE AWARDS.</w:t>
      </w:r>
      <w:r>
        <w:rPr>
          <w:rFonts w:ascii="Arial" w:cs="Arial" w:eastAsia="Arial" w:hAnsi="Arial"/>
          <w:sz w:val="18"/>
          <w:szCs w:val="18"/>
          <w:color w:val="auto"/>
        </w:rPr>
        <w:t xml:space="preserve"> The Committee is authorized to grant any Award under this Plan, including cash-based Awards, with performance-based vesting criteria, on such terms and conditions as may be selected by the Committee. Any such Awards with performance-based vesting criteria are referred to herein as Performance Awards. The Committee shall have the complete discretion to determine the number of Performance Awards granted to each Participant, subject to Section 5.4, and to designate the provisions of such Performance Awards as provided in Section 4.3. All Performance Awards shall be evidenced by an Award Certificate or a written program established by the Committee, pursuant to which Performance Awards are awarded under the Plan under uniform terms, conditions and restrictions set forth in such written program.</w:t>
      </w:r>
    </w:p>
    <w:p>
      <w:pPr>
        <w:spacing w:after="0" w:line="137" w:lineRule="exact"/>
        <w:rPr>
          <w:sz w:val="20"/>
          <w:szCs w:val="20"/>
          <w:color w:val="auto"/>
        </w:rPr>
      </w:pPr>
    </w:p>
    <w:p>
      <w:pPr>
        <w:ind w:right="100" w:firstLine="456"/>
        <w:spacing w:after="0" w:line="237"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b w:val="1"/>
          <w:bCs w:val="1"/>
          <w:color w:val="auto"/>
        </w:rPr>
        <w:t>PERFORMANCE GOALS.</w:t>
      </w:r>
      <w:r>
        <w:rPr>
          <w:rFonts w:ascii="Arial" w:cs="Arial" w:eastAsia="Arial" w:hAnsi="Arial"/>
          <w:sz w:val="18"/>
          <w:szCs w:val="18"/>
          <w:color w:val="auto"/>
        </w:rPr>
        <w:t xml:space="preserve"> The Committee may establish performance goals for Performance Awards which may be based on any criteria selected by the Committee. Such performance goals may be described in terms of Company-wide objectives or in terms of objectives that relate to the performance of the Participant, an Affiliate or a division, region, department or function within the Company or an Affiliate. If the Committee determines that a change in the business, operations, corporate structure or capital structure of the Company or the manner in which the Company or an Affiliate conducts its business, or other events or circumstances render performance goals to be unsuitable, the Committee may modify such performance goals in whole or in part, as the Committee deems appropriate. If a Participant is promoted, demoted or transferred to a different business unit or function during a performance period, the Committee may determine that the performance goals or performance period are no longer appropriate and may (i) adjust, change or eliminate the performance goals or the applicable performance period as it deems appropriate to make such goals and period comparable to the initial goals and period, or (ii) make a cash payment to the participant in an amount determined by the Committee. The foregoing two sentences shall not apply with respect to a Performance Award that is intended to be a Qualified Performance-Based Award if the recipient of such award (a) was a Covered Employee on the date of the modification, adjustment, change or elimination of the performance goals or performance period, or (b) in the reasonable judgment of the Committee, may be a Covered Employee on the date the Performance Award is expected to be paid.</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10</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RESTRICTED STOCK UNITS AND DEFERRED STOCK UNITS</w:t>
      </w:r>
    </w:p>
    <w:p>
      <w:pPr>
        <w:spacing w:after="0" w:line="136" w:lineRule="exact"/>
        <w:rPr>
          <w:sz w:val="20"/>
          <w:szCs w:val="20"/>
          <w:color w:val="auto"/>
        </w:rPr>
      </w:pPr>
    </w:p>
    <w:p>
      <w:pPr>
        <w:ind w:right="60" w:firstLine="456"/>
        <w:spacing w:after="0" w:line="244"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b w:val="1"/>
          <w:bCs w:val="1"/>
          <w:color w:val="auto"/>
        </w:rPr>
        <w:t>GRANT OF RESTRICTED STOCK, RESTRICTED STOCK UNITS AND DEFERRED STOCK UNITS.</w:t>
      </w:r>
      <w:r>
        <w:rPr>
          <w:rFonts w:ascii="Arial" w:cs="Arial" w:eastAsia="Arial" w:hAnsi="Arial"/>
          <w:sz w:val="18"/>
          <w:szCs w:val="18"/>
          <w:color w:val="auto"/>
        </w:rPr>
        <w:t xml:space="preserve"> The Committee is authorized to make Awards of Restricted Stock, Restricted Stock Units or Deferred Stock Units to Participants in such amounts and subject to such terms and conditions as may be selected by the Committee. An Award of Restricted Stock, Restricted Stock Units or Deferred Stock Units shall be evidenced by an Award Certificate setting forth the terms, conditions, and restrictions applicable to the Award.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336"/>
        </w:trPr>
        <w:tc>
          <w:tcPr>
            <w:tcW w:w="340" w:type="dxa"/>
            <w:vAlign w:val="bottom"/>
            <w:tcBorders>
              <w:right w:val="single" w:sz="8" w:color="225CAB"/>
            </w:tcBorders>
          </w:tcPr>
          <w:p>
            <w:pPr>
              <w:jc w:val="right"/>
              <w:ind w:right="52"/>
              <w:spacing w:after="0"/>
              <w:rPr>
                <w:sz w:val="20"/>
                <w:szCs w:val="20"/>
                <w:color w:val="auto"/>
              </w:rPr>
            </w:pPr>
            <w:r>
              <w:rPr>
                <w:rFonts w:ascii="Arial" w:cs="Arial" w:eastAsia="Arial" w:hAnsi="Arial"/>
                <w:sz w:val="18"/>
                <w:szCs w:val="18"/>
                <w:b w:val="1"/>
                <w:bCs w:val="1"/>
                <w:color w:val="225CAB"/>
                <w:w w:val="89"/>
              </w:rPr>
              <w:t>68</w:t>
            </w:r>
          </w:p>
        </w:tc>
        <w:tc>
          <w:tcPr>
            <w:tcW w:w="5180" w:type="dxa"/>
            <w:vAlign w:val="bottom"/>
          </w:tcPr>
          <w:p>
            <w:pPr>
              <w:ind w:left="1240"/>
              <w:spacing w:after="0"/>
              <w:rPr>
                <w:sz w:val="20"/>
                <w:szCs w:val="20"/>
                <w:color w:val="auto"/>
              </w:rPr>
            </w:pPr>
            <w:r>
              <w:rPr>
                <w:rFonts w:ascii="Arial" w:cs="Arial" w:eastAsia="Arial" w:hAnsi="Arial"/>
                <w:sz w:val="18"/>
                <w:szCs w:val="18"/>
                <w:b w:val="1"/>
                <w:bCs w:val="1"/>
                <w:color w:val="225CAB"/>
                <w:w w:val="96"/>
              </w:rPr>
              <w:t>Roper Technologies, Inc. 2016 Proxy Statement</w:t>
            </w:r>
          </w:p>
        </w:tc>
      </w:tr>
      <w:tr>
        <w:trPr>
          <w:trHeight w:val="110"/>
        </w:trPr>
        <w:tc>
          <w:tcPr>
            <w:tcW w:w="340" w:type="dxa"/>
            <w:vAlign w:val="bottom"/>
            <w:tcBorders>
              <w:right w:val="single" w:sz="8" w:color="225CAB"/>
            </w:tcBorders>
          </w:tcPr>
          <w:p>
            <w:pPr>
              <w:spacing w:after="0"/>
              <w:rPr>
                <w:sz w:val="9"/>
                <w:szCs w:val="9"/>
                <w:color w:val="auto"/>
              </w:rPr>
            </w:pPr>
          </w:p>
        </w:tc>
        <w:tc>
          <w:tcPr>
            <w:tcW w:w="518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-248285</wp:posOffset>
            </wp:positionV>
            <wp:extent cx="420370" cy="2057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20" w:firstLine="456"/>
        <w:spacing w:after="0" w:line="237"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b w:val="1"/>
          <w:bCs w:val="1"/>
          <w:color w:val="auto"/>
        </w:rPr>
        <w:t>ISSUANCE AND RESTRICTIONS.</w:t>
      </w:r>
      <w:r>
        <w:rPr>
          <w:rFonts w:ascii="Arial" w:cs="Arial" w:eastAsia="Arial" w:hAnsi="Arial"/>
          <w:sz w:val="18"/>
          <w:szCs w:val="18"/>
          <w:color w:val="auto"/>
        </w:rPr>
        <w:t xml:space="preserve"> Restricted Stock, Restricted Stock Units or Deferred Stock Units shall be subject to such restrictions on transferability and other restrictions as the Committee may impose (including, without limitation, limitations on the right to vote Restricted Stock or the right to receive dividends on the Restricted Stock). These restrictions may lapse separately or in combination at such times, under such circumstances, in such installments, upon the satisfaction of performance goals or otherwise, as the Committee determines at the time of the grant of the Award or thereafter. Except as otherwise provided herein or in an Award Certificate or any special Plan document governing an Award, the Participant shall have all of the rights of a shareholder with respect to the Restricted Stock, and the Participant shall have none of the rights of a shareholder with respect to Restricted Stock Units or Deferred Stock Units until such time as Shares of Stock are paid in settlement of the Restricted Stock Units or Deferred Stock Units. Unless otherwise provided in the applicable Award Certificate, Awards of Restricted Stock will be entitled to full dividend rights and any dividends paid thereon will be paid or distributed to the holder no later than the end of the calendar year in which the dividends are paid to shareholders or, if later, the 15th day of the 3rd month following the date the dividends are paid to shareholders. In no event shall dividends with respect to an award of Restricted Stock or Restricted Stock Units that is subject to performance-based conditions be paid or distributed unless and until the performance-based conditions are met.</w:t>
      </w:r>
    </w:p>
    <w:p>
      <w:pPr>
        <w:spacing w:after="0" w:line="140" w:lineRule="exact"/>
        <w:rPr>
          <w:sz w:val="20"/>
          <w:szCs w:val="20"/>
          <w:color w:val="auto"/>
        </w:rPr>
      </w:pPr>
    </w:p>
    <w:p>
      <w:pPr>
        <w:ind w:right="220" w:firstLine="456"/>
        <w:spacing w:after="0" w:line="244"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b w:val="1"/>
          <w:bCs w:val="1"/>
          <w:color w:val="auto"/>
        </w:rPr>
        <w:t>FORFEITURE.</w:t>
      </w:r>
      <w:r>
        <w:rPr>
          <w:rFonts w:ascii="Arial" w:cs="Arial" w:eastAsia="Arial" w:hAnsi="Arial"/>
          <w:sz w:val="18"/>
          <w:szCs w:val="18"/>
          <w:color w:val="auto"/>
        </w:rPr>
        <w:t xml:space="preserve"> Subject to the terms of the Award Certificate and except as otherwise determined by the Committee at the time of the grant of the Award or thereafter, upon termination of Continuous Status as a Participant during the applicable restriction period or upon failure to satisfy a performance goal during the applicable restriction period, Restricted Stock or Restricted Stock Units that are at that time subject to restrictions shall be forfeited.</w:t>
      </w:r>
    </w:p>
    <w:p>
      <w:pPr>
        <w:spacing w:after="0" w:line="131" w:lineRule="exact"/>
        <w:rPr>
          <w:sz w:val="20"/>
          <w:szCs w:val="20"/>
          <w:color w:val="auto"/>
        </w:rPr>
      </w:pPr>
    </w:p>
    <w:p>
      <w:pPr>
        <w:ind w:right="40" w:firstLine="456"/>
        <w:spacing w:after="0" w:line="242"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b w:val="1"/>
          <w:bCs w:val="1"/>
          <w:color w:val="auto"/>
        </w:rPr>
        <w:t>DELIVERY OF RESTRICTED STOCK.</w:t>
      </w:r>
      <w:r>
        <w:rPr>
          <w:rFonts w:ascii="Arial" w:cs="Arial" w:eastAsia="Arial" w:hAnsi="Arial"/>
          <w:sz w:val="18"/>
          <w:szCs w:val="18"/>
          <w:color w:val="auto"/>
        </w:rPr>
        <w:t xml:space="preserve"> Shares of Restricted Stock shall be delivered to the Participant either by book-entry registration or by delivering to the Participant, or a custodian or escrow agent (including, without limitation, the Company or one or more of its employees) designated by the Committee, a stock certificate or certificates registered in the name of the Participant. If physical certificates representing shares of Restricted Stock are registered in the name of the Participant, such certificates must bear an appropriate legend referring to the terms, conditions, and restrictions applicable to such Restricted Stock.</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11</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QUALIFIED PERFORMANCE-BASED AWARDS</w:t>
      </w:r>
    </w:p>
    <w:p>
      <w:pPr>
        <w:spacing w:after="0" w:line="136"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b w:val="1"/>
          <w:bCs w:val="1"/>
          <w:color w:val="auto"/>
        </w:rPr>
        <w:t>OPTIONS AND STOCK APPRECIATION RIGHTS.</w:t>
      </w:r>
      <w:r>
        <w:rPr>
          <w:rFonts w:ascii="Arial" w:cs="Arial" w:eastAsia="Arial" w:hAnsi="Arial"/>
          <w:sz w:val="18"/>
          <w:szCs w:val="18"/>
          <w:color w:val="auto"/>
        </w:rPr>
        <w:t xml:space="preserve"> The provisions of the Plan are intended to enable Options and Stock Appreciation Rights granted hereunder to any Covered Employee to qualify for the Section 162(m) Exemption.</w:t>
      </w:r>
    </w:p>
    <w:p>
      <w:pPr>
        <w:spacing w:after="0" w:line="112" w:lineRule="exact"/>
        <w:rPr>
          <w:sz w:val="20"/>
          <w:szCs w:val="20"/>
          <w:color w:val="auto"/>
        </w:rPr>
      </w:pPr>
    </w:p>
    <w:p>
      <w:pPr>
        <w:ind w:right="40" w:firstLine="456"/>
        <w:spacing w:after="0" w:line="277" w:lineRule="auto"/>
        <w:rPr>
          <w:sz w:val="20"/>
          <w:szCs w:val="20"/>
          <w:color w:val="auto"/>
        </w:rPr>
      </w:pPr>
      <w:r>
        <w:rPr>
          <w:rFonts w:ascii="Arial" w:cs="Arial" w:eastAsia="Arial" w:hAnsi="Arial"/>
          <w:sz w:val="16"/>
          <w:szCs w:val="16"/>
          <w:color w:val="auto"/>
        </w:rPr>
        <w:t xml:space="preserve">11.2. </w:t>
      </w:r>
      <w:r>
        <w:rPr>
          <w:rFonts w:ascii="Arial" w:cs="Arial" w:eastAsia="Arial" w:hAnsi="Arial"/>
          <w:sz w:val="16"/>
          <w:szCs w:val="16"/>
          <w:b w:val="1"/>
          <w:bCs w:val="1"/>
          <w:color w:val="auto"/>
        </w:rPr>
        <w:t>OTHER AWARDS.</w:t>
      </w:r>
      <w:r>
        <w:rPr>
          <w:rFonts w:ascii="Arial" w:cs="Arial" w:eastAsia="Arial" w:hAnsi="Arial"/>
          <w:sz w:val="16"/>
          <w:szCs w:val="16"/>
          <w:color w:val="auto"/>
        </w:rPr>
        <w:t xml:space="preserve"> When granting any other Award, the Committee may designate such Award as a Qualified Performance-Based Award, based upon a determination that the recipient is or may be a Covered Employee with respect to such Award, and the Committee wishes such Award to qualify for the Section 162(m) Exemption. If an Award is so designated (and subject to the Award limits set forth in Section 5.4(a) of the Plan), the Committee shall establish performance goals for such Award within the time period prescribed by Section 162(m) of the Code based on one or more of the following Qualified Business Criteria, which may be expressed in terms of Company-wide objectives or in terms of objectives that relate to the performance of an Affiliate or a division, region, department or function within the Company or an Affiliate:</w:t>
      </w:r>
    </w:p>
    <w:p>
      <w:pPr>
        <w:spacing w:after="0" w:line="4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—Revenue</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—Sales</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—Profit (net profit, gross profit, operating profit, economic profit, profit margins or other corporate profit measures)</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—Earnings (EBIT, EBITDA, earnings per share, or other corporate earnings measures)</w:t>
      </w:r>
    </w:p>
    <w:p>
      <w:pPr>
        <w:spacing w:after="0" w:line="77" w:lineRule="exact"/>
        <w:rPr>
          <w:sz w:val="20"/>
          <w:szCs w:val="20"/>
          <w:color w:val="auto"/>
        </w:rPr>
      </w:pPr>
    </w:p>
    <w:p>
      <w:pPr>
        <w:ind w:left="920" w:right="4160"/>
        <w:spacing w:after="0" w:line="331" w:lineRule="auto"/>
        <w:rPr>
          <w:sz w:val="20"/>
          <w:szCs w:val="20"/>
          <w:color w:val="auto"/>
        </w:rPr>
      </w:pPr>
      <w:r>
        <w:rPr>
          <w:rFonts w:ascii="Arial" w:cs="Arial" w:eastAsia="Arial" w:hAnsi="Arial"/>
          <w:sz w:val="18"/>
          <w:szCs w:val="18"/>
          <w:color w:val="auto"/>
        </w:rPr>
        <w:t>—Net income (before or after taxes, operating income or other income measures) —Cash (cash flow, free cash flow, cash generation or other cash measures) —Cash return on investment</w:t>
      </w:r>
    </w:p>
    <w:p>
      <w:pPr>
        <w:spacing w:after="0" w:line="59" w:lineRule="exact"/>
        <w:rPr>
          <w:sz w:val="20"/>
          <w:szCs w:val="20"/>
          <w:color w:val="auto"/>
        </w:rPr>
      </w:pPr>
    </w:p>
    <w:tbl>
      <w:tblPr>
        <w:tblLayout w:type="fixed"/>
        <w:tblInd w:w="6900" w:type="dxa"/>
        <w:tblCellMar>
          <w:top w:w="0" w:type="dxa"/>
          <w:left w:w="0" w:type="dxa"/>
          <w:bottom w:w="0" w:type="dxa"/>
          <w:right w:w="0" w:type="dxa"/>
        </w:tblCellMar>
      </w:tblPr>
      <w:tr>
        <w:trPr>
          <w:trHeight w:val="309"/>
        </w:trPr>
        <w:tc>
          <w:tcPr>
            <w:tcW w:w="4080" w:type="dxa"/>
            <w:vAlign w:val="bottom"/>
            <w:tcBorders>
              <w:right w:val="single" w:sz="8" w:color="225CAB"/>
            </w:tcBorders>
          </w:tcPr>
          <w:p>
            <w:pPr>
              <w:spacing w:after="0"/>
              <w:rPr>
                <w:sz w:val="20"/>
                <w:szCs w:val="20"/>
                <w:color w:val="auto"/>
              </w:rPr>
            </w:pPr>
            <w:r>
              <w:rPr>
                <w:rFonts w:ascii="Arial" w:cs="Arial" w:eastAsia="Arial" w:hAnsi="Arial"/>
                <w:sz w:val="18"/>
                <w:szCs w:val="18"/>
                <w:b w:val="1"/>
                <w:bCs w:val="1"/>
                <w:color w:val="225CAB"/>
                <w:w w:val="99"/>
              </w:rPr>
              <w:t>Roper Technologies, Inc. 2016 Proxy Statement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225CAB"/>
              </w:rPr>
              <w:t>69</w:t>
            </w:r>
          </w:p>
        </w:tc>
      </w:tr>
      <w:tr>
        <w:trPr>
          <w:trHeight w:val="83"/>
        </w:trPr>
        <w:tc>
          <w:tcPr>
            <w:tcW w:w="4080" w:type="dxa"/>
            <w:vAlign w:val="bottom"/>
            <w:tcBorders>
              <w:right w:val="single" w:sz="8" w:color="225CAB"/>
            </w:tcBorders>
          </w:tcPr>
          <w:p>
            <w:pPr>
              <w:spacing w:after="0"/>
              <w:rPr>
                <w:sz w:val="7"/>
                <w:szCs w:val="7"/>
                <w:color w:val="auto"/>
              </w:rPr>
            </w:pPr>
          </w:p>
        </w:tc>
        <w:tc>
          <w:tcPr>
            <w:tcW w:w="44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-213995</wp:posOffset>
            </wp:positionV>
            <wp:extent cx="420370" cy="2057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—Stock price or performance</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—Total shareholder return (stock price appreciation plus reinvested dividends divided by beginning share price)</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—Economic value added</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—Market share</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—Improvements in capital structure</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—Expenses (expense management, expense ratio, expense efficiency ratios or other expense measures)</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—Business expansion or consolidation (acquisitions and divestitures)</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—Internal rate of return or increase in net present value</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—Working capital targets relating to inventory and/or accounts receivable</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—Productivity measures</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—Cost reduction measures</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—Capital structure optimization</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—Strategic plan development and implementation</w:t>
      </w:r>
    </w:p>
    <w:p>
      <w:pPr>
        <w:spacing w:after="0" w:line="77" w:lineRule="exact"/>
        <w:rPr>
          <w:sz w:val="20"/>
          <w:szCs w:val="20"/>
          <w:color w:val="auto"/>
        </w:rPr>
      </w:pPr>
    </w:p>
    <w:p>
      <w:pPr>
        <w:ind w:left="920" w:right="280"/>
        <w:spacing w:after="0" w:line="239" w:lineRule="auto"/>
        <w:rPr>
          <w:sz w:val="20"/>
          <w:szCs w:val="20"/>
          <w:color w:val="auto"/>
        </w:rPr>
      </w:pPr>
      <w:r>
        <w:rPr>
          <w:rFonts w:ascii="Arial" w:cs="Arial" w:eastAsia="Arial" w:hAnsi="Arial"/>
          <w:sz w:val="18"/>
          <w:szCs w:val="18"/>
          <w:color w:val="auto"/>
        </w:rPr>
        <w:t>—Return measures (including, but not limited to, return on assets, capital, equity, investments, gross investments, revenue or sales, and includes cash flow returns on assets, capital, equity, or sales)</w:t>
      </w:r>
    </w:p>
    <w:p>
      <w:pPr>
        <w:spacing w:after="0" w:line="155" w:lineRule="exact"/>
        <w:rPr>
          <w:sz w:val="20"/>
          <w:szCs w:val="20"/>
          <w:color w:val="auto"/>
        </w:rPr>
      </w:pPr>
    </w:p>
    <w:p>
      <w:pPr>
        <w:ind w:right="220" w:firstLine="456"/>
        <w:spacing w:after="0" w:line="270" w:lineRule="auto"/>
        <w:rPr>
          <w:sz w:val="20"/>
          <w:szCs w:val="20"/>
          <w:color w:val="auto"/>
        </w:rPr>
      </w:pPr>
      <w:r>
        <w:rPr>
          <w:rFonts w:ascii="Arial" w:cs="Arial" w:eastAsia="Arial" w:hAnsi="Arial"/>
          <w:sz w:val="16"/>
          <w:szCs w:val="16"/>
          <w:color w:val="auto"/>
        </w:rPr>
        <w:t>Performance goals with respect to the foregoing Qualified Business Criteria may be specified in absolute terms, on an adjusted basis, in percentages, or in terms of growth from period to period or growth rates over time, as well as measured relative to the performance of a group of comparator companies, or a published or special index, or a stock market index, that the Committee deems appropriate. Any member of a comparator group or an index that ceases to exist during a measurement period shall be disregarded for the entire measurement period. Performance Goals need not be based upon an increase or positive result under a business criterion and could include, for example, the maintenance of the status quo or the limitation of economic losses (measured, in each case, by reference to a specific business criterion). Performance measures may but need not be determinable in conformance with generally accepted accounting principles.</w:t>
      </w:r>
    </w:p>
    <w:p>
      <w:pPr>
        <w:spacing w:after="0" w:line="109" w:lineRule="exact"/>
        <w:rPr>
          <w:sz w:val="20"/>
          <w:szCs w:val="20"/>
          <w:color w:val="auto"/>
        </w:rPr>
      </w:pPr>
    </w:p>
    <w:p>
      <w:pPr>
        <w:ind w:firstLine="456"/>
        <w:spacing w:after="0" w:line="238" w:lineRule="auto"/>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b w:val="1"/>
          <w:bCs w:val="1"/>
          <w:color w:val="auto"/>
        </w:rPr>
        <w:t>PERFORMANCE GOALS.</w:t>
      </w:r>
      <w:r>
        <w:rPr>
          <w:rFonts w:ascii="Arial" w:cs="Arial" w:eastAsia="Arial" w:hAnsi="Arial"/>
          <w:sz w:val="18"/>
          <w:szCs w:val="18"/>
          <w:color w:val="auto"/>
        </w:rPr>
        <w:t xml:space="preserve"> Each Qualified Performance-Based Award (other than a market-priced Option or SAR) shall be earned, vested and payable (as applicable) only upon the achievement of performance goals established by the Committee based upon one or more of the Qualified Business Criteria, together with the satisfaction of any other conditions, such as continued employment, as the Committee may determine to be appropriate; provided, however, that the Committee may provide, either in connection with the grant thereof or by amendment thereafter, that achievement of such performance goals will be waived, in whole or in part, upon (i) the termination of employment of a Participant by reason of death or Disability, or (ii) the occurrence of a Change in Control. Performance periods established by the Committee for any such Qualified Performance-Based Award may be as short as three months and may be any longer period. In addition, the Committee may reserve the right, in connection with the grant of a Qualified Performance-Based Award, to exercise negative discretion to determine that the portion of such Award actually earned, vested and/or payable (as applicable) shall be less than the portion that would be earned, vested and/or payable based solely upon application of the applicable performance goals.</w:t>
      </w:r>
    </w:p>
    <w:p>
      <w:pPr>
        <w:spacing w:after="0" w:line="135" w:lineRule="exact"/>
        <w:rPr>
          <w:sz w:val="20"/>
          <w:szCs w:val="20"/>
          <w:color w:val="auto"/>
        </w:rPr>
      </w:pPr>
    </w:p>
    <w:p>
      <w:pPr>
        <w:jc w:val="both"/>
        <w:ind w:right="200" w:firstLine="456"/>
        <w:spacing w:after="0" w:line="273" w:lineRule="auto"/>
        <w:rPr>
          <w:sz w:val="20"/>
          <w:szCs w:val="20"/>
          <w:color w:val="auto"/>
        </w:rPr>
      </w:pPr>
      <w:r>
        <w:rPr>
          <w:rFonts w:ascii="Arial" w:cs="Arial" w:eastAsia="Arial" w:hAnsi="Arial"/>
          <w:sz w:val="16"/>
          <w:szCs w:val="16"/>
          <w:color w:val="auto"/>
        </w:rPr>
        <w:t xml:space="preserve">11.4. </w:t>
      </w:r>
      <w:r>
        <w:rPr>
          <w:rFonts w:ascii="Arial" w:cs="Arial" w:eastAsia="Arial" w:hAnsi="Arial"/>
          <w:sz w:val="16"/>
          <w:szCs w:val="16"/>
          <w:b w:val="1"/>
          <w:bCs w:val="1"/>
          <w:color w:val="auto"/>
        </w:rPr>
        <w:t>INCLUSIONS AND EXCLUSIONS FROM PERFORMANCE CRITERIA.</w:t>
      </w:r>
      <w:r>
        <w:rPr>
          <w:rFonts w:ascii="Arial" w:cs="Arial" w:eastAsia="Arial" w:hAnsi="Arial"/>
          <w:sz w:val="16"/>
          <w:szCs w:val="16"/>
          <w:color w:val="auto"/>
        </w:rPr>
        <w:t xml:space="preserve"> The Committee may provide in any Qualified Performance-Based Award at the time the performance goals are established, that any evaluation of performance shall exclude or otherwise objectively adjust for any specified circumstance or event that occurs during a performance period, including by way of example but without limitation the following:</w:t>
      </w:r>
    </w:p>
    <w:p>
      <w:pPr>
        <w:spacing w:after="0" w:line="2" w:lineRule="exact"/>
        <w:rPr>
          <w:sz w:val="20"/>
          <w:szCs w:val="20"/>
          <w:color w:val="auto"/>
        </w:rPr>
      </w:pPr>
    </w:p>
    <w:p>
      <w:pPr>
        <w:ind w:right="480" w:firstLine="8"/>
        <w:spacing w:after="0" w:line="239" w:lineRule="auto"/>
        <w:tabs>
          <w:tab w:leader="none" w:pos="263"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asset write-downs or impairment charges; (b) litigation or claim judgments or settlements; (c) the effect of changes in tax laws, accounting principles or other laws or provisions affecting reported results; (d) accruals for reorganization</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336"/>
        </w:trPr>
        <w:tc>
          <w:tcPr>
            <w:tcW w:w="340" w:type="dxa"/>
            <w:vAlign w:val="bottom"/>
            <w:tcBorders>
              <w:right w:val="single" w:sz="8" w:color="225CAB"/>
            </w:tcBorders>
          </w:tcPr>
          <w:p>
            <w:pPr>
              <w:jc w:val="right"/>
              <w:ind w:right="52"/>
              <w:spacing w:after="0"/>
              <w:rPr>
                <w:sz w:val="20"/>
                <w:szCs w:val="20"/>
                <w:color w:val="auto"/>
              </w:rPr>
            </w:pPr>
            <w:r>
              <w:rPr>
                <w:rFonts w:ascii="Arial" w:cs="Arial" w:eastAsia="Arial" w:hAnsi="Arial"/>
                <w:sz w:val="18"/>
                <w:szCs w:val="18"/>
                <w:b w:val="1"/>
                <w:bCs w:val="1"/>
                <w:color w:val="225CAB"/>
                <w:w w:val="89"/>
              </w:rPr>
              <w:t>70</w:t>
            </w:r>
          </w:p>
        </w:tc>
        <w:tc>
          <w:tcPr>
            <w:tcW w:w="5180" w:type="dxa"/>
            <w:vAlign w:val="bottom"/>
          </w:tcPr>
          <w:p>
            <w:pPr>
              <w:ind w:left="1240"/>
              <w:spacing w:after="0"/>
              <w:rPr>
                <w:sz w:val="20"/>
                <w:szCs w:val="20"/>
                <w:color w:val="auto"/>
              </w:rPr>
            </w:pPr>
            <w:r>
              <w:rPr>
                <w:rFonts w:ascii="Arial" w:cs="Arial" w:eastAsia="Arial" w:hAnsi="Arial"/>
                <w:sz w:val="18"/>
                <w:szCs w:val="18"/>
                <w:b w:val="1"/>
                <w:bCs w:val="1"/>
                <w:color w:val="225CAB"/>
                <w:w w:val="96"/>
              </w:rPr>
              <w:t>Roper Technologies, Inc. 2016 Proxy Statement</w:t>
            </w:r>
          </w:p>
        </w:tc>
      </w:tr>
      <w:tr>
        <w:trPr>
          <w:trHeight w:val="110"/>
        </w:trPr>
        <w:tc>
          <w:tcPr>
            <w:tcW w:w="340" w:type="dxa"/>
            <w:vAlign w:val="bottom"/>
            <w:tcBorders>
              <w:right w:val="single" w:sz="8" w:color="225CAB"/>
            </w:tcBorders>
          </w:tcPr>
          <w:p>
            <w:pPr>
              <w:spacing w:after="0"/>
              <w:rPr>
                <w:sz w:val="9"/>
                <w:szCs w:val="9"/>
                <w:color w:val="auto"/>
              </w:rPr>
            </w:pPr>
          </w:p>
        </w:tc>
        <w:tc>
          <w:tcPr>
            <w:tcW w:w="518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-248285</wp:posOffset>
            </wp:positionV>
            <wp:extent cx="420370" cy="2057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and restructuring programs; (e) events that are of an unusual nature or of a type that indicates infrequency of occurrence as described in then-current accounting principles and identified or discussed in management’s discussion and analysis of financial condition and results of operations appearing in the Company’s annual report to shareholders for the applicable year; (f) acquisitions or divestitures; and (g) foreign exchange gains and losses. To the extent such inclusions or exclusions affect Awards to Covered Employees, they shall be prescribed in a form that meets the requirements of Code Section 162(m) for deductibility.</w:t>
      </w:r>
    </w:p>
    <w:p>
      <w:pPr>
        <w:spacing w:after="0" w:line="135" w:lineRule="exact"/>
        <w:rPr>
          <w:sz w:val="20"/>
          <w:szCs w:val="20"/>
          <w:color w:val="auto"/>
        </w:rPr>
      </w:pPr>
    </w:p>
    <w:p>
      <w:pPr>
        <w:ind w:firstLine="456"/>
        <w:spacing w:after="0" w:line="273" w:lineRule="auto"/>
        <w:rPr>
          <w:sz w:val="20"/>
          <w:szCs w:val="20"/>
          <w:color w:val="auto"/>
        </w:rPr>
      </w:pPr>
      <w:r>
        <w:rPr>
          <w:rFonts w:ascii="Arial" w:cs="Arial" w:eastAsia="Arial" w:hAnsi="Arial"/>
          <w:sz w:val="16"/>
          <w:szCs w:val="16"/>
          <w:color w:val="auto"/>
        </w:rPr>
        <w:t xml:space="preserve">11.5. </w:t>
      </w:r>
      <w:r>
        <w:rPr>
          <w:rFonts w:ascii="Arial" w:cs="Arial" w:eastAsia="Arial" w:hAnsi="Arial"/>
          <w:sz w:val="16"/>
          <w:szCs w:val="16"/>
          <w:b w:val="1"/>
          <w:bCs w:val="1"/>
          <w:color w:val="auto"/>
        </w:rPr>
        <w:t>CERTIFICATION OF PERFORMANCE GOALS.</w:t>
      </w:r>
      <w:r>
        <w:rPr>
          <w:rFonts w:ascii="Arial" w:cs="Arial" w:eastAsia="Arial" w:hAnsi="Arial"/>
          <w:sz w:val="16"/>
          <w:szCs w:val="16"/>
          <w:color w:val="auto"/>
        </w:rPr>
        <w:t xml:space="preserve"> Any payment of a Qualified Performance-Based Award granted with performance goals pursuant to Section 11.3 above shall be conditioned on the written certification of the Committee (which may be approved minutes of a meeting or otherwise) in each case that the performance goals and any other material conditions were satisfied. Except as specifically provided in Section 11.3, no Qualified Performance-Based Award held by a Covered Employee or by an employee who in the reasonable judgment of the Committee may be a Covered Employee on the date of payment, may be amended, nor may the Committee exercise any discretionary authority it may otherwise have under the Plan with respect to a Qualified Performance-Based Award under the Plan, in any manner to waive the achievement of the applicable performance goal based on Qualified Business Criteria or to increase the amount payable pursuant thereto or the value thereof, or otherwise in a manner that would cause the Qualified Performance-Based Award to cease to qualify for the Section 162(m) Exemption.</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12</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EQUIVALENTS</w:t>
      </w:r>
    </w:p>
    <w:p>
      <w:pPr>
        <w:spacing w:after="0" w:line="136" w:lineRule="exact"/>
        <w:rPr>
          <w:sz w:val="20"/>
          <w:szCs w:val="20"/>
          <w:color w:val="auto"/>
        </w:rPr>
      </w:pPr>
    </w:p>
    <w:p>
      <w:pPr>
        <w:ind w:right="20" w:firstLine="456"/>
        <w:spacing w:after="0" w:line="270" w:lineRule="auto"/>
        <w:rPr>
          <w:sz w:val="20"/>
          <w:szCs w:val="20"/>
          <w:color w:val="auto"/>
        </w:rPr>
      </w:pPr>
      <w:r>
        <w:rPr>
          <w:rFonts w:ascii="Arial" w:cs="Arial" w:eastAsia="Arial" w:hAnsi="Arial"/>
          <w:sz w:val="16"/>
          <w:szCs w:val="16"/>
          <w:color w:val="auto"/>
        </w:rPr>
        <w:t xml:space="preserve">12.1. </w:t>
      </w:r>
      <w:r>
        <w:rPr>
          <w:rFonts w:ascii="Arial" w:cs="Arial" w:eastAsia="Arial" w:hAnsi="Arial"/>
          <w:sz w:val="16"/>
          <w:szCs w:val="16"/>
          <w:b w:val="1"/>
          <w:bCs w:val="1"/>
          <w:color w:val="auto"/>
        </w:rPr>
        <w:t>GRANT OF DIVIDEND EQUIVALENTS.</w:t>
      </w:r>
      <w:r>
        <w:rPr>
          <w:rFonts w:ascii="Arial" w:cs="Arial" w:eastAsia="Arial" w:hAnsi="Arial"/>
          <w:sz w:val="16"/>
          <w:szCs w:val="16"/>
          <w:color w:val="auto"/>
        </w:rPr>
        <w:t xml:space="preserve"> The Committee is authorized to grant Dividend Equivalents with respect to Full-Value Awards granted hereunder, subject to such terms and conditions as may be selected by the Committee. Dividend Equivalents shall entitle the Participant to receive payments equal to ordinary cash dividends or distributions with respect to all or a portion of the number of Shares subject to a Full-Value Award, as determined by the Committee. The Committee may provide that Dividend Equivalents (i) will be deemed to have been reinvested in additional Shares or otherwise reinvested, which shall be subject to the same vesting provisions as provided for the host Award; (ii) will be credited by the Company to an account for the Participant and accumulated without interest until the date upon which the host Award becomes vested, and any Dividend Equivalents accrued with respect to forfeited Awards will be reconveyed to the Company without further consideration or any act or action by the Participant; or (iii) except in the case of Performance Awards, will be paid or distributed to the Participant as accrued (in which case, such Dividend Equivalents must be paid or distributed no later than the 15th day of the 3rd month following the later of (A) the calendar year in which the corresponding dividends were paid to shareholders, or (B) the first calendar year in which the Participant’s right to such Dividends Equivalents is no longer subject to a substantial risk of forfeiture). In no event shall Dividend Equivalents with respect to a Performance Award be paid or distributed until the performance-based conditions of the Performance Award are met.</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13</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STOCK-BASED AWARDS</w:t>
      </w:r>
    </w:p>
    <w:p>
      <w:pPr>
        <w:spacing w:after="0" w:line="136" w:lineRule="exact"/>
        <w:rPr>
          <w:sz w:val="20"/>
          <w:szCs w:val="20"/>
          <w:color w:val="auto"/>
        </w:rPr>
      </w:pPr>
    </w:p>
    <w:p>
      <w:pPr>
        <w:ind w:right="60" w:firstLine="456"/>
        <w:spacing w:after="0"/>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b w:val="1"/>
          <w:bCs w:val="1"/>
          <w:color w:val="auto"/>
        </w:rPr>
        <w:t>GRANT OF OTHER STOCK-BASED AWARDS.</w:t>
      </w:r>
      <w:r>
        <w:rPr>
          <w:rFonts w:ascii="Arial" w:cs="Arial" w:eastAsia="Arial" w:hAnsi="Arial"/>
          <w:sz w:val="18"/>
          <w:szCs w:val="18"/>
          <w:color w:val="auto"/>
        </w:rPr>
        <w:t xml:space="preserve"> The Committee is authorized, subject to limitations under applicable law, to grant to Participants such other Awards that are payable in, valued in whole or in part by reference to, or otherwise based on or related to Shares, as deemed by the Committee to be consistent with the purposes of the Plans, including without limitation convertible or exchangeable debt securities, other rights convertible or exchangeable into Shares, and Awards valued by reference to book value of Shares or the value of securities of or the performance of specified Parents or Subsidiaries. The Committee shall determine the terms and conditions of such Awards which shall be subject to the terms of the Plan.</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14</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PROVISIONS APPLICABLE TO AWARDS</w:t>
      </w:r>
    </w:p>
    <w:p>
      <w:pPr>
        <w:spacing w:after="0" w:line="136" w:lineRule="exact"/>
        <w:rPr>
          <w:sz w:val="20"/>
          <w:szCs w:val="20"/>
          <w:color w:val="auto"/>
        </w:rPr>
      </w:pPr>
    </w:p>
    <w:p>
      <w:pPr>
        <w:ind w:right="120" w:firstLine="456"/>
        <w:spacing w:after="0" w:line="244" w:lineRule="auto"/>
        <w:rPr>
          <w:sz w:val="20"/>
          <w:szCs w:val="20"/>
          <w:color w:val="auto"/>
        </w:rPr>
      </w:pPr>
      <w:r>
        <w:rPr>
          <w:rFonts w:ascii="Arial" w:cs="Arial" w:eastAsia="Arial" w:hAnsi="Arial"/>
          <w:sz w:val="18"/>
          <w:szCs w:val="18"/>
          <w:color w:val="auto"/>
        </w:rPr>
        <w:t xml:space="preserve">14.1. </w:t>
      </w:r>
      <w:r>
        <w:rPr>
          <w:rFonts w:ascii="Arial" w:cs="Arial" w:eastAsia="Arial" w:hAnsi="Arial"/>
          <w:sz w:val="18"/>
          <w:szCs w:val="18"/>
          <w:b w:val="1"/>
          <w:bCs w:val="1"/>
          <w:color w:val="auto"/>
        </w:rPr>
        <w:t>AWARD CERTIFICATES.</w:t>
      </w:r>
      <w:r>
        <w:rPr>
          <w:rFonts w:ascii="Arial" w:cs="Arial" w:eastAsia="Arial" w:hAnsi="Arial"/>
          <w:sz w:val="18"/>
          <w:szCs w:val="18"/>
          <w:color w:val="auto"/>
        </w:rPr>
        <w:t xml:space="preserve"> Each Award shall be evidenced by an Award Certificate. Each Award Certificate shall include such provisions, not inconsistent with the Plan, as may be specified by the Committee. The Committee may provide for the use of electronic, internet or other non-paper Award Certificates, and the use of electronic, internet or other non-paper means for the acceptance thereof and actions thereunder by a Participant.</w:t>
      </w:r>
    </w:p>
    <w:p>
      <w:pPr>
        <w:spacing w:after="0" w:line="136" w:lineRule="exact"/>
        <w:rPr>
          <w:sz w:val="20"/>
          <w:szCs w:val="20"/>
          <w:color w:val="auto"/>
        </w:rPr>
      </w:pPr>
    </w:p>
    <w:tbl>
      <w:tblPr>
        <w:tblLayout w:type="fixed"/>
        <w:tblInd w:w="6900" w:type="dxa"/>
        <w:tblCellMar>
          <w:top w:w="0" w:type="dxa"/>
          <w:left w:w="0" w:type="dxa"/>
          <w:bottom w:w="0" w:type="dxa"/>
          <w:right w:w="0" w:type="dxa"/>
        </w:tblCellMar>
      </w:tblPr>
      <w:tr>
        <w:trPr>
          <w:trHeight w:val="309"/>
        </w:trPr>
        <w:tc>
          <w:tcPr>
            <w:tcW w:w="4080" w:type="dxa"/>
            <w:vAlign w:val="bottom"/>
            <w:tcBorders>
              <w:right w:val="single" w:sz="8" w:color="225CAB"/>
            </w:tcBorders>
          </w:tcPr>
          <w:p>
            <w:pPr>
              <w:spacing w:after="0"/>
              <w:rPr>
                <w:sz w:val="20"/>
                <w:szCs w:val="20"/>
                <w:color w:val="auto"/>
              </w:rPr>
            </w:pPr>
            <w:r>
              <w:rPr>
                <w:rFonts w:ascii="Arial" w:cs="Arial" w:eastAsia="Arial" w:hAnsi="Arial"/>
                <w:sz w:val="18"/>
                <w:szCs w:val="18"/>
                <w:b w:val="1"/>
                <w:bCs w:val="1"/>
                <w:color w:val="225CAB"/>
                <w:w w:val="99"/>
              </w:rPr>
              <w:t>Roper Technologies, Inc. 2016 Proxy Statement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225CAB"/>
              </w:rPr>
              <w:t>71</w:t>
            </w:r>
          </w:p>
        </w:tc>
      </w:tr>
      <w:tr>
        <w:trPr>
          <w:trHeight w:val="83"/>
        </w:trPr>
        <w:tc>
          <w:tcPr>
            <w:tcW w:w="4080" w:type="dxa"/>
            <w:vAlign w:val="bottom"/>
            <w:tcBorders>
              <w:right w:val="single" w:sz="8" w:color="225CAB"/>
            </w:tcBorders>
          </w:tcPr>
          <w:p>
            <w:pPr>
              <w:spacing w:after="0"/>
              <w:rPr>
                <w:sz w:val="7"/>
                <w:szCs w:val="7"/>
                <w:color w:val="auto"/>
              </w:rPr>
            </w:pPr>
          </w:p>
        </w:tc>
        <w:tc>
          <w:tcPr>
            <w:tcW w:w="44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-213995</wp:posOffset>
            </wp:positionV>
            <wp:extent cx="420370" cy="2057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40" w:firstLine="456"/>
        <w:spacing w:after="0" w:line="242" w:lineRule="auto"/>
        <w:rPr>
          <w:sz w:val="20"/>
          <w:szCs w:val="20"/>
          <w:color w:val="auto"/>
        </w:rPr>
      </w:pPr>
      <w:r>
        <w:rPr>
          <w:rFonts w:ascii="Arial" w:cs="Arial" w:eastAsia="Arial" w:hAnsi="Arial"/>
          <w:sz w:val="18"/>
          <w:szCs w:val="18"/>
          <w:color w:val="auto"/>
        </w:rPr>
        <w:t xml:space="preserve">14.2. </w:t>
      </w:r>
      <w:r>
        <w:rPr>
          <w:rFonts w:ascii="Arial" w:cs="Arial" w:eastAsia="Arial" w:hAnsi="Arial"/>
          <w:sz w:val="18"/>
          <w:szCs w:val="18"/>
          <w:b w:val="1"/>
          <w:bCs w:val="1"/>
          <w:color w:val="auto"/>
        </w:rPr>
        <w:t>FORM OF PAYMENT FOR AWARDS.</w:t>
      </w:r>
      <w:r>
        <w:rPr>
          <w:rFonts w:ascii="Arial" w:cs="Arial" w:eastAsia="Arial" w:hAnsi="Arial"/>
          <w:sz w:val="18"/>
          <w:szCs w:val="18"/>
          <w:color w:val="auto"/>
        </w:rPr>
        <w:t xml:space="preserve"> Subject to the terms of the Plan and any applicable law or Award Certificate, payments or transfers to be made by the Company or an Affiliate on the grant or exercise of an Award may be made in such form as the Committee determines at or after the Grant Date, including without limitation, cash, Stock, other Awards, or other property, or any combination, and may be made in a single payment or transfer, in installments, or on a deferred basis, in each case determined in accordance with rules adopted by, and at the discretion of, the Committee.</w:t>
      </w:r>
    </w:p>
    <w:p>
      <w:pPr>
        <w:spacing w:after="0" w:line="131" w:lineRule="exact"/>
        <w:rPr>
          <w:sz w:val="20"/>
          <w:szCs w:val="20"/>
          <w:color w:val="auto"/>
        </w:rPr>
      </w:pPr>
    </w:p>
    <w:p>
      <w:pPr>
        <w:ind w:right="180" w:firstLine="456"/>
        <w:spacing w:after="0" w:line="269" w:lineRule="auto"/>
        <w:rPr>
          <w:sz w:val="20"/>
          <w:szCs w:val="20"/>
          <w:color w:val="auto"/>
        </w:rPr>
      </w:pPr>
      <w:r>
        <w:rPr>
          <w:rFonts w:ascii="Arial" w:cs="Arial" w:eastAsia="Arial" w:hAnsi="Arial"/>
          <w:sz w:val="16"/>
          <w:szCs w:val="16"/>
          <w:color w:val="auto"/>
        </w:rPr>
        <w:t xml:space="preserve">14.3. </w:t>
      </w:r>
      <w:r>
        <w:rPr>
          <w:rFonts w:ascii="Arial" w:cs="Arial" w:eastAsia="Arial" w:hAnsi="Arial"/>
          <w:sz w:val="16"/>
          <w:szCs w:val="16"/>
          <w:b w:val="1"/>
          <w:bCs w:val="1"/>
          <w:color w:val="auto"/>
        </w:rPr>
        <w:t>LIMITS ON TRANSFER.</w:t>
      </w:r>
      <w:r>
        <w:rPr>
          <w:rFonts w:ascii="Arial" w:cs="Arial" w:eastAsia="Arial" w:hAnsi="Arial"/>
          <w:sz w:val="16"/>
          <w:szCs w:val="16"/>
          <w:color w:val="auto"/>
        </w:rPr>
        <w:t xml:space="preserve"> No right or interest of a Participant in any unexercised or restricted Award may be pledged, encumbered, or hypothecated to or in favor of any party other than the Company or an Affiliate, or shall be subject to any lien, obligation, or liability of such Participant to any other party other than the Company or an Affiliate. No unexercised or restricted Award shall be assignable or transferable by a Participant other than by will or the laws of descent and distribution; provided, however, that the Committee may (but need not) permit other transfers (other than transfers for value) where the Committee concludes that such transferability (i) does not result in accelerated taxation,</w:t>
      </w:r>
    </w:p>
    <w:p>
      <w:pPr>
        <w:spacing w:after="0" w:line="4" w:lineRule="exact"/>
        <w:rPr>
          <w:sz w:val="20"/>
          <w:szCs w:val="20"/>
          <w:color w:val="auto"/>
        </w:rPr>
      </w:pPr>
    </w:p>
    <w:p>
      <w:pPr>
        <w:ind w:right="500" w:firstLine="8"/>
        <w:spacing w:after="0" w:line="238" w:lineRule="auto"/>
        <w:tabs>
          <w:tab w:leader="none" w:pos="244" w:val="left"/>
        </w:tabs>
        <w:numPr>
          <w:ilvl w:val="0"/>
          <w:numId w:val="122"/>
        </w:numPr>
        <w:rPr>
          <w:rFonts w:ascii="Arial" w:cs="Arial" w:eastAsia="Arial" w:hAnsi="Arial"/>
          <w:sz w:val="18"/>
          <w:szCs w:val="18"/>
          <w:color w:val="auto"/>
        </w:rPr>
      </w:pPr>
      <w:r>
        <w:rPr>
          <w:rFonts w:ascii="Arial" w:cs="Arial" w:eastAsia="Arial" w:hAnsi="Arial"/>
          <w:sz w:val="18"/>
          <w:szCs w:val="18"/>
          <w:color w:val="auto"/>
        </w:rPr>
        <w:t>does not cause any Option intended to be an Incentive Stock Option to fail to be described in Code Section 422(b), and (iii) is otherwise appropriate and desirable, taking into account any factors deemed relevant, including without limitation, state or federal tax or securities laws applicable to transferable Awards.</w:t>
      </w:r>
    </w:p>
    <w:p>
      <w:pPr>
        <w:spacing w:after="0" w:line="132" w:lineRule="exact"/>
        <w:rPr>
          <w:sz w:val="20"/>
          <w:szCs w:val="20"/>
          <w:color w:val="auto"/>
        </w:rPr>
      </w:pPr>
    </w:p>
    <w:p>
      <w:pPr>
        <w:ind w:right="60" w:firstLine="456"/>
        <w:spacing w:after="0" w:line="239" w:lineRule="auto"/>
        <w:rPr>
          <w:sz w:val="20"/>
          <w:szCs w:val="20"/>
          <w:color w:val="auto"/>
        </w:rPr>
      </w:pPr>
      <w:r>
        <w:rPr>
          <w:rFonts w:ascii="Arial" w:cs="Arial" w:eastAsia="Arial" w:hAnsi="Arial"/>
          <w:sz w:val="18"/>
          <w:szCs w:val="18"/>
          <w:color w:val="auto"/>
        </w:rPr>
        <w:t xml:space="preserve">14.4. </w:t>
      </w:r>
      <w:r>
        <w:rPr>
          <w:rFonts w:ascii="Arial" w:cs="Arial" w:eastAsia="Arial" w:hAnsi="Arial"/>
          <w:sz w:val="18"/>
          <w:szCs w:val="18"/>
          <w:b w:val="1"/>
          <w:bCs w:val="1"/>
          <w:color w:val="auto"/>
        </w:rPr>
        <w:t>BENEFICIARIES.</w:t>
      </w:r>
      <w:r>
        <w:rPr>
          <w:rFonts w:ascii="Arial" w:cs="Arial" w:eastAsia="Arial" w:hAnsi="Arial"/>
          <w:sz w:val="18"/>
          <w:szCs w:val="18"/>
          <w:color w:val="auto"/>
        </w:rPr>
        <w:t xml:space="preserve"> Notwithstanding Section 14.3, a Participant may, in the manner determined by the Committee, designate a beneficiary to exercise the rights of the Participant and to receive any distribution with respect to any Award upon the Participant’s death by filing a beneficiary designation form, in such form as determined by the Committee, with the Company. A beneficiary, legal guardian, legal representative, or other person claiming any rights under the Plan is subject to all terms and conditions of the Plan and any Award Certificate applicable to the Participant, except to the extent the Plan and Award Certificate otherwise provide, and to any additional restrictions deemed necessary or appropriate by the Committee. If no beneficiary has been designated or survives the Participant, payment shall be made in accordance with applicable law. Subject to the foregoing, a beneficiary designation may be changed or revoked by a Participant at any time provided the change or revocation is filed with the Company.</w:t>
      </w:r>
    </w:p>
    <w:p>
      <w:pPr>
        <w:spacing w:after="0" w:line="134" w:lineRule="exact"/>
        <w:rPr>
          <w:sz w:val="20"/>
          <w:szCs w:val="20"/>
          <w:color w:val="auto"/>
        </w:rPr>
      </w:pPr>
    </w:p>
    <w:p>
      <w:pPr>
        <w:ind w:right="200" w:firstLine="456"/>
        <w:spacing w:after="0" w:line="244" w:lineRule="auto"/>
        <w:rPr>
          <w:sz w:val="20"/>
          <w:szCs w:val="20"/>
          <w:color w:val="auto"/>
        </w:rPr>
      </w:pPr>
      <w:r>
        <w:rPr>
          <w:rFonts w:ascii="Arial" w:cs="Arial" w:eastAsia="Arial" w:hAnsi="Arial"/>
          <w:sz w:val="18"/>
          <w:szCs w:val="18"/>
          <w:color w:val="auto"/>
        </w:rPr>
        <w:t xml:space="preserve">14.5. </w:t>
      </w:r>
      <w:r>
        <w:rPr>
          <w:rFonts w:ascii="Arial" w:cs="Arial" w:eastAsia="Arial" w:hAnsi="Arial"/>
          <w:sz w:val="18"/>
          <w:szCs w:val="18"/>
          <w:b w:val="1"/>
          <w:bCs w:val="1"/>
          <w:color w:val="auto"/>
        </w:rPr>
        <w:t>STOCK TRADING RESTRICTIONS.</w:t>
      </w:r>
      <w:r>
        <w:rPr>
          <w:rFonts w:ascii="Arial" w:cs="Arial" w:eastAsia="Arial" w:hAnsi="Arial"/>
          <w:sz w:val="18"/>
          <w:szCs w:val="18"/>
          <w:color w:val="auto"/>
        </w:rPr>
        <w:t xml:space="preserve"> All Stock issuable under the Plan is subject to any stop-transfer orders and other restrictions as the Committee deems necessary or advisable to comply with federal or state securities laws, rules and regulations and the rules of any national securities exchange or automated quotation system on which the Stock is listed, quoted, or traded. The Committee may place legends on any Stock certificate or issue instructions to the transfer agent to reference restrictions applicable to the Stock.</w:t>
      </w:r>
    </w:p>
    <w:p>
      <w:pPr>
        <w:spacing w:after="0" w:line="131" w:lineRule="exact"/>
        <w:rPr>
          <w:sz w:val="20"/>
          <w:szCs w:val="20"/>
          <w:color w:val="auto"/>
        </w:rPr>
      </w:pPr>
    </w:p>
    <w:p>
      <w:pPr>
        <w:ind w:firstLine="456"/>
        <w:spacing w:after="0" w:line="238" w:lineRule="auto"/>
        <w:rPr>
          <w:sz w:val="20"/>
          <w:szCs w:val="20"/>
          <w:color w:val="auto"/>
        </w:rPr>
      </w:pPr>
      <w:r>
        <w:rPr>
          <w:rFonts w:ascii="Arial" w:cs="Arial" w:eastAsia="Arial" w:hAnsi="Arial"/>
          <w:sz w:val="18"/>
          <w:szCs w:val="18"/>
          <w:color w:val="auto"/>
        </w:rPr>
        <w:t xml:space="preserve">14.6. </w:t>
      </w:r>
      <w:r>
        <w:rPr>
          <w:rFonts w:ascii="Arial" w:cs="Arial" w:eastAsia="Arial" w:hAnsi="Arial"/>
          <w:sz w:val="18"/>
          <w:szCs w:val="18"/>
          <w:b w:val="1"/>
          <w:bCs w:val="1"/>
          <w:color w:val="auto"/>
        </w:rPr>
        <w:t>ACCELERATION UPON DEATH OR DISABILITY.</w:t>
      </w:r>
      <w:r>
        <w:rPr>
          <w:rFonts w:ascii="Arial" w:cs="Arial" w:eastAsia="Arial" w:hAnsi="Arial"/>
          <w:sz w:val="18"/>
          <w:szCs w:val="18"/>
          <w:color w:val="auto"/>
        </w:rPr>
        <w:t xml:space="preserve"> Except as otherwise provided in the Award Certificate or any special Plan document governing an Award, upon the termination of a person’s Continuous Status as a Participant by reason of death or Disability, (i) all of such Participant’s outstanding Options, SARs, and other Awards in the nature of rights that may be exercised shall become fully exercisable, (ii) all time-based vesting restrictions on the Participant’s outstanding Awards shall lapse, and (iii) the target payout opportunities attainable under all of such Participant’s outstanding performance-based Awards shall be deemed to have been fully earned as of the date of termination based upon an assumed achievement of all relevant performance goals at the “target” level and there shall be a pro rata payout to the Participant or his or her estate within 30 days following the date of termination (unless a later date is required by Section 17.4 hereof) based upon the length of time within the performance period that has elapsed prior to the date of termination. Any Awards shall thereafter continue or lapse in accordance with the other provisions of the Plan and the Award Certificate. To the extent that this provision causes Incentive Stock Options to exceed the dollar limitation set forth in Code Section 422(d), the excess Options shall be deemed to be Nonstatutory Stock Options.</w:t>
      </w:r>
    </w:p>
    <w:p>
      <w:pPr>
        <w:spacing w:after="0" w:line="135" w:lineRule="exact"/>
        <w:rPr>
          <w:sz w:val="20"/>
          <w:szCs w:val="20"/>
          <w:color w:val="auto"/>
        </w:rPr>
      </w:pPr>
    </w:p>
    <w:p>
      <w:pPr>
        <w:ind w:right="420" w:firstLine="456"/>
        <w:spacing w:after="0" w:line="319" w:lineRule="auto"/>
        <w:rPr>
          <w:sz w:val="20"/>
          <w:szCs w:val="20"/>
          <w:color w:val="auto"/>
        </w:rPr>
      </w:pPr>
      <w:r>
        <w:rPr>
          <w:rFonts w:ascii="Arial" w:cs="Arial" w:eastAsia="Arial" w:hAnsi="Arial"/>
          <w:sz w:val="16"/>
          <w:szCs w:val="16"/>
          <w:color w:val="auto"/>
        </w:rPr>
        <w:t xml:space="preserve">14.7. </w:t>
      </w:r>
      <w:r>
        <w:rPr>
          <w:rFonts w:ascii="Arial" w:cs="Arial" w:eastAsia="Arial" w:hAnsi="Arial"/>
          <w:sz w:val="16"/>
          <w:szCs w:val="16"/>
          <w:b w:val="1"/>
          <w:bCs w:val="1"/>
          <w:color w:val="auto"/>
        </w:rPr>
        <w:t>EFFECT OF A CHANGE IN CONTROL.</w:t>
      </w:r>
      <w:r>
        <w:rPr>
          <w:rFonts w:ascii="Arial" w:cs="Arial" w:eastAsia="Arial" w:hAnsi="Arial"/>
          <w:sz w:val="16"/>
          <w:szCs w:val="16"/>
          <w:color w:val="auto"/>
        </w:rPr>
        <w:t xml:space="preserve"> The provisions of this Section 14.7 shall apply in the case of a Change in Control, unless otherwise provided in the Award Certificate or any special Plan document or separate agreement with a Participant governing an Award.</w:t>
      </w:r>
    </w:p>
    <w:p>
      <w:pPr>
        <w:spacing w:after="0" w:line="1" w:lineRule="exact"/>
        <w:rPr>
          <w:sz w:val="20"/>
          <w:szCs w:val="20"/>
          <w:color w:val="auto"/>
        </w:rPr>
      </w:pPr>
    </w:p>
    <w:p>
      <w:pPr>
        <w:jc w:val="both"/>
        <w:ind w:left="460" w:right="280" w:firstLine="443"/>
        <w:spacing w:after="0" w:line="283" w:lineRule="auto"/>
        <w:tabs>
          <w:tab w:leader="none" w:pos="1162" w:val="left"/>
        </w:tabs>
        <w:numPr>
          <w:ilvl w:val="0"/>
          <w:numId w:val="123"/>
        </w:numPr>
        <w:rPr>
          <w:rFonts w:ascii="Arial" w:cs="Arial" w:eastAsia="Arial" w:hAnsi="Arial"/>
          <w:sz w:val="16"/>
          <w:szCs w:val="16"/>
          <w:color w:val="auto"/>
        </w:rPr>
      </w:pPr>
      <w:r>
        <w:rPr>
          <w:rFonts w:ascii="Arial" w:cs="Arial" w:eastAsia="Arial" w:hAnsi="Arial"/>
          <w:sz w:val="16"/>
          <w:szCs w:val="16"/>
          <w:i w:val="1"/>
          <w:iCs w:val="1"/>
          <w:color w:val="auto"/>
        </w:rPr>
        <w:t>Awards not Assumed or Substituted by Surviving Entity</w:t>
      </w:r>
      <w:r>
        <w:rPr>
          <w:rFonts w:ascii="Arial" w:cs="Arial" w:eastAsia="Arial" w:hAnsi="Arial"/>
          <w:sz w:val="16"/>
          <w:szCs w:val="16"/>
          <w:color w:val="auto"/>
        </w:rPr>
        <w:t>. Upon the occurrence of a Change in Control, and except with respect to</w:t>
      </w:r>
      <w:r>
        <w:rPr>
          <w:rFonts w:ascii="Arial" w:cs="Arial" w:eastAsia="Arial" w:hAnsi="Arial"/>
          <w:sz w:val="16"/>
          <w:szCs w:val="16"/>
          <w:i w:val="1"/>
          <w:iCs w:val="1"/>
          <w:color w:val="auto"/>
        </w:rPr>
        <w:t xml:space="preserve"> </w:t>
      </w:r>
      <w:r>
        <w:rPr>
          <w:rFonts w:ascii="Arial" w:cs="Arial" w:eastAsia="Arial" w:hAnsi="Arial"/>
          <w:sz w:val="16"/>
          <w:szCs w:val="16"/>
          <w:color w:val="auto"/>
        </w:rPr>
        <w:t>any Awards assumed by the surviving entity or otherwise equitably converted or substituted in connection with the Change in Control in a manner approved by the Committee or the Board: (i) outstanding Options, SARs, and other Awards in the nature of rights that may be exercised shall become fully exercisable, (ii) time-based vesting restrictions on outstanding Awards shall lapse, and (iii) the target</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336"/>
        </w:trPr>
        <w:tc>
          <w:tcPr>
            <w:tcW w:w="340" w:type="dxa"/>
            <w:vAlign w:val="bottom"/>
            <w:tcBorders>
              <w:right w:val="single" w:sz="8" w:color="225CAB"/>
            </w:tcBorders>
          </w:tcPr>
          <w:p>
            <w:pPr>
              <w:jc w:val="right"/>
              <w:ind w:right="52"/>
              <w:spacing w:after="0"/>
              <w:rPr>
                <w:sz w:val="20"/>
                <w:szCs w:val="20"/>
                <w:color w:val="auto"/>
              </w:rPr>
            </w:pPr>
            <w:r>
              <w:rPr>
                <w:rFonts w:ascii="Arial" w:cs="Arial" w:eastAsia="Arial" w:hAnsi="Arial"/>
                <w:sz w:val="18"/>
                <w:szCs w:val="18"/>
                <w:b w:val="1"/>
                <w:bCs w:val="1"/>
                <w:color w:val="225CAB"/>
                <w:w w:val="89"/>
              </w:rPr>
              <w:t>72</w:t>
            </w:r>
          </w:p>
        </w:tc>
        <w:tc>
          <w:tcPr>
            <w:tcW w:w="5180" w:type="dxa"/>
            <w:vAlign w:val="bottom"/>
          </w:tcPr>
          <w:p>
            <w:pPr>
              <w:ind w:left="1240"/>
              <w:spacing w:after="0"/>
              <w:rPr>
                <w:sz w:val="20"/>
                <w:szCs w:val="20"/>
                <w:color w:val="auto"/>
              </w:rPr>
            </w:pPr>
            <w:r>
              <w:rPr>
                <w:rFonts w:ascii="Arial" w:cs="Arial" w:eastAsia="Arial" w:hAnsi="Arial"/>
                <w:sz w:val="18"/>
                <w:szCs w:val="18"/>
                <w:b w:val="1"/>
                <w:bCs w:val="1"/>
                <w:color w:val="225CAB"/>
                <w:w w:val="96"/>
              </w:rPr>
              <w:t>Roper Technologies, Inc. 2016 Proxy Statement</w:t>
            </w:r>
          </w:p>
        </w:tc>
      </w:tr>
      <w:tr>
        <w:trPr>
          <w:trHeight w:val="110"/>
        </w:trPr>
        <w:tc>
          <w:tcPr>
            <w:tcW w:w="340" w:type="dxa"/>
            <w:vAlign w:val="bottom"/>
            <w:tcBorders>
              <w:right w:val="single" w:sz="8" w:color="225CAB"/>
            </w:tcBorders>
          </w:tcPr>
          <w:p>
            <w:pPr>
              <w:spacing w:after="0"/>
              <w:rPr>
                <w:sz w:val="9"/>
                <w:szCs w:val="9"/>
                <w:color w:val="auto"/>
              </w:rPr>
            </w:pPr>
          </w:p>
        </w:tc>
        <w:tc>
          <w:tcPr>
            <w:tcW w:w="518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-248285</wp:posOffset>
            </wp:positionV>
            <wp:extent cx="420370" cy="2057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60" w:right="20"/>
        <w:spacing w:after="0" w:line="234" w:lineRule="auto"/>
        <w:rPr>
          <w:sz w:val="20"/>
          <w:szCs w:val="20"/>
          <w:color w:val="auto"/>
        </w:rPr>
      </w:pPr>
      <w:r>
        <w:rPr>
          <w:rFonts w:ascii="Arial" w:cs="Arial" w:eastAsia="Arial" w:hAnsi="Arial"/>
          <w:sz w:val="18"/>
          <w:szCs w:val="18"/>
          <w:color w:val="auto"/>
        </w:rPr>
        <w:t>payout opportunities attainable under all outstanding performance-based Awards shall be deemed to have been fully earned as of the date of the Change in Control based upon an assumed achievement of all relevant performance goals at the “target” level and, subject to</w:t>
      </w:r>
    </w:p>
    <w:p>
      <w:pPr>
        <w:spacing w:after="0" w:line="2" w:lineRule="exact"/>
        <w:rPr>
          <w:sz w:val="20"/>
          <w:szCs w:val="20"/>
          <w:color w:val="auto"/>
        </w:rPr>
      </w:pPr>
    </w:p>
    <w:p>
      <w:pPr>
        <w:ind w:left="460" w:right="40"/>
        <w:spacing w:after="0" w:line="236" w:lineRule="auto"/>
        <w:rPr>
          <w:sz w:val="20"/>
          <w:szCs w:val="20"/>
          <w:color w:val="auto"/>
        </w:rPr>
      </w:pPr>
      <w:r>
        <w:rPr>
          <w:rFonts w:ascii="Arial" w:cs="Arial" w:eastAsia="Arial" w:hAnsi="Arial"/>
          <w:sz w:val="18"/>
          <w:szCs w:val="18"/>
          <w:color w:val="auto"/>
        </w:rPr>
        <w:t>Section 17.4, there shall be a pro rata payout to Participants within 30 days following the date of the Change in Control (unless a later date is required by Section 17.4 hereof) based upon the length of time within the performance period that has elapsed prior to the date of the Change in Control. Any Awards shall thereafter continue or lapse in accordance with the other provisions of the Plan and the Award Certificate. To the extent that this provision causes Incentive Stock Options to exceed the dollar limitation set forth in Code Section 422(d), the excess Options shall be deemed to be Nonstatutory Stock Options.</w:t>
      </w:r>
    </w:p>
    <w:p>
      <w:pPr>
        <w:spacing w:after="0" w:line="58" w:lineRule="exact"/>
        <w:rPr>
          <w:sz w:val="20"/>
          <w:szCs w:val="20"/>
          <w:color w:val="auto"/>
        </w:rPr>
      </w:pPr>
    </w:p>
    <w:p>
      <w:pPr>
        <w:ind w:left="460" w:right="120" w:firstLine="443"/>
        <w:spacing w:after="0" w:line="272" w:lineRule="auto"/>
        <w:tabs>
          <w:tab w:leader="none" w:pos="1162" w:val="left"/>
        </w:tabs>
        <w:numPr>
          <w:ilvl w:val="1"/>
          <w:numId w:val="124"/>
        </w:numPr>
        <w:rPr>
          <w:rFonts w:ascii="Arial" w:cs="Arial" w:eastAsia="Arial" w:hAnsi="Arial"/>
          <w:sz w:val="16"/>
          <w:szCs w:val="16"/>
          <w:color w:val="auto"/>
        </w:rPr>
      </w:pPr>
      <w:r>
        <w:rPr>
          <w:rFonts w:ascii="Arial" w:cs="Arial" w:eastAsia="Arial" w:hAnsi="Arial"/>
          <w:sz w:val="16"/>
          <w:szCs w:val="16"/>
          <w:i w:val="1"/>
          <w:iCs w:val="1"/>
          <w:color w:val="auto"/>
        </w:rPr>
        <w:t>Awards Assumed or Substituted by Surviving Entity</w:t>
      </w:r>
      <w:r>
        <w:rPr>
          <w:rFonts w:ascii="Arial" w:cs="Arial" w:eastAsia="Arial" w:hAnsi="Arial"/>
          <w:sz w:val="16"/>
          <w:szCs w:val="16"/>
          <w:color w:val="auto"/>
        </w:rPr>
        <w:t>. With respect to Awards assumed by the surviving entity or otherwise equitably</w:t>
      </w:r>
      <w:r>
        <w:rPr>
          <w:rFonts w:ascii="Arial" w:cs="Arial" w:eastAsia="Arial" w:hAnsi="Arial"/>
          <w:sz w:val="16"/>
          <w:szCs w:val="16"/>
          <w:i w:val="1"/>
          <w:iCs w:val="1"/>
          <w:color w:val="auto"/>
        </w:rPr>
        <w:t xml:space="preserve"> </w:t>
      </w:r>
      <w:r>
        <w:rPr>
          <w:rFonts w:ascii="Arial" w:cs="Arial" w:eastAsia="Arial" w:hAnsi="Arial"/>
          <w:sz w:val="16"/>
          <w:szCs w:val="16"/>
          <w:color w:val="auto"/>
        </w:rPr>
        <w:t>converted or substituted in connection with a Change in Control: if within two years after the effective date of the Change in Control, a Participant’s employment is terminated without Cause or (subject to the following sentence) the Participant resigns for Good Reason, then</w:t>
      </w:r>
    </w:p>
    <w:p>
      <w:pPr>
        <w:ind w:left="460" w:right="40" w:firstLine="4"/>
        <w:spacing w:after="0" w:line="235" w:lineRule="auto"/>
        <w:tabs>
          <w:tab w:leader="none" w:pos="66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all of that Participant’s outstanding Options, SARs and other Awards in the nature of rights that may be exercised shall become fully exercisable, (ii) all time-based vesting restrictions on the his or her outstanding Awards shall lapse, and (iii) the payout opportunities attainable under all of such Participant’s outstanding performance-based Awards shall be earned based on actual performance through the end of the performance period, and there shall be a pro rata payout to the Participant or his or her estate within 30 days after the amount earned has been determined (unless a later date is required by Section 17.4 hereof) based upon the length of time within the performance period that has elapsed prior to the date of termination. With regard to each Award, a Participant shall not be considered to have resigned for Good Reason unless either (i) the Award Certificate includes such provision or (ii) the Participant is party to an employment, severance or similar agreement with the Company or an Affiliate that includes provisions in which the Participant is permitted to resign for Good Reason. Any Awards shall thereafter continue or lapse in accordance with the other provisions of the Plan and the Award Certificate. To the extent that this provision causes Incentive Stock Options to exceed the dollar limitation set forth in Code Section 422(d), the excess Options shall be deemed to be Nonstatutory Stock Options.</w:t>
      </w:r>
    </w:p>
    <w:p>
      <w:pPr>
        <w:spacing w:after="0" w:line="139" w:lineRule="exact"/>
        <w:rPr>
          <w:sz w:val="20"/>
          <w:szCs w:val="20"/>
          <w:color w:val="auto"/>
        </w:rPr>
      </w:pPr>
    </w:p>
    <w:p>
      <w:pPr>
        <w:ind w:right="20" w:firstLine="456"/>
        <w:spacing w:after="0" w:line="239" w:lineRule="auto"/>
        <w:rPr>
          <w:sz w:val="20"/>
          <w:szCs w:val="20"/>
          <w:color w:val="auto"/>
        </w:rPr>
      </w:pPr>
      <w:r>
        <w:rPr>
          <w:rFonts w:ascii="Arial" w:cs="Arial" w:eastAsia="Arial" w:hAnsi="Arial"/>
          <w:sz w:val="18"/>
          <w:szCs w:val="18"/>
          <w:color w:val="auto"/>
        </w:rPr>
        <w:t xml:space="preserve">14.8. </w:t>
      </w:r>
      <w:r>
        <w:rPr>
          <w:rFonts w:ascii="Arial" w:cs="Arial" w:eastAsia="Arial" w:hAnsi="Arial"/>
          <w:sz w:val="18"/>
          <w:szCs w:val="18"/>
          <w:b w:val="1"/>
          <w:bCs w:val="1"/>
          <w:color w:val="auto"/>
        </w:rPr>
        <w:t>ACCELERATION UNDER CERTAIN CIRCUMSTANCES.</w:t>
      </w:r>
      <w:r>
        <w:rPr>
          <w:rFonts w:ascii="Arial" w:cs="Arial" w:eastAsia="Arial" w:hAnsi="Arial"/>
          <w:sz w:val="18"/>
          <w:szCs w:val="18"/>
          <w:color w:val="auto"/>
        </w:rPr>
        <w:t xml:space="preserve"> Subject to Section 11.3 as to Qualified Performance-Based Awards and to Section 5.5, the Committee may in its sole discretion at any time determine that, upon the termination of service of a Participant, or the occurrence of a Change in Control, all or a portion of such Participant’s Options, SARs and other Awards in the nature of rights that may be exercised shall become fully or partially exercisable, that all or a part of the restrictions on all or a portion of the Participant’s outstanding Awards shall lapse, and/or that any performance-based criteria with respect to any Awards held by that Participant shall be deemed to be wholly or partially satisfied, in each case, as of such date as the Committee may, in its sole discretion, declare. The Committee may discriminate among Participants and among Awards granted to a Participant in exercising its discretion pursuant to this Section 14.8.</w:t>
      </w:r>
    </w:p>
    <w:p>
      <w:pPr>
        <w:spacing w:after="0" w:line="137" w:lineRule="exact"/>
        <w:rPr>
          <w:sz w:val="20"/>
          <w:szCs w:val="20"/>
          <w:color w:val="auto"/>
        </w:rPr>
      </w:pPr>
    </w:p>
    <w:p>
      <w:pPr>
        <w:ind w:right="60" w:firstLine="456"/>
        <w:spacing w:after="0" w:line="273" w:lineRule="auto"/>
        <w:rPr>
          <w:sz w:val="20"/>
          <w:szCs w:val="20"/>
          <w:color w:val="auto"/>
        </w:rPr>
      </w:pPr>
      <w:r>
        <w:rPr>
          <w:rFonts w:ascii="Arial" w:cs="Arial" w:eastAsia="Arial" w:hAnsi="Arial"/>
          <w:sz w:val="16"/>
          <w:szCs w:val="16"/>
          <w:color w:val="auto"/>
        </w:rPr>
        <w:t xml:space="preserve">14.9. </w:t>
      </w:r>
      <w:r>
        <w:rPr>
          <w:rFonts w:ascii="Arial" w:cs="Arial" w:eastAsia="Arial" w:hAnsi="Arial"/>
          <w:sz w:val="16"/>
          <w:szCs w:val="16"/>
          <w:b w:val="1"/>
          <w:bCs w:val="1"/>
          <w:color w:val="auto"/>
        </w:rPr>
        <w:t>EFFECT OF ACCELERATION.</w:t>
      </w:r>
      <w:r>
        <w:rPr>
          <w:rFonts w:ascii="Arial" w:cs="Arial" w:eastAsia="Arial" w:hAnsi="Arial"/>
          <w:sz w:val="16"/>
          <w:szCs w:val="16"/>
          <w:color w:val="auto"/>
        </w:rPr>
        <w:t xml:space="preserve"> If an Award is accelerated under Section 14.6, 14.7 or 14.8, the Committee may, in its sole discretion, provide (i) that the Award will expire after a designated period of time after such acceleration to the extent not then exercised, (ii) that the Award will be settled in cash rather than Stock, (iii) that the Award will be assumed by another party to a transaction giving rise to the acceleration or otherwise be equitably converted or substituted in connection with such transaction, (iv) that the Award may be settled by payment in cash or cash equivalents equal to the excess of the Fair Market Value of the underlying Stock, as of a specified date associated with the transaction, over the exercise price of the Award, or (v) any combination of the foregoing. The Committee’s determination need not be uniform and may be different for different Participants whether or not such Participants are similarly situated. To the extent that such acceleration causes Incentive Stock Options to exceed the dollar limitation set forth in Code Section 422(d), the excess Options shall be deemed to be Nonstatutory Stock Options.</w:t>
      </w:r>
    </w:p>
    <w:p>
      <w:pPr>
        <w:spacing w:after="0" w:line="108" w:lineRule="exact"/>
        <w:rPr>
          <w:sz w:val="20"/>
          <w:szCs w:val="20"/>
          <w:color w:val="auto"/>
        </w:rPr>
      </w:pPr>
    </w:p>
    <w:p>
      <w:pPr>
        <w:ind w:right="140" w:firstLine="456"/>
        <w:spacing w:after="0" w:line="242" w:lineRule="auto"/>
        <w:rPr>
          <w:sz w:val="20"/>
          <w:szCs w:val="20"/>
          <w:color w:val="auto"/>
        </w:rPr>
      </w:pPr>
      <w:r>
        <w:rPr>
          <w:rFonts w:ascii="Arial" w:cs="Arial" w:eastAsia="Arial" w:hAnsi="Arial"/>
          <w:sz w:val="18"/>
          <w:szCs w:val="18"/>
          <w:color w:val="auto"/>
        </w:rPr>
        <w:t xml:space="preserve">14.10. </w:t>
      </w:r>
      <w:r>
        <w:rPr>
          <w:rFonts w:ascii="Arial" w:cs="Arial" w:eastAsia="Arial" w:hAnsi="Arial"/>
          <w:sz w:val="18"/>
          <w:szCs w:val="18"/>
          <w:b w:val="1"/>
          <w:bCs w:val="1"/>
          <w:color w:val="auto"/>
        </w:rPr>
        <w:t>SUBSTITUTE AWARDS.</w:t>
      </w:r>
      <w:r>
        <w:rPr>
          <w:rFonts w:ascii="Arial" w:cs="Arial" w:eastAsia="Arial" w:hAnsi="Arial"/>
          <w:sz w:val="18"/>
          <w:szCs w:val="18"/>
          <w:color w:val="auto"/>
        </w:rPr>
        <w:t xml:space="preserve"> The Committee may grant Awards under the Plan in substitution for stock and stock-based awards held by employees of another entity who become employees of the Company or an Affiliate as a result of a merger or consolidation of the former employing entity with the Company or an Affiliate or the acquisition by the Company or an Affiliate of property or stock of the former employing corporation. The Committee may direct that the substitute Awards be granted on such terms and conditions as the Committee considers appropriate in the circumstances.</w:t>
      </w:r>
    </w:p>
    <w:p>
      <w:pPr>
        <w:spacing w:after="0" w:line="137" w:lineRule="exact"/>
        <w:rPr>
          <w:sz w:val="20"/>
          <w:szCs w:val="20"/>
          <w:color w:val="auto"/>
        </w:rPr>
      </w:pPr>
    </w:p>
    <w:tbl>
      <w:tblPr>
        <w:tblLayout w:type="fixed"/>
        <w:tblInd w:w="6900" w:type="dxa"/>
        <w:tblCellMar>
          <w:top w:w="0" w:type="dxa"/>
          <w:left w:w="0" w:type="dxa"/>
          <w:bottom w:w="0" w:type="dxa"/>
          <w:right w:w="0" w:type="dxa"/>
        </w:tblCellMar>
      </w:tblPr>
      <w:tr>
        <w:trPr>
          <w:trHeight w:val="309"/>
        </w:trPr>
        <w:tc>
          <w:tcPr>
            <w:tcW w:w="4080" w:type="dxa"/>
            <w:vAlign w:val="bottom"/>
            <w:tcBorders>
              <w:right w:val="single" w:sz="8" w:color="225CAB"/>
            </w:tcBorders>
          </w:tcPr>
          <w:p>
            <w:pPr>
              <w:spacing w:after="0"/>
              <w:rPr>
                <w:sz w:val="20"/>
                <w:szCs w:val="20"/>
                <w:color w:val="auto"/>
              </w:rPr>
            </w:pPr>
            <w:r>
              <w:rPr>
                <w:rFonts w:ascii="Arial" w:cs="Arial" w:eastAsia="Arial" w:hAnsi="Arial"/>
                <w:sz w:val="18"/>
                <w:szCs w:val="18"/>
                <w:b w:val="1"/>
                <w:bCs w:val="1"/>
                <w:color w:val="225CAB"/>
                <w:w w:val="99"/>
              </w:rPr>
              <w:t>Roper Technologies, Inc. 2016 Proxy Statement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225CAB"/>
              </w:rPr>
              <w:t>73</w:t>
            </w:r>
          </w:p>
        </w:tc>
      </w:tr>
      <w:tr>
        <w:trPr>
          <w:trHeight w:val="83"/>
        </w:trPr>
        <w:tc>
          <w:tcPr>
            <w:tcW w:w="4080" w:type="dxa"/>
            <w:vAlign w:val="bottom"/>
            <w:tcBorders>
              <w:right w:val="single" w:sz="8" w:color="225CAB"/>
            </w:tcBorders>
          </w:tcPr>
          <w:p>
            <w:pPr>
              <w:spacing w:after="0"/>
              <w:rPr>
                <w:sz w:val="7"/>
                <w:szCs w:val="7"/>
                <w:color w:val="auto"/>
              </w:rPr>
            </w:pPr>
          </w:p>
        </w:tc>
        <w:tc>
          <w:tcPr>
            <w:tcW w:w="44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-213995</wp:posOffset>
            </wp:positionV>
            <wp:extent cx="420370" cy="2057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100" w:firstLine="456"/>
        <w:spacing w:after="0" w:line="238" w:lineRule="auto"/>
        <w:rPr>
          <w:sz w:val="20"/>
          <w:szCs w:val="20"/>
          <w:color w:val="auto"/>
        </w:rPr>
      </w:pPr>
      <w:r>
        <w:rPr>
          <w:rFonts w:ascii="Arial" w:cs="Arial" w:eastAsia="Arial" w:hAnsi="Arial"/>
          <w:sz w:val="18"/>
          <w:szCs w:val="18"/>
          <w:color w:val="auto"/>
        </w:rPr>
        <w:t xml:space="preserve">14.11. </w:t>
      </w:r>
      <w:r>
        <w:rPr>
          <w:rFonts w:ascii="Arial" w:cs="Arial" w:eastAsia="Arial" w:hAnsi="Arial"/>
          <w:sz w:val="18"/>
          <w:szCs w:val="18"/>
          <w:b w:val="1"/>
          <w:bCs w:val="1"/>
          <w:color w:val="auto"/>
        </w:rPr>
        <w:t>FORFEITURE EVENTS.</w:t>
      </w:r>
      <w:r>
        <w:rPr>
          <w:rFonts w:ascii="Arial" w:cs="Arial" w:eastAsia="Arial" w:hAnsi="Arial"/>
          <w:sz w:val="18"/>
          <w:szCs w:val="18"/>
          <w:color w:val="auto"/>
        </w:rPr>
        <w:t xml:space="preserve"> Awards under the Plan shall be subject to any compensation recoupment policy that the Company may adopt from time to time that is applicable by its terms to the Participant. In addition, the Committee may specify in an Award Certificate that the Participant’s rights, payments and benefits with respect to an Award shall be subject to reduction, cancellation, forfeiture or recoupment upon the occurrence of certain specified events, in addition to any otherwise applicable vesting or performance conditions of an Award. Such events may include, but shall not be limited to, (i) termination of employment for Cause, (ii) violation of material Company or Affiliate policies, (iii) breach of noncompetition, confidentiality or other restrictive covenants that may apply to the Participant, (iv) other conduct by the Participant that is detrimental to the business or reputation of the Company or any Affiliate, or (v) a later determination that the vesting of, or amount realized from, a Performance Award was based on materially inaccurate financial statements or any other materially inaccurate performance metric criteria, whether or not the Participant caused or contributed to such material inaccuracy.</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15</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CHANGES IN CAPITAL STRUCTURE</w:t>
      </w:r>
    </w:p>
    <w:p>
      <w:pPr>
        <w:spacing w:after="0" w:line="136" w:lineRule="exact"/>
        <w:rPr>
          <w:sz w:val="20"/>
          <w:szCs w:val="20"/>
          <w:color w:val="auto"/>
        </w:rPr>
      </w:pPr>
    </w:p>
    <w:p>
      <w:pPr>
        <w:ind w:right="160" w:firstLine="456"/>
        <w:spacing w:after="0" w:line="269" w:lineRule="auto"/>
        <w:rPr>
          <w:sz w:val="20"/>
          <w:szCs w:val="20"/>
          <w:color w:val="auto"/>
        </w:rPr>
      </w:pPr>
      <w:r>
        <w:rPr>
          <w:rFonts w:ascii="Arial" w:cs="Arial" w:eastAsia="Arial" w:hAnsi="Arial"/>
          <w:sz w:val="16"/>
          <w:szCs w:val="16"/>
          <w:color w:val="auto"/>
        </w:rPr>
        <w:t xml:space="preserve">15.1. </w:t>
      </w:r>
      <w:r>
        <w:rPr>
          <w:rFonts w:ascii="Arial" w:cs="Arial" w:eastAsia="Arial" w:hAnsi="Arial"/>
          <w:sz w:val="16"/>
          <w:szCs w:val="16"/>
          <w:b w:val="1"/>
          <w:bCs w:val="1"/>
          <w:color w:val="auto"/>
        </w:rPr>
        <w:t>MANDATORY ADJUSTMENTS.</w:t>
      </w:r>
      <w:r>
        <w:rPr>
          <w:rFonts w:ascii="Arial" w:cs="Arial" w:eastAsia="Arial" w:hAnsi="Arial"/>
          <w:sz w:val="16"/>
          <w:szCs w:val="16"/>
          <w:color w:val="auto"/>
        </w:rPr>
        <w:t xml:space="preserve"> In the event of a nonreciprocal transaction between the Company and its shareholders that causes the per-share value of the Stock to change (including, without limitation, any stock dividend, stock split, spin-off, rights offering, or large nonrecurring cash dividend), the Committee shall make such adjustments to the Plan and Awards as it deems necessary, in its sole discretion, to prevent dilution or enlargement of rights immediately resulting from such transaction. Action by the Committee may include: (i) adjustment of the number and kind of shares that may be delivered under the Plan; (ii) adjustment of the number and kind of shares subject to outstanding Awards;</w:t>
      </w:r>
    </w:p>
    <w:p>
      <w:pPr>
        <w:spacing w:after="0" w:line="4" w:lineRule="exact"/>
        <w:rPr>
          <w:sz w:val="20"/>
          <w:szCs w:val="20"/>
          <w:color w:val="auto"/>
        </w:rPr>
      </w:pPr>
    </w:p>
    <w:p>
      <w:pPr>
        <w:ind w:firstLine="8"/>
        <w:spacing w:after="0" w:line="236" w:lineRule="auto"/>
        <w:tabs>
          <w:tab w:leader="none" w:pos="283"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adjustment of the exercise price of outstanding Awards or the measure to be used to determine the amount of the benefit payable on an Award; and (iv) any other adjustments that the Committee determines to be equitable. Without limiting the foregoing, in the event of a subdivision of the outstanding Stock (stock-split), a declaration of a dividend payable in Shares, or a combination or consolidation of the outstanding Stock into a lesser number of Shares, the authorization limits under Sections 5.1 and 5.4 shall automatically be adjusted proportionately, and the Shares then subject to each Award shall automatically, without the necessity for any additional action by the Committee, be adjusted proportionately without any change in the aggregate purchase price therefor.</w:t>
      </w:r>
    </w:p>
    <w:p>
      <w:pPr>
        <w:spacing w:after="0" w:line="134" w:lineRule="exact"/>
        <w:rPr>
          <w:sz w:val="20"/>
          <w:szCs w:val="20"/>
          <w:color w:val="auto"/>
        </w:rPr>
      </w:pPr>
    </w:p>
    <w:p>
      <w:pPr>
        <w:ind w:right="20" w:firstLine="456"/>
        <w:spacing w:after="0" w:line="238" w:lineRule="auto"/>
        <w:rPr>
          <w:sz w:val="20"/>
          <w:szCs w:val="20"/>
          <w:color w:val="auto"/>
        </w:rPr>
      </w:pPr>
      <w:r>
        <w:rPr>
          <w:rFonts w:ascii="Arial" w:cs="Arial" w:eastAsia="Arial" w:hAnsi="Arial"/>
          <w:sz w:val="18"/>
          <w:szCs w:val="18"/>
          <w:color w:val="auto"/>
        </w:rPr>
        <w:t xml:space="preserve">15.2 </w:t>
      </w:r>
      <w:r>
        <w:rPr>
          <w:rFonts w:ascii="Arial" w:cs="Arial" w:eastAsia="Arial" w:hAnsi="Arial"/>
          <w:sz w:val="18"/>
          <w:szCs w:val="18"/>
          <w:b w:val="1"/>
          <w:bCs w:val="1"/>
          <w:color w:val="auto"/>
        </w:rPr>
        <w:t>DISCRETIONARY ADJUSTMENTS.</w:t>
      </w:r>
      <w:r>
        <w:rPr>
          <w:rFonts w:ascii="Arial" w:cs="Arial" w:eastAsia="Arial" w:hAnsi="Arial"/>
          <w:sz w:val="18"/>
          <w:szCs w:val="18"/>
          <w:color w:val="auto"/>
        </w:rPr>
        <w:t xml:space="preserve"> Upon the occurrence or in anticipation of any corporate event or transaction involving the Company (including, without limitation, any merger, reorganization, recapitalization, combination or exchange of shares, or any transaction described in Section 15.1), the Committee may, in its sole discretion, provide (i) that Awards will be settled in cash rather than Stock, (ii) that Awards will become immediately vested and non-forfeitable and, if applicable, exercisable (in whole or in part) and will expire after a designated period of time to the extent not then exercised (provided that Participants shall be provided with advance written notice of any such exercise period), (iii) that Awards will be assumed by another party to a transaction or otherwise be equitably converted or substituted in connection with such transaction, (iv) that outstanding Awards may be settled by payment in cash or cash equivalents equal to the excess of the Fair Market Value of the underlying Stock, as of a specified date associated with the transaction (or the per-shares transaction price), over the exercise or base price of the Award, (v) that performance targets and performance periods for Performance Awards will be modified, consistent with Code Section 162(m) where applicable, or (vi) any combination of the foregoing. The Committee’s determination need not be uniform and may be different for different Participants whether or not such Participants are similarly situated.</w:t>
      </w:r>
    </w:p>
    <w:p>
      <w:pPr>
        <w:spacing w:after="0" w:line="133" w:lineRule="exact"/>
        <w:rPr>
          <w:sz w:val="20"/>
          <w:szCs w:val="20"/>
          <w:color w:val="auto"/>
        </w:rPr>
      </w:pPr>
    </w:p>
    <w:p>
      <w:pPr>
        <w:jc w:val="both"/>
        <w:ind w:right="280" w:firstLine="456"/>
        <w:spacing w:after="0" w:line="249" w:lineRule="auto"/>
        <w:rPr>
          <w:sz w:val="20"/>
          <w:szCs w:val="20"/>
          <w:color w:val="auto"/>
        </w:rPr>
      </w:pPr>
      <w:r>
        <w:rPr>
          <w:rFonts w:ascii="Arial" w:cs="Arial" w:eastAsia="Arial" w:hAnsi="Arial"/>
          <w:sz w:val="18"/>
          <w:szCs w:val="18"/>
          <w:color w:val="auto"/>
        </w:rPr>
        <w:t xml:space="preserve">15.3 </w:t>
      </w:r>
      <w:r>
        <w:rPr>
          <w:rFonts w:ascii="Arial" w:cs="Arial" w:eastAsia="Arial" w:hAnsi="Arial"/>
          <w:sz w:val="18"/>
          <w:szCs w:val="18"/>
          <w:b w:val="1"/>
          <w:bCs w:val="1"/>
          <w:color w:val="auto"/>
        </w:rPr>
        <w:t>GENERAL.</w:t>
      </w:r>
      <w:r>
        <w:rPr>
          <w:rFonts w:ascii="Arial" w:cs="Arial" w:eastAsia="Arial" w:hAnsi="Arial"/>
          <w:sz w:val="18"/>
          <w:szCs w:val="18"/>
          <w:color w:val="auto"/>
        </w:rPr>
        <w:t xml:space="preserve"> Any discretionary adjustments made pursuant to this Article 15 shall be subject to the provisions of Section 16.2. To the extent that any adjustments made pursuant to this Article 15 cause Incentive Stock Options to cease to qualify as Incentive Stock Options, such Options shall be deemed to be Nonstatutory Stock Options.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16</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MODIFICATION AND TERMINATION</w:t>
      </w:r>
    </w:p>
    <w:p>
      <w:pPr>
        <w:spacing w:after="0" w:line="136" w:lineRule="exact"/>
        <w:rPr>
          <w:sz w:val="20"/>
          <w:szCs w:val="20"/>
          <w:color w:val="auto"/>
        </w:rPr>
      </w:pPr>
    </w:p>
    <w:p>
      <w:pPr>
        <w:ind w:right="60" w:firstLine="456"/>
        <w:spacing w:after="0" w:line="244" w:lineRule="auto"/>
        <w:rPr>
          <w:sz w:val="20"/>
          <w:szCs w:val="20"/>
          <w:color w:val="auto"/>
        </w:rPr>
      </w:pPr>
      <w:r>
        <w:rPr>
          <w:rFonts w:ascii="Arial" w:cs="Arial" w:eastAsia="Arial" w:hAnsi="Arial"/>
          <w:sz w:val="18"/>
          <w:szCs w:val="18"/>
          <w:color w:val="auto"/>
        </w:rPr>
        <w:t xml:space="preserve">16.1. </w:t>
      </w:r>
      <w:r>
        <w:rPr>
          <w:rFonts w:ascii="Arial" w:cs="Arial" w:eastAsia="Arial" w:hAnsi="Arial"/>
          <w:sz w:val="18"/>
          <w:szCs w:val="18"/>
          <w:b w:val="1"/>
          <w:bCs w:val="1"/>
          <w:color w:val="auto"/>
        </w:rPr>
        <w:t>AMENDMENT, MODIFICATION AND TERMINATION.</w:t>
      </w:r>
      <w:r>
        <w:rPr>
          <w:rFonts w:ascii="Arial" w:cs="Arial" w:eastAsia="Arial" w:hAnsi="Arial"/>
          <w:sz w:val="18"/>
          <w:szCs w:val="18"/>
          <w:color w:val="auto"/>
        </w:rPr>
        <w:t xml:space="preserve"> The Board or the Committee may, at any time and from time to time, amend, modify or terminate the Plan without shareholder approval; provided, however, that any amendment or modification to the Plan shall be subject to shareholder approval if such amendment or modification would (i) increase the number of Shares available under the Plan, (ii) otherwise constitute a material</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336"/>
        </w:trPr>
        <w:tc>
          <w:tcPr>
            <w:tcW w:w="340" w:type="dxa"/>
            <w:vAlign w:val="bottom"/>
            <w:tcBorders>
              <w:right w:val="single" w:sz="8" w:color="225CAB"/>
            </w:tcBorders>
          </w:tcPr>
          <w:p>
            <w:pPr>
              <w:jc w:val="right"/>
              <w:ind w:right="52"/>
              <w:spacing w:after="0"/>
              <w:rPr>
                <w:sz w:val="20"/>
                <w:szCs w:val="20"/>
                <w:color w:val="auto"/>
              </w:rPr>
            </w:pPr>
            <w:r>
              <w:rPr>
                <w:rFonts w:ascii="Arial" w:cs="Arial" w:eastAsia="Arial" w:hAnsi="Arial"/>
                <w:sz w:val="18"/>
                <w:szCs w:val="18"/>
                <w:b w:val="1"/>
                <w:bCs w:val="1"/>
                <w:color w:val="225CAB"/>
                <w:w w:val="89"/>
              </w:rPr>
              <w:t>74</w:t>
            </w:r>
          </w:p>
        </w:tc>
        <w:tc>
          <w:tcPr>
            <w:tcW w:w="5180" w:type="dxa"/>
            <w:vAlign w:val="bottom"/>
          </w:tcPr>
          <w:p>
            <w:pPr>
              <w:ind w:left="1240"/>
              <w:spacing w:after="0"/>
              <w:rPr>
                <w:sz w:val="20"/>
                <w:szCs w:val="20"/>
                <w:color w:val="auto"/>
              </w:rPr>
            </w:pPr>
            <w:r>
              <w:rPr>
                <w:rFonts w:ascii="Arial" w:cs="Arial" w:eastAsia="Arial" w:hAnsi="Arial"/>
                <w:sz w:val="18"/>
                <w:szCs w:val="18"/>
                <w:b w:val="1"/>
                <w:bCs w:val="1"/>
                <w:color w:val="225CAB"/>
                <w:w w:val="96"/>
              </w:rPr>
              <w:t>Roper Technologies, Inc. 2016 Proxy Statement</w:t>
            </w:r>
          </w:p>
        </w:tc>
      </w:tr>
      <w:tr>
        <w:trPr>
          <w:trHeight w:val="110"/>
        </w:trPr>
        <w:tc>
          <w:tcPr>
            <w:tcW w:w="340" w:type="dxa"/>
            <w:vAlign w:val="bottom"/>
            <w:tcBorders>
              <w:right w:val="single" w:sz="8" w:color="225CAB"/>
            </w:tcBorders>
          </w:tcPr>
          <w:p>
            <w:pPr>
              <w:spacing w:after="0"/>
              <w:rPr>
                <w:sz w:val="9"/>
                <w:szCs w:val="9"/>
                <w:color w:val="auto"/>
              </w:rPr>
            </w:pPr>
          </w:p>
        </w:tc>
        <w:tc>
          <w:tcPr>
            <w:tcW w:w="518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-248285</wp:posOffset>
            </wp:positionV>
            <wp:extent cx="420370" cy="2057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change requiring shareholder approval under applicable laws, policies or regulations or the applicable listing or other requirements of an Exchange, or (iii) be an amendment to permit a direct or indirect repricing prohibited pursuant to Section 7.1 or 8.1; and provided, further, that the Board or Committee may condition any other amendment or modification on the approval of shareholders of the Company for any reason, including by reason of such approval being necessary or deemed advisable (x) to comply with the listing or other requirements of an Exchange, or (y) to satisfy any other tax, securities or other applicable laws, policies or regulations.</w:t>
      </w:r>
    </w:p>
    <w:p>
      <w:pPr>
        <w:spacing w:after="0" w:line="135" w:lineRule="exact"/>
        <w:rPr>
          <w:sz w:val="20"/>
          <w:szCs w:val="20"/>
          <w:color w:val="auto"/>
        </w:rPr>
      </w:pPr>
    </w:p>
    <w:p>
      <w:pPr>
        <w:ind w:right="860" w:firstLine="456"/>
        <w:spacing w:after="0" w:line="264" w:lineRule="auto"/>
        <w:rPr>
          <w:sz w:val="20"/>
          <w:szCs w:val="20"/>
          <w:color w:val="auto"/>
        </w:rPr>
      </w:pPr>
      <w:r>
        <w:rPr>
          <w:rFonts w:ascii="Arial" w:cs="Arial" w:eastAsia="Arial" w:hAnsi="Arial"/>
          <w:sz w:val="18"/>
          <w:szCs w:val="18"/>
          <w:color w:val="auto"/>
        </w:rPr>
        <w:t xml:space="preserve">16.2. </w:t>
      </w:r>
      <w:r>
        <w:rPr>
          <w:rFonts w:ascii="Arial" w:cs="Arial" w:eastAsia="Arial" w:hAnsi="Arial"/>
          <w:sz w:val="18"/>
          <w:szCs w:val="18"/>
          <w:b w:val="1"/>
          <w:bCs w:val="1"/>
          <w:color w:val="auto"/>
        </w:rPr>
        <w:t>AWARDS PREVIOUSLY GRANTED.</w:t>
      </w:r>
      <w:r>
        <w:rPr>
          <w:rFonts w:ascii="Arial" w:cs="Arial" w:eastAsia="Arial" w:hAnsi="Arial"/>
          <w:sz w:val="18"/>
          <w:szCs w:val="18"/>
          <w:color w:val="auto"/>
        </w:rPr>
        <w:t xml:space="preserve"> At any time and from time to time, the Committee may amend, modify or terminate any outstanding Award without approval of the Participant; provided, however:</w:t>
      </w:r>
    </w:p>
    <w:p>
      <w:pPr>
        <w:spacing w:after="0" w:line="53" w:lineRule="exact"/>
        <w:rPr>
          <w:sz w:val="20"/>
          <w:szCs w:val="20"/>
          <w:color w:val="auto"/>
        </w:rPr>
      </w:pPr>
    </w:p>
    <w:p>
      <w:pPr>
        <w:ind w:left="460" w:right="120" w:firstLine="443"/>
        <w:spacing w:after="0" w:line="236" w:lineRule="auto"/>
        <w:tabs>
          <w:tab w:leader="none" w:pos="1162" w:val="left"/>
        </w:tabs>
        <w:numPr>
          <w:ilvl w:val="0"/>
          <w:numId w:val="127"/>
        </w:numPr>
        <w:rPr>
          <w:rFonts w:ascii="Arial" w:cs="Arial" w:eastAsia="Arial" w:hAnsi="Arial"/>
          <w:sz w:val="18"/>
          <w:szCs w:val="18"/>
          <w:color w:val="auto"/>
        </w:rPr>
      </w:pPr>
      <w:r>
        <w:rPr>
          <w:rFonts w:ascii="Arial" w:cs="Arial" w:eastAsia="Arial" w:hAnsi="Arial"/>
          <w:sz w:val="18"/>
          <w:szCs w:val="18"/>
          <w:color w:val="auto"/>
        </w:rPr>
        <w:t>Subject to the terms of the applicable Award Certificate, such amendment, modification or termination shall not, without the Participant’s consent, reduce or diminish the value of such Award determined as if the Award had been exercised, vested, cashed in or otherwise settled on the date of such amendment or termination (with the per-share value of an Option or SAR for this purpose being calculated as the excess, if any, of the Fair Market Value as of the date of such amendment or termination over the exercise or base price of such Award);</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original term of an Option or SAR may not be extended without the prior approval of the shareholders of the Company;</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All Options and SARs shall be subject to the prohibitions on repricing set forth in Sections 7.1 and 8.1; and</w:t>
      </w:r>
    </w:p>
    <w:p>
      <w:pPr>
        <w:spacing w:after="0" w:line="76" w:lineRule="exact"/>
        <w:rPr>
          <w:rFonts w:ascii="Arial" w:cs="Arial" w:eastAsia="Arial" w:hAnsi="Arial"/>
          <w:sz w:val="18"/>
          <w:szCs w:val="18"/>
          <w:color w:val="auto"/>
        </w:rPr>
      </w:pPr>
    </w:p>
    <w:p>
      <w:pPr>
        <w:ind w:left="460" w:right="80" w:firstLine="443"/>
        <w:spacing w:after="0" w:line="273" w:lineRule="auto"/>
        <w:tabs>
          <w:tab w:leader="none" w:pos="1162" w:val="left"/>
        </w:tabs>
        <w:numPr>
          <w:ilvl w:val="0"/>
          <w:numId w:val="127"/>
        </w:numPr>
        <w:rPr>
          <w:rFonts w:ascii="Arial" w:cs="Arial" w:eastAsia="Arial" w:hAnsi="Arial"/>
          <w:sz w:val="16"/>
          <w:szCs w:val="16"/>
          <w:color w:val="auto"/>
        </w:rPr>
      </w:pPr>
      <w:r>
        <w:rPr>
          <w:rFonts w:ascii="Arial" w:cs="Arial" w:eastAsia="Arial" w:hAnsi="Arial"/>
          <w:sz w:val="16"/>
          <w:szCs w:val="16"/>
          <w:color w:val="auto"/>
        </w:rPr>
        <w:t>No termination, amendment, or modification of the Plan shall adversely affect any Award previously granted under the Plan, without the written consent of the Participant affected thereby. An outstanding Award shall not be deemed to be “adversely affected” by a Plan amendment if such amendment would not reduce or diminish the value of such Award determined as if the Award had been exercised, vested, cashed in or otherwise settled on the date of such amendment (with the per-share value of an Option or SAR for this purpose being calculated as the excess, if any, of the Fair Market Value as of the date of such amendment over the exercise or base price of such Award).</w:t>
      </w:r>
    </w:p>
    <w:p>
      <w:pPr>
        <w:spacing w:after="0" w:line="107" w:lineRule="exact"/>
        <w:rPr>
          <w:sz w:val="20"/>
          <w:szCs w:val="20"/>
          <w:color w:val="auto"/>
        </w:rPr>
      </w:pPr>
    </w:p>
    <w:p>
      <w:pPr>
        <w:ind w:firstLine="456"/>
        <w:spacing w:after="0" w:line="280" w:lineRule="auto"/>
        <w:rPr>
          <w:sz w:val="20"/>
          <w:szCs w:val="20"/>
          <w:color w:val="auto"/>
        </w:rPr>
      </w:pPr>
      <w:r>
        <w:rPr>
          <w:rFonts w:ascii="Arial" w:cs="Arial" w:eastAsia="Arial" w:hAnsi="Arial"/>
          <w:sz w:val="16"/>
          <w:szCs w:val="16"/>
          <w:color w:val="auto"/>
        </w:rPr>
        <w:t xml:space="preserve">16.3. </w:t>
      </w:r>
      <w:r>
        <w:rPr>
          <w:rFonts w:ascii="Arial" w:cs="Arial" w:eastAsia="Arial" w:hAnsi="Arial"/>
          <w:sz w:val="16"/>
          <w:szCs w:val="16"/>
          <w:b w:val="1"/>
          <w:bCs w:val="1"/>
          <w:color w:val="auto"/>
        </w:rPr>
        <w:t>COMPLIANCE AMENDMENTS.</w:t>
      </w:r>
      <w:r>
        <w:rPr>
          <w:rFonts w:ascii="Arial" w:cs="Arial" w:eastAsia="Arial" w:hAnsi="Arial"/>
          <w:sz w:val="16"/>
          <w:szCs w:val="16"/>
          <w:color w:val="auto"/>
        </w:rPr>
        <w:t xml:space="preserve"> Notwithstanding anything in the Plan or in any Award Certificate to the contrary, the Board may amend the Plan or an Award Certificate, to take effect retroactively or otherwise, as deemed necessary or advisable for the purpose of conforming the Plan or Award Certificate to any present or future law relating to plans of this or similar nature (including, but not limited to, Section 409A of the Code), and to the administrative regulations and rulings promulgated thereunder. By accepting an Award under this Plan, a Participant agrees to any amendment made pursuant to this Section 16.3 to any Award granted under the Plan without further consideration or action.</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17</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PROVISIONS</w:t>
      </w:r>
    </w:p>
    <w:p>
      <w:pPr>
        <w:spacing w:after="0" w:line="136" w:lineRule="exact"/>
        <w:rPr>
          <w:sz w:val="20"/>
          <w:szCs w:val="20"/>
          <w:color w:val="auto"/>
        </w:rPr>
      </w:pPr>
    </w:p>
    <w:p>
      <w:pPr>
        <w:ind w:right="140" w:firstLine="456"/>
        <w:spacing w:after="0" w:line="244" w:lineRule="auto"/>
        <w:rPr>
          <w:sz w:val="20"/>
          <w:szCs w:val="20"/>
          <w:color w:val="auto"/>
        </w:rPr>
      </w:pPr>
      <w:r>
        <w:rPr>
          <w:rFonts w:ascii="Arial" w:cs="Arial" w:eastAsia="Arial" w:hAnsi="Arial"/>
          <w:sz w:val="18"/>
          <w:szCs w:val="18"/>
          <w:color w:val="auto"/>
        </w:rPr>
        <w:t xml:space="preserve">17.1. </w:t>
      </w:r>
      <w:r>
        <w:rPr>
          <w:rFonts w:ascii="Arial" w:cs="Arial" w:eastAsia="Arial" w:hAnsi="Arial"/>
          <w:sz w:val="18"/>
          <w:szCs w:val="18"/>
          <w:b w:val="1"/>
          <w:bCs w:val="1"/>
          <w:color w:val="auto"/>
        </w:rPr>
        <w:t>NO RIGHTS TO AWARDS; NON-UNIFORM DETERMINATIONS.</w:t>
      </w:r>
      <w:r>
        <w:rPr>
          <w:rFonts w:ascii="Arial" w:cs="Arial" w:eastAsia="Arial" w:hAnsi="Arial"/>
          <w:sz w:val="18"/>
          <w:szCs w:val="18"/>
          <w:color w:val="auto"/>
        </w:rPr>
        <w:t xml:space="preserve"> No Participant or any Eligible Participant shall have any claim to be granted any Award under the Plan. Neither the Company, its Affiliates nor the Committee is obligated to treat Participants or Eligible Participants uniformly, and determinations made under the Plan may be made by the Committee selectively among Eligible Participants who receive, or are eligible to receive, Awards (whether or not such Eligible Participants are similarly situated).</w:t>
      </w:r>
    </w:p>
    <w:p>
      <w:pPr>
        <w:spacing w:after="0" w:line="13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 xml:space="preserve">17.2. </w:t>
      </w:r>
      <w:r>
        <w:rPr>
          <w:rFonts w:ascii="Arial" w:cs="Arial" w:eastAsia="Arial" w:hAnsi="Arial"/>
          <w:sz w:val="18"/>
          <w:szCs w:val="18"/>
          <w:b w:val="1"/>
          <w:bCs w:val="1"/>
          <w:color w:val="auto"/>
        </w:rPr>
        <w:t>NO SHAREHOLDER RIGHTS.</w:t>
      </w:r>
      <w:r>
        <w:rPr>
          <w:rFonts w:ascii="Arial" w:cs="Arial" w:eastAsia="Arial" w:hAnsi="Arial"/>
          <w:sz w:val="18"/>
          <w:szCs w:val="18"/>
          <w:color w:val="auto"/>
        </w:rPr>
        <w:t xml:space="preserve"> No Award gives a Participant any of the rights of a shareholder of the Company unless and until Shares are in fact issued to such person in connection with such Award.</w:t>
      </w:r>
    </w:p>
    <w:p>
      <w:pPr>
        <w:spacing w:after="0" w:line="112" w:lineRule="exact"/>
        <w:rPr>
          <w:sz w:val="20"/>
          <w:szCs w:val="20"/>
          <w:color w:val="auto"/>
        </w:rPr>
      </w:pPr>
    </w:p>
    <w:p>
      <w:pPr>
        <w:ind w:right="20" w:firstLine="456"/>
        <w:spacing w:after="0" w:line="239" w:lineRule="auto"/>
        <w:rPr>
          <w:sz w:val="20"/>
          <w:szCs w:val="20"/>
          <w:color w:val="auto"/>
        </w:rPr>
      </w:pPr>
      <w:r>
        <w:rPr>
          <w:rFonts w:ascii="Arial" w:cs="Arial" w:eastAsia="Arial" w:hAnsi="Arial"/>
          <w:sz w:val="18"/>
          <w:szCs w:val="18"/>
          <w:color w:val="auto"/>
        </w:rPr>
        <w:t xml:space="preserve">17.3. </w:t>
      </w:r>
      <w:r>
        <w:rPr>
          <w:rFonts w:ascii="Arial" w:cs="Arial" w:eastAsia="Arial" w:hAnsi="Arial"/>
          <w:sz w:val="18"/>
          <w:szCs w:val="18"/>
          <w:b w:val="1"/>
          <w:bCs w:val="1"/>
          <w:color w:val="auto"/>
        </w:rPr>
        <w:t>WITHHOLDING.</w:t>
      </w:r>
      <w:r>
        <w:rPr>
          <w:rFonts w:ascii="Arial" w:cs="Arial" w:eastAsia="Arial" w:hAnsi="Arial"/>
          <w:sz w:val="18"/>
          <w:szCs w:val="18"/>
          <w:color w:val="auto"/>
        </w:rPr>
        <w:t xml:space="preserve"> The Company or any Affiliate shall have the authority and the right to deduct or withhold, or require a Participant to remit to the Company or an applicable Affiliate, an amount sufficient to satisfy federal, state, and local taxes (including the Participant’s FICA obligation) required by law to be withheld with respect to any exercise, lapse of restriction or other taxable event arising as a result of the Plan or an Award. The obligations of the Company under the Plan will be conditioned on such payment or arrangements and the Company or such Affiliate will, to the extent permitted by law, have the right to deduct any such taxes from any payment of any kind otherwise due to the Participant. Unless otherwise determined by the Committee, at the time the Award is granted or thereafter, any such withholding requirement may be satisfied, in whole or in part, by</w:t>
      </w:r>
    </w:p>
    <w:p>
      <w:pPr>
        <w:spacing w:after="0" w:line="143" w:lineRule="exact"/>
        <w:rPr>
          <w:sz w:val="20"/>
          <w:szCs w:val="20"/>
          <w:color w:val="auto"/>
        </w:rPr>
      </w:pPr>
    </w:p>
    <w:tbl>
      <w:tblPr>
        <w:tblLayout w:type="fixed"/>
        <w:tblInd w:w="6900" w:type="dxa"/>
        <w:tblCellMar>
          <w:top w:w="0" w:type="dxa"/>
          <w:left w:w="0" w:type="dxa"/>
          <w:bottom w:w="0" w:type="dxa"/>
          <w:right w:w="0" w:type="dxa"/>
        </w:tblCellMar>
      </w:tblPr>
      <w:tr>
        <w:trPr>
          <w:trHeight w:val="309"/>
        </w:trPr>
        <w:tc>
          <w:tcPr>
            <w:tcW w:w="4080" w:type="dxa"/>
            <w:vAlign w:val="bottom"/>
            <w:tcBorders>
              <w:right w:val="single" w:sz="8" w:color="225CAB"/>
            </w:tcBorders>
          </w:tcPr>
          <w:p>
            <w:pPr>
              <w:spacing w:after="0"/>
              <w:rPr>
                <w:sz w:val="20"/>
                <w:szCs w:val="20"/>
                <w:color w:val="auto"/>
              </w:rPr>
            </w:pPr>
            <w:r>
              <w:rPr>
                <w:rFonts w:ascii="Arial" w:cs="Arial" w:eastAsia="Arial" w:hAnsi="Arial"/>
                <w:sz w:val="18"/>
                <w:szCs w:val="18"/>
                <w:b w:val="1"/>
                <w:bCs w:val="1"/>
                <w:color w:val="225CAB"/>
                <w:w w:val="99"/>
              </w:rPr>
              <w:t>Roper Technologies, Inc. 2016 Proxy Statement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225CAB"/>
              </w:rPr>
              <w:t>75</w:t>
            </w:r>
          </w:p>
        </w:tc>
      </w:tr>
      <w:tr>
        <w:trPr>
          <w:trHeight w:val="83"/>
        </w:trPr>
        <w:tc>
          <w:tcPr>
            <w:tcW w:w="4080" w:type="dxa"/>
            <w:vAlign w:val="bottom"/>
            <w:tcBorders>
              <w:right w:val="single" w:sz="8" w:color="225CAB"/>
            </w:tcBorders>
          </w:tcPr>
          <w:p>
            <w:pPr>
              <w:spacing w:after="0"/>
              <w:rPr>
                <w:sz w:val="7"/>
                <w:szCs w:val="7"/>
                <w:color w:val="auto"/>
              </w:rPr>
            </w:pPr>
          </w:p>
        </w:tc>
        <w:tc>
          <w:tcPr>
            <w:tcW w:w="44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-213995</wp:posOffset>
            </wp:positionV>
            <wp:extent cx="420370" cy="2057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withholding from the Award Shares having a Fair Market Value on the date of withholding equal to the minimum amount required to be withheld for tax purposes (or such greater amount up to the maximum individual statutory rate in the applicable jurisdiction as may be permitted under then-current accounting principles to qualify the Award for equity classification), all in accordance with such procedures as the Committee establishes.</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17.4. </w:t>
      </w:r>
      <w:r>
        <w:rPr>
          <w:rFonts w:ascii="Arial" w:cs="Arial" w:eastAsia="Arial" w:hAnsi="Arial"/>
          <w:sz w:val="18"/>
          <w:szCs w:val="18"/>
          <w:b w:val="1"/>
          <w:bCs w:val="1"/>
          <w:color w:val="auto"/>
        </w:rPr>
        <w:t>SPECIAL PROVISIONS RELATED TO SECTION 409A OF THE CODE.</w:t>
      </w:r>
    </w:p>
    <w:p>
      <w:pPr>
        <w:spacing w:after="0" w:line="81" w:lineRule="exact"/>
        <w:rPr>
          <w:sz w:val="20"/>
          <w:szCs w:val="20"/>
          <w:color w:val="auto"/>
        </w:rPr>
      </w:pPr>
    </w:p>
    <w:p>
      <w:pPr>
        <w:ind w:left="460" w:firstLine="443"/>
        <w:spacing w:after="0" w:line="239" w:lineRule="auto"/>
        <w:tabs>
          <w:tab w:leader="none" w:pos="1162" w:val="left"/>
        </w:tabs>
        <w:numPr>
          <w:ilvl w:val="0"/>
          <w:numId w:val="128"/>
        </w:numPr>
        <w:rPr>
          <w:rFonts w:ascii="Arial" w:cs="Arial" w:eastAsia="Arial" w:hAnsi="Arial"/>
          <w:sz w:val="18"/>
          <w:szCs w:val="18"/>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It is intended that the payments and benefits provided under the Plan and any Award shall either be exempt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application of, or comply with, the requirements of Section 409A of the Code. The Plan and all Award Certificates shall be construed in a manner that effects such intent. Nevertheless, the tax treatment of the benefits provided under the Plan or any Award is not warranted or guaranteed. Neither the Company, its Affiliates nor their respective directors, officers, employees or advisers (other than in his or her capacity as a Participant) shall be held liable for any taxes, interest, penalties or other monetary amounts owed by any Participant or other taxpayer as a result of the Plan or any Award.</w:t>
      </w:r>
    </w:p>
    <w:p>
      <w:pPr>
        <w:spacing w:after="0" w:line="59" w:lineRule="exact"/>
        <w:rPr>
          <w:rFonts w:ascii="Arial" w:cs="Arial" w:eastAsia="Arial" w:hAnsi="Arial"/>
          <w:sz w:val="18"/>
          <w:szCs w:val="18"/>
          <w:color w:val="auto"/>
        </w:rPr>
      </w:pPr>
    </w:p>
    <w:p>
      <w:pPr>
        <w:ind w:left="460" w:right="40" w:firstLine="443"/>
        <w:spacing w:after="0" w:line="269" w:lineRule="auto"/>
        <w:tabs>
          <w:tab w:leader="none" w:pos="1162" w:val="left"/>
        </w:tabs>
        <w:numPr>
          <w:ilvl w:val="0"/>
          <w:numId w:val="128"/>
        </w:numPr>
        <w:rPr>
          <w:rFonts w:ascii="Arial" w:cs="Arial" w:eastAsia="Arial" w:hAnsi="Arial"/>
          <w:sz w:val="16"/>
          <w:szCs w:val="16"/>
          <w:color w:val="auto"/>
        </w:rPr>
      </w:pPr>
      <w:r>
        <w:rPr>
          <w:rFonts w:ascii="Arial" w:cs="Arial" w:eastAsia="Arial" w:hAnsi="Arial"/>
          <w:sz w:val="16"/>
          <w:szCs w:val="16"/>
          <w:i w:val="1"/>
          <w:iCs w:val="1"/>
          <w:color w:val="auto"/>
        </w:rPr>
        <w:t>Definitional Restrictions</w:t>
      </w:r>
      <w:r>
        <w:rPr>
          <w:rFonts w:ascii="Arial" w:cs="Arial" w:eastAsia="Arial" w:hAnsi="Arial"/>
          <w:sz w:val="16"/>
          <w:szCs w:val="16"/>
          <w:color w:val="auto"/>
        </w:rPr>
        <w:t>. Notwithstanding anything in the Plan or in any Award Certificate to the contrary, to the extent that any</w:t>
      </w:r>
      <w:r>
        <w:rPr>
          <w:rFonts w:ascii="Arial" w:cs="Arial" w:eastAsia="Arial" w:hAnsi="Arial"/>
          <w:sz w:val="16"/>
          <w:szCs w:val="16"/>
          <w:i w:val="1"/>
          <w:iCs w:val="1"/>
          <w:color w:val="auto"/>
        </w:rPr>
        <w:t xml:space="preserve"> </w:t>
      </w:r>
      <w:r>
        <w:rPr>
          <w:rFonts w:ascii="Arial" w:cs="Arial" w:eastAsia="Arial" w:hAnsi="Arial"/>
          <w:sz w:val="16"/>
          <w:szCs w:val="16"/>
          <w:color w:val="auto"/>
        </w:rPr>
        <w:t>amount or benefit that would constitute non-exempt “deferred compensation” for purposes of Section 409A of the Code (“Non-Exempt Deferred Compensation”) would otherwise be payable or distributable, or a different form of payment (e.g., lump sum or installment) of such Non-Exempt Deferred Compensation would be effected, under the Plan or any Award Certificate by reason the occurrence of a Change in Control or the Participant’s Disability or separation from service, such (“Non-Exempt Deferred Compensation”) will not be payable or distributable, and/or such different form of payment will not be effected, to the Participant by reason of such circumstance unless the circumstances giving rise to such Change in Control, Disability or separation from service meet any description or definition of “change in control event,” “disability” or “separation from service,” as the case may be, in Section 409A of the Code and applicable regulations (without giving effect to any elective provisions that may be available under such definition). This provision does not affect the dollar amount or prohibit the vesting of any Award upon a Change in Control, Disability or separation from service, however defined. If this provision prevents the payment or distribution of any amount or benefit, or the application of a different form of payment of any amount or benefit, such payment or distribution shall be made at the time and in the form that would have applied absent the non-409A-conforming event.</w:t>
      </w:r>
    </w:p>
    <w:p>
      <w:pPr>
        <w:spacing w:after="0" w:line="243" w:lineRule="exact"/>
        <w:rPr>
          <w:rFonts w:ascii="Arial" w:cs="Arial" w:eastAsia="Arial" w:hAnsi="Arial"/>
          <w:sz w:val="16"/>
          <w:szCs w:val="16"/>
          <w:color w:val="auto"/>
        </w:rPr>
      </w:pPr>
    </w:p>
    <w:p>
      <w:pPr>
        <w:ind w:left="460" w:right="20" w:firstLine="443"/>
        <w:spacing w:after="0" w:line="243" w:lineRule="auto"/>
        <w:tabs>
          <w:tab w:leader="none" w:pos="1152" w:val="left"/>
        </w:tabs>
        <w:numPr>
          <w:ilvl w:val="0"/>
          <w:numId w:val="128"/>
        </w:numPr>
        <w:rPr>
          <w:rFonts w:ascii="Arial" w:cs="Arial" w:eastAsia="Arial" w:hAnsi="Arial"/>
          <w:sz w:val="18"/>
          <w:szCs w:val="18"/>
          <w:color w:val="auto"/>
        </w:rPr>
      </w:pPr>
      <w:r>
        <w:rPr>
          <w:rFonts w:ascii="Arial" w:cs="Arial" w:eastAsia="Arial" w:hAnsi="Arial"/>
          <w:sz w:val="18"/>
          <w:szCs w:val="18"/>
          <w:i w:val="1"/>
          <w:iCs w:val="1"/>
          <w:color w:val="auto"/>
        </w:rPr>
        <w:t>Allocation among Possible Exemptions</w:t>
      </w:r>
      <w:r>
        <w:rPr>
          <w:rFonts w:ascii="Arial" w:cs="Arial" w:eastAsia="Arial" w:hAnsi="Arial"/>
          <w:sz w:val="18"/>
          <w:szCs w:val="18"/>
          <w:color w:val="auto"/>
        </w:rPr>
        <w:t>. If any one or more Awards granted under the Plan to a Participant could qualify for any</w:t>
      </w:r>
      <w:r>
        <w:rPr>
          <w:rFonts w:ascii="Arial" w:cs="Arial" w:eastAsia="Arial" w:hAnsi="Arial"/>
          <w:sz w:val="18"/>
          <w:szCs w:val="18"/>
          <w:i w:val="1"/>
          <w:iCs w:val="1"/>
          <w:color w:val="auto"/>
        </w:rPr>
        <w:t xml:space="preserve"> </w:t>
      </w:r>
      <w:r>
        <w:rPr>
          <w:rFonts w:ascii="Arial" w:cs="Arial" w:eastAsia="Arial" w:hAnsi="Arial"/>
          <w:sz w:val="18"/>
          <w:szCs w:val="18"/>
          <w:color w:val="auto"/>
        </w:rPr>
        <w:t>separation pay exemption described in Treas. Reg. Section 1.409A-1(b)(9), but such Awards in the aggregate exceed the dollar limit permitted for the separation pay exemptions, the Company (acting through the Committee or the Head of Human Resources) shall determine which Awards or portions thereof will be subject to such exemptions.</w:t>
      </w:r>
    </w:p>
    <w:p>
      <w:pPr>
        <w:spacing w:after="0" w:line="53" w:lineRule="exact"/>
        <w:rPr>
          <w:rFonts w:ascii="Arial" w:cs="Arial" w:eastAsia="Arial" w:hAnsi="Arial"/>
          <w:sz w:val="18"/>
          <w:szCs w:val="18"/>
          <w:color w:val="auto"/>
        </w:rPr>
      </w:pPr>
    </w:p>
    <w:p>
      <w:pPr>
        <w:ind w:left="460" w:right="80" w:firstLine="443"/>
        <w:spacing w:after="0" w:line="237" w:lineRule="auto"/>
        <w:tabs>
          <w:tab w:leader="none" w:pos="1162" w:val="left"/>
        </w:tabs>
        <w:numPr>
          <w:ilvl w:val="0"/>
          <w:numId w:val="128"/>
        </w:numPr>
        <w:rPr>
          <w:rFonts w:ascii="Arial" w:cs="Arial" w:eastAsia="Arial" w:hAnsi="Arial"/>
          <w:sz w:val="18"/>
          <w:szCs w:val="18"/>
          <w:color w:val="auto"/>
        </w:rPr>
      </w:pPr>
      <w:r>
        <w:rPr>
          <w:rFonts w:ascii="Arial" w:cs="Arial" w:eastAsia="Arial" w:hAnsi="Arial"/>
          <w:sz w:val="18"/>
          <w:szCs w:val="18"/>
          <w:i w:val="1"/>
          <w:iCs w:val="1"/>
          <w:color w:val="auto"/>
        </w:rPr>
        <w:t>Six-Month Delay in Certain Circumstances</w:t>
      </w:r>
      <w:r>
        <w:rPr>
          <w:rFonts w:ascii="Arial" w:cs="Arial" w:eastAsia="Arial" w:hAnsi="Arial"/>
          <w:sz w:val="18"/>
          <w:szCs w:val="18"/>
          <w:color w:val="auto"/>
        </w:rPr>
        <w:t>. Notwithstanding anything in the Plan or in any Award Certificate to the contrary, if any</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or benefit that would constitute Non-Exempt Deferred Compensation would otherwise be payable or distributable under this Plan or any Award Certificate by reason of a Participant’s separation from service during a period in which the Participant is a Specified Employee (as defined below), then, subject to any permissible acceleration of payment by the Committee under Treas. Reg. Section 1.409A-3(j)(4)(ii) (domestic relations order), (j)(4)(iii) (conflicts of interest), or (j)(4)(vi) (payment of employment taxes): (i) the amount of such Non-Exempt Deferred Compensation that would otherwise be payable during the six-month period immediately following the Participant’s separation from service will be accumulated through and paid or provided on the first day of the seventh month following the Participant’s separation from service (or, if the Participant dies during such period, within 30 days after the Participant’s death) (in either case, the “Required Delay Period”) and (ii) , the normal payment or distribution schedule for any remaining payments or distributions will resume at the end of the Required Delay Period.</w:t>
      </w:r>
    </w:p>
    <w:p>
      <w:pPr>
        <w:spacing w:after="0" w:line="81" w:lineRule="exact"/>
        <w:rPr>
          <w:sz w:val="20"/>
          <w:szCs w:val="20"/>
          <w:color w:val="auto"/>
        </w:rPr>
      </w:pPr>
    </w:p>
    <w:p>
      <w:pPr>
        <w:ind w:left="460" w:right="200" w:firstLine="438"/>
        <w:spacing w:after="0" w:line="236" w:lineRule="auto"/>
        <w:rPr>
          <w:sz w:val="20"/>
          <w:szCs w:val="20"/>
          <w:color w:val="auto"/>
        </w:rPr>
      </w:pPr>
      <w:r>
        <w:rPr>
          <w:rFonts w:ascii="Arial" w:cs="Arial" w:eastAsia="Arial" w:hAnsi="Arial"/>
          <w:sz w:val="18"/>
          <w:szCs w:val="18"/>
          <w:color w:val="auto"/>
        </w:rPr>
        <w:t xml:space="preserve">For purposes of this Plan, the term “Specified Employee” has the meaning given such term in Code Section 409A and the final regulations thereunder, </w:t>
      </w:r>
      <w:r>
        <w:rPr>
          <w:rFonts w:ascii="Arial" w:cs="Arial" w:eastAsia="Arial" w:hAnsi="Arial"/>
          <w:sz w:val="18"/>
          <w:szCs w:val="18"/>
          <w:i w:val="1"/>
          <w:iCs w:val="1"/>
          <w:color w:val="auto"/>
        </w:rPr>
        <w:t>provided, however</w:t>
      </w:r>
      <w:r>
        <w:rPr>
          <w:rFonts w:ascii="Arial" w:cs="Arial" w:eastAsia="Arial" w:hAnsi="Arial"/>
          <w:sz w:val="18"/>
          <w:szCs w:val="18"/>
          <w:color w:val="auto"/>
        </w:rPr>
        <w:t>, that, as permitted in such final regulations, the Company’s Specified Employees and its application of the six-month delay rule of Code Section 409A(a)(2)(B)(i) shall be determined in accordance with rules adopted by the Board or any committee of the Board, which shall be applied consistently with respect to all nonqualified deferred compensation arrangements of the Company, including this Plan.</w:t>
      </w:r>
    </w:p>
    <w:p>
      <w:pPr>
        <w:spacing w:after="0" w:line="58" w:lineRule="exact"/>
        <w:rPr>
          <w:sz w:val="20"/>
          <w:szCs w:val="20"/>
          <w:color w:val="auto"/>
        </w:rPr>
      </w:pPr>
    </w:p>
    <w:p>
      <w:pPr>
        <w:ind w:left="460" w:right="140" w:firstLine="443"/>
        <w:spacing w:after="0" w:line="260" w:lineRule="auto"/>
        <w:tabs>
          <w:tab w:leader="none" w:pos="1162" w:val="left"/>
        </w:tabs>
        <w:numPr>
          <w:ilvl w:val="0"/>
          <w:numId w:val="129"/>
        </w:numPr>
        <w:rPr>
          <w:rFonts w:ascii="Arial" w:cs="Arial" w:eastAsia="Arial" w:hAnsi="Arial"/>
          <w:sz w:val="18"/>
          <w:szCs w:val="18"/>
          <w:color w:val="auto"/>
        </w:rPr>
      </w:pPr>
      <w:r>
        <w:rPr>
          <w:rFonts w:ascii="Arial" w:cs="Arial" w:eastAsia="Arial" w:hAnsi="Arial"/>
          <w:sz w:val="18"/>
          <w:szCs w:val="18"/>
          <w:i w:val="1"/>
          <w:iCs w:val="1"/>
          <w:color w:val="auto"/>
        </w:rPr>
        <w:t>Installment Payments</w:t>
      </w:r>
      <w:r>
        <w:rPr>
          <w:rFonts w:ascii="Arial" w:cs="Arial" w:eastAsia="Arial" w:hAnsi="Arial"/>
          <w:sz w:val="18"/>
          <w:szCs w:val="18"/>
          <w:color w:val="auto"/>
        </w:rPr>
        <w:t>. If, pursuant to an Award, a Participant is entitled to a series of installment payments, such Participant’s right</w:t>
      </w:r>
      <w:r>
        <w:rPr>
          <w:rFonts w:ascii="Arial" w:cs="Arial" w:eastAsia="Arial" w:hAnsi="Arial"/>
          <w:sz w:val="18"/>
          <w:szCs w:val="18"/>
          <w:i w:val="1"/>
          <w:iCs w:val="1"/>
          <w:color w:val="auto"/>
        </w:rPr>
        <w:t xml:space="preserve"> </w:t>
      </w:r>
      <w:r>
        <w:rPr>
          <w:rFonts w:ascii="Arial" w:cs="Arial" w:eastAsia="Arial" w:hAnsi="Arial"/>
          <w:sz w:val="18"/>
          <w:szCs w:val="18"/>
          <w:color w:val="auto"/>
        </w:rPr>
        <w:t>to the series of installment payments shall be treated as a right to a series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336"/>
        </w:trPr>
        <w:tc>
          <w:tcPr>
            <w:tcW w:w="340" w:type="dxa"/>
            <w:vAlign w:val="bottom"/>
            <w:tcBorders>
              <w:right w:val="single" w:sz="8" w:color="225CAB"/>
            </w:tcBorders>
          </w:tcPr>
          <w:p>
            <w:pPr>
              <w:jc w:val="right"/>
              <w:ind w:right="52"/>
              <w:spacing w:after="0"/>
              <w:rPr>
                <w:sz w:val="20"/>
                <w:szCs w:val="20"/>
                <w:color w:val="auto"/>
              </w:rPr>
            </w:pPr>
            <w:r>
              <w:rPr>
                <w:rFonts w:ascii="Arial" w:cs="Arial" w:eastAsia="Arial" w:hAnsi="Arial"/>
                <w:sz w:val="18"/>
                <w:szCs w:val="18"/>
                <w:b w:val="1"/>
                <w:bCs w:val="1"/>
                <w:color w:val="225CAB"/>
                <w:w w:val="89"/>
              </w:rPr>
              <w:t>76</w:t>
            </w:r>
          </w:p>
        </w:tc>
        <w:tc>
          <w:tcPr>
            <w:tcW w:w="5180" w:type="dxa"/>
            <w:vAlign w:val="bottom"/>
          </w:tcPr>
          <w:p>
            <w:pPr>
              <w:ind w:left="1240"/>
              <w:spacing w:after="0"/>
              <w:rPr>
                <w:sz w:val="20"/>
                <w:szCs w:val="20"/>
                <w:color w:val="auto"/>
              </w:rPr>
            </w:pPr>
            <w:r>
              <w:rPr>
                <w:rFonts w:ascii="Arial" w:cs="Arial" w:eastAsia="Arial" w:hAnsi="Arial"/>
                <w:sz w:val="18"/>
                <w:szCs w:val="18"/>
                <w:b w:val="1"/>
                <w:bCs w:val="1"/>
                <w:color w:val="225CAB"/>
                <w:w w:val="96"/>
              </w:rPr>
              <w:t>Roper Technologies, Inc. 2016 Proxy Statement</w:t>
            </w:r>
          </w:p>
        </w:tc>
      </w:tr>
      <w:tr>
        <w:trPr>
          <w:trHeight w:val="110"/>
        </w:trPr>
        <w:tc>
          <w:tcPr>
            <w:tcW w:w="340" w:type="dxa"/>
            <w:vAlign w:val="bottom"/>
            <w:tcBorders>
              <w:right w:val="single" w:sz="8" w:color="225CAB"/>
            </w:tcBorders>
          </w:tcPr>
          <w:p>
            <w:pPr>
              <w:spacing w:after="0"/>
              <w:rPr>
                <w:sz w:val="9"/>
                <w:szCs w:val="9"/>
                <w:color w:val="auto"/>
              </w:rPr>
            </w:pPr>
          </w:p>
        </w:tc>
        <w:tc>
          <w:tcPr>
            <w:tcW w:w="518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-248285</wp:posOffset>
            </wp:positionV>
            <wp:extent cx="420370" cy="2057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60" w:right="260"/>
        <w:spacing w:after="0" w:line="239" w:lineRule="auto"/>
        <w:rPr>
          <w:sz w:val="20"/>
          <w:szCs w:val="20"/>
          <w:color w:val="auto"/>
        </w:rPr>
      </w:pPr>
      <w:r>
        <w:rPr>
          <w:rFonts w:ascii="Arial" w:cs="Arial" w:eastAsia="Arial" w:hAnsi="Arial"/>
          <w:sz w:val="18"/>
          <w:szCs w:val="18"/>
          <w:color w:val="auto"/>
        </w:rPr>
        <w:t>of separate payments and not to a single payment. For purposes of the preceding sentence, the term “series of installment payments” has the meaning provided in Treas. Reg. Section 1.409A-2(b)(2)(iii) (or any successor thereto).</w:t>
      </w:r>
    </w:p>
    <w:p>
      <w:pPr>
        <w:spacing w:after="0" w:line="56" w:lineRule="exact"/>
        <w:rPr>
          <w:sz w:val="20"/>
          <w:szCs w:val="20"/>
          <w:color w:val="auto"/>
        </w:rPr>
      </w:pPr>
    </w:p>
    <w:p>
      <w:pPr>
        <w:ind w:left="460" w:right="40" w:firstLine="443"/>
        <w:spacing w:after="0" w:line="237" w:lineRule="auto"/>
        <w:tabs>
          <w:tab w:leader="none" w:pos="1113" w:val="left"/>
        </w:tabs>
        <w:numPr>
          <w:ilvl w:val="0"/>
          <w:numId w:val="130"/>
        </w:numPr>
        <w:rPr>
          <w:rFonts w:ascii="Arial" w:cs="Arial" w:eastAsia="Arial" w:hAnsi="Arial"/>
          <w:sz w:val="18"/>
          <w:szCs w:val="18"/>
          <w:color w:val="auto"/>
        </w:rPr>
      </w:pPr>
      <w:r>
        <w:rPr>
          <w:rFonts w:ascii="Arial" w:cs="Arial" w:eastAsia="Arial" w:hAnsi="Arial"/>
          <w:sz w:val="18"/>
          <w:szCs w:val="18"/>
          <w:i w:val="1"/>
          <w:iCs w:val="1"/>
          <w:color w:val="auto"/>
        </w:rPr>
        <w:t>Timing of Release of Claims</w:t>
      </w:r>
      <w:r>
        <w:rPr>
          <w:rFonts w:ascii="Arial" w:cs="Arial" w:eastAsia="Arial" w:hAnsi="Arial"/>
          <w:sz w:val="18"/>
          <w:szCs w:val="18"/>
          <w:color w:val="auto"/>
        </w:rPr>
        <w:t>. Whenever an Award conditions a payment or benefit on the Participant’s execution and non-revocation</w:t>
      </w:r>
      <w:r>
        <w:rPr>
          <w:rFonts w:ascii="Arial" w:cs="Arial" w:eastAsia="Arial" w:hAnsi="Arial"/>
          <w:sz w:val="18"/>
          <w:szCs w:val="18"/>
          <w:i w:val="1"/>
          <w:iCs w:val="1"/>
          <w:color w:val="auto"/>
        </w:rPr>
        <w:t xml:space="preserve"> </w:t>
      </w:r>
      <w:r>
        <w:rPr>
          <w:rFonts w:ascii="Arial" w:cs="Arial" w:eastAsia="Arial" w:hAnsi="Arial"/>
          <w:sz w:val="18"/>
          <w:szCs w:val="18"/>
          <w:color w:val="auto"/>
        </w:rPr>
        <w:t>of a release of claims, such release must be executed and all revocation periods shall have expired within 60 days after the date of termination of the Participant’s employment; failing which such payment or benefit shall be forfeited. If such payment or benefit is exempt from Section 409A of the Code, the Company may elect to make or commence payment at any time during such 60-day period. If such payment or benefit constitutes Non-Exempt Deferred Compensation, then, subject to subsection (d) above, (i) if such 60-day period begins and ends in a single calendar year, the Company may make or commence payment at any time during such period at its discretion, and (ii) if such 60-day period begins in one calendar year and ends in the next calendar year, the payment shall be made or commence during the second such calendar year (or any later date specified for such payment under the applicable Award), even if such signing and non-revocation of the release occur during the first such calendar year included within such 60-day period. In other words, a Participant is not permitted to influence the calendar year of payment based on the timing of signing the release.</w:t>
      </w:r>
    </w:p>
    <w:p>
      <w:pPr>
        <w:spacing w:after="0" w:line="62" w:lineRule="exact"/>
        <w:rPr>
          <w:rFonts w:ascii="Arial" w:cs="Arial" w:eastAsia="Arial" w:hAnsi="Arial"/>
          <w:sz w:val="18"/>
          <w:szCs w:val="18"/>
          <w:color w:val="auto"/>
        </w:rPr>
      </w:pPr>
    </w:p>
    <w:p>
      <w:pPr>
        <w:ind w:left="460" w:right="220" w:firstLine="443"/>
        <w:spacing w:after="0" w:line="247" w:lineRule="auto"/>
        <w:tabs>
          <w:tab w:leader="none" w:pos="1162" w:val="left"/>
        </w:tabs>
        <w:numPr>
          <w:ilvl w:val="0"/>
          <w:numId w:val="130"/>
        </w:numPr>
        <w:rPr>
          <w:rFonts w:ascii="Arial" w:cs="Arial" w:eastAsia="Arial" w:hAnsi="Arial"/>
          <w:sz w:val="18"/>
          <w:szCs w:val="18"/>
          <w:color w:val="auto"/>
        </w:rPr>
      </w:pPr>
      <w:r>
        <w:rPr>
          <w:rFonts w:ascii="Arial" w:cs="Arial" w:eastAsia="Arial" w:hAnsi="Arial"/>
          <w:sz w:val="18"/>
          <w:szCs w:val="18"/>
          <w:i w:val="1"/>
          <w:iCs w:val="1"/>
          <w:color w:val="auto"/>
        </w:rPr>
        <w:t>Permitted Acceleration</w:t>
      </w:r>
      <w:r>
        <w:rPr>
          <w:rFonts w:ascii="Arial" w:cs="Arial" w:eastAsia="Arial" w:hAnsi="Arial"/>
          <w:sz w:val="18"/>
          <w:szCs w:val="18"/>
          <w:color w:val="auto"/>
        </w:rPr>
        <w:t>. The Company shall have the sole authority to make any accelerated distribution permissible under Treas.</w:t>
      </w:r>
      <w:r>
        <w:rPr>
          <w:rFonts w:ascii="Arial" w:cs="Arial" w:eastAsia="Arial" w:hAnsi="Arial"/>
          <w:sz w:val="18"/>
          <w:szCs w:val="18"/>
          <w:i w:val="1"/>
          <w:iCs w:val="1"/>
          <w:color w:val="auto"/>
        </w:rPr>
        <w:t xml:space="preserve"> </w:t>
      </w:r>
      <w:r>
        <w:rPr>
          <w:rFonts w:ascii="Arial" w:cs="Arial" w:eastAsia="Arial" w:hAnsi="Arial"/>
          <w:sz w:val="18"/>
          <w:szCs w:val="18"/>
          <w:color w:val="auto"/>
        </w:rPr>
        <w:t>Reg. section 1.409A-3(j)(4) to Participants of deferred amounts, provided that such distribution(s) meets the requirements of Treas. Reg. section 1.409A-3(j)(4).</w:t>
      </w:r>
    </w:p>
    <w:p>
      <w:pPr>
        <w:spacing w:after="0" w:line="127" w:lineRule="exact"/>
        <w:rPr>
          <w:sz w:val="20"/>
          <w:szCs w:val="20"/>
          <w:color w:val="auto"/>
        </w:rPr>
      </w:pPr>
    </w:p>
    <w:p>
      <w:pPr>
        <w:ind w:right="20" w:firstLine="456"/>
        <w:spacing w:after="0" w:line="239" w:lineRule="auto"/>
        <w:rPr>
          <w:sz w:val="20"/>
          <w:szCs w:val="20"/>
          <w:color w:val="auto"/>
        </w:rPr>
      </w:pPr>
      <w:r>
        <w:rPr>
          <w:rFonts w:ascii="Arial" w:cs="Arial" w:eastAsia="Arial" w:hAnsi="Arial"/>
          <w:sz w:val="18"/>
          <w:szCs w:val="18"/>
          <w:color w:val="auto"/>
        </w:rPr>
        <w:t xml:space="preserve">17.5. </w:t>
      </w:r>
      <w:r>
        <w:rPr>
          <w:rFonts w:ascii="Arial" w:cs="Arial" w:eastAsia="Arial" w:hAnsi="Arial"/>
          <w:sz w:val="18"/>
          <w:szCs w:val="18"/>
          <w:b w:val="1"/>
          <w:bCs w:val="1"/>
          <w:color w:val="auto"/>
        </w:rPr>
        <w:t>NO RIGHT TO CONTINUED SERVICE.</w:t>
      </w:r>
      <w:r>
        <w:rPr>
          <w:rFonts w:ascii="Arial" w:cs="Arial" w:eastAsia="Arial" w:hAnsi="Arial"/>
          <w:sz w:val="18"/>
          <w:szCs w:val="18"/>
          <w:color w:val="auto"/>
        </w:rPr>
        <w:t xml:space="preserve"> Neither an Award nor any benefits arising under this Plan shall constitute an employment contract with the Company or any Affiliate and, accordingly, subject to Article 16, this Plan and the benefits hereunder may be terminated at any time in the sole and exclusive discretion of the Committee without giving rise to any liability on the part of the Company or an of its Affiliates. Nothing in the Plan, any Award Certificate or any other document or statement made with respect to the Plan, shall interfere with or limit in any way the right of the Company or any Affiliate to terminate any Participant’s employment or status as an officer, director or consultant at any time, nor confer upon any Participant any right to continue as an employee, officer, director or consultant of the Company or any Affiliate, whether for the duration of a Participant’s Award or otherwise.</w:t>
      </w:r>
    </w:p>
    <w:p>
      <w:pPr>
        <w:spacing w:after="0" w:line="137" w:lineRule="exact"/>
        <w:rPr>
          <w:sz w:val="20"/>
          <w:szCs w:val="20"/>
          <w:color w:val="auto"/>
        </w:rPr>
      </w:pPr>
    </w:p>
    <w:p>
      <w:pPr>
        <w:ind w:right="140" w:firstLine="456"/>
        <w:spacing w:after="0" w:line="244" w:lineRule="auto"/>
        <w:rPr>
          <w:sz w:val="20"/>
          <w:szCs w:val="20"/>
          <w:color w:val="auto"/>
        </w:rPr>
      </w:pPr>
      <w:r>
        <w:rPr>
          <w:rFonts w:ascii="Arial" w:cs="Arial" w:eastAsia="Arial" w:hAnsi="Arial"/>
          <w:sz w:val="18"/>
          <w:szCs w:val="18"/>
          <w:color w:val="auto"/>
        </w:rPr>
        <w:t xml:space="preserve">17.6. </w:t>
      </w:r>
      <w:r>
        <w:rPr>
          <w:rFonts w:ascii="Arial" w:cs="Arial" w:eastAsia="Arial" w:hAnsi="Arial"/>
          <w:sz w:val="18"/>
          <w:szCs w:val="18"/>
          <w:b w:val="1"/>
          <w:bCs w:val="1"/>
          <w:color w:val="auto"/>
        </w:rPr>
        <w:t>UNFUNDED STATUS OF AWARDS.</w:t>
      </w:r>
      <w:r>
        <w:rPr>
          <w:rFonts w:ascii="Arial" w:cs="Arial" w:eastAsia="Arial" w:hAnsi="Arial"/>
          <w:sz w:val="18"/>
          <w:szCs w:val="18"/>
          <w:color w:val="auto"/>
        </w:rPr>
        <w:t xml:space="preserve"> The Plan is intended to be an “unfunded” plan for incentive and deferred compensation. With respect to any payments not yet made to a Participant pursuant to an Award, nothing contained in the Plan or any Award Certificate shall give the Participant any rights that are greater than those of a general creditor of the Company or any Affiliate. This Plan is not intended to be subject to ERISA.</w:t>
      </w:r>
    </w:p>
    <w:p>
      <w:pPr>
        <w:spacing w:after="0" w:line="131" w:lineRule="exact"/>
        <w:rPr>
          <w:sz w:val="20"/>
          <w:szCs w:val="20"/>
          <w:color w:val="auto"/>
        </w:rPr>
      </w:pPr>
    </w:p>
    <w:p>
      <w:pPr>
        <w:ind w:right="20" w:firstLine="456"/>
        <w:spacing w:after="0" w:line="249" w:lineRule="auto"/>
        <w:rPr>
          <w:sz w:val="20"/>
          <w:szCs w:val="20"/>
          <w:color w:val="auto"/>
        </w:rPr>
      </w:pPr>
      <w:r>
        <w:rPr>
          <w:rFonts w:ascii="Arial" w:cs="Arial" w:eastAsia="Arial" w:hAnsi="Arial"/>
          <w:sz w:val="18"/>
          <w:szCs w:val="18"/>
          <w:color w:val="auto"/>
        </w:rPr>
        <w:t xml:space="preserve">17.7. </w:t>
      </w:r>
      <w:r>
        <w:rPr>
          <w:rFonts w:ascii="Arial" w:cs="Arial" w:eastAsia="Arial" w:hAnsi="Arial"/>
          <w:sz w:val="18"/>
          <w:szCs w:val="18"/>
          <w:b w:val="1"/>
          <w:bCs w:val="1"/>
          <w:color w:val="auto"/>
        </w:rPr>
        <w:t>RELATIONSHIP TO OTHER BENEFITS.</w:t>
      </w:r>
      <w:r>
        <w:rPr>
          <w:rFonts w:ascii="Arial" w:cs="Arial" w:eastAsia="Arial" w:hAnsi="Arial"/>
          <w:sz w:val="18"/>
          <w:szCs w:val="18"/>
          <w:color w:val="auto"/>
        </w:rPr>
        <w:t xml:space="preserve"> No payment under the Plan shall be taken into account in determining any benefits under any pension, retirement, savings, profit sharing, group insurance, welfare or benefit plan of the Company or any Affiliate unless provided otherwise in such other plan.</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17.8. </w:t>
      </w:r>
      <w:r>
        <w:rPr>
          <w:rFonts w:ascii="Arial" w:cs="Arial" w:eastAsia="Arial" w:hAnsi="Arial"/>
          <w:sz w:val="18"/>
          <w:szCs w:val="18"/>
          <w:b w:val="1"/>
          <w:bCs w:val="1"/>
          <w:color w:val="auto"/>
        </w:rPr>
        <w:t>EXPENSES.</w:t>
      </w:r>
      <w:r>
        <w:rPr>
          <w:rFonts w:ascii="Arial" w:cs="Arial" w:eastAsia="Arial" w:hAnsi="Arial"/>
          <w:sz w:val="18"/>
          <w:szCs w:val="18"/>
          <w:color w:val="auto"/>
        </w:rPr>
        <w:t xml:space="preserve"> The expenses of administering the Plan shall be borne by the Company and its Affiliates.</w:t>
      </w:r>
    </w:p>
    <w:p>
      <w:pPr>
        <w:spacing w:after="0" w:line="158"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 xml:space="preserve">17.9. </w:t>
      </w:r>
      <w:r>
        <w:rPr>
          <w:rFonts w:ascii="Arial" w:cs="Arial" w:eastAsia="Arial" w:hAnsi="Arial"/>
          <w:sz w:val="18"/>
          <w:szCs w:val="18"/>
          <w:b w:val="1"/>
          <w:bCs w:val="1"/>
          <w:color w:val="auto"/>
        </w:rPr>
        <w:t>TITLES AND HEADINGS.</w:t>
      </w:r>
      <w:r>
        <w:rPr>
          <w:rFonts w:ascii="Arial" w:cs="Arial" w:eastAsia="Arial" w:hAnsi="Arial"/>
          <w:sz w:val="18"/>
          <w:szCs w:val="18"/>
          <w:color w:val="auto"/>
        </w:rPr>
        <w:t xml:space="preserve"> The titles and headings of the Sections in the Plan are for convenience of reference only, and in the event of any conflict, the text of the Plan, rather than such titles or headings, shall control.</w:t>
      </w:r>
    </w:p>
    <w:p>
      <w:pPr>
        <w:spacing w:after="0" w:line="112"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 xml:space="preserve">17.10. </w:t>
      </w:r>
      <w:r>
        <w:rPr>
          <w:rFonts w:ascii="Arial" w:cs="Arial" w:eastAsia="Arial" w:hAnsi="Arial"/>
          <w:sz w:val="18"/>
          <w:szCs w:val="18"/>
          <w:b w:val="1"/>
          <w:bCs w:val="1"/>
          <w:color w:val="auto"/>
        </w:rPr>
        <w:t>GENDER AND NUMBER.</w:t>
      </w:r>
      <w:r>
        <w:rPr>
          <w:rFonts w:ascii="Arial" w:cs="Arial" w:eastAsia="Arial" w:hAnsi="Arial"/>
          <w:sz w:val="18"/>
          <w:szCs w:val="18"/>
          <w:color w:val="auto"/>
        </w:rPr>
        <w:t xml:space="preserve"> Except where otherwise indicated by the context, any masculine term used herein also shall include the feminine; the plural shall include the singular and the singular shall include the plural.</w:t>
      </w:r>
    </w:p>
    <w:p>
      <w:pPr>
        <w:spacing w:after="0" w:line="112"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 xml:space="preserve">17.11. </w:t>
      </w:r>
      <w:r>
        <w:rPr>
          <w:rFonts w:ascii="Arial" w:cs="Arial" w:eastAsia="Arial" w:hAnsi="Arial"/>
          <w:sz w:val="18"/>
          <w:szCs w:val="18"/>
          <w:b w:val="1"/>
          <w:bCs w:val="1"/>
          <w:color w:val="auto"/>
        </w:rPr>
        <w:t>FRACTIONAL SHARES.</w:t>
      </w:r>
      <w:r>
        <w:rPr>
          <w:rFonts w:ascii="Arial" w:cs="Arial" w:eastAsia="Arial" w:hAnsi="Arial"/>
          <w:sz w:val="18"/>
          <w:szCs w:val="18"/>
          <w:color w:val="auto"/>
        </w:rPr>
        <w:t xml:space="preserve"> No fractional Shares shall be issued and the Committee shall determine, in its discretion, whether cash shall be given in lieu of fractional Shares or whether such fractional Shares shall be eliminated by rounding up or down.</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17.12. </w:t>
      </w:r>
      <w:r>
        <w:rPr>
          <w:rFonts w:ascii="Arial" w:cs="Arial" w:eastAsia="Arial" w:hAnsi="Arial"/>
          <w:sz w:val="18"/>
          <w:szCs w:val="18"/>
          <w:b w:val="1"/>
          <w:bCs w:val="1"/>
          <w:color w:val="auto"/>
        </w:rPr>
        <w:t>GOVERNMENT AND OTHER REGULATIONS.</w:t>
      </w:r>
    </w:p>
    <w:p>
      <w:pPr>
        <w:spacing w:after="0" w:line="99" w:lineRule="exact"/>
        <w:rPr>
          <w:sz w:val="20"/>
          <w:szCs w:val="20"/>
          <w:color w:val="auto"/>
        </w:rPr>
      </w:pPr>
    </w:p>
    <w:p>
      <w:pPr>
        <w:ind w:left="460" w:right="80" w:firstLine="443"/>
        <w:spacing w:after="0" w:line="238" w:lineRule="auto"/>
        <w:tabs>
          <w:tab w:leader="none" w:pos="1162" w:val="left"/>
        </w:tabs>
        <w:numPr>
          <w:ilvl w:val="0"/>
          <w:numId w:val="131"/>
        </w:numPr>
        <w:rPr>
          <w:rFonts w:ascii="Arial" w:cs="Arial" w:eastAsia="Arial" w:hAnsi="Arial"/>
          <w:sz w:val="18"/>
          <w:szCs w:val="18"/>
          <w:color w:val="auto"/>
        </w:rPr>
      </w:pPr>
      <w:r>
        <w:rPr>
          <w:rFonts w:ascii="Arial" w:cs="Arial" w:eastAsia="Arial" w:hAnsi="Arial"/>
          <w:sz w:val="18"/>
          <w:szCs w:val="18"/>
          <w:color w:val="auto"/>
        </w:rPr>
        <w:t>Notwithstanding any other provision of the Plan, no Participant who acquires Shares pursuant to the Plan may, during any period of time that such Participant is an affiliate of the Company (within the meaning of the rules and regulations of the Securities and Exchange Commission under the 1933 Act), sell such Shares,</w:t>
      </w:r>
    </w:p>
    <w:p>
      <w:pPr>
        <w:spacing w:after="0" w:line="137" w:lineRule="exact"/>
        <w:rPr>
          <w:sz w:val="20"/>
          <w:szCs w:val="20"/>
          <w:color w:val="auto"/>
        </w:rPr>
      </w:pPr>
    </w:p>
    <w:tbl>
      <w:tblPr>
        <w:tblLayout w:type="fixed"/>
        <w:tblInd w:w="6900" w:type="dxa"/>
        <w:tblCellMar>
          <w:top w:w="0" w:type="dxa"/>
          <w:left w:w="0" w:type="dxa"/>
          <w:bottom w:w="0" w:type="dxa"/>
          <w:right w:w="0" w:type="dxa"/>
        </w:tblCellMar>
      </w:tblPr>
      <w:tr>
        <w:trPr>
          <w:trHeight w:val="309"/>
        </w:trPr>
        <w:tc>
          <w:tcPr>
            <w:tcW w:w="4080" w:type="dxa"/>
            <w:vAlign w:val="bottom"/>
            <w:tcBorders>
              <w:right w:val="single" w:sz="8" w:color="225CAB"/>
            </w:tcBorders>
          </w:tcPr>
          <w:p>
            <w:pPr>
              <w:spacing w:after="0"/>
              <w:rPr>
                <w:sz w:val="20"/>
                <w:szCs w:val="20"/>
                <w:color w:val="auto"/>
              </w:rPr>
            </w:pPr>
            <w:r>
              <w:rPr>
                <w:rFonts w:ascii="Arial" w:cs="Arial" w:eastAsia="Arial" w:hAnsi="Arial"/>
                <w:sz w:val="18"/>
                <w:szCs w:val="18"/>
                <w:b w:val="1"/>
                <w:bCs w:val="1"/>
                <w:color w:val="225CAB"/>
                <w:w w:val="99"/>
              </w:rPr>
              <w:t>Roper Technologies, Inc. 2016 Proxy Statement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225CAB"/>
              </w:rPr>
              <w:t>77</w:t>
            </w:r>
          </w:p>
        </w:tc>
      </w:tr>
      <w:tr>
        <w:trPr>
          <w:trHeight w:val="83"/>
        </w:trPr>
        <w:tc>
          <w:tcPr>
            <w:tcW w:w="4080" w:type="dxa"/>
            <w:vAlign w:val="bottom"/>
            <w:tcBorders>
              <w:right w:val="single" w:sz="8" w:color="225CAB"/>
            </w:tcBorders>
          </w:tcPr>
          <w:p>
            <w:pPr>
              <w:spacing w:after="0"/>
              <w:rPr>
                <w:sz w:val="7"/>
                <w:szCs w:val="7"/>
                <w:color w:val="auto"/>
              </w:rPr>
            </w:pPr>
          </w:p>
        </w:tc>
        <w:tc>
          <w:tcPr>
            <w:tcW w:w="44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-213995</wp:posOffset>
            </wp:positionV>
            <wp:extent cx="420370" cy="2057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60" w:right="240"/>
        <w:spacing w:after="0" w:line="238" w:lineRule="auto"/>
        <w:rPr>
          <w:sz w:val="20"/>
          <w:szCs w:val="20"/>
          <w:color w:val="auto"/>
        </w:rPr>
      </w:pPr>
      <w:r>
        <w:rPr>
          <w:rFonts w:ascii="Arial" w:cs="Arial" w:eastAsia="Arial" w:hAnsi="Arial"/>
          <w:sz w:val="18"/>
          <w:szCs w:val="18"/>
          <w:color w:val="auto"/>
        </w:rPr>
        <w:t>unless such offer and sale is made (i) pursuant to an effective registration statement under the 1933 Act, which is current and includes the Shares to be sold, or (ii) pursuant to an appropriate exemption from the registration requirement of the 1933 Act, such as that set forth in Rule 144 promulgated under the 1933 Act.</w:t>
      </w:r>
    </w:p>
    <w:p>
      <w:pPr>
        <w:spacing w:after="0" w:line="73" w:lineRule="exact"/>
        <w:rPr>
          <w:sz w:val="20"/>
          <w:szCs w:val="20"/>
          <w:color w:val="auto"/>
        </w:rPr>
      </w:pPr>
    </w:p>
    <w:p>
      <w:pPr>
        <w:ind w:left="460" w:firstLine="443"/>
        <w:spacing w:after="0" w:line="235" w:lineRule="auto"/>
        <w:tabs>
          <w:tab w:leader="none" w:pos="1162" w:val="left"/>
        </w:tabs>
        <w:numPr>
          <w:ilvl w:val="0"/>
          <w:numId w:val="132"/>
        </w:numPr>
        <w:rPr>
          <w:rFonts w:ascii="Arial" w:cs="Arial" w:eastAsia="Arial" w:hAnsi="Arial"/>
          <w:sz w:val="18"/>
          <w:szCs w:val="18"/>
          <w:color w:val="auto"/>
        </w:rPr>
      </w:pPr>
      <w:r>
        <w:rPr>
          <w:rFonts w:ascii="Arial" w:cs="Arial" w:eastAsia="Arial" w:hAnsi="Arial"/>
          <w:sz w:val="18"/>
          <w:szCs w:val="18"/>
          <w:color w:val="auto"/>
        </w:rPr>
        <w:t>Notwithstanding any other provision of the Plan, if at any time the Committee shall determine that the registration, listing or qualification of the Shares covered by an Award upon any Exchange or under any foreign, federal, state or local law or practice, or the consent or approval of any governmental regulatory body, is necessary or desirable as a condition of, or in connection with, the granting of such Award or the purchase or receipt of Shares thereunder, no Shares may be purchased, delivered or received pursuant to such Award unless and until such registration, listing, qualification, consent or approval shall have been effected or obtained free of any condition not acceptable to the Committee. Any Participant receiving or purchasing Shares pursuant to an Award shall make such representations and agreements and furnish such information as the Committee may request to assure compliance with the foregoing or any other applicable legal requirements. The Company shall not be required to issue or deliver any certificate or certificates for Shares under the Plan prior to the Committee’s determination that all related requirements have been fulfilled. The Company shall in no event be obligated to register any securities pursuant to the 1933 Act or applicable state or foreign law or to take any other action in order to cause the issuance and delivery of such certificates to comply with any such law, regulation or requirement.</w:t>
      </w:r>
    </w:p>
    <w:p>
      <w:pPr>
        <w:spacing w:after="0" w:line="139"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 xml:space="preserve">17.13. </w:t>
      </w:r>
      <w:r>
        <w:rPr>
          <w:rFonts w:ascii="Arial" w:cs="Arial" w:eastAsia="Arial" w:hAnsi="Arial"/>
          <w:sz w:val="18"/>
          <w:szCs w:val="18"/>
          <w:b w:val="1"/>
          <w:bCs w:val="1"/>
          <w:color w:val="auto"/>
        </w:rPr>
        <w:t>GOVERNING LAW.</w:t>
      </w:r>
      <w:r>
        <w:rPr>
          <w:rFonts w:ascii="Arial" w:cs="Arial" w:eastAsia="Arial" w:hAnsi="Arial"/>
          <w:sz w:val="18"/>
          <w:szCs w:val="18"/>
          <w:color w:val="auto"/>
        </w:rPr>
        <w:t xml:space="preserve"> To the extent not governed by federal law, the Plan and all Award Certificates shall be construed in accordance with and governed by the laws of the State of Delaware.</w:t>
      </w:r>
    </w:p>
    <w:p>
      <w:pPr>
        <w:spacing w:after="0" w:line="112" w:lineRule="exact"/>
        <w:rPr>
          <w:sz w:val="20"/>
          <w:szCs w:val="20"/>
          <w:color w:val="auto"/>
        </w:rPr>
      </w:pPr>
    </w:p>
    <w:p>
      <w:pPr>
        <w:ind w:firstLine="456"/>
        <w:spacing w:after="0" w:line="239" w:lineRule="auto"/>
        <w:rPr>
          <w:sz w:val="20"/>
          <w:szCs w:val="20"/>
          <w:color w:val="auto"/>
        </w:rPr>
      </w:pPr>
      <w:r>
        <w:rPr>
          <w:rFonts w:ascii="Arial" w:cs="Arial" w:eastAsia="Arial" w:hAnsi="Arial"/>
          <w:sz w:val="18"/>
          <w:szCs w:val="18"/>
          <w:color w:val="auto"/>
        </w:rPr>
        <w:t xml:space="preserve">17.14. </w:t>
      </w:r>
      <w:r>
        <w:rPr>
          <w:rFonts w:ascii="Arial" w:cs="Arial" w:eastAsia="Arial" w:hAnsi="Arial"/>
          <w:sz w:val="18"/>
          <w:szCs w:val="18"/>
          <w:b w:val="1"/>
          <w:bCs w:val="1"/>
          <w:color w:val="auto"/>
        </w:rPr>
        <w:t>NO LIMITATIONS ON RIGHTS OF COMPANY.</w:t>
      </w:r>
      <w:r>
        <w:rPr>
          <w:rFonts w:ascii="Arial" w:cs="Arial" w:eastAsia="Arial" w:hAnsi="Arial"/>
          <w:sz w:val="18"/>
          <w:szCs w:val="18"/>
          <w:color w:val="auto"/>
        </w:rPr>
        <w:t xml:space="preserve"> The grant of any Award shall not in any way affect the right or power of the Company to make adjustments, reclassification or changes in its capital or business structure or to merge, consolidate, dissolve, liquidate, sell or transfer all or any part of its business or assets. The Plan shall not restrict the authority of the Company, for proper corporate purposes, to draft or assume awards, other than under the Plan, to or with respect to any person. If the Committee so directs, the Company may issue or transfer Shares to an Affiliate, for such lawful consideration as the Committee may specify, upon the condition or understanding that the Affiliate will transfer such Shares to a Participant in accordance with the terms of an Award granted to such Participant and specified by the Committee pursuant to the provisions of the Plan.</w:t>
      </w:r>
    </w:p>
    <w:p>
      <w:pPr>
        <w:spacing w:after="0" w:line="137" w:lineRule="exact"/>
        <w:rPr>
          <w:sz w:val="20"/>
          <w:szCs w:val="20"/>
          <w:color w:val="auto"/>
        </w:rPr>
      </w:pPr>
    </w:p>
    <w:p>
      <w:pPr>
        <w:ind w:right="60" w:firstLine="456"/>
        <w:spacing w:after="0" w:line="244" w:lineRule="auto"/>
        <w:rPr>
          <w:sz w:val="20"/>
          <w:szCs w:val="20"/>
          <w:color w:val="auto"/>
        </w:rPr>
      </w:pPr>
      <w:r>
        <w:rPr>
          <w:rFonts w:ascii="Arial" w:cs="Arial" w:eastAsia="Arial" w:hAnsi="Arial"/>
          <w:sz w:val="18"/>
          <w:szCs w:val="18"/>
          <w:color w:val="auto"/>
        </w:rPr>
        <w:t xml:space="preserve">17.15. </w:t>
      </w:r>
      <w:r>
        <w:rPr>
          <w:rFonts w:ascii="Arial" w:cs="Arial" w:eastAsia="Arial" w:hAnsi="Arial"/>
          <w:sz w:val="18"/>
          <w:szCs w:val="18"/>
          <w:b w:val="1"/>
          <w:bCs w:val="1"/>
          <w:color w:val="auto"/>
        </w:rPr>
        <w:t>SEVERABILITY.</w:t>
      </w:r>
      <w:r>
        <w:rPr>
          <w:rFonts w:ascii="Arial" w:cs="Arial" w:eastAsia="Arial" w:hAnsi="Arial"/>
          <w:sz w:val="18"/>
          <w:szCs w:val="18"/>
          <w:color w:val="auto"/>
        </w:rPr>
        <w:t xml:space="preserve"> In the event that any provision of this Plan is found to be invalid or otherwise unenforceable under any applicable law, such invalidity or unenforceability will not be construed as rendering any other provisions contained herein as invalid or unenforceable, and all such other provisions will be given full force and effect to the same extent as though the invalid or unenforceable provision was not contained herein.</w:t>
      </w:r>
    </w:p>
    <w:p>
      <w:pPr>
        <w:spacing w:after="0" w:line="131" w:lineRule="exact"/>
        <w:rPr>
          <w:sz w:val="20"/>
          <w:szCs w:val="20"/>
          <w:color w:val="auto"/>
        </w:rPr>
      </w:pPr>
    </w:p>
    <w:p>
      <w:pPr>
        <w:ind w:right="40" w:firstLine="456"/>
        <w:spacing w:after="0" w:line="271" w:lineRule="auto"/>
        <w:rPr>
          <w:sz w:val="20"/>
          <w:szCs w:val="20"/>
          <w:color w:val="auto"/>
        </w:rPr>
      </w:pPr>
      <w:r>
        <w:rPr>
          <w:rFonts w:ascii="Arial" w:cs="Arial" w:eastAsia="Arial" w:hAnsi="Arial"/>
          <w:sz w:val="16"/>
          <w:szCs w:val="16"/>
          <w:color w:val="auto"/>
        </w:rPr>
        <w:t xml:space="preserve">17.16. </w:t>
      </w:r>
      <w:r>
        <w:rPr>
          <w:rFonts w:ascii="Arial" w:cs="Arial" w:eastAsia="Arial" w:hAnsi="Arial"/>
          <w:sz w:val="16"/>
          <w:szCs w:val="16"/>
          <w:b w:val="1"/>
          <w:bCs w:val="1"/>
          <w:color w:val="auto"/>
        </w:rPr>
        <w:t>INDEMNIFICATION.</w:t>
      </w:r>
      <w:r>
        <w:rPr>
          <w:rFonts w:ascii="Arial" w:cs="Arial" w:eastAsia="Arial" w:hAnsi="Arial"/>
          <w:sz w:val="16"/>
          <w:szCs w:val="16"/>
          <w:color w:val="auto"/>
        </w:rPr>
        <w:t xml:space="preserve"> Each person who is or shall have been a member of the Committee, or of the Board, or an officer of the Company to whom authority was delegated in accordance with Article 4 shall be indemnified and held harmless by the Company against and from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the Plan and against and from any and all amounts paid by him or her in settlement thereof, with the Company’s approval, or paid by him or her in satisfaction of any judgment in any such action, suit, or proceeding against him or her, provided he or she shall give the Company an opportunity, at its own expense, to handle and defend the same before he or she undertakes to handle and defend it on his or her own behalf, unless such loss, cost, liability, or expense is a result of his or her own willful misconduct or except as expressly provided by statute. The foregoing right of indemnification shall not be exclusive of any other rights of indemnification to which such persons may be entitled under the Company’s charter or bylaws, as a matter of law, or otherwise, or any power that the Company may have to indemnify them or hold them harmless.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336"/>
        </w:trPr>
        <w:tc>
          <w:tcPr>
            <w:tcW w:w="340" w:type="dxa"/>
            <w:vAlign w:val="bottom"/>
            <w:tcBorders>
              <w:right w:val="single" w:sz="8" w:color="225CAB"/>
            </w:tcBorders>
          </w:tcPr>
          <w:p>
            <w:pPr>
              <w:jc w:val="right"/>
              <w:ind w:right="52"/>
              <w:spacing w:after="0"/>
              <w:rPr>
                <w:sz w:val="20"/>
                <w:szCs w:val="20"/>
                <w:color w:val="auto"/>
              </w:rPr>
            </w:pPr>
            <w:r>
              <w:rPr>
                <w:rFonts w:ascii="Arial" w:cs="Arial" w:eastAsia="Arial" w:hAnsi="Arial"/>
                <w:sz w:val="18"/>
                <w:szCs w:val="18"/>
                <w:b w:val="1"/>
                <w:bCs w:val="1"/>
                <w:color w:val="225CAB"/>
                <w:w w:val="89"/>
              </w:rPr>
              <w:t>78</w:t>
            </w:r>
          </w:p>
        </w:tc>
        <w:tc>
          <w:tcPr>
            <w:tcW w:w="5180" w:type="dxa"/>
            <w:vAlign w:val="bottom"/>
          </w:tcPr>
          <w:p>
            <w:pPr>
              <w:ind w:left="1240"/>
              <w:spacing w:after="0"/>
              <w:rPr>
                <w:sz w:val="20"/>
                <w:szCs w:val="20"/>
                <w:color w:val="auto"/>
              </w:rPr>
            </w:pPr>
            <w:r>
              <w:rPr>
                <w:rFonts w:ascii="Arial" w:cs="Arial" w:eastAsia="Arial" w:hAnsi="Arial"/>
                <w:sz w:val="18"/>
                <w:szCs w:val="18"/>
                <w:b w:val="1"/>
                <w:bCs w:val="1"/>
                <w:color w:val="225CAB"/>
                <w:w w:val="96"/>
              </w:rPr>
              <w:t>Roper Technologies, Inc. 2016 Proxy Statement</w:t>
            </w:r>
          </w:p>
        </w:tc>
      </w:tr>
      <w:tr>
        <w:trPr>
          <w:trHeight w:val="110"/>
        </w:trPr>
        <w:tc>
          <w:tcPr>
            <w:tcW w:w="340" w:type="dxa"/>
            <w:vAlign w:val="bottom"/>
            <w:tcBorders>
              <w:right w:val="single" w:sz="8" w:color="225CAB"/>
            </w:tcBorders>
          </w:tcPr>
          <w:p>
            <w:pPr>
              <w:spacing w:after="0"/>
              <w:rPr>
                <w:sz w:val="9"/>
                <w:szCs w:val="9"/>
                <w:color w:val="auto"/>
              </w:rPr>
            </w:pPr>
          </w:p>
        </w:tc>
        <w:tc>
          <w:tcPr>
            <w:tcW w:w="518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-248285</wp:posOffset>
            </wp:positionV>
            <wp:extent cx="420370" cy="2057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bookmarkStart w:id="87" w:name="page88"/>
    <w:bookmarkEnd w:id="8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254635</wp:posOffset>
            </wp:positionV>
            <wp:extent cx="1286510" cy="4889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86510" cy="48895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80"/>
        <w:spacing w:after="0"/>
        <w:rPr>
          <w:sz w:val="20"/>
          <w:szCs w:val="20"/>
          <w:color w:val="auto"/>
        </w:rPr>
      </w:pPr>
      <w:r>
        <w:rPr>
          <w:rFonts w:ascii="Arial" w:cs="Arial" w:eastAsia="Arial" w:hAnsi="Arial"/>
          <w:sz w:val="14"/>
          <w:szCs w:val="14"/>
          <w:b w:val="1"/>
          <w:bCs w:val="1"/>
          <w:i w:val="1"/>
          <w:iCs w:val="1"/>
          <w:color w:val="auto"/>
        </w:rPr>
        <w:t>ROPER TECHNOLOGIES, INC.</w:t>
      </w:r>
    </w:p>
    <w:p>
      <w:pPr>
        <w:ind w:left="580"/>
        <w:spacing w:after="0"/>
        <w:rPr>
          <w:sz w:val="20"/>
          <w:szCs w:val="20"/>
          <w:color w:val="auto"/>
        </w:rPr>
      </w:pPr>
      <w:r>
        <w:rPr>
          <w:rFonts w:ascii="Arial" w:cs="Arial" w:eastAsia="Arial" w:hAnsi="Arial"/>
          <w:sz w:val="13"/>
          <w:szCs w:val="13"/>
          <w:b w:val="1"/>
          <w:bCs w:val="1"/>
          <w:i w:val="1"/>
          <w:iCs w:val="1"/>
          <w:color w:val="auto"/>
        </w:rPr>
        <w:t>6901 PROFESSIONAL PKWY EAST</w:t>
      </w:r>
    </w:p>
    <w:p>
      <w:pPr>
        <w:ind w:left="580"/>
        <w:spacing w:after="0" w:line="221" w:lineRule="auto"/>
        <w:rPr>
          <w:sz w:val="20"/>
          <w:szCs w:val="20"/>
          <w:color w:val="auto"/>
        </w:rPr>
      </w:pPr>
      <w:r>
        <w:rPr>
          <w:rFonts w:ascii="Arial" w:cs="Arial" w:eastAsia="Arial" w:hAnsi="Arial"/>
          <w:sz w:val="14"/>
          <w:szCs w:val="14"/>
          <w:b w:val="1"/>
          <w:bCs w:val="1"/>
          <w:i w:val="1"/>
          <w:iCs w:val="1"/>
          <w:color w:val="auto"/>
        </w:rPr>
        <w:t>SARASOTA, FL 34240</w:t>
      </w:r>
    </w:p>
    <w:p>
      <w:pPr>
        <w:ind w:left="580"/>
        <w:spacing w:after="0"/>
        <w:rPr>
          <w:sz w:val="20"/>
          <w:szCs w:val="20"/>
          <w:color w:val="auto"/>
        </w:rPr>
      </w:pPr>
      <w:r>
        <w:rPr>
          <w:rFonts w:ascii="Arial" w:cs="Arial" w:eastAsia="Arial" w:hAnsi="Arial"/>
          <w:sz w:val="14"/>
          <w:szCs w:val="14"/>
          <w:b w:val="1"/>
          <w:bCs w:val="1"/>
          <w:i w:val="1"/>
          <w:iCs w:val="1"/>
          <w:color w:val="auto"/>
        </w:rPr>
        <w:t>ATTN: LEGAL DEPT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VOTE BY INTERNET - </w:t>
      </w:r>
      <w:r>
        <w:rPr>
          <w:rFonts w:ascii="Arial" w:cs="Arial" w:eastAsia="Arial" w:hAnsi="Arial"/>
          <w:sz w:val="14"/>
          <w:szCs w:val="14"/>
          <w:b w:val="1"/>
          <w:bCs w:val="1"/>
          <w:u w:val="single" w:color="auto"/>
          <w:color w:val="auto"/>
        </w:rPr>
        <w:t>www.proxyvote.com</w:t>
      </w:r>
    </w:p>
    <w:p>
      <w:pPr>
        <w:spacing w:after="0" w:line="46" w:lineRule="exact"/>
        <w:rPr>
          <w:sz w:val="20"/>
          <w:szCs w:val="20"/>
          <w:color w:val="auto"/>
        </w:rPr>
      </w:pPr>
    </w:p>
    <w:p>
      <w:pPr>
        <w:ind w:right="180"/>
        <w:spacing w:after="0" w:line="234" w:lineRule="auto"/>
        <w:rPr>
          <w:sz w:val="20"/>
          <w:szCs w:val="20"/>
          <w:color w:val="auto"/>
        </w:rPr>
      </w:pPr>
      <w:r>
        <w:rPr>
          <w:rFonts w:ascii="Arial" w:cs="Arial" w:eastAsia="Arial" w:hAnsi="Arial"/>
          <w:sz w:val="14"/>
          <w:szCs w:val="14"/>
          <w:color w:val="auto"/>
        </w:rPr>
        <w:t>Use the Internet to transmit your voting instructions and for electronic delivery of information up until 11:59 P.M. Eastern Time on May 26, 2016. Have your proxy card in hand when you access the web site and follow the instructions to obtain your records and to create an electronic voting instruction form.</w:t>
      </w:r>
    </w:p>
    <w:p>
      <w:pPr>
        <w:spacing w:after="0" w:line="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ELECTRONIC DELIVERY OF FUTURE PROXY MATERIALS</w:t>
      </w:r>
    </w:p>
    <w:p>
      <w:pPr>
        <w:spacing w:after="0" w:line="46" w:lineRule="exact"/>
        <w:rPr>
          <w:sz w:val="20"/>
          <w:szCs w:val="20"/>
          <w:color w:val="auto"/>
        </w:rPr>
      </w:pPr>
    </w:p>
    <w:p>
      <w:pPr>
        <w:ind w:right="160"/>
        <w:spacing w:after="0" w:line="251" w:lineRule="auto"/>
        <w:rPr>
          <w:sz w:val="20"/>
          <w:szCs w:val="20"/>
          <w:color w:val="auto"/>
        </w:rPr>
      </w:pPr>
      <w:r>
        <w:rPr>
          <w:rFonts w:ascii="Arial" w:cs="Arial" w:eastAsia="Arial" w:hAnsi="Arial"/>
          <w:sz w:val="13"/>
          <w:szCs w:val="13"/>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PHONE - 1-800-690-6903</w:t>
      </w:r>
    </w:p>
    <w:p>
      <w:pPr>
        <w:spacing w:after="0" w:line="46" w:lineRule="exact"/>
        <w:rPr>
          <w:sz w:val="20"/>
          <w:szCs w:val="20"/>
          <w:color w:val="auto"/>
        </w:rPr>
      </w:pPr>
    </w:p>
    <w:p>
      <w:pPr>
        <w:ind w:right="200"/>
        <w:spacing w:after="0" w:line="238" w:lineRule="auto"/>
        <w:rPr>
          <w:sz w:val="20"/>
          <w:szCs w:val="20"/>
          <w:color w:val="auto"/>
        </w:rPr>
      </w:pPr>
      <w:r>
        <w:rPr>
          <w:rFonts w:ascii="Arial" w:cs="Arial" w:eastAsia="Arial" w:hAnsi="Arial"/>
          <w:sz w:val="14"/>
          <w:szCs w:val="14"/>
          <w:color w:val="auto"/>
        </w:rPr>
        <w:t>Use any touch-tone telephone to transmit your voting instructions up until 11:59 P.M. Eastern Time on May 26, 2016. Have your proxy card in hand when you call and then follow the instructions.</w:t>
      </w:r>
    </w:p>
    <w:p>
      <w:pPr>
        <w:spacing w:after="0" w:line="71" w:lineRule="exact"/>
        <w:rPr>
          <w:sz w:val="20"/>
          <w:szCs w:val="20"/>
          <w:color w:val="auto"/>
        </w:rPr>
      </w:pPr>
    </w:p>
    <w:p>
      <w:pPr>
        <w:sectPr>
          <w:pgSz w:w="11900" w:h="16838" w:orient="portrait"/>
          <w:cols w:equalWidth="0" w:num="2">
            <w:col w:w="5100" w:space="720"/>
            <w:col w:w="5600"/>
          </w:cols>
          <w:pgMar w:left="240" w:top="459" w:right="239" w:bottom="1440" w:gutter="0" w:footer="0" w:header="0"/>
          <w:type w:val="continuous"/>
        </w:sectPr>
      </w:pPr>
    </w:p>
    <w:p>
      <w:pPr>
        <w:ind w:left="5820"/>
        <w:spacing w:after="0"/>
        <w:rPr>
          <w:sz w:val="20"/>
          <w:szCs w:val="20"/>
          <w:color w:val="auto"/>
        </w:rPr>
      </w:pPr>
      <w:r>
        <w:rPr>
          <w:rFonts w:ascii="Arial" w:cs="Arial" w:eastAsia="Arial" w:hAnsi="Arial"/>
          <w:sz w:val="14"/>
          <w:szCs w:val="14"/>
          <w:b w:val="1"/>
          <w:bCs w:val="1"/>
          <w:color w:val="auto"/>
        </w:rPr>
        <w:t>VOTE BY MAIL</w:t>
      </w:r>
    </w:p>
    <w:p>
      <w:pPr>
        <w:spacing w:after="0" w:line="45" w:lineRule="exact"/>
        <w:rPr>
          <w:sz w:val="20"/>
          <w:szCs w:val="20"/>
          <w:color w:val="auto"/>
        </w:rPr>
      </w:pPr>
    </w:p>
    <w:p>
      <w:pPr>
        <w:ind w:left="5820"/>
        <w:spacing w:after="0"/>
        <w:rPr>
          <w:sz w:val="20"/>
          <w:szCs w:val="20"/>
          <w:color w:val="auto"/>
        </w:rPr>
      </w:pPr>
      <w:r>
        <w:rPr>
          <w:rFonts w:ascii="Arial" w:cs="Arial" w:eastAsia="Arial" w:hAnsi="Arial"/>
          <w:sz w:val="14"/>
          <w:szCs w:val="14"/>
          <w:color w:val="auto"/>
        </w:rPr>
        <w:t>Mark, sign and date your proxy card and return it in the postage-paid envelope we have</w:t>
      </w:r>
    </w:p>
    <w:p>
      <w:pPr>
        <w:ind w:left="5820"/>
        <w:spacing w:after="0"/>
        <w:rPr>
          <w:sz w:val="20"/>
          <w:szCs w:val="20"/>
          <w:color w:val="auto"/>
        </w:rPr>
      </w:pPr>
      <w:r>
        <w:rPr>
          <w:rFonts w:ascii="Arial" w:cs="Arial" w:eastAsia="Arial" w:hAnsi="Arial"/>
          <w:sz w:val="13"/>
          <w:szCs w:val="13"/>
          <w:color w:val="auto"/>
        </w:rPr>
        <w:t>provided or return it to Vote Processing, c/o Broadridge, 51 Mercedes Way, Edgewood, NY</w:t>
      </w:r>
    </w:p>
    <w:p>
      <w:pPr>
        <w:ind w:left="5820"/>
        <w:spacing w:after="0"/>
        <w:rPr>
          <w:sz w:val="20"/>
          <w:szCs w:val="20"/>
          <w:color w:val="auto"/>
        </w:rPr>
      </w:pPr>
      <w:r>
        <w:rPr>
          <w:rFonts w:ascii="Arial" w:cs="Arial" w:eastAsia="Arial" w:hAnsi="Arial"/>
          <w:sz w:val="14"/>
          <w:szCs w:val="14"/>
          <w:color w:val="auto"/>
        </w:rPr>
        <w:t>11717.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4"/>
          <w:szCs w:val="14"/>
          <w:color w:val="auto"/>
        </w:rPr>
        <w:t>TO VOTE, MARK BLOCKS BELOW IN BLUE OR BLACK INK AS FOLLOWS:</w:t>
      </w:r>
    </w:p>
    <w:p>
      <w:pPr>
        <w:jc w:val="right"/>
        <w:spacing w:after="0"/>
        <w:tabs>
          <w:tab w:leader="none" w:pos="2800" w:val="left"/>
        </w:tabs>
        <w:rPr>
          <w:sz w:val="20"/>
          <w:szCs w:val="20"/>
          <w:color w:val="auto"/>
        </w:rPr>
      </w:pPr>
      <w:r>
        <w:rPr>
          <w:rFonts w:ascii="Arial" w:cs="Arial" w:eastAsia="Arial" w:hAnsi="Arial"/>
          <w:sz w:val="14"/>
          <w:szCs w:val="14"/>
          <w:color w:val="auto"/>
        </w:rPr>
        <w:t>E07750-P73229</w:t>
      </w:r>
      <w:r>
        <w:rPr>
          <w:sz w:val="20"/>
          <w:szCs w:val="20"/>
          <w:color w:val="auto"/>
        </w:rPr>
        <w:tab/>
      </w:r>
      <w:r>
        <w:rPr>
          <w:rFonts w:ascii="Arial" w:cs="Arial" w:eastAsia="Arial" w:hAnsi="Arial"/>
          <w:sz w:val="13"/>
          <w:szCs w:val="13"/>
          <w:color w:val="auto"/>
        </w:rPr>
        <w:t>KEEP THIS PORTION FOR YOUR RECORDS</w:t>
      </w:r>
    </w:p>
    <w:p>
      <w:pPr>
        <w:spacing w:after="0" w:line="4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DETACH AND RETURN THIS PORTION ONLY</w:t>
      </w:r>
    </w:p>
    <w:p>
      <w:pPr>
        <w:jc w:val="center"/>
        <w:spacing w:after="0"/>
        <w:rPr>
          <w:sz w:val="20"/>
          <w:szCs w:val="20"/>
          <w:color w:val="auto"/>
        </w:rPr>
      </w:pPr>
      <w:r>
        <w:rPr>
          <w:rFonts w:ascii="Arial" w:cs="Arial" w:eastAsia="Arial" w:hAnsi="Arial"/>
          <w:sz w:val="14"/>
          <w:szCs w:val="14"/>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54610</wp:posOffset>
            </wp:positionV>
            <wp:extent cx="7276465" cy="409448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76465" cy="409448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type w:val="continuous"/>
        </w:sectPr>
      </w:pPr>
    </w:p>
    <w:p>
      <w:pPr>
        <w:spacing w:after="0" w:line="174"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ROPER TECHNOLOGIES, INC.</w:t>
      </w:r>
    </w:p>
    <w:p>
      <w:pPr>
        <w:spacing w:after="0" w:line="136" w:lineRule="exact"/>
        <w:rPr>
          <w:sz w:val="20"/>
          <w:szCs w:val="20"/>
          <w:color w:val="auto"/>
        </w:rPr>
      </w:pPr>
    </w:p>
    <w:p>
      <w:pPr>
        <w:ind w:left="480"/>
        <w:spacing w:after="0" w:line="259" w:lineRule="auto"/>
        <w:rPr>
          <w:sz w:val="20"/>
          <w:szCs w:val="20"/>
          <w:color w:val="auto"/>
        </w:rPr>
      </w:pPr>
      <w:r>
        <w:rPr>
          <w:rFonts w:ascii="Arial" w:cs="Arial" w:eastAsia="Arial" w:hAnsi="Arial"/>
          <w:sz w:val="14"/>
          <w:szCs w:val="14"/>
          <w:b w:val="1"/>
          <w:bCs w:val="1"/>
          <w:color w:val="auto"/>
        </w:rPr>
        <w:t>The Board of Directors recommends you vote FOR the following:</w:t>
      </w:r>
    </w:p>
    <w:p>
      <w:pPr>
        <w:spacing w:after="0" w:line="35" w:lineRule="exact"/>
        <w:rPr>
          <w:sz w:val="20"/>
          <w:szCs w:val="20"/>
          <w:color w:val="auto"/>
        </w:rPr>
      </w:pPr>
    </w:p>
    <w:p>
      <w:pPr>
        <w:ind w:left="760" w:hanging="289"/>
        <w:spacing w:after="0"/>
        <w:tabs>
          <w:tab w:leader="none" w:pos="760" w:val="left"/>
        </w:tabs>
        <w:numPr>
          <w:ilvl w:val="0"/>
          <w:numId w:val="133"/>
        </w:numPr>
        <w:rPr>
          <w:rFonts w:ascii="Arial" w:cs="Arial" w:eastAsia="Arial" w:hAnsi="Arial"/>
          <w:sz w:val="14"/>
          <w:szCs w:val="14"/>
          <w:color w:val="auto"/>
        </w:rPr>
      </w:pPr>
      <w:r>
        <w:rPr>
          <w:rFonts w:ascii="Arial" w:cs="Arial" w:eastAsia="Arial" w:hAnsi="Arial"/>
          <w:sz w:val="14"/>
          <w:szCs w:val="14"/>
          <w:color w:val="auto"/>
        </w:rPr>
        <w:t>Election of Directors</w:t>
      </w:r>
    </w:p>
    <w:p>
      <w:pPr>
        <w:spacing w:after="0" w:line="64" w:lineRule="exact"/>
        <w:rPr>
          <w:rFonts w:ascii="Arial" w:cs="Arial" w:eastAsia="Arial" w:hAnsi="Arial"/>
          <w:sz w:val="14"/>
          <w:szCs w:val="14"/>
          <w:color w:val="auto"/>
        </w:rPr>
      </w:pPr>
    </w:p>
    <w:p>
      <w:pPr>
        <w:ind w:left="760"/>
        <w:spacing w:after="0"/>
        <w:rPr>
          <w:rFonts w:ascii="Arial" w:cs="Arial" w:eastAsia="Arial" w:hAnsi="Arial"/>
          <w:sz w:val="14"/>
          <w:szCs w:val="14"/>
          <w:color w:val="auto"/>
        </w:rPr>
      </w:pPr>
      <w:r>
        <w:rPr>
          <w:rFonts w:ascii="Arial" w:cs="Arial" w:eastAsia="Arial" w:hAnsi="Arial"/>
          <w:sz w:val="14"/>
          <w:szCs w:val="14"/>
          <w:b w:val="1"/>
          <w:bCs w:val="1"/>
          <w:color w:val="auto"/>
        </w:rPr>
        <w:t>Nominees:</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tabs>
          <w:tab w:leader="none" w:pos="1700" w:val="left"/>
        </w:tabs>
        <w:rPr>
          <w:sz w:val="20"/>
          <w:szCs w:val="20"/>
          <w:color w:val="auto"/>
        </w:rPr>
      </w:pPr>
      <w:r>
        <w:rPr>
          <w:rFonts w:ascii="Arial" w:cs="Arial" w:eastAsia="Arial" w:hAnsi="Arial"/>
          <w:sz w:val="14"/>
          <w:szCs w:val="14"/>
          <w:b w:val="1"/>
          <w:bCs w:val="1"/>
          <w:color w:val="auto"/>
        </w:rPr>
        <w:t>For Withhold For All</w:t>
      </w:r>
      <w:r>
        <w:rPr>
          <w:sz w:val="20"/>
          <w:szCs w:val="20"/>
          <w:color w:val="auto"/>
        </w:rPr>
        <w:tab/>
      </w:r>
      <w:r>
        <w:rPr>
          <w:rFonts w:ascii="Arial" w:cs="Arial" w:eastAsia="Arial" w:hAnsi="Arial"/>
          <w:sz w:val="13"/>
          <w:szCs w:val="13"/>
          <w:color w:val="auto"/>
        </w:rPr>
        <w:t>To withhold authority to vote for any individual nominee(s),</w:t>
      </w:r>
    </w:p>
    <w:p>
      <w:pPr>
        <w:spacing w:after="0" w:line="4" w:lineRule="exact"/>
        <w:rPr>
          <w:sz w:val="20"/>
          <w:szCs w:val="20"/>
          <w:color w:val="auto"/>
        </w:rPr>
      </w:pPr>
    </w:p>
    <w:p>
      <w:pPr>
        <w:ind w:left="500" w:right="2460" w:hanging="1700"/>
        <w:spacing w:after="0" w:line="237" w:lineRule="auto"/>
        <w:tabs>
          <w:tab w:leader="none" w:pos="480" w:val="left"/>
        </w:tabs>
        <w:rPr>
          <w:sz w:val="20"/>
          <w:szCs w:val="20"/>
          <w:color w:val="auto"/>
        </w:rPr>
      </w:pPr>
      <w:r>
        <w:rPr>
          <w:rFonts w:ascii="Arial" w:cs="Arial" w:eastAsia="Arial" w:hAnsi="Arial"/>
          <w:sz w:val="14"/>
          <w:szCs w:val="14"/>
          <w:b w:val="1"/>
          <w:bCs w:val="1"/>
          <w:color w:val="auto"/>
        </w:rPr>
        <w:t>All</w:t>
      </w:r>
      <w:r>
        <w:rPr>
          <w:sz w:val="20"/>
          <w:szCs w:val="20"/>
          <w:color w:val="auto"/>
        </w:rPr>
        <w:tab/>
      </w:r>
      <w:r>
        <w:rPr>
          <w:rFonts w:ascii="Arial" w:cs="Arial" w:eastAsia="Arial" w:hAnsi="Arial"/>
          <w:sz w:val="14"/>
          <w:szCs w:val="14"/>
          <w:b w:val="1"/>
          <w:bCs w:val="1"/>
          <w:color w:val="auto"/>
        </w:rPr>
        <w:t xml:space="preserve">All Except </w:t>
      </w:r>
      <w:r>
        <w:rPr>
          <w:rFonts w:ascii="Arial" w:cs="Arial" w:eastAsia="Arial" w:hAnsi="Arial"/>
          <w:sz w:val="14"/>
          <w:szCs w:val="14"/>
          <w:color w:val="auto"/>
        </w:rPr>
        <w:t>mark “For All Except” and write the number(s) of the</w:t>
      </w:r>
      <w:r>
        <w:rPr>
          <w:rFonts w:ascii="Arial" w:cs="Arial" w:eastAsia="Arial" w:hAnsi="Arial"/>
          <w:sz w:val="14"/>
          <w:szCs w:val="14"/>
          <w:b w:val="1"/>
          <w:bCs w:val="1"/>
          <w:color w:val="auto"/>
        </w:rPr>
        <w:t xml:space="preserve"> </w:t>
      </w:r>
      <w:r>
        <w:rPr>
          <w:rFonts w:ascii="Arial" w:cs="Arial" w:eastAsia="Arial" w:hAnsi="Arial"/>
          <w:sz w:val="14"/>
          <w:szCs w:val="14"/>
          <w:color w:val="auto"/>
        </w:rPr>
        <w:t>nominee(s) on the line below.</w:t>
      </w:r>
    </w:p>
    <w:p>
      <w:pPr>
        <w:spacing w:after="0" w:line="102" w:lineRule="exact"/>
        <w:rPr>
          <w:sz w:val="20"/>
          <w:szCs w:val="20"/>
          <w:color w:val="auto"/>
        </w:rPr>
      </w:pPr>
    </w:p>
    <w:p>
      <w:pPr>
        <w:ind w:left="60"/>
        <w:spacing w:after="0" w:line="141" w:lineRule="exact"/>
        <w:tabs>
          <w:tab w:leader="none" w:pos="500" w:val="left"/>
          <w:tab w:leader="none" w:pos="108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2"/>
          <w:szCs w:val="12"/>
          <w:color w:val="auto"/>
        </w:rPr>
        <w:t>☐</w:t>
      </w:r>
    </w:p>
    <w:p>
      <w:pPr>
        <w:spacing w:after="0" w:line="428" w:lineRule="exact"/>
        <w:rPr>
          <w:sz w:val="20"/>
          <w:szCs w:val="20"/>
          <w:color w:val="auto"/>
        </w:rPr>
      </w:pPr>
    </w:p>
    <w:p>
      <w:pPr>
        <w:sectPr>
          <w:pgSz w:w="11900" w:h="16838" w:orient="portrait"/>
          <w:cols w:equalWidth="0" w:num="2">
            <w:col w:w="3840" w:space="300"/>
            <w:col w:w="7280"/>
          </w:cols>
          <w:pgMar w:left="240" w:top="459" w:right="239" w:bottom="1440" w:gutter="0" w:footer="0" w:header="0"/>
          <w:type w:val="continuous"/>
        </w:sectPr>
      </w:pPr>
    </w:p>
    <w:tbl>
      <w:tblPr>
        <w:tblLayout w:type="fixed"/>
        <w:tblInd w:w="760" w:type="dxa"/>
        <w:tblCellMar>
          <w:top w:w="0" w:type="dxa"/>
          <w:left w:w="0" w:type="dxa"/>
          <w:bottom w:w="0" w:type="dxa"/>
          <w:right w:w="0" w:type="dxa"/>
        </w:tblCellMar>
      </w:tblPr>
      <w:tr>
        <w:trPr>
          <w:trHeight w:val="161"/>
        </w:trPr>
        <w:tc>
          <w:tcPr>
            <w:tcW w:w="260" w:type="dxa"/>
            <w:vAlign w:val="bottom"/>
          </w:tcPr>
          <w:p>
            <w:pPr>
              <w:jc w:val="right"/>
              <w:spacing w:after="0"/>
              <w:rPr>
                <w:sz w:val="20"/>
                <w:szCs w:val="20"/>
                <w:color w:val="auto"/>
              </w:rPr>
            </w:pPr>
            <w:r>
              <w:rPr>
                <w:rFonts w:ascii="Arial" w:cs="Arial" w:eastAsia="Arial" w:hAnsi="Arial"/>
                <w:sz w:val="14"/>
                <w:szCs w:val="14"/>
                <w:color w:val="auto"/>
                <w:w w:val="88"/>
              </w:rPr>
              <w:t>01)</w:t>
            </w:r>
          </w:p>
        </w:tc>
        <w:tc>
          <w:tcPr>
            <w:tcW w:w="1620" w:type="dxa"/>
            <w:vAlign w:val="bottom"/>
          </w:tcPr>
          <w:p>
            <w:pPr>
              <w:ind w:left="40"/>
              <w:spacing w:after="0"/>
              <w:rPr>
                <w:sz w:val="20"/>
                <w:szCs w:val="20"/>
                <w:color w:val="auto"/>
              </w:rPr>
            </w:pPr>
            <w:r>
              <w:rPr>
                <w:rFonts w:ascii="Arial" w:cs="Arial" w:eastAsia="Arial" w:hAnsi="Arial"/>
                <w:sz w:val="14"/>
                <w:szCs w:val="14"/>
                <w:color w:val="auto"/>
              </w:rPr>
              <w:t>Amy Woods Brinkley</w:t>
            </w:r>
          </w:p>
        </w:tc>
        <w:tc>
          <w:tcPr>
            <w:tcW w:w="440" w:type="dxa"/>
            <w:vAlign w:val="bottom"/>
          </w:tcPr>
          <w:p>
            <w:pPr>
              <w:jc w:val="right"/>
              <w:spacing w:after="0"/>
              <w:rPr>
                <w:sz w:val="20"/>
                <w:szCs w:val="20"/>
                <w:color w:val="auto"/>
              </w:rPr>
            </w:pPr>
            <w:r>
              <w:rPr>
                <w:rFonts w:ascii="Arial" w:cs="Arial" w:eastAsia="Arial" w:hAnsi="Arial"/>
                <w:sz w:val="14"/>
                <w:szCs w:val="14"/>
                <w:color w:val="auto"/>
              </w:rPr>
              <w:t>06)</w:t>
            </w:r>
          </w:p>
        </w:tc>
        <w:tc>
          <w:tcPr>
            <w:tcW w:w="1220" w:type="dxa"/>
            <w:vAlign w:val="bottom"/>
          </w:tcPr>
          <w:p>
            <w:pPr>
              <w:ind w:left="60"/>
              <w:spacing w:after="0"/>
              <w:rPr>
                <w:sz w:val="20"/>
                <w:szCs w:val="20"/>
                <w:color w:val="auto"/>
              </w:rPr>
            </w:pPr>
            <w:r>
              <w:rPr>
                <w:rFonts w:ascii="Arial" w:cs="Arial" w:eastAsia="Arial" w:hAnsi="Arial"/>
                <w:sz w:val="14"/>
                <w:szCs w:val="14"/>
                <w:color w:val="auto"/>
                <w:w w:val="97"/>
              </w:rPr>
              <w:t>Wilbur J. Prezzano</w:t>
            </w:r>
          </w:p>
        </w:tc>
      </w:tr>
      <w:tr>
        <w:trPr>
          <w:trHeight w:val="149"/>
        </w:trPr>
        <w:tc>
          <w:tcPr>
            <w:tcW w:w="260" w:type="dxa"/>
            <w:vAlign w:val="bottom"/>
          </w:tcPr>
          <w:p>
            <w:pPr>
              <w:jc w:val="right"/>
              <w:spacing w:after="0" w:line="149" w:lineRule="exact"/>
              <w:rPr>
                <w:sz w:val="20"/>
                <w:szCs w:val="20"/>
                <w:color w:val="auto"/>
              </w:rPr>
            </w:pPr>
            <w:r>
              <w:rPr>
                <w:rFonts w:ascii="Arial" w:cs="Arial" w:eastAsia="Arial" w:hAnsi="Arial"/>
                <w:sz w:val="14"/>
                <w:szCs w:val="14"/>
                <w:color w:val="auto"/>
                <w:w w:val="88"/>
              </w:rPr>
              <w:t>02)</w:t>
            </w:r>
          </w:p>
        </w:tc>
        <w:tc>
          <w:tcPr>
            <w:tcW w:w="1620" w:type="dxa"/>
            <w:vAlign w:val="bottom"/>
          </w:tcPr>
          <w:p>
            <w:pPr>
              <w:ind w:left="40"/>
              <w:spacing w:after="0" w:line="149" w:lineRule="exact"/>
              <w:rPr>
                <w:sz w:val="20"/>
                <w:szCs w:val="20"/>
                <w:color w:val="auto"/>
              </w:rPr>
            </w:pPr>
            <w:r>
              <w:rPr>
                <w:rFonts w:ascii="Arial" w:cs="Arial" w:eastAsia="Arial" w:hAnsi="Arial"/>
                <w:sz w:val="14"/>
                <w:szCs w:val="14"/>
                <w:color w:val="auto"/>
              </w:rPr>
              <w:t>John F. Fort, III</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07)</w:t>
            </w:r>
          </w:p>
        </w:tc>
        <w:tc>
          <w:tcPr>
            <w:tcW w:w="1220" w:type="dxa"/>
            <w:vAlign w:val="bottom"/>
          </w:tcPr>
          <w:p>
            <w:pPr>
              <w:ind w:left="60"/>
              <w:spacing w:after="0" w:line="149" w:lineRule="exact"/>
              <w:rPr>
                <w:sz w:val="20"/>
                <w:szCs w:val="20"/>
                <w:color w:val="auto"/>
              </w:rPr>
            </w:pPr>
            <w:r>
              <w:rPr>
                <w:rFonts w:ascii="Arial" w:cs="Arial" w:eastAsia="Arial" w:hAnsi="Arial"/>
                <w:sz w:val="14"/>
                <w:szCs w:val="14"/>
                <w:color w:val="auto"/>
              </w:rPr>
              <w:t>Laura G. Thatcher</w:t>
            </w:r>
          </w:p>
        </w:tc>
      </w:tr>
      <w:tr>
        <w:trPr>
          <w:trHeight w:val="149"/>
        </w:trPr>
        <w:tc>
          <w:tcPr>
            <w:tcW w:w="260" w:type="dxa"/>
            <w:vAlign w:val="bottom"/>
          </w:tcPr>
          <w:p>
            <w:pPr>
              <w:jc w:val="right"/>
              <w:spacing w:after="0" w:line="149" w:lineRule="exact"/>
              <w:rPr>
                <w:sz w:val="20"/>
                <w:szCs w:val="20"/>
                <w:color w:val="auto"/>
              </w:rPr>
            </w:pPr>
            <w:r>
              <w:rPr>
                <w:rFonts w:ascii="Arial" w:cs="Arial" w:eastAsia="Arial" w:hAnsi="Arial"/>
                <w:sz w:val="14"/>
                <w:szCs w:val="14"/>
                <w:color w:val="auto"/>
                <w:w w:val="88"/>
              </w:rPr>
              <w:t>03)</w:t>
            </w:r>
          </w:p>
        </w:tc>
        <w:tc>
          <w:tcPr>
            <w:tcW w:w="1620" w:type="dxa"/>
            <w:vAlign w:val="bottom"/>
          </w:tcPr>
          <w:p>
            <w:pPr>
              <w:ind w:left="40"/>
              <w:spacing w:after="0" w:line="149" w:lineRule="exact"/>
              <w:rPr>
                <w:sz w:val="20"/>
                <w:szCs w:val="20"/>
                <w:color w:val="auto"/>
              </w:rPr>
            </w:pPr>
            <w:r>
              <w:rPr>
                <w:rFonts w:ascii="Arial" w:cs="Arial" w:eastAsia="Arial" w:hAnsi="Arial"/>
                <w:sz w:val="14"/>
                <w:szCs w:val="14"/>
                <w:color w:val="auto"/>
              </w:rPr>
              <w:t>Brian D. Jellison</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08)</w:t>
            </w:r>
          </w:p>
        </w:tc>
        <w:tc>
          <w:tcPr>
            <w:tcW w:w="1220" w:type="dxa"/>
            <w:vAlign w:val="bottom"/>
          </w:tcPr>
          <w:p>
            <w:pPr>
              <w:ind w:left="60"/>
              <w:spacing w:after="0" w:line="149" w:lineRule="exact"/>
              <w:rPr>
                <w:sz w:val="20"/>
                <w:szCs w:val="20"/>
                <w:color w:val="auto"/>
              </w:rPr>
            </w:pPr>
            <w:r>
              <w:rPr>
                <w:rFonts w:ascii="Arial" w:cs="Arial" w:eastAsia="Arial" w:hAnsi="Arial"/>
                <w:sz w:val="14"/>
                <w:szCs w:val="14"/>
                <w:color w:val="auto"/>
                <w:w w:val="92"/>
              </w:rPr>
              <w:t>Richard F. Wallman</w:t>
            </w:r>
          </w:p>
        </w:tc>
      </w:tr>
      <w:tr>
        <w:trPr>
          <w:trHeight w:val="149"/>
        </w:trPr>
        <w:tc>
          <w:tcPr>
            <w:tcW w:w="260" w:type="dxa"/>
            <w:vAlign w:val="bottom"/>
          </w:tcPr>
          <w:p>
            <w:pPr>
              <w:jc w:val="right"/>
              <w:spacing w:after="0" w:line="149" w:lineRule="exact"/>
              <w:rPr>
                <w:sz w:val="20"/>
                <w:szCs w:val="20"/>
                <w:color w:val="auto"/>
              </w:rPr>
            </w:pPr>
            <w:r>
              <w:rPr>
                <w:rFonts w:ascii="Arial" w:cs="Arial" w:eastAsia="Arial" w:hAnsi="Arial"/>
                <w:sz w:val="14"/>
                <w:szCs w:val="14"/>
                <w:color w:val="auto"/>
                <w:w w:val="88"/>
              </w:rPr>
              <w:t>04)</w:t>
            </w:r>
          </w:p>
        </w:tc>
        <w:tc>
          <w:tcPr>
            <w:tcW w:w="1620" w:type="dxa"/>
            <w:vAlign w:val="bottom"/>
          </w:tcPr>
          <w:p>
            <w:pPr>
              <w:ind w:left="40"/>
              <w:spacing w:after="0" w:line="149" w:lineRule="exact"/>
              <w:rPr>
                <w:sz w:val="20"/>
                <w:szCs w:val="20"/>
                <w:color w:val="auto"/>
              </w:rPr>
            </w:pPr>
            <w:r>
              <w:rPr>
                <w:rFonts w:ascii="Arial" w:cs="Arial" w:eastAsia="Arial" w:hAnsi="Arial"/>
                <w:sz w:val="14"/>
                <w:szCs w:val="14"/>
                <w:color w:val="auto"/>
              </w:rPr>
              <w:t>Robert D. Johnson</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09)</w:t>
            </w:r>
          </w:p>
        </w:tc>
        <w:tc>
          <w:tcPr>
            <w:tcW w:w="1220" w:type="dxa"/>
            <w:vAlign w:val="bottom"/>
          </w:tcPr>
          <w:p>
            <w:pPr>
              <w:ind w:left="60"/>
              <w:spacing w:after="0" w:line="149" w:lineRule="exact"/>
              <w:rPr>
                <w:sz w:val="20"/>
                <w:szCs w:val="20"/>
                <w:color w:val="auto"/>
              </w:rPr>
            </w:pPr>
            <w:r>
              <w:rPr>
                <w:rFonts w:ascii="Arial" w:cs="Arial" w:eastAsia="Arial" w:hAnsi="Arial"/>
                <w:sz w:val="14"/>
                <w:szCs w:val="14"/>
                <w:color w:val="auto"/>
                <w:w w:val="97"/>
              </w:rPr>
              <w:t>Christopher Wright</w:t>
            </w:r>
          </w:p>
        </w:tc>
      </w:tr>
      <w:tr>
        <w:trPr>
          <w:trHeight w:val="182"/>
        </w:trPr>
        <w:tc>
          <w:tcPr>
            <w:tcW w:w="260" w:type="dxa"/>
            <w:vAlign w:val="bottom"/>
          </w:tcPr>
          <w:p>
            <w:pPr>
              <w:jc w:val="right"/>
              <w:spacing w:after="0"/>
              <w:rPr>
                <w:sz w:val="20"/>
                <w:szCs w:val="20"/>
                <w:color w:val="auto"/>
              </w:rPr>
            </w:pPr>
            <w:r>
              <w:rPr>
                <w:rFonts w:ascii="Arial" w:cs="Arial" w:eastAsia="Arial" w:hAnsi="Arial"/>
                <w:sz w:val="14"/>
                <w:szCs w:val="14"/>
                <w:color w:val="auto"/>
                <w:w w:val="88"/>
              </w:rPr>
              <w:t>05)</w:t>
            </w:r>
          </w:p>
        </w:tc>
        <w:tc>
          <w:tcPr>
            <w:tcW w:w="1620" w:type="dxa"/>
            <w:vAlign w:val="bottom"/>
          </w:tcPr>
          <w:p>
            <w:pPr>
              <w:ind w:left="40"/>
              <w:spacing w:after="0"/>
              <w:rPr>
                <w:sz w:val="20"/>
                <w:szCs w:val="20"/>
                <w:color w:val="auto"/>
              </w:rPr>
            </w:pPr>
            <w:r>
              <w:rPr>
                <w:rFonts w:ascii="Arial" w:cs="Arial" w:eastAsia="Arial" w:hAnsi="Arial"/>
                <w:sz w:val="14"/>
                <w:szCs w:val="14"/>
                <w:color w:val="auto"/>
              </w:rPr>
              <w:t>Robert E. Knowling, Jr.</w:t>
            </w:r>
          </w:p>
        </w:tc>
        <w:tc>
          <w:tcPr>
            <w:tcW w:w="440" w:type="dxa"/>
            <w:vAlign w:val="bottom"/>
          </w:tcPr>
          <w:p>
            <w:pPr>
              <w:spacing w:after="0"/>
              <w:rPr>
                <w:sz w:val="15"/>
                <w:szCs w:val="15"/>
                <w:color w:val="auto"/>
              </w:rPr>
            </w:pPr>
          </w:p>
        </w:tc>
        <w:tc>
          <w:tcPr>
            <w:tcW w:w="1220" w:type="dxa"/>
            <w:vAlign w:val="bottom"/>
          </w:tcPr>
          <w:p>
            <w:pPr>
              <w:spacing w:after="0"/>
              <w:rPr>
                <w:sz w:val="15"/>
                <w:szCs w:val="15"/>
                <w:color w:val="auto"/>
              </w:rPr>
            </w:pPr>
          </w:p>
        </w:tc>
      </w:tr>
    </w:tbl>
    <w:p>
      <w:pPr>
        <w:spacing w:after="0" w:line="178" w:lineRule="exact"/>
        <w:rPr>
          <w:sz w:val="20"/>
          <w:szCs w:val="20"/>
          <w:color w:val="auto"/>
        </w:rPr>
      </w:pPr>
    </w:p>
    <w:tbl>
      <w:tblPr>
        <w:tblLayout w:type="fixed"/>
        <w:tblInd w:w="280" w:type="dxa"/>
        <w:tblCellMar>
          <w:top w:w="0" w:type="dxa"/>
          <w:left w:w="0" w:type="dxa"/>
          <w:bottom w:w="0" w:type="dxa"/>
          <w:right w:w="0" w:type="dxa"/>
        </w:tblCellMar>
      </w:tblPr>
      <w:tr>
        <w:trPr>
          <w:trHeight w:val="186"/>
        </w:trPr>
        <w:tc>
          <w:tcPr>
            <w:tcW w:w="8340" w:type="dxa"/>
            <w:vAlign w:val="bottom"/>
            <w:gridSpan w:val="2"/>
          </w:tcPr>
          <w:p>
            <w:pPr>
              <w:spacing w:after="0"/>
              <w:rPr>
                <w:sz w:val="20"/>
                <w:szCs w:val="20"/>
                <w:color w:val="auto"/>
              </w:rPr>
            </w:pPr>
            <w:r>
              <w:rPr>
                <w:rFonts w:ascii="Arial" w:cs="Arial" w:eastAsia="Arial" w:hAnsi="Arial"/>
                <w:sz w:val="14"/>
                <w:szCs w:val="14"/>
                <w:b w:val="1"/>
                <w:bCs w:val="1"/>
                <w:color w:val="auto"/>
              </w:rPr>
              <w:t>The Board of Directors recommends you vote FOR the following proposals:</w:t>
            </w:r>
          </w:p>
        </w:tc>
        <w:tc>
          <w:tcPr>
            <w:tcW w:w="1380" w:type="dxa"/>
            <w:vAlign w:val="bottom"/>
          </w:tcPr>
          <w:p>
            <w:pPr>
              <w:jc w:val="center"/>
              <w:ind w:left="928"/>
              <w:spacing w:after="0"/>
              <w:rPr>
                <w:sz w:val="20"/>
                <w:szCs w:val="20"/>
                <w:color w:val="auto"/>
              </w:rPr>
            </w:pPr>
            <w:r>
              <w:rPr>
                <w:rFonts w:ascii="Arial" w:cs="Arial" w:eastAsia="Arial" w:hAnsi="Arial"/>
                <w:sz w:val="14"/>
                <w:szCs w:val="14"/>
                <w:b w:val="1"/>
                <w:bCs w:val="1"/>
                <w:color w:val="auto"/>
                <w:w w:val="97"/>
              </w:rPr>
              <w:t>For</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9"/>
              </w:rPr>
              <w:t>Against</w:t>
            </w:r>
          </w:p>
        </w:tc>
        <w:tc>
          <w:tcPr>
            <w:tcW w:w="560" w:type="dxa"/>
            <w:vAlign w:val="bottom"/>
          </w:tcPr>
          <w:p>
            <w:pPr>
              <w:jc w:val="center"/>
              <w:ind w:left="8"/>
              <w:spacing w:after="0"/>
              <w:rPr>
                <w:sz w:val="20"/>
                <w:szCs w:val="20"/>
                <w:color w:val="auto"/>
              </w:rPr>
            </w:pPr>
            <w:r>
              <w:rPr>
                <w:rFonts w:ascii="Arial" w:cs="Arial" w:eastAsia="Arial" w:hAnsi="Arial"/>
                <w:sz w:val="14"/>
                <w:szCs w:val="14"/>
                <w:b w:val="1"/>
                <w:bCs w:val="1"/>
                <w:color w:val="auto"/>
                <w:w w:val="93"/>
              </w:rPr>
              <w:t>Abstain</w:t>
            </w:r>
          </w:p>
        </w:tc>
      </w:tr>
      <w:tr>
        <w:trPr>
          <w:trHeight w:val="246"/>
        </w:trPr>
        <w:tc>
          <w:tcPr>
            <w:tcW w:w="160" w:type="dxa"/>
            <w:vAlign w:val="bottom"/>
          </w:tcPr>
          <w:p>
            <w:pPr>
              <w:spacing w:after="0"/>
              <w:rPr>
                <w:sz w:val="20"/>
                <w:szCs w:val="20"/>
                <w:color w:val="auto"/>
              </w:rPr>
            </w:pPr>
            <w:r>
              <w:rPr>
                <w:rFonts w:ascii="Arial" w:cs="Arial" w:eastAsia="Arial" w:hAnsi="Arial"/>
                <w:sz w:val="14"/>
                <w:szCs w:val="14"/>
                <w:color w:val="auto"/>
              </w:rPr>
              <w:t>2.</w:t>
            </w:r>
          </w:p>
        </w:tc>
        <w:tc>
          <w:tcPr>
            <w:tcW w:w="8180" w:type="dxa"/>
            <w:vAlign w:val="bottom"/>
          </w:tcPr>
          <w:p>
            <w:pPr>
              <w:ind w:left="60"/>
              <w:spacing w:after="0"/>
              <w:rPr>
                <w:sz w:val="20"/>
                <w:szCs w:val="20"/>
                <w:color w:val="auto"/>
              </w:rPr>
            </w:pPr>
            <w:r>
              <w:rPr>
                <w:rFonts w:ascii="Arial" w:cs="Arial" w:eastAsia="Arial" w:hAnsi="Arial"/>
                <w:sz w:val="14"/>
                <w:szCs w:val="14"/>
                <w:color w:val="auto"/>
              </w:rPr>
              <w:t>To consider, on a non-binding, advisory basis, a resolution approving the compensation of our named executive officers.</w:t>
            </w:r>
          </w:p>
        </w:tc>
        <w:tc>
          <w:tcPr>
            <w:tcW w:w="1380" w:type="dxa"/>
            <w:vAlign w:val="bottom"/>
          </w:tcPr>
          <w:p>
            <w:pPr>
              <w:jc w:val="center"/>
              <w:ind w:left="928"/>
              <w:spacing w:after="0" w:line="141" w:lineRule="exact"/>
              <w:rPr>
                <w:sz w:val="20"/>
                <w:szCs w:val="20"/>
                <w:color w:val="auto"/>
              </w:rPr>
            </w:pPr>
            <w:r>
              <w:rPr>
                <w:rFonts w:ascii="MS PGothic" w:cs="MS PGothic" w:eastAsia="MS PGothic" w:hAnsi="MS PGothic"/>
                <w:sz w:val="14"/>
                <w:szCs w:val="14"/>
                <w:color w:val="auto"/>
                <w:w w:val="99"/>
              </w:rPr>
              <w:t>☐</w:t>
            </w:r>
          </w:p>
        </w:tc>
        <w:tc>
          <w:tcPr>
            <w:tcW w:w="6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r>
      <w:tr>
        <w:trPr>
          <w:trHeight w:val="243"/>
        </w:trPr>
        <w:tc>
          <w:tcPr>
            <w:tcW w:w="160" w:type="dxa"/>
            <w:vAlign w:val="bottom"/>
          </w:tcPr>
          <w:p>
            <w:pPr>
              <w:spacing w:after="0"/>
              <w:rPr>
                <w:sz w:val="20"/>
                <w:szCs w:val="20"/>
                <w:color w:val="auto"/>
              </w:rPr>
            </w:pPr>
            <w:r>
              <w:rPr>
                <w:rFonts w:ascii="Arial" w:cs="Arial" w:eastAsia="Arial" w:hAnsi="Arial"/>
                <w:sz w:val="14"/>
                <w:szCs w:val="14"/>
                <w:color w:val="auto"/>
              </w:rPr>
              <w:t>3.</w:t>
            </w:r>
          </w:p>
        </w:tc>
        <w:tc>
          <w:tcPr>
            <w:tcW w:w="8180" w:type="dxa"/>
            <w:vAlign w:val="bottom"/>
          </w:tcPr>
          <w:p>
            <w:pPr>
              <w:ind w:left="60"/>
              <w:spacing w:after="0"/>
              <w:rPr>
                <w:sz w:val="20"/>
                <w:szCs w:val="20"/>
                <w:color w:val="auto"/>
              </w:rPr>
            </w:pPr>
            <w:r>
              <w:rPr>
                <w:rFonts w:ascii="Arial" w:cs="Arial" w:eastAsia="Arial" w:hAnsi="Arial"/>
                <w:sz w:val="14"/>
                <w:szCs w:val="14"/>
                <w:color w:val="auto"/>
              </w:rPr>
              <w:t>To ratify the appointment of PricewaterhouseCoopers LLP as the independent registered accounting firm of the Company.</w:t>
            </w:r>
          </w:p>
        </w:tc>
        <w:tc>
          <w:tcPr>
            <w:tcW w:w="1380" w:type="dxa"/>
            <w:vAlign w:val="bottom"/>
          </w:tcPr>
          <w:p>
            <w:pPr>
              <w:jc w:val="center"/>
              <w:ind w:left="928"/>
              <w:spacing w:after="0" w:line="141" w:lineRule="exact"/>
              <w:rPr>
                <w:sz w:val="20"/>
                <w:szCs w:val="20"/>
                <w:color w:val="auto"/>
              </w:rPr>
            </w:pPr>
            <w:r>
              <w:rPr>
                <w:rFonts w:ascii="MS PGothic" w:cs="MS PGothic" w:eastAsia="MS PGothic" w:hAnsi="MS PGothic"/>
                <w:sz w:val="14"/>
                <w:szCs w:val="14"/>
                <w:color w:val="auto"/>
                <w:w w:val="99"/>
              </w:rPr>
              <w:t>☐</w:t>
            </w:r>
          </w:p>
        </w:tc>
        <w:tc>
          <w:tcPr>
            <w:tcW w:w="6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r>
      <w:tr>
        <w:trPr>
          <w:trHeight w:val="243"/>
        </w:trPr>
        <w:tc>
          <w:tcPr>
            <w:tcW w:w="160" w:type="dxa"/>
            <w:vAlign w:val="bottom"/>
          </w:tcPr>
          <w:p>
            <w:pPr>
              <w:spacing w:after="0"/>
              <w:rPr>
                <w:sz w:val="20"/>
                <w:szCs w:val="20"/>
                <w:color w:val="auto"/>
              </w:rPr>
            </w:pPr>
            <w:r>
              <w:rPr>
                <w:rFonts w:ascii="Arial" w:cs="Arial" w:eastAsia="Arial" w:hAnsi="Arial"/>
                <w:sz w:val="14"/>
                <w:szCs w:val="14"/>
                <w:color w:val="auto"/>
              </w:rPr>
              <w:t>4.</w:t>
            </w:r>
          </w:p>
        </w:tc>
        <w:tc>
          <w:tcPr>
            <w:tcW w:w="8180" w:type="dxa"/>
            <w:vAlign w:val="bottom"/>
          </w:tcPr>
          <w:p>
            <w:pPr>
              <w:ind w:left="60"/>
              <w:spacing w:after="0"/>
              <w:rPr>
                <w:sz w:val="20"/>
                <w:szCs w:val="20"/>
                <w:color w:val="auto"/>
              </w:rPr>
            </w:pPr>
            <w:r>
              <w:rPr>
                <w:rFonts w:ascii="Arial" w:cs="Arial" w:eastAsia="Arial" w:hAnsi="Arial"/>
                <w:sz w:val="14"/>
                <w:szCs w:val="14"/>
                <w:color w:val="auto"/>
              </w:rPr>
              <w:t>To approve the Roper Technologies, Inc. 2016 Incentive Plan.</w:t>
            </w:r>
          </w:p>
        </w:tc>
        <w:tc>
          <w:tcPr>
            <w:tcW w:w="1380" w:type="dxa"/>
            <w:vAlign w:val="bottom"/>
          </w:tcPr>
          <w:p>
            <w:pPr>
              <w:jc w:val="center"/>
              <w:ind w:left="928"/>
              <w:spacing w:after="0" w:line="141" w:lineRule="exact"/>
              <w:rPr>
                <w:sz w:val="20"/>
                <w:szCs w:val="20"/>
                <w:color w:val="auto"/>
              </w:rPr>
            </w:pPr>
            <w:r>
              <w:rPr>
                <w:rFonts w:ascii="MS PGothic" w:cs="MS PGothic" w:eastAsia="MS PGothic" w:hAnsi="MS PGothic"/>
                <w:sz w:val="14"/>
                <w:szCs w:val="14"/>
                <w:color w:val="auto"/>
                <w:w w:val="99"/>
              </w:rPr>
              <w:t>☐</w:t>
            </w:r>
          </w:p>
        </w:tc>
        <w:tc>
          <w:tcPr>
            <w:tcW w:w="6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r>
      <w:tr>
        <w:trPr>
          <w:trHeight w:val="214"/>
        </w:trPr>
        <w:tc>
          <w:tcPr>
            <w:tcW w:w="160" w:type="dxa"/>
            <w:vAlign w:val="bottom"/>
          </w:tcPr>
          <w:p>
            <w:pPr>
              <w:spacing w:after="0"/>
              <w:rPr>
                <w:sz w:val="20"/>
                <w:szCs w:val="20"/>
                <w:color w:val="auto"/>
              </w:rPr>
            </w:pPr>
            <w:r>
              <w:rPr>
                <w:rFonts w:ascii="Arial" w:cs="Arial" w:eastAsia="Arial" w:hAnsi="Arial"/>
                <w:sz w:val="14"/>
                <w:szCs w:val="14"/>
                <w:color w:val="auto"/>
              </w:rPr>
              <w:t>5.</w:t>
            </w:r>
          </w:p>
        </w:tc>
        <w:tc>
          <w:tcPr>
            <w:tcW w:w="8180" w:type="dxa"/>
            <w:vAlign w:val="bottom"/>
          </w:tcPr>
          <w:p>
            <w:pPr>
              <w:ind w:left="60"/>
              <w:spacing w:after="0"/>
              <w:rPr>
                <w:sz w:val="20"/>
                <w:szCs w:val="20"/>
                <w:color w:val="auto"/>
              </w:rPr>
            </w:pPr>
            <w:r>
              <w:rPr>
                <w:rFonts w:ascii="Arial" w:cs="Arial" w:eastAsia="Arial" w:hAnsi="Arial"/>
                <w:sz w:val="14"/>
                <w:szCs w:val="14"/>
                <w:color w:val="auto"/>
              </w:rPr>
              <w:t>To transact any other business properly brought before the meeting.</w:t>
            </w:r>
          </w:p>
        </w:tc>
        <w:tc>
          <w:tcPr>
            <w:tcW w:w="1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r>
    </w:tbl>
    <w:p>
      <w:pPr>
        <w:spacing w:after="0" w:line="205" w:lineRule="exact"/>
        <w:rPr>
          <w:sz w:val="20"/>
          <w:szCs w:val="20"/>
          <w:color w:val="auto"/>
        </w:rPr>
      </w:pPr>
    </w:p>
    <w:p>
      <w:pPr>
        <w:ind w:left="280" w:right="2000"/>
        <w:spacing w:after="0"/>
        <w:rPr>
          <w:sz w:val="20"/>
          <w:szCs w:val="20"/>
          <w:color w:val="auto"/>
        </w:rPr>
      </w:pPr>
      <w:r>
        <w:rPr>
          <w:rFonts w:ascii="Arial" w:cs="Arial" w:eastAsia="Arial" w:hAnsi="Arial"/>
          <w:sz w:val="14"/>
          <w:szCs w:val="14"/>
          <w:b w:val="1"/>
          <w:bCs w:val="1"/>
          <w:color w:val="auto"/>
        </w:rPr>
        <w:t xml:space="preserve">NOTE: </w:t>
      </w:r>
      <w:r>
        <w:rPr>
          <w:rFonts w:ascii="Arial" w:cs="Arial" w:eastAsia="Arial" w:hAnsi="Arial"/>
          <w:sz w:val="14"/>
          <w:szCs w:val="14"/>
          <w:color w:val="auto"/>
        </w:rPr>
        <w:t>The shares represented by this proxy, when properly executed, will be voted in the manner directed herein by the undersigned Shareholder(s).</w:t>
      </w:r>
      <w:r>
        <w:rPr>
          <w:rFonts w:ascii="Arial" w:cs="Arial" w:eastAsia="Arial" w:hAnsi="Arial"/>
          <w:sz w:val="14"/>
          <w:szCs w:val="14"/>
          <w:b w:val="1"/>
          <w:bCs w:val="1"/>
          <w:color w:val="auto"/>
        </w:rPr>
        <w:t xml:space="preserve"> If no direction is made, this proxy will be voted FOR all nominees listed and FOR Proposals 2, 3 and 4. </w:t>
      </w:r>
      <w:r>
        <w:rPr>
          <w:rFonts w:ascii="Arial" w:cs="Arial" w:eastAsia="Arial" w:hAnsi="Arial"/>
          <w:sz w:val="14"/>
          <w:szCs w:val="14"/>
          <w:color w:val="auto"/>
        </w:rPr>
        <w:t>If any other matters properly come before the meeting,</w:t>
      </w:r>
      <w:r>
        <w:rPr>
          <w:rFonts w:ascii="Arial" w:cs="Arial" w:eastAsia="Arial" w:hAnsi="Arial"/>
          <w:sz w:val="14"/>
          <w:szCs w:val="14"/>
          <w:b w:val="1"/>
          <w:bCs w:val="1"/>
          <w:color w:val="auto"/>
        </w:rPr>
        <w:t xml:space="preserve"> </w:t>
      </w:r>
      <w:r>
        <w:rPr>
          <w:rFonts w:ascii="Arial" w:cs="Arial" w:eastAsia="Arial" w:hAnsi="Arial"/>
          <w:sz w:val="14"/>
          <w:szCs w:val="14"/>
          <w:color w:val="auto"/>
        </w:rPr>
        <w:t>the person(s) named in this proxy will vote in their discretion.</w:t>
      </w:r>
    </w:p>
    <w:p>
      <w:pPr>
        <w:spacing w:after="0" w:line="74" w:lineRule="exact"/>
        <w:rPr>
          <w:sz w:val="20"/>
          <w:szCs w:val="20"/>
          <w:color w:val="auto"/>
        </w:rPr>
      </w:pPr>
    </w:p>
    <w:p>
      <w:pPr>
        <w:ind w:left="280"/>
        <w:spacing w:after="0" w:line="150" w:lineRule="exact"/>
        <w:tabs>
          <w:tab w:leader="none" w:pos="5360" w:val="left"/>
        </w:tabs>
        <w:rPr>
          <w:sz w:val="20"/>
          <w:szCs w:val="20"/>
          <w:color w:val="auto"/>
        </w:rPr>
      </w:pPr>
      <w:r>
        <w:rPr>
          <w:rFonts w:ascii="Arial" w:cs="Arial" w:eastAsia="Arial" w:hAnsi="Arial"/>
          <w:sz w:val="13"/>
          <w:szCs w:val="13"/>
          <w:color w:val="auto"/>
        </w:rPr>
        <w:t>For address changes and/or comments, please check this box and write them on the</w:t>
      </w:r>
      <w:r>
        <w:rPr>
          <w:sz w:val="20"/>
          <w:szCs w:val="20"/>
          <w:color w:val="auto"/>
        </w:rPr>
        <w:tab/>
      </w:r>
      <w:r>
        <w:rPr>
          <w:rFonts w:ascii="MS PGothic" w:cs="MS PGothic" w:eastAsia="MS PGothic" w:hAnsi="MS PGothic"/>
          <w:sz w:val="12"/>
          <w:szCs w:val="12"/>
          <w:color w:val="auto"/>
        </w:rPr>
        <w:t>☐</w:t>
      </w:r>
    </w:p>
    <w:p>
      <w:pPr>
        <w:spacing w:after="0" w:line="25" w:lineRule="exact"/>
        <w:rPr>
          <w:sz w:val="20"/>
          <w:szCs w:val="20"/>
          <w:color w:val="auto"/>
        </w:rPr>
      </w:pPr>
    </w:p>
    <w:p>
      <w:pPr>
        <w:ind w:left="280"/>
        <w:spacing w:after="0"/>
        <w:rPr>
          <w:sz w:val="20"/>
          <w:szCs w:val="20"/>
          <w:color w:val="auto"/>
        </w:rPr>
      </w:pPr>
      <w:r>
        <w:rPr>
          <w:rFonts w:ascii="Arial" w:cs="Arial" w:eastAsia="Arial" w:hAnsi="Arial"/>
          <w:sz w:val="14"/>
          <w:szCs w:val="14"/>
          <w:color w:val="auto"/>
        </w:rPr>
        <w:t>back where indicated.</w:t>
      </w:r>
    </w:p>
    <w:p>
      <w:pPr>
        <w:spacing w:after="0" w:line="29" w:lineRule="exact"/>
        <w:rPr>
          <w:sz w:val="20"/>
          <w:szCs w:val="20"/>
          <w:color w:val="auto"/>
        </w:rPr>
      </w:pPr>
    </w:p>
    <w:p>
      <w:pPr>
        <w:ind w:left="280"/>
        <w:spacing w:after="0" w:line="161" w:lineRule="exact"/>
        <w:tabs>
          <w:tab w:leader="none" w:pos="4220" w:val="left"/>
          <w:tab w:leader="none" w:pos="4760" w:val="left"/>
        </w:tabs>
        <w:rPr>
          <w:sz w:val="20"/>
          <w:szCs w:val="20"/>
          <w:color w:val="auto"/>
        </w:rPr>
      </w:pPr>
      <w:r>
        <w:rPr>
          <w:rFonts w:ascii="Arial" w:cs="Arial" w:eastAsia="Arial" w:hAnsi="Arial"/>
          <w:sz w:val="14"/>
          <w:szCs w:val="14"/>
          <w:color w:val="auto"/>
        </w:rPr>
        <w:t>Please indicate if you plan to attend this meeting.</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p>
    <w:p>
      <w:pPr>
        <w:spacing w:after="0" w:line="40" w:lineRule="exact"/>
        <w:rPr>
          <w:sz w:val="20"/>
          <w:szCs w:val="20"/>
          <w:color w:val="auto"/>
        </w:rPr>
      </w:pPr>
    </w:p>
    <w:p>
      <w:pPr>
        <w:ind w:left="4200"/>
        <w:spacing w:after="0"/>
        <w:tabs>
          <w:tab w:leader="none" w:pos="4740" w:val="left"/>
        </w:tabs>
        <w:rPr>
          <w:sz w:val="20"/>
          <w:szCs w:val="20"/>
          <w:color w:val="auto"/>
        </w:rPr>
      </w:pPr>
      <w:r>
        <w:rPr>
          <w:rFonts w:ascii="Arial" w:cs="Arial" w:eastAsia="Arial" w:hAnsi="Arial"/>
          <w:sz w:val="14"/>
          <w:szCs w:val="14"/>
          <w:b w:val="1"/>
          <w:bCs w:val="1"/>
          <w:color w:val="auto"/>
        </w:rPr>
        <w:t>Yes</w:t>
      </w:r>
      <w:r>
        <w:rPr>
          <w:sz w:val="20"/>
          <w:szCs w:val="20"/>
          <w:color w:val="auto"/>
        </w:rPr>
        <w:tab/>
      </w:r>
      <w:r>
        <w:rPr>
          <w:rFonts w:ascii="Arial" w:cs="Arial" w:eastAsia="Arial" w:hAnsi="Arial"/>
          <w:sz w:val="14"/>
          <w:szCs w:val="14"/>
          <w:b w:val="1"/>
          <w:bCs w:val="1"/>
          <w:color w:val="auto"/>
        </w:rPr>
        <w:t>No</w:t>
      </w:r>
    </w:p>
    <w:p>
      <w:pPr>
        <w:spacing w:after="0" w:line="97" w:lineRule="exact"/>
        <w:rPr>
          <w:sz w:val="20"/>
          <w:szCs w:val="20"/>
          <w:color w:val="auto"/>
        </w:rPr>
      </w:pPr>
    </w:p>
    <w:p>
      <w:pPr>
        <w:ind w:left="280"/>
        <w:spacing w:after="0"/>
        <w:rPr>
          <w:sz w:val="20"/>
          <w:szCs w:val="20"/>
          <w:color w:val="auto"/>
        </w:rPr>
      </w:pPr>
      <w:r>
        <w:rPr>
          <w:rFonts w:ascii="Arial" w:cs="Arial" w:eastAsia="Arial" w:hAnsi="Arial"/>
          <w:sz w:val="14"/>
          <w:szCs w:val="14"/>
          <w:color w:val="auto"/>
        </w:rPr>
        <w:t>Please sign your name exactly as it appears hereon. When signing as attorney, executor,</w:t>
      </w:r>
    </w:p>
    <w:p>
      <w:pPr>
        <w:ind w:left="280"/>
        <w:spacing w:after="0" w:line="221" w:lineRule="auto"/>
        <w:rPr>
          <w:sz w:val="20"/>
          <w:szCs w:val="20"/>
          <w:color w:val="auto"/>
        </w:rPr>
      </w:pPr>
      <w:r>
        <w:rPr>
          <w:rFonts w:ascii="Arial" w:cs="Arial" w:eastAsia="Arial" w:hAnsi="Arial"/>
          <w:sz w:val="14"/>
          <w:szCs w:val="14"/>
          <w:color w:val="auto"/>
        </w:rPr>
        <w:t>administrator, trustee or guardian, please add your title as such. When signing as joint</w:t>
      </w:r>
    </w:p>
    <w:p>
      <w:pPr>
        <w:ind w:left="280"/>
        <w:spacing w:after="0" w:line="221" w:lineRule="auto"/>
        <w:rPr>
          <w:sz w:val="20"/>
          <w:szCs w:val="20"/>
          <w:color w:val="auto"/>
        </w:rPr>
      </w:pPr>
      <w:r>
        <w:rPr>
          <w:rFonts w:ascii="Arial" w:cs="Arial" w:eastAsia="Arial" w:hAnsi="Arial"/>
          <w:sz w:val="14"/>
          <w:szCs w:val="14"/>
          <w:color w:val="auto"/>
        </w:rPr>
        <w:t>tenants, all parties in the joint tenancy must sign. If a signer is a corporation, please sign in</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4"/>
          <w:szCs w:val="14"/>
          <w:color w:val="auto"/>
        </w:rPr>
        <w:t>full corporate name by duly authorized officer.</w:t>
      </w:r>
    </w:p>
    <w:p>
      <w:pPr>
        <w:spacing w:after="0" w:line="200" w:lineRule="exact"/>
        <w:rPr>
          <w:sz w:val="20"/>
          <w:szCs w:val="20"/>
          <w:color w:val="auto"/>
        </w:rPr>
      </w:pPr>
    </w:p>
    <w:p>
      <w:pPr>
        <w:spacing w:after="0" w:line="316" w:lineRule="exact"/>
        <w:rPr>
          <w:sz w:val="20"/>
          <w:szCs w:val="20"/>
          <w:color w:val="auto"/>
        </w:rPr>
      </w:pPr>
    </w:p>
    <w:p>
      <w:pPr>
        <w:ind w:left="260"/>
        <w:spacing w:after="0"/>
        <w:tabs>
          <w:tab w:leader="none" w:pos="3820" w:val="left"/>
          <w:tab w:leader="none" w:pos="5840" w:val="left"/>
          <w:tab w:leader="none" w:pos="9200" w:val="left"/>
        </w:tabs>
        <w:rPr>
          <w:sz w:val="20"/>
          <w:szCs w:val="20"/>
          <w:color w:val="auto"/>
        </w:rPr>
      </w:pPr>
      <w:r>
        <w:rPr>
          <w:rFonts w:ascii="Arial" w:cs="Arial" w:eastAsia="Arial" w:hAnsi="Arial"/>
          <w:sz w:val="14"/>
          <w:szCs w:val="14"/>
          <w:color w:val="auto"/>
        </w:rPr>
        <w:t>Signature [PLEASE SIGN WITHIN BOX]</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Signature (Joint Owners)</w:t>
      </w:r>
      <w:r>
        <w:rPr>
          <w:sz w:val="20"/>
          <w:szCs w:val="20"/>
          <w:color w:val="auto"/>
        </w:rPr>
        <w:tab/>
      </w:r>
      <w:r>
        <w:rPr>
          <w:rFonts w:ascii="Arial" w:cs="Arial" w:eastAsia="Arial" w:hAnsi="Arial"/>
          <w:sz w:val="12"/>
          <w:szCs w:val="12"/>
          <w:color w:val="auto"/>
        </w:rPr>
        <w:t>Date</w:t>
      </w:r>
    </w:p>
    <w:p>
      <w:pPr>
        <w:sectPr>
          <w:pgSz w:w="11900" w:h="16838" w:orient="portrait"/>
          <w:cols w:equalWidth="0" w:num="1">
            <w:col w:w="11420"/>
          </w:cols>
          <w:pgMar w:left="240" w:top="459" w:right="239" w:bottom="1440" w:gutter="0" w:footer="0" w:header="0"/>
          <w:type w:val="continuous"/>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 Notice Regarding Internet Availability of Proxy Materials for the Annual Meeting to be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Held on May 27, 2016:</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Notice and Proxy Statement and Annual Report to Shareholders are available at 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E07751-P73229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46990</wp:posOffset>
            </wp:positionV>
            <wp:extent cx="7276465" cy="40087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76465" cy="4008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left="320" w:right="2520"/>
        <w:spacing w:after="0" w:line="275" w:lineRule="auto"/>
        <w:rPr>
          <w:sz w:val="20"/>
          <w:szCs w:val="20"/>
          <w:color w:val="auto"/>
        </w:rPr>
      </w:pPr>
      <w:r>
        <w:rPr>
          <w:rFonts w:ascii="Arial" w:cs="Arial" w:eastAsia="Arial" w:hAnsi="Arial"/>
          <w:sz w:val="18"/>
          <w:szCs w:val="18"/>
          <w:b w:val="1"/>
          <w:bCs w:val="1"/>
          <w:color w:val="auto"/>
        </w:rPr>
        <w:t>THIS PROXY IS SOLICITED ON BEHALF OF THE BOARD OF DIRECTORS ANNUAL MEETING OF SHAREHOLDERS MAY 27, 2016</w:t>
      </w:r>
    </w:p>
    <w:p>
      <w:pPr>
        <w:spacing w:after="0" w:line="394" w:lineRule="exact"/>
        <w:rPr>
          <w:sz w:val="20"/>
          <w:szCs w:val="20"/>
          <w:color w:val="auto"/>
        </w:rPr>
      </w:pPr>
    </w:p>
    <w:p>
      <w:pPr>
        <w:ind w:left="500" w:right="560"/>
        <w:spacing w:after="0" w:line="259" w:lineRule="auto"/>
        <w:rPr>
          <w:sz w:val="20"/>
          <w:szCs w:val="20"/>
          <w:color w:val="auto"/>
        </w:rPr>
      </w:pPr>
      <w:r>
        <w:rPr>
          <w:rFonts w:ascii="Arial" w:cs="Arial" w:eastAsia="Arial" w:hAnsi="Arial"/>
          <w:sz w:val="18"/>
          <w:szCs w:val="18"/>
          <w:color w:val="auto"/>
        </w:rPr>
        <w:t>The undersigned hereby authorize(s) BRIAN D. JELLISON and DAVID B. LINER, or either of them, as proxies, and each with full power of substitution and revocation, to represent and vote the shares of common stock the undersigned would be entitled to vote if personally present at the Annual Meeting of Shareholders to be held on May 27, 2016, at 6901 Professional Parkway East, Suite 200, Sarasota, Florida 34240 at 9:30 a.m. (local time) and at any adjournments or postponements thereof.</w:t>
      </w:r>
    </w:p>
    <w:p>
      <w:pPr>
        <w:spacing w:after="0" w:line="183" w:lineRule="exact"/>
        <w:rPr>
          <w:sz w:val="20"/>
          <w:szCs w:val="20"/>
          <w:color w:val="auto"/>
        </w:rPr>
      </w:pPr>
    </w:p>
    <w:p>
      <w:pPr>
        <w:jc w:val="both"/>
        <w:ind w:left="500" w:right="980"/>
        <w:spacing w:after="0" w:line="266" w:lineRule="auto"/>
        <w:rPr>
          <w:sz w:val="20"/>
          <w:szCs w:val="20"/>
          <w:color w:val="auto"/>
        </w:rPr>
      </w:pPr>
      <w:r>
        <w:rPr>
          <w:rFonts w:ascii="Arial" w:cs="Arial" w:eastAsia="Arial" w:hAnsi="Arial"/>
          <w:sz w:val="18"/>
          <w:szCs w:val="18"/>
          <w:b w:val="1"/>
          <w:bCs w:val="1"/>
          <w:color w:val="auto"/>
        </w:rPr>
        <w:t>THIS PROXY, WHEN PROPERLY EXECUTED, WILL BE VOTED AS DIRECTED BY THE SHAREHOLDER. IF NO SUCH DIRECTIONS ARE MADE, THIS PROXY WILL BE VOTED FOR THE ELECTION OF THE NOMINEES LISTED ON THE REVERSE SIDE AND FOR PROPOSALS 2, 3 AND 4.</w:t>
      </w:r>
    </w:p>
    <w:p>
      <w:pPr>
        <w:spacing w:after="0" w:line="6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PLEASE MARK, SIGN, DATE AND RETURN THIS PROXY CARD PROMPTLY USING THE ENCLOSED REPLY ENVELOPE.</w:t>
      </w:r>
    </w:p>
    <w:p>
      <w:pPr>
        <w:spacing w:after="0" w:line="360" w:lineRule="exact"/>
        <w:rPr>
          <w:sz w:val="20"/>
          <w:szCs w:val="20"/>
          <w:color w:val="auto"/>
        </w:rPr>
      </w:pPr>
    </w:p>
    <w:p>
      <w:pPr>
        <w:ind w:left="1120"/>
        <w:spacing w:after="0"/>
        <w:rPr>
          <w:sz w:val="20"/>
          <w:szCs w:val="20"/>
          <w:color w:val="auto"/>
        </w:rPr>
      </w:pPr>
      <w:r>
        <w:rPr>
          <w:rFonts w:ascii="Arial" w:cs="Arial" w:eastAsia="Arial" w:hAnsi="Arial"/>
          <w:sz w:val="18"/>
          <w:szCs w:val="18"/>
          <w:b w:val="1"/>
          <w:bCs w:val="1"/>
          <w:color w:val="auto"/>
        </w:rPr>
        <w:t>Address Changes/Comments: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(If you noted any Address Changes/Comments above, please mark corresponding box on the reverse side.)</w:t>
      </w:r>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CONTINUED AND TO BE SIGNED ON REVERSE SIDE</w:t>
      </w:r>
    </w:p>
    <w:sectPr>
      <w:pgSz w:w="11900" w:h="16838" w:orient="portrait"/>
      <w:cols w:equalWidth="0" w:num="1">
        <w:col w:w="11420"/>
      </w:cols>
      <w:pgMar w:left="240" w:top="45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48EAA1"/>
    <w:multiLevelType w:val="hybridMultilevel"/>
    <w:lvl w:ilvl="0">
      <w:lvlJc w:val="left"/>
      <w:lvlText w:val="☐"/>
      <w:numFmt w:val="bullet"/>
      <w:start w:val="1"/>
    </w:lvl>
  </w:abstractNum>
  <w:abstractNum w:abstractNumId="1">
    <w:nsid w:val="1381823A"/>
    <w:multiLevelType w:val="hybridMultilevel"/>
    <w:lvl w:ilvl="0">
      <w:lvlJc w:val="left"/>
      <w:lvlText w:val="☒"/>
      <w:numFmt w:val="bullet"/>
      <w:start w:val="1"/>
    </w:lvl>
  </w:abstractNum>
  <w:abstractNum w:abstractNumId="2">
    <w:nsid w:val="5DB70AE5"/>
    <w:multiLevelType w:val="hybridMultilevel"/>
    <w:lvl w:ilvl="0">
      <w:lvlJc w:val="left"/>
      <w:lvlText w:val="☐"/>
      <w:numFmt w:val="bullet"/>
      <w:start w:val="1"/>
    </w:lvl>
    <w:lvl w:ilvl="1">
      <w:lvlJc w:val="left"/>
      <w:lvlText w:val="(%2)"/>
      <w:numFmt w:val="decimal"/>
      <w:start w:val="1"/>
    </w:lvl>
  </w:abstractNum>
  <w:abstractNum w:abstractNumId="3">
    <w:nsid w:val="100F8FCA"/>
    <w:multiLevelType w:val="hybridMultilevel"/>
    <w:lvl w:ilvl="0">
      <w:lvlJc w:val="left"/>
      <w:lvlText w:val="•"/>
      <w:numFmt w:val="bullet"/>
      <w:start w:val="1"/>
    </w:lvl>
  </w:abstractNum>
  <w:abstractNum w:abstractNumId="4">
    <w:nsid w:val="6590700B"/>
    <w:multiLevelType w:val="hybridMultilevel"/>
    <w:lvl w:ilvl="0">
      <w:lvlJc w:val="left"/>
      <w:lvlText w:val="•"/>
      <w:numFmt w:val="bullet"/>
      <w:start w:val="1"/>
    </w:lvl>
  </w:abstractNum>
  <w:abstractNum w:abstractNumId="5">
    <w:nsid w:val="15014ACB"/>
    <w:multiLevelType w:val="hybridMultilevel"/>
    <w:lvl w:ilvl="0">
      <w:lvlJc w:val="left"/>
      <w:lvlText w:val="%1"/>
      <w:numFmt w:val="decimal"/>
      <w:start w:val="15"/>
    </w:lvl>
  </w:abstractNum>
  <w:abstractNum w:abstractNumId="6">
    <w:nsid w:val="5F5E7FD0"/>
    <w:multiLevelType w:val="hybridMultilevel"/>
    <w:lvl w:ilvl="0">
      <w:lvlJc w:val="left"/>
      <w:lvlText w:val="(%1)"/>
      <w:numFmt w:val="decimal"/>
    </w:lvl>
    <w:lvl w:ilvl="1">
      <w:lvlJc w:val="left"/>
      <w:lvlText w:val="•"/>
      <w:numFmt w:val="bullet"/>
      <w:start w:val="1"/>
    </w:lvl>
  </w:abstractNum>
  <w:abstractNum w:abstractNumId="7">
    <w:nsid w:val="98A3148"/>
    <w:multiLevelType w:val="hybridMultilevel"/>
    <w:lvl w:ilvl="0">
      <w:lvlJc w:val="left"/>
      <w:lvlText w:val="•"/>
      <w:numFmt w:val="bullet"/>
      <w:start w:val="1"/>
    </w:lvl>
  </w:abstractNum>
  <w:abstractNum w:abstractNumId="8">
    <w:nsid w:val="799D0247"/>
    <w:multiLevelType w:val="hybridMultilevel"/>
    <w:lvl w:ilvl="0">
      <w:lvlJc w:val="left"/>
      <w:lvlText w:val="•"/>
      <w:numFmt w:val="bullet"/>
      <w:start w:val="1"/>
    </w:lvl>
  </w:abstractNum>
  <w:abstractNum w:abstractNumId="9">
    <w:nsid w:val="6B94764"/>
    <w:multiLevelType w:val="hybridMultilevel"/>
    <w:lvl w:ilvl="0">
      <w:lvlJc w:val="left"/>
      <w:lvlText w:val="•"/>
      <w:numFmt w:val="bullet"/>
      <w:start w:val="1"/>
    </w:lvl>
  </w:abstractNum>
  <w:abstractNum w:abstractNumId="10">
    <w:nsid w:val="42C296BD"/>
    <w:multiLevelType w:val="hybridMultilevel"/>
    <w:lvl w:ilvl="0">
      <w:lvlJc w:val="left"/>
      <w:lvlText w:val="•"/>
      <w:numFmt w:val="bullet"/>
      <w:start w:val="1"/>
    </w:lvl>
  </w:abstractNum>
  <w:abstractNum w:abstractNumId="11">
    <w:nsid w:val="168E121F"/>
    <w:multiLevelType w:val="hybridMultilevel"/>
    <w:lvl w:ilvl="0">
      <w:lvlJc w:val="left"/>
      <w:lvlText w:val="•"/>
      <w:numFmt w:val="bullet"/>
      <w:start w:val="1"/>
    </w:lvl>
  </w:abstractNum>
  <w:abstractNum w:abstractNumId="12">
    <w:nsid w:val="1EBA5D23"/>
    <w:multiLevelType w:val="hybridMultilevel"/>
    <w:lvl w:ilvl="0">
      <w:lvlJc w:val="left"/>
      <w:lvlText w:val="•"/>
      <w:numFmt w:val="bullet"/>
      <w:start w:val="1"/>
    </w:lvl>
  </w:abstractNum>
  <w:abstractNum w:abstractNumId="13">
    <w:nsid w:val="661E3F1E"/>
    <w:multiLevelType w:val="hybridMultilevel"/>
    <w:lvl w:ilvl="0">
      <w:lvlJc w:val="left"/>
      <w:lvlText w:val="•"/>
      <w:numFmt w:val="bullet"/>
      <w:start w:val="1"/>
    </w:lvl>
  </w:abstractNum>
  <w:abstractNum w:abstractNumId="14">
    <w:nsid w:val="5DC79EA8"/>
    <w:multiLevelType w:val="hybridMultilevel"/>
    <w:lvl w:ilvl="0">
      <w:lvlJc w:val="left"/>
      <w:lvlText w:val="•"/>
      <w:numFmt w:val="bullet"/>
      <w:start w:val="1"/>
    </w:lvl>
  </w:abstractNum>
  <w:abstractNum w:abstractNumId="15">
    <w:nsid w:val="540A471C"/>
    <w:multiLevelType w:val="hybridMultilevel"/>
    <w:lvl w:ilvl="0">
      <w:lvlJc w:val="left"/>
      <w:lvlText w:val="•"/>
      <w:numFmt w:val="bullet"/>
      <w:start w:val="1"/>
    </w:lvl>
  </w:abstractNum>
  <w:abstractNum w:abstractNumId="16">
    <w:nsid w:val="7BD3EE7B"/>
    <w:multiLevelType w:val="hybridMultilevel"/>
    <w:lvl w:ilvl="0">
      <w:lvlJc w:val="left"/>
      <w:lvlText w:val="•"/>
      <w:numFmt w:val="bullet"/>
      <w:start w:val="1"/>
    </w:lvl>
  </w:abstractNum>
  <w:abstractNum w:abstractNumId="17">
    <w:nsid w:val="51D9C564"/>
    <w:multiLevelType w:val="hybridMultilevel"/>
    <w:lvl w:ilvl="0">
      <w:lvlJc w:val="left"/>
      <w:lvlText w:val="•"/>
      <w:numFmt w:val="bullet"/>
      <w:start w:val="1"/>
    </w:lvl>
  </w:abstractNum>
  <w:abstractNum w:abstractNumId="18">
    <w:nsid w:val="613EFDC5"/>
    <w:multiLevelType w:val="hybridMultilevel"/>
    <w:lvl w:ilvl="0">
      <w:lvlJc w:val="left"/>
      <w:lvlText w:val="(%1)"/>
      <w:numFmt w:val="decimal"/>
      <w:start w:val="1"/>
    </w:lvl>
  </w:abstractNum>
  <w:abstractNum w:abstractNumId="19">
    <w:nsid w:val="BF72B14"/>
    <w:multiLevelType w:val="hybridMultilevel"/>
    <w:lvl w:ilvl="0">
      <w:lvlJc w:val="left"/>
      <w:lvlText w:val="(%1)"/>
      <w:numFmt w:val="decimal"/>
      <w:start w:val="1"/>
    </w:lvl>
  </w:abstractNum>
  <w:abstractNum w:abstractNumId="20">
    <w:nsid w:val="11447B73"/>
    <w:multiLevelType w:val="hybridMultilevel"/>
    <w:lvl w:ilvl="0">
      <w:lvlJc w:val="left"/>
      <w:lvlText w:val="(%1)"/>
      <w:numFmt w:val="decimal"/>
      <w:start w:val="1"/>
    </w:lvl>
  </w:abstractNum>
  <w:abstractNum w:abstractNumId="21">
    <w:nsid w:val="42963E5A"/>
    <w:multiLevelType w:val="hybridMultilevel"/>
    <w:lvl w:ilvl="0">
      <w:lvlJc w:val="left"/>
      <w:lvlText w:val="(%1)"/>
      <w:numFmt w:val="decimal"/>
      <w:start w:val="3"/>
    </w:lvl>
  </w:abstractNum>
  <w:abstractNum w:abstractNumId="22">
    <w:nsid w:val="A0382C5"/>
    <w:multiLevelType w:val="hybridMultilevel"/>
    <w:lvl w:ilvl="0">
      <w:lvlJc w:val="left"/>
      <w:lvlText w:val="•"/>
      <w:numFmt w:val="bullet"/>
      <w:start w:val="1"/>
    </w:lvl>
  </w:abstractNum>
  <w:abstractNum w:abstractNumId="23">
    <w:nsid w:val="8F2B15E"/>
    <w:multiLevelType w:val="hybridMultilevel"/>
    <w:lvl w:ilvl="0">
      <w:lvlJc w:val="left"/>
      <w:lvlText w:val="•"/>
      <w:numFmt w:val="bullet"/>
      <w:start w:val="1"/>
    </w:lvl>
  </w:abstractNum>
  <w:abstractNum w:abstractNumId="24">
    <w:nsid w:val="1A32234B"/>
    <w:multiLevelType w:val="hybridMultilevel"/>
    <w:lvl w:ilvl="0">
      <w:lvlJc w:val="left"/>
      <w:lvlText w:val="(%1)"/>
      <w:numFmt w:val="decimal"/>
      <w:start w:val="1"/>
    </w:lvl>
  </w:abstractNum>
  <w:abstractNum w:abstractNumId="25">
    <w:nsid w:val="3B0FD379"/>
    <w:multiLevelType w:val="hybridMultilevel"/>
    <w:lvl w:ilvl="0">
      <w:lvlJc w:val="left"/>
      <w:lvlText w:val="•"/>
      <w:numFmt w:val="bullet"/>
      <w:start w:val="1"/>
    </w:lvl>
  </w:abstractNum>
  <w:abstractNum w:abstractNumId="26">
    <w:nsid w:val="68EB2F63"/>
    <w:multiLevelType w:val="hybridMultilevel"/>
    <w:lvl w:ilvl="0">
      <w:lvlJc w:val="left"/>
      <w:lvlText w:val="•"/>
      <w:numFmt w:val="bullet"/>
      <w:start w:val="1"/>
    </w:lvl>
  </w:abstractNum>
  <w:abstractNum w:abstractNumId="27">
    <w:nsid w:val="4962813B"/>
    <w:multiLevelType w:val="hybridMultilevel"/>
    <w:lvl w:ilvl="0">
      <w:lvlJc w:val="left"/>
      <w:lvlText w:val="•"/>
      <w:numFmt w:val="bullet"/>
      <w:start w:val="1"/>
    </w:lvl>
  </w:abstractNum>
  <w:abstractNum w:abstractNumId="28">
    <w:nsid w:val="60B6DF70"/>
    <w:multiLevelType w:val="hybridMultilevel"/>
    <w:lvl w:ilvl="0">
      <w:lvlJc w:val="left"/>
      <w:lvlText w:val="•"/>
      <w:numFmt w:val="bullet"/>
      <w:start w:val="1"/>
    </w:lvl>
  </w:abstractNum>
  <w:abstractNum w:abstractNumId="29">
    <w:nsid w:val="6A5EE64"/>
    <w:multiLevelType w:val="hybridMultilevel"/>
    <w:lvl w:ilvl="0">
      <w:lvlJc w:val="left"/>
      <w:lvlText w:val="•"/>
      <w:numFmt w:val="bullet"/>
      <w:start w:val="1"/>
    </w:lvl>
  </w:abstractNum>
  <w:abstractNum w:abstractNumId="30">
    <w:nsid w:val="14330624"/>
    <w:multiLevelType w:val="hybridMultilevel"/>
    <w:lvl w:ilvl="0">
      <w:lvlJc w:val="left"/>
      <w:lvlText w:val="•"/>
      <w:numFmt w:val="bullet"/>
      <w:start w:val="1"/>
    </w:lvl>
  </w:abstractNum>
  <w:abstractNum w:abstractNumId="31">
    <w:nsid w:val="7FFFCA11"/>
    <w:multiLevelType w:val="hybridMultilevel"/>
    <w:lvl w:ilvl="0">
      <w:lvlJc w:val="left"/>
      <w:lvlText w:val="•"/>
      <w:numFmt w:val="bullet"/>
      <w:start w:val="1"/>
    </w:lvl>
  </w:abstractNum>
  <w:abstractNum w:abstractNumId="32">
    <w:nsid w:val="1A27709E"/>
    <w:multiLevelType w:val="hybridMultilevel"/>
    <w:lvl w:ilvl="0">
      <w:lvlJc w:val="left"/>
      <w:lvlText w:val="•"/>
      <w:numFmt w:val="bullet"/>
      <w:start w:val="1"/>
    </w:lvl>
  </w:abstractNum>
  <w:abstractNum w:abstractNumId="33">
    <w:nsid w:val="71EA1109"/>
    <w:multiLevelType w:val="hybridMultilevel"/>
    <w:lvl w:ilvl="0">
      <w:lvlJc w:val="left"/>
      <w:lvlText w:val="•"/>
      <w:numFmt w:val="bullet"/>
      <w:start w:val="1"/>
    </w:lvl>
  </w:abstractNum>
  <w:abstractNum w:abstractNumId="34">
    <w:nsid w:val="100F59DC"/>
    <w:multiLevelType w:val="hybridMultilevel"/>
    <w:lvl w:ilvl="0">
      <w:lvlJc w:val="left"/>
      <w:lvlText w:val="•"/>
      <w:numFmt w:val="bullet"/>
      <w:start w:val="1"/>
    </w:lvl>
  </w:abstractNum>
  <w:abstractNum w:abstractNumId="35">
    <w:nsid w:val="7FB7E0AA"/>
    <w:multiLevelType w:val="hybridMultilevel"/>
    <w:lvl w:ilvl="0">
      <w:lvlJc w:val="left"/>
      <w:lvlText w:val="•"/>
      <w:numFmt w:val="bullet"/>
      <w:start w:val="1"/>
    </w:lvl>
  </w:abstractNum>
  <w:abstractNum w:abstractNumId="36">
    <w:nsid w:val="6EB5BD4"/>
    <w:multiLevelType w:val="hybridMultilevel"/>
    <w:lvl w:ilvl="0">
      <w:lvlJc w:val="left"/>
      <w:lvlText w:val="•"/>
      <w:numFmt w:val="bullet"/>
      <w:start w:val="1"/>
    </w:lvl>
  </w:abstractNum>
  <w:abstractNum w:abstractNumId="37">
    <w:nsid w:val="6F6DD9AC"/>
    <w:multiLevelType w:val="hybridMultilevel"/>
    <w:lvl w:ilvl="0">
      <w:lvlJc w:val="left"/>
      <w:lvlText w:val="•"/>
      <w:numFmt w:val="bullet"/>
      <w:start w:val="1"/>
    </w:lvl>
  </w:abstractNum>
  <w:abstractNum w:abstractNumId="38">
    <w:nsid w:val="94211F2"/>
    <w:multiLevelType w:val="hybridMultilevel"/>
    <w:lvl w:ilvl="0">
      <w:lvlJc w:val="left"/>
      <w:lvlText w:val="•"/>
      <w:numFmt w:val="bullet"/>
      <w:start w:val="1"/>
    </w:lvl>
  </w:abstractNum>
  <w:abstractNum w:abstractNumId="39">
    <w:nsid w:val="885E1B"/>
    <w:multiLevelType w:val="hybridMultilevel"/>
    <w:lvl w:ilvl="0">
      <w:lvlJc w:val="left"/>
      <w:lvlText w:val="•"/>
      <w:numFmt w:val="bullet"/>
      <w:start w:val="1"/>
    </w:lvl>
  </w:abstractNum>
  <w:abstractNum w:abstractNumId="40">
    <w:nsid w:val="76272110"/>
    <w:multiLevelType w:val="hybridMultilevel"/>
    <w:lvl w:ilvl="0">
      <w:lvlJc w:val="left"/>
      <w:lvlText w:val="•"/>
      <w:numFmt w:val="bullet"/>
      <w:start w:val="1"/>
    </w:lvl>
  </w:abstractNum>
  <w:abstractNum w:abstractNumId="41">
    <w:nsid w:val="4C04A8AF"/>
    <w:multiLevelType w:val="hybridMultilevel"/>
    <w:lvl w:ilvl="0">
      <w:lvlJc w:val="left"/>
      <w:lvlText w:val="•"/>
      <w:numFmt w:val="bullet"/>
      <w:start w:val="1"/>
    </w:lvl>
  </w:abstractNum>
  <w:abstractNum w:abstractNumId="42">
    <w:nsid w:val="1716703B"/>
    <w:multiLevelType w:val="hybridMultilevel"/>
    <w:lvl w:ilvl="0">
      <w:lvlJc w:val="left"/>
      <w:lvlText w:val="•"/>
      <w:numFmt w:val="bullet"/>
      <w:start w:val="1"/>
    </w:lvl>
  </w:abstractNum>
  <w:abstractNum w:abstractNumId="43">
    <w:nsid w:val="14E17E33"/>
    <w:multiLevelType w:val="hybridMultilevel"/>
    <w:lvl w:ilvl="0">
      <w:lvlJc w:val="left"/>
      <w:lvlText w:val="•"/>
      <w:numFmt w:val="bullet"/>
      <w:start w:val="1"/>
    </w:lvl>
  </w:abstractNum>
  <w:abstractNum w:abstractNumId="44">
    <w:nsid w:val="3222E7CD"/>
    <w:multiLevelType w:val="hybridMultilevel"/>
    <w:lvl w:ilvl="0">
      <w:lvlJc w:val="left"/>
      <w:lvlText w:val="•"/>
      <w:numFmt w:val="bullet"/>
      <w:start w:val="1"/>
    </w:lvl>
  </w:abstractNum>
  <w:abstractNum w:abstractNumId="45">
    <w:nsid w:val="74DE0EE3"/>
    <w:multiLevelType w:val="hybridMultilevel"/>
    <w:lvl w:ilvl="0">
      <w:lvlJc w:val="left"/>
      <w:lvlText w:val="(%1)"/>
      <w:numFmt w:val="decimal"/>
      <w:start w:val="1"/>
    </w:lvl>
  </w:abstractNum>
  <w:abstractNum w:abstractNumId="46">
    <w:nsid w:val="68EBC550"/>
    <w:multiLevelType w:val="hybridMultilevel"/>
    <w:lvl w:ilvl="0">
      <w:lvlJc w:val="left"/>
      <w:lvlText w:val="•"/>
      <w:numFmt w:val="bullet"/>
      <w:start w:val="1"/>
    </w:lvl>
  </w:abstractNum>
  <w:abstractNum w:abstractNumId="47">
    <w:nsid w:val="2DF6D648"/>
    <w:multiLevelType w:val="hybridMultilevel"/>
    <w:lvl w:ilvl="0">
      <w:lvlJc w:val="left"/>
      <w:lvlText w:val="•"/>
      <w:numFmt w:val="bullet"/>
      <w:start w:val="1"/>
    </w:lvl>
  </w:abstractNum>
  <w:abstractNum w:abstractNumId="48">
    <w:nsid w:val="46B7D447"/>
    <w:multiLevelType w:val="hybridMultilevel"/>
    <w:lvl w:ilvl="0">
      <w:lvlJc w:val="left"/>
      <w:lvlText w:val="•"/>
      <w:numFmt w:val="bullet"/>
      <w:start w:val="1"/>
    </w:lvl>
  </w:abstractNum>
  <w:abstractNum w:abstractNumId="49">
    <w:nsid w:val="4A2AC315"/>
    <w:multiLevelType w:val="hybridMultilevel"/>
    <w:lvl w:ilvl="0">
      <w:lvlJc w:val="left"/>
      <w:lvlText w:val="•"/>
      <w:numFmt w:val="bullet"/>
      <w:start w:val="1"/>
    </w:lvl>
  </w:abstractNum>
  <w:abstractNum w:abstractNumId="50">
    <w:nsid w:val="39EE015C"/>
    <w:multiLevelType w:val="hybridMultilevel"/>
    <w:lvl w:ilvl="0">
      <w:lvlJc w:val="left"/>
      <w:lvlText w:val="•"/>
      <w:numFmt w:val="bullet"/>
      <w:start w:val="1"/>
    </w:lvl>
  </w:abstractNum>
  <w:abstractNum w:abstractNumId="51">
    <w:nsid w:val="57FC4FBB"/>
    <w:multiLevelType w:val="hybridMultilevel"/>
    <w:lvl w:ilvl="0">
      <w:lvlJc w:val="left"/>
      <w:lvlText w:val="•"/>
      <w:numFmt w:val="bullet"/>
      <w:start w:val="1"/>
    </w:lvl>
  </w:abstractNum>
  <w:abstractNum w:abstractNumId="52">
    <w:nsid w:val="CC1016F"/>
    <w:multiLevelType w:val="hybridMultilevel"/>
    <w:lvl w:ilvl="0">
      <w:lvlJc w:val="left"/>
      <w:lvlText w:val="•"/>
      <w:numFmt w:val="bullet"/>
      <w:start w:val="1"/>
    </w:lvl>
  </w:abstractNum>
  <w:abstractNum w:abstractNumId="53">
    <w:nsid w:val="43F18422"/>
    <w:multiLevelType w:val="hybridMultilevel"/>
    <w:lvl w:ilvl="0">
      <w:lvlJc w:val="left"/>
      <w:lvlText w:val="•"/>
      <w:numFmt w:val="bullet"/>
      <w:start w:val="1"/>
    </w:lvl>
  </w:abstractNum>
  <w:abstractNum w:abstractNumId="54">
    <w:nsid w:val="60EF0119"/>
    <w:multiLevelType w:val="hybridMultilevel"/>
    <w:lvl w:ilvl="0">
      <w:lvlJc w:val="left"/>
      <w:lvlText w:val="•"/>
      <w:numFmt w:val="bullet"/>
      <w:start w:val="1"/>
    </w:lvl>
  </w:abstractNum>
  <w:abstractNum w:abstractNumId="55">
    <w:nsid w:val="26F324BA"/>
    <w:multiLevelType w:val="hybridMultilevel"/>
    <w:lvl w:ilvl="0">
      <w:lvlJc w:val="left"/>
      <w:lvlText w:val="*"/>
      <w:numFmt w:val="bullet"/>
      <w:start w:val="1"/>
    </w:lvl>
  </w:abstractNum>
  <w:abstractNum w:abstractNumId="56">
    <w:nsid w:val="7F01579B"/>
    <w:multiLevelType w:val="hybridMultilevel"/>
    <w:lvl w:ilvl="0">
      <w:lvlJc w:val="left"/>
      <w:lvlText w:val="(%1)"/>
      <w:numFmt w:val="decimal"/>
      <w:start w:val="1"/>
    </w:lvl>
  </w:abstractNum>
  <w:abstractNum w:abstractNumId="57">
    <w:nsid w:val="49DA307D"/>
    <w:multiLevelType w:val="hybridMultilevel"/>
    <w:lvl w:ilvl="0">
      <w:lvlJc w:val="left"/>
      <w:lvlText w:val="(%1)"/>
      <w:numFmt w:val="lowerLetter"/>
      <w:start w:val="1"/>
    </w:lvl>
  </w:abstractNum>
  <w:abstractNum w:abstractNumId="58">
    <w:nsid w:val="7055A5F5"/>
    <w:multiLevelType w:val="hybridMultilevel"/>
    <w:lvl w:ilvl="0">
      <w:lvlJc w:val="left"/>
      <w:lvlText w:val="(%1)"/>
      <w:numFmt w:val="decimal"/>
      <w:start w:val="1"/>
    </w:lvl>
  </w:abstractNum>
  <w:abstractNum w:abstractNumId="59">
    <w:nsid w:val="5FB8370B"/>
    <w:multiLevelType w:val="hybridMultilevel"/>
    <w:lvl w:ilvl="0">
      <w:lvlJc w:val="left"/>
      <w:lvlText w:val="(%1)"/>
      <w:numFmt w:val="decimal"/>
      <w:start w:val="1"/>
    </w:lvl>
    <w:lvl w:ilvl="1">
      <w:lvlJc w:val="left"/>
      <w:lvlText w:val="(%2)"/>
      <w:numFmt w:val="upperLetter"/>
      <w:start w:val="9"/>
    </w:lvl>
  </w:abstractNum>
  <w:abstractNum w:abstractNumId="60">
    <w:nsid w:val="50801EE1"/>
    <w:multiLevelType w:val="hybridMultilevel"/>
    <w:lvl w:ilvl="0">
      <w:lvlJc w:val="left"/>
      <w:lvlText w:val="(%1)"/>
      <w:numFmt w:val="upperLetter"/>
      <w:start w:val="35"/>
    </w:lvl>
  </w:abstractNum>
  <w:abstractNum w:abstractNumId="61">
    <w:nsid w:val="488AC1A"/>
    <w:multiLevelType w:val="hybridMultilevel"/>
    <w:lvl w:ilvl="0">
      <w:lvlJc w:val="left"/>
      <w:lvlText w:val="(%1)"/>
      <w:numFmt w:val="decimal"/>
      <w:start w:val="6"/>
    </w:lvl>
    <w:lvl w:ilvl="1">
      <w:lvlJc w:val="left"/>
      <w:lvlText w:val="(%2)"/>
      <w:numFmt w:val="upperLetter"/>
      <w:start w:val="9"/>
    </w:lvl>
  </w:abstractNum>
  <w:abstractNum w:abstractNumId="62">
    <w:nsid w:val="5FB8011C"/>
    <w:multiLevelType w:val="hybridMultilevel"/>
    <w:lvl w:ilvl="0">
      <w:lvlJc w:val="left"/>
      <w:lvlText w:val="%1"/>
      <w:numFmt w:val="decimal"/>
      <w:start w:val="1"/>
    </w:lvl>
    <w:lvl w:ilvl="1">
      <w:lvlJc w:val="left"/>
      <w:lvlText w:val="(%2)"/>
      <w:numFmt w:val="upperLetter"/>
      <w:start w:val="35"/>
    </w:lvl>
  </w:abstractNum>
  <w:abstractNum w:abstractNumId="63">
    <w:nsid w:val="6AA78F7F"/>
    <w:multiLevelType w:val="hybridMultilevel"/>
    <w:lvl w:ilvl="0">
      <w:lvlJc w:val="left"/>
      <w:lvlText w:val="(%1)"/>
      <w:numFmt w:val="decimal"/>
      <w:start w:val="7"/>
    </w:lvl>
    <w:lvl w:ilvl="1">
      <w:lvlJc w:val="left"/>
      <w:lvlText w:val="(%2)"/>
      <w:numFmt w:val="upperLetter"/>
      <w:start w:val="9"/>
    </w:lvl>
  </w:abstractNum>
  <w:abstractNum w:abstractNumId="64">
    <w:nsid w:val="7672BD23"/>
    <w:multiLevelType w:val="hybridMultilevel"/>
    <w:lvl w:ilvl="0">
      <w:lvlJc w:val="left"/>
      <w:lvlText w:val="%1"/>
      <w:numFmt w:val="decimal"/>
      <w:start w:val="1"/>
    </w:lvl>
    <w:lvl w:ilvl="1">
      <w:lvlJc w:val="left"/>
      <w:lvlText w:val="(%2)"/>
      <w:numFmt w:val="upperLetter"/>
      <w:start w:val="35"/>
    </w:lvl>
  </w:abstractNum>
  <w:abstractNum w:abstractNumId="65">
    <w:nsid w:val="6FC75AF8"/>
    <w:multiLevelType w:val="hybridMultilevel"/>
    <w:lvl w:ilvl="0">
      <w:lvlJc w:val="left"/>
      <w:lvlText w:val="(%1)"/>
      <w:numFmt w:val="decimal"/>
      <w:start w:val="8"/>
    </w:lvl>
    <w:lvl w:ilvl="1">
      <w:lvlJc w:val="left"/>
      <w:lvlText w:val="%2"/>
      <w:numFmt w:val="upperLetter"/>
      <w:start w:val="1"/>
    </w:lvl>
  </w:abstractNum>
  <w:abstractNum w:abstractNumId="66">
    <w:nsid w:val="6A5F7029"/>
    <w:multiLevelType w:val="hybridMultilevel"/>
    <w:lvl w:ilvl="0">
      <w:lvlJc w:val="left"/>
      <w:lvlText w:val="(%1)"/>
      <w:numFmt w:val="decimal"/>
      <w:start w:val="1"/>
    </w:lvl>
  </w:abstractNum>
  <w:abstractNum w:abstractNumId="67">
    <w:nsid w:val="7D5E18F8"/>
    <w:multiLevelType w:val="hybridMultilevel"/>
    <w:lvl w:ilvl="0">
      <w:lvlJc w:val="left"/>
      <w:lvlText w:val="•"/>
      <w:numFmt w:val="bullet"/>
      <w:start w:val="1"/>
    </w:lvl>
  </w:abstractNum>
  <w:abstractNum w:abstractNumId="68">
    <w:nsid w:val="5F3534A4"/>
    <w:multiLevelType w:val="hybridMultilevel"/>
    <w:lvl w:ilvl="0">
      <w:lvlJc w:val="left"/>
      <w:lvlText w:val="(%1)"/>
      <w:numFmt w:val="decimal"/>
      <w:start w:val="1"/>
    </w:lvl>
  </w:abstractNum>
  <w:abstractNum w:abstractNumId="69">
    <w:nsid w:val="73A1821B"/>
    <w:multiLevelType w:val="hybridMultilevel"/>
    <w:lvl w:ilvl="0">
      <w:lvlJc w:val="left"/>
      <w:lvlText w:val="*"/>
      <w:numFmt w:val="bullet"/>
      <w:start w:val="1"/>
    </w:lvl>
  </w:abstractNum>
  <w:abstractNum w:abstractNumId="70">
    <w:nsid w:val="7DE67713"/>
    <w:multiLevelType w:val="hybridMultilevel"/>
    <w:lvl w:ilvl="0">
      <w:lvlJc w:val="left"/>
      <w:lvlText w:val="(%1)"/>
      <w:numFmt w:val="decimal"/>
      <w:start w:val="1"/>
    </w:lvl>
  </w:abstractNum>
  <w:abstractNum w:abstractNumId="71">
    <w:nsid w:val="555C55B5"/>
    <w:multiLevelType w:val="hybridMultilevel"/>
    <w:lvl w:ilvl="0">
      <w:lvlJc w:val="left"/>
      <w:lvlText w:val="•"/>
      <w:numFmt w:val="bullet"/>
      <w:start w:val="1"/>
    </w:lvl>
  </w:abstractNum>
  <w:abstractNum w:abstractNumId="72">
    <w:nsid w:val="3FA62ACA"/>
    <w:multiLevelType w:val="hybridMultilevel"/>
    <w:lvl w:ilvl="0">
      <w:lvlJc w:val="left"/>
      <w:lvlText w:val="•"/>
      <w:numFmt w:val="bullet"/>
      <w:start w:val="1"/>
    </w:lvl>
  </w:abstractNum>
  <w:abstractNum w:abstractNumId="73">
    <w:nsid w:val="14FCE74E"/>
    <w:multiLevelType w:val="hybridMultilevel"/>
    <w:lvl w:ilvl="0">
      <w:lvlJc w:val="left"/>
      <w:lvlText w:val="•"/>
      <w:numFmt w:val="bullet"/>
      <w:start w:val="1"/>
    </w:lvl>
  </w:abstractNum>
  <w:abstractNum w:abstractNumId="74">
    <w:nsid w:val="6A3DD3E8"/>
    <w:multiLevelType w:val="hybridMultilevel"/>
    <w:lvl w:ilvl="0">
      <w:lvlJc w:val="left"/>
      <w:lvlText w:val="•"/>
      <w:numFmt w:val="bullet"/>
      <w:start w:val="1"/>
    </w:lvl>
  </w:abstractNum>
  <w:abstractNum w:abstractNumId="75">
    <w:nsid w:val="71C91298"/>
    <w:multiLevelType w:val="hybridMultilevel"/>
    <w:lvl w:ilvl="0">
      <w:lvlJc w:val="left"/>
      <w:lvlText w:val="(%1)"/>
      <w:numFmt w:val="decimal"/>
      <w:start w:val="1"/>
    </w:lvl>
  </w:abstractNum>
  <w:abstractNum w:abstractNumId="76">
    <w:nsid w:val="9DAF632"/>
    <w:multiLevelType w:val="hybridMultilevel"/>
    <w:lvl w:ilvl="0">
      <w:lvlJc w:val="left"/>
      <w:lvlText w:val="%1:"/>
      <w:numFmt w:val="upperLetter"/>
      <w:start w:val="1"/>
    </w:lvl>
  </w:abstractNum>
  <w:abstractNum w:abstractNumId="77">
    <w:nsid w:val="53299938"/>
    <w:multiLevelType w:val="hybridMultilevel"/>
    <w:lvl w:ilvl="0">
      <w:lvlJc w:val="left"/>
      <w:lvlText w:val="%1:"/>
      <w:numFmt w:val="upperLetter"/>
      <w:start w:val="1"/>
    </w:lvl>
    <w:lvl w:ilvl="1">
      <w:lvlJc w:val="left"/>
      <w:lvlText w:val="%2."/>
      <w:numFmt w:val="decimal"/>
      <w:start w:val="1"/>
    </w:lvl>
  </w:abstractNum>
  <w:abstractNum w:abstractNumId="78">
    <w:nsid w:val="1FBFE8E0"/>
    <w:multiLevelType w:val="hybridMultilevel"/>
    <w:lvl w:ilvl="0">
      <w:lvlJc w:val="left"/>
      <w:lvlText w:val="%1:"/>
      <w:numFmt w:val="upperLetter"/>
      <w:start w:val="17"/>
    </w:lvl>
  </w:abstractNum>
  <w:abstractNum w:abstractNumId="79">
    <w:nsid w:val="5092CA79"/>
    <w:multiLevelType w:val="hybridMultilevel"/>
    <w:lvl w:ilvl="0">
      <w:lvlJc w:val="left"/>
      <w:lvlText w:val="%1."/>
      <w:numFmt w:val="upperLetter"/>
      <w:start w:val="1"/>
    </w:lvl>
  </w:abstractNum>
  <w:abstractNum w:abstractNumId="80">
    <w:nsid w:val="1D545C4D"/>
    <w:multiLevelType w:val="hybridMultilevel"/>
    <w:lvl w:ilvl="0">
      <w:lvlJc w:val="left"/>
      <w:lvlText w:val="%1:"/>
      <w:numFmt w:val="upperLetter"/>
      <w:start w:val="1"/>
    </w:lvl>
  </w:abstractNum>
  <w:abstractNum w:abstractNumId="81">
    <w:nsid w:val="59ADEA3D"/>
    <w:multiLevelType w:val="hybridMultilevel"/>
    <w:lvl w:ilvl="0">
      <w:lvlJc w:val="left"/>
      <w:lvlText w:val="%1."/>
      <w:numFmt w:val="upperLetter"/>
      <w:start w:val="1"/>
    </w:lvl>
  </w:abstractNum>
  <w:abstractNum w:abstractNumId="82">
    <w:nsid w:val="288F1A34"/>
    <w:multiLevelType w:val="hybridMultilevel"/>
    <w:lvl w:ilvl="0">
      <w:lvlJc w:val="left"/>
      <w:lvlText w:val="%1."/>
      <w:numFmt w:val="upperLetter"/>
      <w:start w:val="1"/>
    </w:lvl>
  </w:abstractNum>
  <w:abstractNum w:abstractNumId="83">
    <w:nsid w:val="2A155DBC"/>
    <w:multiLevelType w:val="hybridMultilevel"/>
    <w:lvl w:ilvl="0">
      <w:lvlJc w:val="left"/>
      <w:lvlText w:val="%1:"/>
      <w:numFmt w:val="upperLetter"/>
      <w:start w:val="1"/>
    </w:lvl>
  </w:abstractNum>
  <w:abstractNum w:abstractNumId="84">
    <w:nsid w:val="1D9F6E5F"/>
    <w:multiLevelType w:val="hybridMultilevel"/>
    <w:lvl w:ilvl="0">
      <w:lvlJc w:val="left"/>
      <w:lvlText w:val="•"/>
      <w:numFmt w:val="bullet"/>
      <w:start w:val="1"/>
    </w:lvl>
  </w:abstractNum>
  <w:abstractNum w:abstractNumId="85">
    <w:nsid w:val="97E1B4E"/>
    <w:multiLevelType w:val="hybridMultilevel"/>
    <w:lvl w:ilvl="0">
      <w:lvlJc w:val="left"/>
      <w:lvlText w:val="%1:"/>
      <w:numFmt w:val="upperLetter"/>
      <w:start w:val="1"/>
    </w:lvl>
  </w:abstractNum>
  <w:abstractNum w:abstractNumId="86">
    <w:nsid w:val="51088277"/>
    <w:multiLevelType w:val="hybridMultilevel"/>
    <w:lvl w:ilvl="0">
      <w:lvlJc w:val="left"/>
      <w:lvlText w:val="%1:"/>
      <w:numFmt w:val="upperLetter"/>
      <w:start w:val="17"/>
    </w:lvl>
  </w:abstractNum>
  <w:abstractNum w:abstractNumId="87">
    <w:nsid w:val="1CA0C5FA"/>
    <w:multiLevelType w:val="hybridMultilevel"/>
    <w:lvl w:ilvl="0">
      <w:lvlJc w:val="left"/>
      <w:lvlText w:val="%1:"/>
      <w:numFmt w:val="upperLetter"/>
      <w:start w:val="1"/>
    </w:lvl>
  </w:abstractNum>
  <w:abstractNum w:abstractNumId="88">
    <w:nsid w:val="53584BCB"/>
    <w:multiLevelType w:val="hybridMultilevel"/>
    <w:lvl w:ilvl="0">
      <w:lvlJc w:val="left"/>
      <w:lvlText w:val="%1:"/>
      <w:numFmt w:val="upperLetter"/>
      <w:start w:val="1"/>
    </w:lvl>
  </w:abstractNum>
  <w:abstractNum w:abstractNumId="89">
    <w:nsid w:val="415E286C"/>
    <w:multiLevelType w:val="hybridMultilevel"/>
    <w:lvl w:ilvl="0">
      <w:lvlJc w:val="left"/>
      <w:lvlText w:val="%1:"/>
      <w:numFmt w:val="upperLetter"/>
      <w:start w:val="1"/>
    </w:lvl>
  </w:abstractNum>
  <w:abstractNum w:abstractNumId="90">
    <w:nsid w:val="7C58FD05"/>
    <w:multiLevelType w:val="hybridMultilevel"/>
    <w:lvl w:ilvl="0">
      <w:lvlJc w:val="left"/>
      <w:lvlText w:val="%1."/>
      <w:numFmt w:val="upperLetter"/>
      <w:start w:val="1"/>
    </w:lvl>
  </w:abstractNum>
  <w:abstractNum w:abstractNumId="91">
    <w:nsid w:val="23D86AAC"/>
    <w:multiLevelType w:val="hybridMultilevel"/>
    <w:lvl w:ilvl="0">
      <w:lvlJc w:val="left"/>
      <w:lvlText w:val="%1:"/>
      <w:numFmt w:val="upperLetter"/>
      <w:start w:val="17"/>
    </w:lvl>
  </w:abstractNum>
  <w:abstractNum w:abstractNumId="92">
    <w:nsid w:val="45E6D486"/>
    <w:multiLevelType w:val="hybridMultilevel"/>
    <w:lvl w:ilvl="0">
      <w:lvlJc w:val="left"/>
      <w:lvlText w:val="%1."/>
      <w:numFmt w:val="upperLetter"/>
      <w:start w:val="1"/>
    </w:lvl>
  </w:abstractNum>
  <w:abstractNum w:abstractNumId="93">
    <w:nsid w:val="5C10FE21"/>
    <w:multiLevelType w:val="hybridMultilevel"/>
    <w:lvl w:ilvl="0">
      <w:lvlJc w:val="left"/>
      <w:lvlText w:val="%1:"/>
      <w:numFmt w:val="upperLetter"/>
      <w:start w:val="17"/>
    </w:lvl>
  </w:abstractNum>
  <w:abstractNum w:abstractNumId="94">
    <w:nsid w:val="E7FFA2B"/>
    <w:multiLevelType w:val="hybridMultilevel"/>
    <w:lvl w:ilvl="0">
      <w:lvlJc w:val="left"/>
      <w:lvlText w:val="%1."/>
      <w:numFmt w:val="upperLetter"/>
      <w:start w:val="1"/>
    </w:lvl>
  </w:abstractNum>
  <w:abstractNum w:abstractNumId="95">
    <w:nsid w:val="3C5991AA"/>
    <w:multiLevelType w:val="hybridMultilevel"/>
    <w:lvl w:ilvl="0">
      <w:lvlJc w:val="left"/>
      <w:lvlText w:val="%1:"/>
      <w:numFmt w:val="upperLetter"/>
      <w:start w:val="17"/>
    </w:lvl>
  </w:abstractNum>
  <w:abstractNum w:abstractNumId="96">
    <w:nsid w:val="4BD8591A"/>
    <w:multiLevelType w:val="hybridMultilevel"/>
    <w:lvl w:ilvl="0">
      <w:lvlJc w:val="left"/>
      <w:lvlText w:val="%1:"/>
      <w:numFmt w:val="upperLetter"/>
      <w:start w:val="1"/>
    </w:lvl>
  </w:abstractNum>
  <w:abstractNum w:abstractNumId="97">
    <w:nsid w:val="78DF6A55"/>
    <w:multiLevelType w:val="hybridMultilevel"/>
    <w:lvl w:ilvl="0">
      <w:lvlJc w:val="left"/>
      <w:lvlText w:val="%1:"/>
      <w:numFmt w:val="upperLetter"/>
      <w:start w:val="1"/>
    </w:lvl>
  </w:abstractNum>
  <w:abstractNum w:abstractNumId="98">
    <w:nsid w:val="39B7AAA2"/>
    <w:multiLevelType w:val="hybridMultilevel"/>
    <w:lvl w:ilvl="0">
      <w:lvlJc w:val="left"/>
      <w:lvlText w:val="•"/>
      <w:numFmt w:val="bullet"/>
      <w:start w:val="1"/>
    </w:lvl>
  </w:abstractNum>
  <w:abstractNum w:abstractNumId="99">
    <w:nsid w:val="2B0D8DBE"/>
    <w:multiLevelType w:val="hybridMultilevel"/>
    <w:lvl w:ilvl="0">
      <w:lvlJc w:val="left"/>
      <w:lvlText w:val="•"/>
      <w:numFmt w:val="bullet"/>
      <w:start w:val="1"/>
    </w:lvl>
    <w:lvl w:ilvl="1">
      <w:lvlJc w:val="left"/>
      <w:lvlText w:val="(%2)"/>
      <w:numFmt w:val="lowerRoman"/>
      <w:start w:val="2"/>
    </w:lvl>
  </w:abstractNum>
  <w:abstractNum w:abstractNumId="100">
    <w:nsid w:val="6C80EC70"/>
    <w:multiLevelType w:val="hybridMultilevel"/>
    <w:lvl w:ilvl="0">
      <w:lvlJc w:val="left"/>
      <w:lvlText w:val="(%1)"/>
      <w:numFmt w:val="lowerLetter"/>
      <w:start w:val="1"/>
    </w:lvl>
    <w:lvl w:ilvl="1">
      <w:lvlJc w:val="left"/>
      <w:lvlText w:val="(%2)"/>
      <w:numFmt w:val="decimal"/>
      <w:start w:val="1"/>
    </w:lvl>
  </w:abstractNum>
  <w:abstractNum w:abstractNumId="101">
    <w:nsid w:val="379E21B5"/>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2"/>
    </w:lvl>
  </w:abstractNum>
  <w:abstractNum w:abstractNumId="102">
    <w:nsid w:val="69E373"/>
    <w:multiLevelType w:val="hybridMultilevel"/>
    <w:lvl w:ilvl="0">
      <w:lvlJc w:val="left"/>
      <w:lvlText w:val="%1"/>
      <w:numFmt w:val="lowerLetter"/>
      <w:start w:val="1"/>
    </w:lvl>
    <w:lvl w:ilvl="1">
      <w:lvlJc w:val="left"/>
      <w:lvlText w:val="(%2)"/>
      <w:numFmt w:val="lowerLetter"/>
      <w:start w:val="7"/>
    </w:lvl>
    <w:lvl w:ilvl="2">
      <w:lvlJc w:val="left"/>
      <w:lvlText w:val="%3"/>
      <w:numFmt w:val="decimal"/>
      <w:start w:val="1"/>
    </w:lvl>
  </w:abstractNum>
  <w:abstractNum w:abstractNumId="103">
    <w:nsid w:val="2C27173B"/>
    <w:multiLevelType w:val="hybridMultilevel"/>
    <w:lvl w:ilvl="0">
      <w:lvlJc w:val="left"/>
      <w:lvlText w:val="(%1)"/>
      <w:numFmt w:val="lowerLetter"/>
      <w:start w:val="35"/>
    </w:lvl>
    <w:lvl w:ilvl="1">
      <w:lvlJc w:val="left"/>
      <w:lvlText w:val="%2"/>
      <w:numFmt w:val="lowerLetter"/>
      <w:start w:val="1"/>
    </w:lvl>
    <w:lvl w:ilvl="2">
      <w:lvlJc w:val="left"/>
      <w:lvlText w:val="%3"/>
      <w:numFmt w:val="decimal"/>
      <w:start w:val="1"/>
    </w:lvl>
  </w:abstractNum>
  <w:abstractNum w:abstractNumId="104">
    <w:nsid w:val="4C9B0904"/>
    <w:multiLevelType w:val="hybridMultilevel"/>
    <w:lvl w:ilvl="0">
      <w:lvlJc w:val="left"/>
      <w:lvlText w:val="(%1)"/>
      <w:numFmt w:val="lowerLetter"/>
      <w:start w:val="10"/>
    </w:lvl>
  </w:abstractNum>
  <w:abstractNum w:abstractNumId="105">
    <w:nsid w:val="6AA7B75C"/>
    <w:multiLevelType w:val="hybridMultilevel"/>
    <w:lvl w:ilvl="0">
      <w:lvlJc w:val="left"/>
      <w:lvlText w:val="(%1)"/>
      <w:numFmt w:val="lowerLetter"/>
      <w:start w:val="22"/>
    </w:lvl>
  </w:abstractNum>
  <w:abstractNum w:abstractNumId="106">
    <w:nsid w:val="1DF029D3"/>
    <w:multiLevelType w:val="hybridMultilevel"/>
    <w:lvl w:ilvl="0">
      <w:lvlJc w:val="left"/>
      <w:lvlText w:val="(%1)"/>
      <w:numFmt w:val="lowerLetter"/>
      <w:start w:val="26"/>
    </w:lvl>
  </w:abstractNum>
  <w:abstractNum w:abstractNumId="107">
    <w:nsid w:val="5675FF36"/>
    <w:multiLevelType w:val="hybridMultilevel"/>
    <w:lvl w:ilvl="0">
      <w:lvlJc w:val="left"/>
      <w:lvlText w:val="%1"/>
      <w:numFmt w:val="decimal"/>
      <w:start w:val="1"/>
    </w:lvl>
    <w:lvl w:ilvl="1">
      <w:lvlJc w:val="left"/>
      <w:lvlText w:val="(%2)"/>
      <w:numFmt w:val="lowerLetter"/>
      <w:start w:val="27"/>
    </w:lvl>
  </w:abstractNum>
  <w:abstractNum w:abstractNumId="108">
    <w:nsid w:val="3DD15094"/>
    <w:multiLevelType w:val="hybridMultilevel"/>
    <w:lvl w:ilvl="0">
      <w:lvlJc w:val="left"/>
      <w:lvlText w:val="(%1)"/>
      <w:numFmt w:val="decimal"/>
      <w:start w:val="3"/>
    </w:lvl>
    <w:lvl w:ilvl="1">
      <w:lvlJc w:val="left"/>
      <w:lvlText w:val="(%2)"/>
      <w:numFmt w:val="lowerLetter"/>
      <w:start w:val="31"/>
    </w:lvl>
  </w:abstractNum>
  <w:abstractNum w:abstractNumId="109">
    <w:nsid w:val="3DB012B3"/>
    <w:multiLevelType w:val="hybridMultilevel"/>
    <w:lvl w:ilvl="0">
      <w:lvlJc w:val="left"/>
      <w:lvlText w:val="(%1)"/>
      <w:numFmt w:val="lowerLetter"/>
      <w:start w:val="1"/>
    </w:lvl>
  </w:abstractNum>
  <w:abstractNum w:abstractNumId="110">
    <w:nsid w:val="2708C9AF"/>
    <w:multiLevelType w:val="hybridMultilevel"/>
    <w:lvl w:ilvl="0">
      <w:lvlJc w:val="left"/>
      <w:lvlText w:val="(%1)"/>
      <w:numFmt w:val="lowerLetter"/>
      <w:start w:val="9"/>
    </w:lvl>
  </w:abstractNum>
  <w:abstractNum w:abstractNumId="111">
    <w:nsid w:val="5B25ACE2"/>
    <w:multiLevelType w:val="hybridMultilevel"/>
    <w:lvl w:ilvl="0">
      <w:lvlJc w:val="left"/>
      <w:lvlText w:val="(%1)"/>
      <w:numFmt w:val="decimal"/>
      <w:start w:val="1"/>
    </w:lvl>
  </w:abstractNum>
  <w:abstractNum w:abstractNumId="112">
    <w:nsid w:val="175DFCF0"/>
    <w:multiLevelType w:val="hybridMultilevel"/>
    <w:lvl w:ilvl="0">
      <w:lvlJc w:val="left"/>
      <w:lvlText w:val="(%1)"/>
      <w:numFmt w:val="lowerRoman"/>
      <w:start w:val="3"/>
    </w:lvl>
  </w:abstractNum>
  <w:abstractNum w:abstractNumId="113">
    <w:nsid w:val="4F97E3E4"/>
    <w:multiLevelType w:val="hybridMultilevel"/>
    <w:lvl w:ilvl="0">
      <w:lvlJc w:val="left"/>
      <w:lvlText w:val="(%1)"/>
      <w:numFmt w:val="lowerLetter"/>
      <w:start w:val="1"/>
    </w:lvl>
  </w:abstractNum>
  <w:abstractNum w:abstractNumId="114">
    <w:nsid w:val="53B0A9E"/>
    <w:multiLevelType w:val="hybridMultilevel"/>
    <w:lvl w:ilvl="0">
      <w:lvlJc w:val="left"/>
      <w:lvlText w:val="(%1)"/>
      <w:numFmt w:val="lowerLetter"/>
      <w:start w:val="2"/>
    </w:lvl>
  </w:abstractNum>
  <w:abstractNum w:abstractNumId="115">
    <w:nsid w:val="34FD6B4F"/>
    <w:multiLevelType w:val="hybridMultilevel"/>
    <w:lvl w:ilvl="0">
      <w:lvlJc w:val="left"/>
      <w:lvlText w:val="%1"/>
      <w:numFmt w:val="lowerLetter"/>
      <w:start w:val="1"/>
    </w:lvl>
    <w:lvl w:ilvl="1">
      <w:lvlJc w:val="left"/>
      <w:lvlText w:val="(%2)"/>
      <w:numFmt w:val="lowerLetter"/>
      <w:start w:val="1"/>
    </w:lvl>
  </w:abstractNum>
  <w:abstractNum w:abstractNumId="116">
    <w:nsid w:val="5915FF32"/>
    <w:multiLevelType w:val="hybridMultilevel"/>
    <w:lvl w:ilvl="0">
      <w:lvlJc w:val="left"/>
      <w:lvlText w:val="(%1)"/>
      <w:numFmt w:val="lowerLetter"/>
      <w:start w:val="9"/>
    </w:lvl>
    <w:lvl w:ilvl="1">
      <w:lvlJc w:val="left"/>
      <w:lvlText w:val="(%2)"/>
      <w:numFmt w:val="lowerLetter"/>
      <w:start w:val="2"/>
    </w:lvl>
  </w:abstractNum>
  <w:abstractNum w:abstractNumId="117">
    <w:nsid w:val="56438D15"/>
    <w:multiLevelType w:val="hybridMultilevel"/>
    <w:lvl w:ilvl="0">
      <w:lvlJc w:val="left"/>
      <w:lvlText w:val="(%1)"/>
      <w:numFmt w:val="lowerLetter"/>
      <w:start w:val="1"/>
    </w:lvl>
  </w:abstractNum>
  <w:abstractNum w:abstractNumId="118">
    <w:nsid w:val="519E3149"/>
    <w:multiLevelType w:val="hybridMultilevel"/>
    <w:lvl w:ilvl="0">
      <w:lvlJc w:val="left"/>
      <w:lvlText w:val="(%1)"/>
      <w:numFmt w:val="lowerLetter"/>
      <w:start w:val="1"/>
    </w:lvl>
  </w:abstractNum>
  <w:abstractNum w:abstractNumId="119">
    <w:nsid w:val="2C6E4AFD"/>
    <w:multiLevelType w:val="hybridMultilevel"/>
    <w:lvl w:ilvl="0">
      <w:lvlJc w:val="left"/>
      <w:lvlText w:val="(%1)"/>
      <w:numFmt w:val="lowerLetter"/>
      <w:start w:val="3"/>
    </w:lvl>
  </w:abstractNum>
  <w:abstractNum w:abstractNumId="120">
    <w:nsid w:val="17A1B582"/>
    <w:multiLevelType w:val="hybridMultilevel"/>
    <w:lvl w:ilvl="0">
      <w:lvlJc w:val="left"/>
      <w:lvlText w:val="(%1)"/>
      <w:numFmt w:val="lowerLetter"/>
      <w:start w:val="1"/>
    </w:lvl>
  </w:abstractNum>
  <w:abstractNum w:abstractNumId="121">
    <w:nsid w:val="4DF72E4E"/>
    <w:multiLevelType w:val="hybridMultilevel"/>
    <w:lvl w:ilvl="0">
      <w:lvlJc w:val="left"/>
      <w:lvlText w:val="(%1)"/>
      <w:numFmt w:val="lowerRoman"/>
      <w:start w:val="2"/>
    </w:lvl>
  </w:abstractNum>
  <w:abstractNum w:abstractNumId="122">
    <w:nsid w:val="5046B5A9"/>
    <w:multiLevelType w:val="hybridMultilevel"/>
    <w:lvl w:ilvl="0">
      <w:lvlJc w:val="left"/>
      <w:lvlText w:val="(%1)"/>
      <w:numFmt w:val="lowerLetter"/>
      <w:start w:val="1"/>
    </w:lvl>
  </w:abstractNum>
  <w:abstractNum w:abstractNumId="123">
    <w:nsid w:val="5D888A08"/>
    <w:multiLevelType w:val="hybridMultilevel"/>
    <w:lvl w:ilvl="0">
      <w:lvlJc w:val="left"/>
      <w:lvlText w:val="%1"/>
      <w:numFmt w:val="lowerLetter"/>
      <w:start w:val="1"/>
    </w:lvl>
    <w:lvl w:ilvl="1">
      <w:lvlJc w:val="left"/>
      <w:lvlText w:val="(%2)"/>
      <w:numFmt w:val="lowerLetter"/>
      <w:start w:val="2"/>
    </w:lvl>
  </w:abstractNum>
  <w:abstractNum w:abstractNumId="124">
    <w:nsid w:val="2A082C70"/>
    <w:multiLevelType w:val="hybridMultilevel"/>
    <w:lvl w:ilvl="0">
      <w:lvlJc w:val="left"/>
      <w:lvlText w:val="(%1)"/>
      <w:numFmt w:val="lowerLetter"/>
      <w:start w:val="9"/>
    </w:lvl>
    <w:lvl w:ilvl="1">
      <w:lvlJc w:val="left"/>
      <w:lvlText w:val="%2"/>
      <w:numFmt w:val="lowerLetter"/>
      <w:start w:val="1"/>
    </w:lvl>
  </w:abstractNum>
  <w:abstractNum w:abstractNumId="125">
    <w:nsid w:val="5EC6AFD4"/>
    <w:multiLevelType w:val="hybridMultilevel"/>
    <w:lvl w:ilvl="0">
      <w:lvlJc w:val="left"/>
      <w:lvlText w:val="(%1)"/>
      <w:numFmt w:val="lowerRoman"/>
      <w:start w:val="3"/>
    </w:lvl>
  </w:abstractNum>
  <w:abstractNum w:abstractNumId="126">
    <w:nsid w:val="19E21BB2"/>
    <w:multiLevelType w:val="hybridMultilevel"/>
    <w:lvl w:ilvl="0">
      <w:lvlJc w:val="left"/>
      <w:lvlText w:val="(%1)"/>
      <w:numFmt w:val="lowerLetter"/>
      <w:start w:val="1"/>
    </w:lvl>
  </w:abstractNum>
  <w:abstractNum w:abstractNumId="127">
    <w:nsid w:val="75E0858A"/>
    <w:multiLevelType w:val="hybridMultilevel"/>
    <w:lvl w:ilvl="0">
      <w:lvlJc w:val="left"/>
      <w:lvlText w:val="(%1)"/>
      <w:numFmt w:val="lowerLetter"/>
      <w:start w:val="1"/>
    </w:lvl>
  </w:abstractNum>
  <w:abstractNum w:abstractNumId="128">
    <w:nsid w:val="57A61A29"/>
    <w:multiLevelType w:val="hybridMultilevel"/>
    <w:lvl w:ilvl="0">
      <w:lvlJc w:val="left"/>
      <w:lvlText w:val="(%1)"/>
      <w:numFmt w:val="lowerLetter"/>
      <w:start w:val="5"/>
    </w:lvl>
  </w:abstractNum>
  <w:abstractNum w:abstractNumId="129">
    <w:nsid w:val="5399C654"/>
    <w:multiLevelType w:val="hybridMultilevel"/>
    <w:lvl w:ilvl="0">
      <w:lvlJc w:val="left"/>
      <w:lvlText w:val="(%1)"/>
      <w:numFmt w:val="lowerLetter"/>
      <w:start w:val="6"/>
    </w:lvl>
  </w:abstractNum>
  <w:abstractNum w:abstractNumId="130">
    <w:nsid w:val="20EE1348"/>
    <w:multiLevelType w:val="hybridMultilevel"/>
    <w:lvl w:ilvl="0">
      <w:lvlJc w:val="left"/>
      <w:lvlText w:val="(%1)"/>
      <w:numFmt w:val="lowerLetter"/>
      <w:start w:val="1"/>
    </w:lvl>
  </w:abstractNum>
  <w:abstractNum w:abstractNumId="131">
    <w:nsid w:val="4427069A"/>
    <w:multiLevelType w:val="hybridMultilevel"/>
    <w:lvl w:ilvl="0">
      <w:lvlJc w:val="left"/>
      <w:lvlText w:val="(%1)"/>
      <w:numFmt w:val="lowerLetter"/>
      <w:start w:val="2"/>
    </w:lvl>
  </w:abstractNum>
  <w:abstractNum w:abstractNumId="132">
    <w:nsid w:val="B37E80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jpe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2020-01-20T05:18:19Z</dcterms:created>
  <dcterms:modified xsi:type="dcterms:W3CDTF">2020-01-20T05:18:19Z</dcterms:modified>
</cp:coreProperties>
</file>