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7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ANNUAL REPORT PURSUANT TO SECTION 15(d) OF THE SECURITIES EXCHANGE ACT OF 1934.</w:t>
      </w:r>
    </w:p>
    <w:p>
      <w:pPr>
        <w:spacing w:after="0" w:line="213" w:lineRule="exact"/>
        <w:rPr>
          <w:rFonts w:ascii="MS PGothic" w:cs="MS PGothic" w:eastAsia="MS PGothic" w:hAnsi="MS PGothic"/>
          <w:sz w:val="22"/>
          <w:szCs w:val="22"/>
          <w:color w:val="auto"/>
        </w:rPr>
      </w:pPr>
    </w:p>
    <w:p>
      <w:pPr>
        <w:ind w:left="6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fiscal year ended December 31, 2019</w:t>
      </w:r>
    </w:p>
    <w:p>
      <w:pPr>
        <w:spacing w:after="0" w:line="239"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 1934</w:t>
      </w:r>
    </w:p>
    <w:p>
      <w:pPr>
        <w:spacing w:after="0" w:line="248" w:lineRule="exact"/>
        <w:rPr>
          <w:sz w:val="24"/>
          <w:szCs w:val="24"/>
          <w:color w:val="auto"/>
        </w:rPr>
      </w:pPr>
    </w:p>
    <w:p>
      <w:pPr>
        <w:ind w:left="660"/>
        <w:spacing w:after="0"/>
        <w:tabs>
          <w:tab w:leader="none" w:pos="4460" w:val="left"/>
          <w:tab w:leader="none" w:pos="55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2"/>
          <w:szCs w:val="22"/>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2258060</wp:posOffset>
            </wp:positionH>
            <wp:positionV relativeFrom="paragraph">
              <wp:posOffset>-13970</wp:posOffset>
            </wp:positionV>
            <wp:extent cx="1245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165"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Commission File Number  1-12273</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22"/>
          <w:szCs w:val="22"/>
          <w:color w:val="auto"/>
        </w:rPr>
        <w:t>A. Full title of the plan and the address of the plan, if different from that of the issuer named below:</w:t>
      </w:r>
    </w:p>
    <w:p>
      <w:pPr>
        <w:spacing w:after="0" w:line="22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ROPER Technologies, Inc.</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EMPLOYEE’S Retirement Savings 003 Plan</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B. Name of the issuer of the securities held pursuant to the plan and the address of its principal executive office: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Roper Technologies, Inc.</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6901 Professional Parkway East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Suite 200</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Sarasota, FL 34240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80"/>
          </w:cols>
          <w:pgMar w:left="320" w:top="1440" w:right="4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003 PLAN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Financial Statements, Supplemental Schedules and Exhibits</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620" w:type="dxa"/>
            <w:vAlign w:val="bottom"/>
          </w:tcPr>
          <w:p>
            <w:pPr>
              <w:spacing w:after="0"/>
              <w:rPr>
                <w:sz w:val="22"/>
                <w:szCs w:val="22"/>
                <w:color w:val="auto"/>
              </w:rPr>
            </w:pPr>
          </w:p>
        </w:tc>
        <w:tc>
          <w:tcPr>
            <w:tcW w:w="3580" w:type="dxa"/>
            <w:vAlign w:val="bottom"/>
          </w:tcPr>
          <w:p>
            <w:pPr>
              <w:jc w:val="right"/>
              <w:ind w:right="861"/>
              <w:spacing w:after="0"/>
              <w:rPr>
                <w:sz w:val="20"/>
                <w:szCs w:val="20"/>
                <w:color w:val="auto"/>
              </w:rPr>
            </w:pPr>
            <w:r>
              <w:rPr>
                <w:rFonts w:ascii="Arial" w:cs="Arial" w:eastAsia="Arial" w:hAnsi="Arial"/>
                <w:sz w:val="20"/>
                <w:szCs w:val="20"/>
                <w:b w:val="1"/>
                <w:bCs w:val="1"/>
                <w:color w:val="auto"/>
              </w:rPr>
              <w:t>Contents</w:t>
            </w:r>
          </w:p>
        </w:tc>
      </w:tr>
      <w:tr>
        <w:trPr>
          <w:trHeight w:val="284"/>
        </w:trPr>
        <w:tc>
          <w:tcPr>
            <w:tcW w:w="762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3580" w:type="dxa"/>
            <w:vAlign w:val="bottom"/>
          </w:tcPr>
          <w:p>
            <w:pPr>
              <w:jc w:val="right"/>
              <w:spacing w:after="0"/>
              <w:rPr>
                <w:rFonts w:ascii="Arial" w:cs="Arial" w:eastAsia="Arial" w:hAnsi="Arial"/>
                <w:sz w:val="20"/>
                <w:szCs w:val="20"/>
                <w:color w:val="0000FF"/>
              </w:rPr>
            </w:pPr>
            <w:hyperlink w:anchor="page2">
              <w:r>
                <w:rPr>
                  <w:rFonts w:ascii="Arial" w:cs="Arial" w:eastAsia="Arial" w:hAnsi="Arial"/>
                  <w:sz w:val="20"/>
                  <w:szCs w:val="20"/>
                  <w:color w:val="0000FF"/>
                </w:rPr>
                <w:t>3</w:t>
              </w:r>
            </w:hyperlink>
          </w:p>
        </w:tc>
      </w:tr>
      <w:tr>
        <w:trPr>
          <w:trHeight w:val="553"/>
        </w:trPr>
        <w:tc>
          <w:tcPr>
            <w:tcW w:w="7620" w:type="dxa"/>
            <w:vAlign w:val="bottom"/>
          </w:tcPr>
          <w:p>
            <w:pPr>
              <w:spacing w:after="0"/>
              <w:rPr>
                <w:sz w:val="20"/>
                <w:szCs w:val="20"/>
                <w:color w:val="auto"/>
              </w:rPr>
            </w:pPr>
            <w:r>
              <w:rPr>
                <w:rFonts w:ascii="Arial" w:cs="Arial" w:eastAsia="Arial" w:hAnsi="Arial"/>
                <w:sz w:val="20"/>
                <w:szCs w:val="20"/>
                <w:color w:val="auto"/>
              </w:rPr>
              <w:t>Statements of Net Assets Available for Benefits</w:t>
            </w:r>
          </w:p>
        </w:tc>
        <w:tc>
          <w:tcPr>
            <w:tcW w:w="3580" w:type="dxa"/>
            <w:vAlign w:val="bottom"/>
          </w:tcPr>
          <w:p>
            <w:pPr>
              <w:jc w:val="right"/>
              <w:spacing w:after="0"/>
              <w:rPr>
                <w:rFonts w:ascii="Arial" w:cs="Arial" w:eastAsia="Arial" w:hAnsi="Arial"/>
                <w:sz w:val="20"/>
                <w:szCs w:val="20"/>
                <w:color w:val="0000FF"/>
              </w:rPr>
            </w:pPr>
            <w:hyperlink w:anchor="page4">
              <w:r>
                <w:rPr>
                  <w:rFonts w:ascii="Arial" w:cs="Arial" w:eastAsia="Arial" w:hAnsi="Arial"/>
                  <w:sz w:val="20"/>
                  <w:szCs w:val="20"/>
                  <w:color w:val="0000FF"/>
                </w:rPr>
                <w:t>5</w:t>
              </w:r>
            </w:hyperlink>
          </w:p>
        </w:tc>
      </w:tr>
      <w:tr>
        <w:trPr>
          <w:trHeight w:val="553"/>
        </w:trPr>
        <w:tc>
          <w:tcPr>
            <w:tcW w:w="7620" w:type="dxa"/>
            <w:vAlign w:val="bottom"/>
          </w:tcPr>
          <w:p>
            <w:pPr>
              <w:spacing w:after="0"/>
              <w:rPr>
                <w:sz w:val="20"/>
                <w:szCs w:val="20"/>
                <w:color w:val="auto"/>
              </w:rPr>
            </w:pPr>
            <w:r>
              <w:rPr>
                <w:rFonts w:ascii="Arial" w:cs="Arial" w:eastAsia="Arial" w:hAnsi="Arial"/>
                <w:sz w:val="20"/>
                <w:szCs w:val="20"/>
                <w:color w:val="auto"/>
              </w:rPr>
              <w:t>Statement of Changes in Net Assets Available for Benefits</w:t>
            </w:r>
          </w:p>
        </w:tc>
        <w:tc>
          <w:tcPr>
            <w:tcW w:w="3580" w:type="dxa"/>
            <w:vAlign w:val="bottom"/>
          </w:tcPr>
          <w:p>
            <w:pPr>
              <w:jc w:val="right"/>
              <w:spacing w:after="0"/>
              <w:rPr>
                <w:rFonts w:ascii="Arial" w:cs="Arial" w:eastAsia="Arial" w:hAnsi="Arial"/>
                <w:sz w:val="20"/>
                <w:szCs w:val="20"/>
                <w:color w:val="0000FF"/>
              </w:rPr>
            </w:pPr>
            <w:hyperlink w:anchor="page5">
              <w:r>
                <w:rPr>
                  <w:rFonts w:ascii="Arial" w:cs="Arial" w:eastAsia="Arial" w:hAnsi="Arial"/>
                  <w:sz w:val="20"/>
                  <w:szCs w:val="20"/>
                  <w:color w:val="0000FF"/>
                </w:rPr>
                <w:t>6</w:t>
              </w:r>
            </w:hyperlink>
          </w:p>
        </w:tc>
      </w:tr>
      <w:tr>
        <w:trPr>
          <w:trHeight w:val="553"/>
        </w:trPr>
        <w:tc>
          <w:tcPr>
            <w:tcW w:w="7620" w:type="dxa"/>
            <w:vAlign w:val="bottom"/>
          </w:tcPr>
          <w:p>
            <w:pPr>
              <w:spacing w:after="0"/>
              <w:rPr>
                <w:sz w:val="20"/>
                <w:szCs w:val="20"/>
                <w:color w:val="auto"/>
              </w:rPr>
            </w:pPr>
            <w:r>
              <w:rPr>
                <w:rFonts w:ascii="Arial" w:cs="Arial" w:eastAsia="Arial" w:hAnsi="Arial"/>
                <w:sz w:val="20"/>
                <w:szCs w:val="20"/>
                <w:color w:val="auto"/>
              </w:rPr>
              <w:t>Notes to the Financial Statements</w:t>
            </w:r>
          </w:p>
        </w:tc>
        <w:tc>
          <w:tcPr>
            <w:tcW w:w="3580" w:type="dxa"/>
            <w:vAlign w:val="bottom"/>
          </w:tcPr>
          <w:p>
            <w:pPr>
              <w:jc w:val="right"/>
              <w:spacing w:after="0"/>
              <w:rPr>
                <w:rFonts w:ascii="Arial" w:cs="Arial" w:eastAsia="Arial" w:hAnsi="Arial"/>
                <w:sz w:val="20"/>
                <w:szCs w:val="20"/>
                <w:color w:val="0000FF"/>
              </w:rPr>
            </w:pPr>
            <w:hyperlink w:anchor="page6">
              <w:r>
                <w:rPr>
                  <w:rFonts w:ascii="Arial" w:cs="Arial" w:eastAsia="Arial" w:hAnsi="Arial"/>
                  <w:sz w:val="20"/>
                  <w:szCs w:val="20"/>
                  <w:color w:val="0000FF"/>
                </w:rPr>
                <w:t>7</w:t>
              </w:r>
            </w:hyperlink>
          </w:p>
        </w:tc>
      </w:tr>
      <w:tr>
        <w:trPr>
          <w:trHeight w:val="553"/>
        </w:trPr>
        <w:tc>
          <w:tcPr>
            <w:tcW w:w="7620" w:type="dxa"/>
            <w:vAlign w:val="bottom"/>
          </w:tcPr>
          <w:p>
            <w:pPr>
              <w:spacing w:after="0"/>
              <w:rPr>
                <w:sz w:val="20"/>
                <w:szCs w:val="20"/>
                <w:color w:val="auto"/>
              </w:rPr>
            </w:pPr>
            <w:r>
              <w:rPr>
                <w:rFonts w:ascii="Arial" w:cs="Arial" w:eastAsia="Arial" w:hAnsi="Arial"/>
                <w:sz w:val="20"/>
                <w:szCs w:val="20"/>
                <w:color w:val="auto"/>
              </w:rPr>
              <w:t>Schedule H, Line 4(a), Schedule of Delinquent Participant Contributions</w:t>
            </w:r>
          </w:p>
        </w:tc>
        <w:tc>
          <w:tcPr>
            <w:tcW w:w="3580" w:type="dxa"/>
            <w:vAlign w:val="bottom"/>
          </w:tcPr>
          <w:p>
            <w:pPr>
              <w:jc w:val="right"/>
              <w:spacing w:after="0"/>
              <w:rPr>
                <w:rFonts w:ascii="Arial" w:cs="Arial" w:eastAsia="Arial" w:hAnsi="Arial"/>
                <w:sz w:val="20"/>
                <w:szCs w:val="20"/>
                <w:color w:val="0000FF"/>
              </w:rPr>
            </w:pPr>
            <w:hyperlink w:anchor="page10">
              <w:r>
                <w:rPr>
                  <w:rFonts w:ascii="Arial" w:cs="Arial" w:eastAsia="Arial" w:hAnsi="Arial"/>
                  <w:sz w:val="20"/>
                  <w:szCs w:val="20"/>
                  <w:color w:val="0000FF"/>
                </w:rPr>
                <w:t>14</w:t>
              </w:r>
            </w:hyperlink>
          </w:p>
        </w:tc>
      </w:tr>
      <w:tr>
        <w:trPr>
          <w:trHeight w:val="553"/>
        </w:trPr>
        <w:tc>
          <w:tcPr>
            <w:tcW w:w="7620" w:type="dxa"/>
            <w:vAlign w:val="bottom"/>
          </w:tcPr>
          <w:p>
            <w:pPr>
              <w:spacing w:after="0"/>
              <w:rPr>
                <w:sz w:val="20"/>
                <w:szCs w:val="20"/>
                <w:color w:val="auto"/>
              </w:rPr>
            </w:pPr>
            <w:r>
              <w:rPr>
                <w:rFonts w:ascii="Arial" w:cs="Arial" w:eastAsia="Arial" w:hAnsi="Arial"/>
                <w:sz w:val="20"/>
                <w:szCs w:val="20"/>
                <w:color w:val="auto"/>
              </w:rPr>
              <w:t>Schedule H, Line 4(i) – Schedule of Assets (Held at End of Year)</w:t>
            </w:r>
          </w:p>
        </w:tc>
        <w:tc>
          <w:tcPr>
            <w:tcW w:w="3580" w:type="dxa"/>
            <w:vAlign w:val="bottom"/>
          </w:tcPr>
          <w:p>
            <w:pPr>
              <w:jc w:val="right"/>
              <w:spacing w:after="0"/>
              <w:rPr>
                <w:rFonts w:ascii="Arial" w:cs="Arial" w:eastAsia="Arial" w:hAnsi="Arial"/>
                <w:sz w:val="20"/>
                <w:szCs w:val="20"/>
                <w:color w:val="0000FF"/>
              </w:rPr>
            </w:pPr>
            <w:hyperlink w:anchor="page11">
              <w:r>
                <w:rPr>
                  <w:rFonts w:ascii="Arial" w:cs="Arial" w:eastAsia="Arial" w:hAnsi="Arial"/>
                  <w:sz w:val="20"/>
                  <w:szCs w:val="20"/>
                  <w:color w:val="0000FF"/>
                </w:rPr>
                <w:t>15</w:t>
              </w:r>
            </w:hyperlink>
          </w:p>
        </w:tc>
      </w:tr>
      <w:tr>
        <w:trPr>
          <w:trHeight w:val="553"/>
        </w:trPr>
        <w:tc>
          <w:tcPr>
            <w:tcW w:w="7620" w:type="dxa"/>
            <w:vAlign w:val="bottom"/>
          </w:tcPr>
          <w:p>
            <w:pPr>
              <w:spacing w:after="0"/>
              <w:rPr>
                <w:sz w:val="20"/>
                <w:szCs w:val="20"/>
                <w:color w:val="auto"/>
              </w:rPr>
            </w:pPr>
            <w:r>
              <w:rPr>
                <w:rFonts w:ascii="Arial" w:cs="Arial" w:eastAsia="Arial" w:hAnsi="Arial"/>
                <w:sz w:val="20"/>
                <w:szCs w:val="20"/>
                <w:color w:val="auto"/>
              </w:rPr>
              <w:t>Signatures</w:t>
            </w:r>
          </w:p>
        </w:tc>
        <w:tc>
          <w:tcPr>
            <w:tcW w:w="3580" w:type="dxa"/>
            <w:vAlign w:val="bottom"/>
          </w:tcPr>
          <w:p>
            <w:pPr>
              <w:jc w:val="right"/>
              <w:spacing w:after="0"/>
              <w:rPr>
                <w:rFonts w:ascii="Arial" w:cs="Arial" w:eastAsia="Arial" w:hAnsi="Arial"/>
                <w:sz w:val="20"/>
                <w:szCs w:val="20"/>
                <w:color w:val="0000FF"/>
              </w:rPr>
            </w:pPr>
            <w:hyperlink w:anchor="page12">
              <w:r>
                <w:rPr>
                  <w:rFonts w:ascii="Arial" w:cs="Arial" w:eastAsia="Arial" w:hAnsi="Arial"/>
                  <w:sz w:val="20"/>
                  <w:szCs w:val="20"/>
                  <w:color w:val="0000FF"/>
                </w:rPr>
                <w:t>16</w:t>
              </w:r>
            </w:hyperlink>
          </w:p>
        </w:tc>
      </w:tr>
      <w:tr>
        <w:trPr>
          <w:trHeight w:val="554"/>
        </w:trPr>
        <w:tc>
          <w:tcPr>
            <w:tcW w:w="7620" w:type="dxa"/>
            <w:vAlign w:val="bottom"/>
          </w:tcPr>
          <w:p>
            <w:pPr>
              <w:spacing w:after="0"/>
              <w:rPr>
                <w:sz w:val="20"/>
                <w:szCs w:val="20"/>
                <w:color w:val="auto"/>
              </w:rPr>
            </w:pPr>
            <w:r>
              <w:rPr>
                <w:rFonts w:ascii="Arial" w:cs="Arial" w:eastAsia="Arial" w:hAnsi="Arial"/>
                <w:sz w:val="20"/>
                <w:szCs w:val="20"/>
                <w:color w:val="auto"/>
              </w:rPr>
              <w:t>Exhibits</w:t>
            </w:r>
          </w:p>
        </w:tc>
        <w:tc>
          <w:tcPr>
            <w:tcW w:w="3580" w:type="dxa"/>
            <w:vAlign w:val="bottom"/>
          </w:tcPr>
          <w:p>
            <w:pPr>
              <w:jc w:val="right"/>
              <w:spacing w:after="0"/>
              <w:rPr>
                <w:rFonts w:ascii="Arial" w:cs="Arial" w:eastAsia="Arial" w:hAnsi="Arial"/>
                <w:sz w:val="20"/>
                <w:szCs w:val="20"/>
                <w:color w:val="0000FF"/>
              </w:rPr>
            </w:pPr>
            <w:hyperlink w:anchor="page13">
              <w:r>
                <w:rPr>
                  <w:rFonts w:ascii="Arial" w:cs="Arial" w:eastAsia="Arial" w:hAnsi="Arial"/>
                  <w:sz w:val="20"/>
                  <w:szCs w:val="20"/>
                  <w:color w:val="0000FF"/>
                </w:rPr>
                <w:t>17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13"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Plan Administrator and Plan Participants of the Roper Technologies, Inc. Employees’ Retirement Savings 003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have audited the accompanying statements of net assets available for benefits of the Roper Technologies, Inc. Employees’ Retirement Savings 003 Plan (the Plan) as of December 31, 2019 and 2018, and the related statement of changes in net assets available for benefits for the year ended December 31, 2019, and the related notes and schedules (collectively referred to as the financial statements). In our opinion, the financial statements present fairly, in all material respects, the net assets available for benefits of the Plan as of December 31, 2019 and 2018, and the changes in net assets available for benefits for the year ended December 31, 2019, in conformity with accounting principles generally accepted in the United States of America.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23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supplemental information contained in Schedule of Delinquent Participant Contributions and Schedule of Assets (Held at End of Year)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supplemental information is fairly stated, in all material respects, in relation to the financial statements as a whole.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 Warren Averett,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Atlanta, Georgia June 24, 2020</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19" w:right="1440"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003 PLAN</w:t>
      </w:r>
    </w:p>
    <w:p>
      <w:pPr>
        <w:spacing w:after="0" w:line="226" w:lineRule="auto"/>
        <w:rPr>
          <w:sz w:val="20"/>
          <w:szCs w:val="20"/>
          <w:color w:val="auto"/>
        </w:rPr>
      </w:pPr>
      <w:r>
        <w:rPr>
          <w:rFonts w:ascii="Arial" w:cs="Arial" w:eastAsia="Arial" w:hAnsi="Arial"/>
          <w:sz w:val="20"/>
          <w:szCs w:val="20"/>
          <w:b w:val="1"/>
          <w:bCs w:val="1"/>
          <w:color w:val="auto"/>
        </w:rPr>
        <w:t>STATEMENTS OF NET ASSETS AVAILABLE FOR BENEFITS</w:t>
      </w:r>
    </w:p>
    <w:p>
      <w:pPr>
        <w:spacing w:after="0"/>
        <w:rPr>
          <w:sz w:val="20"/>
          <w:szCs w:val="20"/>
          <w:color w:val="auto"/>
        </w:rPr>
      </w:pPr>
      <w:r>
        <w:rPr>
          <w:rFonts w:ascii="Arial" w:cs="Arial" w:eastAsia="Arial" w:hAnsi="Arial"/>
          <w:sz w:val="20"/>
          <w:szCs w:val="20"/>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20" w:type="dxa"/>
            <w:vAlign w:val="bottom"/>
            <w:gridSpan w:val="2"/>
          </w:tcPr>
          <w:p>
            <w:pPr>
              <w:ind w:left="140"/>
              <w:spacing w:after="0"/>
              <w:rPr>
                <w:sz w:val="20"/>
                <w:szCs w:val="20"/>
                <w:color w:val="auto"/>
              </w:rPr>
            </w:pPr>
            <w:r>
              <w:rPr>
                <w:rFonts w:ascii="Arial" w:cs="Arial" w:eastAsia="Arial" w:hAnsi="Arial"/>
                <w:sz w:val="20"/>
                <w:szCs w:val="20"/>
                <w:b w:val="1"/>
                <w:bCs w:val="1"/>
                <w:color w:val="auto"/>
              </w:rPr>
              <w:t>December 31, 2019</w:t>
            </w:r>
          </w:p>
        </w:tc>
        <w:tc>
          <w:tcPr>
            <w:tcW w:w="260" w:type="dxa"/>
            <w:vAlign w:val="bottom"/>
          </w:tcPr>
          <w:p>
            <w:pPr>
              <w:spacing w:after="0"/>
              <w:rPr>
                <w:sz w:val="22"/>
                <w:szCs w:val="22"/>
                <w:color w:val="auto"/>
              </w:rPr>
            </w:pPr>
          </w:p>
        </w:tc>
        <w:tc>
          <w:tcPr>
            <w:tcW w:w="2160" w:type="dxa"/>
            <w:vAlign w:val="bottom"/>
          </w:tcPr>
          <w:p>
            <w:pPr>
              <w:jc w:val="right"/>
              <w:ind w:right="301"/>
              <w:spacing w:after="0"/>
              <w:rPr>
                <w:sz w:val="20"/>
                <w:szCs w:val="20"/>
                <w:color w:val="auto"/>
              </w:rPr>
            </w:pPr>
            <w:r>
              <w:rPr>
                <w:rFonts w:ascii="Arial" w:cs="Arial" w:eastAsia="Arial" w:hAnsi="Arial"/>
                <w:sz w:val="20"/>
                <w:szCs w:val="20"/>
                <w:b w:val="1"/>
                <w:bCs w:val="1"/>
                <w:color w:val="auto"/>
                <w:w w:val="96"/>
              </w:rPr>
              <w:t>December 31, 2018</w:t>
            </w:r>
          </w:p>
        </w:tc>
      </w:tr>
      <w:tr>
        <w:trPr>
          <w:trHeight w:val="23"/>
        </w:trPr>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61"/>
        </w:trPr>
        <w:tc>
          <w:tcPr>
            <w:tcW w:w="6220" w:type="dxa"/>
            <w:vAlign w:val="bottom"/>
          </w:tcPr>
          <w:p>
            <w:pPr>
              <w:ind w:left="120"/>
              <w:spacing w:after="0"/>
              <w:rPr>
                <w:sz w:val="20"/>
                <w:szCs w:val="20"/>
                <w:color w:val="auto"/>
              </w:rPr>
            </w:pPr>
            <w:r>
              <w:rPr>
                <w:rFonts w:ascii="Arial" w:cs="Arial" w:eastAsia="Arial" w:hAnsi="Arial"/>
                <w:sz w:val="20"/>
                <w:szCs w:val="20"/>
                <w:color w:val="auto"/>
              </w:rPr>
              <w:t>Investments, at fair value:</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3"/>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Mutual funds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49,292</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2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43,338</w:t>
            </w:r>
          </w:p>
        </w:tc>
      </w:tr>
      <w:tr>
        <w:trPr>
          <w:trHeight w:val="261"/>
        </w:trPr>
        <w:tc>
          <w:tcPr>
            <w:tcW w:w="6220" w:type="dxa"/>
            <w:vAlign w:val="bottom"/>
          </w:tcPr>
          <w:p>
            <w:pPr>
              <w:ind w:left="220"/>
              <w:spacing w:after="0"/>
              <w:rPr>
                <w:sz w:val="20"/>
                <w:szCs w:val="20"/>
                <w:color w:val="auto"/>
              </w:rPr>
            </w:pPr>
            <w:r>
              <w:rPr>
                <w:rFonts w:ascii="Arial" w:cs="Arial" w:eastAsia="Arial" w:hAnsi="Arial"/>
                <w:sz w:val="20"/>
                <w:szCs w:val="20"/>
                <w:color w:val="auto"/>
              </w:rPr>
              <w:t>Common/collective trust funds</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198,322</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jc w:val="right"/>
              <w:ind w:right="61"/>
              <w:spacing w:after="0"/>
              <w:rPr>
                <w:sz w:val="20"/>
                <w:szCs w:val="20"/>
                <w:color w:val="auto"/>
              </w:rPr>
            </w:pPr>
            <w:r>
              <w:rPr>
                <w:rFonts w:ascii="Arial" w:cs="Arial" w:eastAsia="Arial" w:hAnsi="Arial"/>
                <w:sz w:val="20"/>
                <w:szCs w:val="20"/>
                <w:color w:val="auto"/>
              </w:rPr>
              <w:t>170,013</w:t>
            </w:r>
          </w:p>
        </w:tc>
      </w:tr>
      <w:tr>
        <w:trPr>
          <w:trHeight w:val="2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83"/>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Roper Technologies, Inc. common stock</w:t>
            </w:r>
          </w:p>
        </w:tc>
        <w:tc>
          <w:tcPr>
            <w:tcW w:w="2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40,170</w:t>
            </w: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33,972</w:t>
            </w:r>
          </w:p>
        </w:tc>
      </w:tr>
      <w:tr>
        <w:trPr>
          <w:trHeight w:val="254"/>
        </w:trPr>
        <w:tc>
          <w:tcPr>
            <w:tcW w:w="6220" w:type="dxa"/>
            <w:vAlign w:val="bottom"/>
          </w:tcPr>
          <w:p>
            <w:pPr>
              <w:ind w:left="340"/>
              <w:spacing w:after="0"/>
              <w:rPr>
                <w:sz w:val="20"/>
                <w:szCs w:val="20"/>
                <w:color w:val="auto"/>
              </w:rPr>
            </w:pPr>
            <w:r>
              <w:rPr>
                <w:rFonts w:ascii="Arial" w:cs="Arial" w:eastAsia="Arial" w:hAnsi="Arial"/>
                <w:sz w:val="20"/>
                <w:szCs w:val="20"/>
                <w:color w:val="auto"/>
              </w:rPr>
              <w:t>Total investments, at fair value</w:t>
            </w:r>
          </w:p>
        </w:tc>
        <w:tc>
          <w:tcPr>
            <w:tcW w:w="26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287,784</w:t>
            </w:r>
          </w:p>
        </w:tc>
        <w:tc>
          <w:tcPr>
            <w:tcW w:w="1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16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247,323</w:t>
            </w:r>
          </w:p>
        </w:tc>
      </w:tr>
      <w:tr>
        <w:trPr>
          <w:trHeight w:val="23"/>
        </w:trPr>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90"/>
        </w:trPr>
        <w:tc>
          <w:tcPr>
            <w:tcW w:w="6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261"/>
        </w:trPr>
        <w:tc>
          <w:tcPr>
            <w:tcW w:w="6220" w:type="dxa"/>
            <w:vAlign w:val="bottom"/>
          </w:tcPr>
          <w:p>
            <w:pPr>
              <w:ind w:left="120"/>
              <w:spacing w:after="0"/>
              <w:rPr>
                <w:sz w:val="20"/>
                <w:szCs w:val="20"/>
                <w:color w:val="auto"/>
              </w:rPr>
            </w:pPr>
            <w:r>
              <w:rPr>
                <w:rFonts w:ascii="Arial" w:cs="Arial" w:eastAsia="Arial" w:hAnsi="Arial"/>
                <w:sz w:val="20"/>
                <w:szCs w:val="20"/>
                <w:color w:val="auto"/>
              </w:rPr>
              <w:t>Receivables:</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Participant contributions</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313</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324</w:t>
            </w:r>
          </w:p>
        </w:tc>
      </w:tr>
      <w:tr>
        <w:trPr>
          <w:trHeight w:val="261"/>
        </w:trPr>
        <w:tc>
          <w:tcPr>
            <w:tcW w:w="6220" w:type="dxa"/>
            <w:vAlign w:val="bottom"/>
          </w:tcPr>
          <w:p>
            <w:pPr>
              <w:ind w:left="220"/>
              <w:spacing w:after="0"/>
              <w:rPr>
                <w:sz w:val="20"/>
                <w:szCs w:val="20"/>
                <w:color w:val="auto"/>
              </w:rPr>
            </w:pPr>
            <w:r>
              <w:rPr>
                <w:rFonts w:ascii="Arial" w:cs="Arial" w:eastAsia="Arial" w:hAnsi="Arial"/>
                <w:sz w:val="20"/>
                <w:szCs w:val="20"/>
                <w:color w:val="auto"/>
              </w:rPr>
              <w:t>Employer contributions</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267</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jc w:val="right"/>
              <w:ind w:right="61"/>
              <w:spacing w:after="0"/>
              <w:rPr>
                <w:sz w:val="20"/>
                <w:szCs w:val="20"/>
                <w:color w:val="auto"/>
              </w:rPr>
            </w:pPr>
            <w:r>
              <w:rPr>
                <w:rFonts w:ascii="Arial" w:cs="Arial" w:eastAsia="Arial" w:hAnsi="Arial"/>
                <w:sz w:val="20"/>
                <w:szCs w:val="20"/>
                <w:color w:val="auto"/>
              </w:rPr>
              <w:t>20</w:t>
            </w:r>
          </w:p>
        </w:tc>
      </w:tr>
      <w:tr>
        <w:trPr>
          <w:trHeight w:val="2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83"/>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Notes receivable from participants</w:t>
            </w:r>
          </w:p>
        </w:tc>
        <w:tc>
          <w:tcPr>
            <w:tcW w:w="2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2,950</w:t>
            </w: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3,285</w:t>
            </w:r>
          </w:p>
        </w:tc>
      </w:tr>
      <w:tr>
        <w:trPr>
          <w:trHeight w:val="254"/>
        </w:trPr>
        <w:tc>
          <w:tcPr>
            <w:tcW w:w="6220" w:type="dxa"/>
            <w:vAlign w:val="bottom"/>
          </w:tcPr>
          <w:p>
            <w:pPr>
              <w:ind w:left="340"/>
              <w:spacing w:after="0"/>
              <w:rPr>
                <w:sz w:val="20"/>
                <w:szCs w:val="20"/>
                <w:color w:val="auto"/>
              </w:rPr>
            </w:pPr>
            <w:r>
              <w:rPr>
                <w:rFonts w:ascii="Arial" w:cs="Arial" w:eastAsia="Arial" w:hAnsi="Arial"/>
                <w:sz w:val="20"/>
                <w:szCs w:val="20"/>
                <w:color w:val="auto"/>
              </w:rPr>
              <w:t>Total receivables</w:t>
            </w:r>
          </w:p>
        </w:tc>
        <w:tc>
          <w:tcPr>
            <w:tcW w:w="26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3,530</w:t>
            </w:r>
          </w:p>
        </w:tc>
        <w:tc>
          <w:tcPr>
            <w:tcW w:w="1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16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3,629</w:t>
            </w:r>
          </w:p>
        </w:tc>
      </w:tr>
      <w:tr>
        <w:trPr>
          <w:trHeight w:val="23"/>
        </w:trPr>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91"/>
        </w:trPr>
        <w:tc>
          <w:tcPr>
            <w:tcW w:w="6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283"/>
        </w:trPr>
        <w:tc>
          <w:tcPr>
            <w:tcW w:w="622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21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291,314</w:t>
            </w:r>
          </w:p>
        </w:tc>
        <w:tc>
          <w:tcPr>
            <w:tcW w:w="180" w:type="dxa"/>
            <w:vAlign w:val="bottom"/>
          </w:tcPr>
          <w:p>
            <w:pPr>
              <w:spacing w:after="0"/>
              <w:rPr>
                <w:sz w:val="24"/>
                <w:szCs w:val="24"/>
                <w:color w:val="auto"/>
              </w:rPr>
            </w:pP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2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250,952</w:t>
            </w:r>
          </w:p>
        </w:tc>
      </w:tr>
      <w:tr>
        <w:trPr>
          <w:trHeight w:val="20"/>
        </w:trPr>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13"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003 PLAN</w:t>
      </w:r>
    </w:p>
    <w:p>
      <w:pPr>
        <w:spacing w:after="0" w:line="1" w:lineRule="exact"/>
        <w:rPr>
          <w:sz w:val="20"/>
          <w:szCs w:val="20"/>
          <w:color w:val="auto"/>
        </w:rPr>
      </w:pPr>
    </w:p>
    <w:p>
      <w:pPr>
        <w:ind w:right="4480"/>
        <w:spacing w:after="0" w:line="234" w:lineRule="auto"/>
        <w:rPr>
          <w:sz w:val="20"/>
          <w:szCs w:val="20"/>
          <w:color w:val="auto"/>
        </w:rPr>
      </w:pPr>
      <w:r>
        <w:rPr>
          <w:rFonts w:ascii="Arial" w:cs="Arial" w:eastAsia="Arial" w:hAnsi="Arial"/>
          <w:sz w:val="20"/>
          <w:szCs w:val="20"/>
          <w:b w:val="1"/>
          <w:bCs w:val="1"/>
          <w:color w:val="auto"/>
        </w:rPr>
        <w:t>STATEMENT OF CHANGES IN NET ASSETS AVAILABLE FOR BENEFITS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ind w:right="601"/>
              <w:spacing w:after="0"/>
              <w:rPr>
                <w:sz w:val="20"/>
                <w:szCs w:val="20"/>
                <w:color w:val="auto"/>
              </w:rPr>
            </w:pPr>
            <w:r>
              <w:rPr>
                <w:rFonts w:ascii="Arial" w:cs="Arial" w:eastAsia="Arial" w:hAnsi="Arial"/>
                <w:sz w:val="20"/>
                <w:szCs w:val="20"/>
                <w:b w:val="1"/>
                <w:bCs w:val="1"/>
                <w:color w:val="auto"/>
              </w:rPr>
              <w:t>Year Ended</w:t>
            </w:r>
          </w:p>
        </w:tc>
      </w:tr>
      <w:tr>
        <w:trPr>
          <w:trHeight w:val="256"/>
        </w:trPr>
        <w:tc>
          <w:tcPr>
            <w:tcW w:w="8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jc w:val="right"/>
              <w:ind w:right="301"/>
              <w:spacing w:after="0"/>
              <w:rPr>
                <w:sz w:val="20"/>
                <w:szCs w:val="20"/>
                <w:color w:val="auto"/>
              </w:rPr>
            </w:pPr>
            <w:r>
              <w:rPr>
                <w:rFonts w:ascii="Arial" w:cs="Arial" w:eastAsia="Arial" w:hAnsi="Arial"/>
                <w:sz w:val="20"/>
                <w:szCs w:val="20"/>
                <w:b w:val="1"/>
                <w:bCs w:val="1"/>
                <w:color w:val="auto"/>
                <w:w w:val="95"/>
              </w:rPr>
              <w:t>December 31, 2019</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ADDITIONS:</w:t>
            </w:r>
          </w:p>
        </w:tc>
        <w:tc>
          <w:tcPr>
            <w:tcW w:w="2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r>
      <w:tr>
        <w:trPr>
          <w:trHeight w:val="261"/>
        </w:trPr>
        <w:tc>
          <w:tcPr>
            <w:tcW w:w="8840" w:type="dxa"/>
            <w:vAlign w:val="bottom"/>
          </w:tcPr>
          <w:p>
            <w:pPr>
              <w:ind w:left="120"/>
              <w:spacing w:after="0"/>
              <w:rPr>
                <w:sz w:val="20"/>
                <w:szCs w:val="20"/>
                <w:color w:val="auto"/>
              </w:rPr>
            </w:pPr>
            <w:r>
              <w:rPr>
                <w:rFonts w:ascii="Arial" w:cs="Arial" w:eastAsia="Arial" w:hAnsi="Arial"/>
                <w:sz w:val="20"/>
                <w:szCs w:val="20"/>
                <w:color w:val="auto"/>
              </w:rPr>
              <w:t>Investment income:</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3"/>
        </w:trPr>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63"/>
        </w:trPr>
        <w:tc>
          <w:tcPr>
            <w:tcW w:w="8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Net appreciation in fair value of investments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49,002</w:t>
            </w:r>
          </w:p>
        </w:tc>
      </w:tr>
      <w:tr>
        <w:trPr>
          <w:trHeight w:val="261"/>
        </w:trPr>
        <w:tc>
          <w:tcPr>
            <w:tcW w:w="8840" w:type="dxa"/>
            <w:vAlign w:val="bottom"/>
          </w:tcPr>
          <w:p>
            <w:pPr>
              <w:ind w:left="220"/>
              <w:spacing w:after="0"/>
              <w:rPr>
                <w:sz w:val="20"/>
                <w:szCs w:val="20"/>
                <w:color w:val="auto"/>
              </w:rPr>
            </w:pPr>
            <w:r>
              <w:rPr>
                <w:rFonts w:ascii="Arial" w:cs="Arial" w:eastAsia="Arial" w:hAnsi="Arial"/>
                <w:sz w:val="20"/>
                <w:szCs w:val="20"/>
                <w:color w:val="auto"/>
              </w:rPr>
              <w:t>Interest and dividend income</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2,187</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Total investment income</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51,189</w:t>
            </w:r>
          </w:p>
        </w:tc>
      </w:tr>
      <w:tr>
        <w:trPr>
          <w:trHeight w:val="261"/>
        </w:trPr>
        <w:tc>
          <w:tcPr>
            <w:tcW w:w="8840" w:type="dxa"/>
            <w:vAlign w:val="bottom"/>
          </w:tcPr>
          <w:p>
            <w:pPr>
              <w:ind w:left="120"/>
              <w:spacing w:after="0"/>
              <w:rPr>
                <w:sz w:val="20"/>
                <w:szCs w:val="20"/>
                <w:color w:val="auto"/>
              </w:rPr>
            </w:pPr>
            <w:r>
              <w:rPr>
                <w:rFonts w:ascii="Arial" w:cs="Arial" w:eastAsia="Arial" w:hAnsi="Arial"/>
                <w:sz w:val="20"/>
                <w:szCs w:val="20"/>
                <w:color w:val="auto"/>
              </w:rPr>
              <w:t>Interest on notes receivable from participants</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159</w:t>
            </w:r>
          </w:p>
        </w:tc>
      </w:tr>
      <w:tr>
        <w:trPr>
          <w:trHeight w:val="23"/>
        </w:trPr>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63"/>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Contributions:</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r>
      <w:tr>
        <w:trPr>
          <w:trHeight w:val="261"/>
        </w:trPr>
        <w:tc>
          <w:tcPr>
            <w:tcW w:w="8840" w:type="dxa"/>
            <w:vAlign w:val="bottom"/>
          </w:tcPr>
          <w:p>
            <w:pPr>
              <w:ind w:left="220"/>
              <w:spacing w:after="0"/>
              <w:rPr>
                <w:sz w:val="20"/>
                <w:szCs w:val="20"/>
                <w:color w:val="auto"/>
              </w:rPr>
            </w:pPr>
            <w:r>
              <w:rPr>
                <w:rFonts w:ascii="Arial" w:cs="Arial" w:eastAsia="Arial" w:hAnsi="Arial"/>
                <w:sz w:val="20"/>
                <w:szCs w:val="20"/>
                <w:color w:val="auto"/>
              </w:rPr>
              <w:t>Participant</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9,321</w:t>
            </w:r>
          </w:p>
        </w:tc>
      </w:tr>
      <w:tr>
        <w:trPr>
          <w:trHeight w:val="23"/>
        </w:trPr>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64"/>
        </w:trPr>
        <w:tc>
          <w:tcPr>
            <w:tcW w:w="8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Employer contributions</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7,001</w:t>
            </w:r>
          </w:p>
        </w:tc>
      </w:tr>
      <w:tr>
        <w:trPr>
          <w:trHeight w:val="261"/>
        </w:trPr>
        <w:tc>
          <w:tcPr>
            <w:tcW w:w="8840" w:type="dxa"/>
            <w:vAlign w:val="bottom"/>
          </w:tcPr>
          <w:p>
            <w:pPr>
              <w:ind w:left="220"/>
              <w:spacing w:after="0"/>
              <w:rPr>
                <w:sz w:val="20"/>
                <w:szCs w:val="20"/>
                <w:color w:val="auto"/>
              </w:rPr>
            </w:pPr>
            <w:r>
              <w:rPr>
                <w:rFonts w:ascii="Arial" w:cs="Arial" w:eastAsia="Arial" w:hAnsi="Arial"/>
                <w:sz w:val="20"/>
                <w:szCs w:val="20"/>
                <w:color w:val="auto"/>
              </w:rPr>
              <w:t>Rollover contributions</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1,201</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77"/>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Total contributions</w:t>
            </w:r>
          </w:p>
        </w:tc>
        <w:tc>
          <w:tcPr>
            <w:tcW w:w="2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17,523</w:t>
            </w:r>
          </w:p>
        </w:tc>
      </w:tr>
      <w:tr>
        <w:trPr>
          <w:trHeight w:val="254"/>
        </w:trPr>
        <w:tc>
          <w:tcPr>
            <w:tcW w:w="8840" w:type="dxa"/>
            <w:vAlign w:val="bottom"/>
          </w:tcPr>
          <w:p>
            <w:pPr>
              <w:ind w:left="120"/>
              <w:spacing w:after="0"/>
              <w:rPr>
                <w:sz w:val="20"/>
                <w:szCs w:val="20"/>
                <w:color w:val="auto"/>
              </w:rPr>
            </w:pPr>
            <w:r>
              <w:rPr>
                <w:rFonts w:ascii="Arial" w:cs="Arial" w:eastAsia="Arial" w:hAnsi="Arial"/>
                <w:sz w:val="20"/>
                <w:szCs w:val="20"/>
                <w:color w:val="auto"/>
              </w:rPr>
              <w:t>Total additions</w:t>
            </w:r>
          </w:p>
        </w:tc>
        <w:tc>
          <w:tcPr>
            <w:tcW w:w="26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68,871</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91"/>
        </w:trPr>
        <w:tc>
          <w:tcPr>
            <w:tcW w:w="8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r>
      <w:tr>
        <w:trPr>
          <w:trHeight w:val="260"/>
        </w:trPr>
        <w:tc>
          <w:tcPr>
            <w:tcW w:w="8840" w:type="dxa"/>
            <w:vAlign w:val="bottom"/>
          </w:tcPr>
          <w:p>
            <w:pPr>
              <w:ind w:left="20"/>
              <w:spacing w:after="0"/>
              <w:rPr>
                <w:sz w:val="20"/>
                <w:szCs w:val="20"/>
                <w:color w:val="auto"/>
              </w:rPr>
            </w:pPr>
            <w:r>
              <w:rPr>
                <w:rFonts w:ascii="Arial" w:cs="Arial" w:eastAsia="Arial" w:hAnsi="Arial"/>
                <w:sz w:val="20"/>
                <w:szCs w:val="20"/>
                <w:b w:val="1"/>
                <w:bCs w:val="1"/>
                <w:color w:val="auto"/>
              </w:rPr>
              <w:t>DEDUCTIONS:</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3"/>
        </w:trPr>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64"/>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Benefits paid to participants</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28,210</w:t>
            </w:r>
          </w:p>
        </w:tc>
      </w:tr>
      <w:tr>
        <w:trPr>
          <w:trHeight w:val="260"/>
        </w:trPr>
        <w:tc>
          <w:tcPr>
            <w:tcW w:w="8840" w:type="dxa"/>
            <w:vAlign w:val="bottom"/>
          </w:tcPr>
          <w:p>
            <w:pPr>
              <w:ind w:left="120"/>
              <w:spacing w:after="0"/>
              <w:rPr>
                <w:sz w:val="20"/>
                <w:szCs w:val="20"/>
                <w:color w:val="auto"/>
              </w:rPr>
            </w:pPr>
            <w:r>
              <w:rPr>
                <w:rFonts w:ascii="Arial" w:cs="Arial" w:eastAsia="Arial" w:hAnsi="Arial"/>
                <w:sz w:val="20"/>
                <w:szCs w:val="20"/>
                <w:color w:val="auto"/>
              </w:rPr>
              <w:t>Administrative expenses</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163</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77"/>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Total deductions</w:t>
            </w:r>
          </w:p>
        </w:tc>
        <w:tc>
          <w:tcPr>
            <w:tcW w:w="2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28,373</w:t>
            </w:r>
          </w:p>
        </w:tc>
      </w:tr>
      <w:tr>
        <w:trPr>
          <w:trHeight w:val="290"/>
        </w:trPr>
        <w:tc>
          <w:tcPr>
            <w:tcW w:w="88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r>
      <w:tr>
        <w:trPr>
          <w:trHeight w:val="263"/>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INCREASE PRIOR TO PLAN TRANSFERS</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40,498</w:t>
            </w:r>
          </w:p>
        </w:tc>
      </w:tr>
      <w:tr>
        <w:trPr>
          <w:trHeight w:val="260"/>
        </w:trPr>
        <w:tc>
          <w:tcPr>
            <w:tcW w:w="8840" w:type="dxa"/>
            <w:vAlign w:val="bottom"/>
          </w:tcPr>
          <w:p>
            <w:pPr>
              <w:ind w:left="20"/>
              <w:spacing w:after="0"/>
              <w:rPr>
                <w:sz w:val="20"/>
                <w:szCs w:val="20"/>
                <w:color w:val="auto"/>
              </w:rPr>
            </w:pPr>
            <w:r>
              <w:rPr>
                <w:rFonts w:ascii="Arial" w:cs="Arial" w:eastAsia="Arial" w:hAnsi="Arial"/>
                <w:sz w:val="20"/>
                <w:szCs w:val="20"/>
                <w:b w:val="1"/>
                <w:bCs w:val="1"/>
                <w:color w:val="auto"/>
              </w:rPr>
              <w:t>NET TRANSFER TO AFFILIATED PLAN</w:t>
            </w:r>
          </w:p>
        </w:tc>
        <w:tc>
          <w:tcPr>
            <w:tcW w:w="260" w:type="dxa"/>
            <w:vAlign w:val="bottom"/>
          </w:tcPr>
          <w:p>
            <w:pPr>
              <w:spacing w:after="0"/>
              <w:rPr>
                <w:sz w:val="22"/>
                <w:szCs w:val="22"/>
                <w:color w:val="auto"/>
              </w:rPr>
            </w:pPr>
          </w:p>
        </w:tc>
        <w:tc>
          <w:tcPr>
            <w:tcW w:w="2140" w:type="dxa"/>
            <w:vAlign w:val="bottom"/>
          </w:tcPr>
          <w:p>
            <w:pPr>
              <w:jc w:val="right"/>
              <w:ind w:right="1"/>
              <w:spacing w:after="0"/>
              <w:rPr>
                <w:sz w:val="20"/>
                <w:szCs w:val="20"/>
                <w:color w:val="auto"/>
              </w:rPr>
            </w:pPr>
            <w:r>
              <w:rPr>
                <w:rFonts w:ascii="Arial" w:cs="Arial" w:eastAsia="Arial" w:hAnsi="Arial"/>
                <w:sz w:val="20"/>
                <w:szCs w:val="20"/>
                <w:color w:val="auto"/>
              </w:rPr>
              <w:t>(136)</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INCREASE IN NET ASSETS</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40,362</w:t>
            </w:r>
          </w:p>
        </w:tc>
      </w:tr>
      <w:tr>
        <w:trPr>
          <w:trHeight w:val="260"/>
        </w:trPr>
        <w:tc>
          <w:tcPr>
            <w:tcW w:w="884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 AT</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3"/>
        </w:trPr>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83"/>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Beginning of year</w:t>
            </w:r>
          </w:p>
        </w:tc>
        <w:tc>
          <w:tcPr>
            <w:tcW w:w="2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250,952</w:t>
            </w:r>
          </w:p>
        </w:tc>
      </w:tr>
      <w:tr>
        <w:trPr>
          <w:trHeight w:val="277"/>
        </w:trPr>
        <w:tc>
          <w:tcPr>
            <w:tcW w:w="8840" w:type="dxa"/>
            <w:vAlign w:val="bottom"/>
          </w:tcPr>
          <w:p>
            <w:pPr>
              <w:ind w:left="120"/>
              <w:spacing w:after="0"/>
              <w:rPr>
                <w:sz w:val="20"/>
                <w:szCs w:val="20"/>
                <w:color w:val="auto"/>
              </w:rPr>
            </w:pPr>
            <w:r>
              <w:rPr>
                <w:rFonts w:ascii="Arial" w:cs="Arial" w:eastAsia="Arial" w:hAnsi="Arial"/>
                <w:sz w:val="20"/>
                <w:szCs w:val="20"/>
                <w:color w:val="auto"/>
              </w:rPr>
              <w:t>End of year</w:t>
            </w: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21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291,314</w:t>
            </w: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003 PLAN</w:t>
      </w:r>
    </w:p>
    <w:p>
      <w:pPr>
        <w:spacing w:after="0"/>
        <w:rPr>
          <w:sz w:val="20"/>
          <w:szCs w:val="20"/>
          <w:color w:val="auto"/>
        </w:rPr>
      </w:pPr>
      <w:r>
        <w:rPr>
          <w:rFonts w:ascii="Arial" w:cs="Arial" w:eastAsia="Arial" w:hAnsi="Arial"/>
          <w:sz w:val="20"/>
          <w:szCs w:val="20"/>
          <w:b w:val="1"/>
          <w:bCs w:val="1"/>
          <w:color w:val="auto"/>
        </w:rPr>
        <w:t>Notes to Financial Statements</w:t>
      </w:r>
    </w:p>
    <w:p>
      <w:pPr>
        <w:spacing w:after="0"/>
        <w:rPr>
          <w:sz w:val="20"/>
          <w:szCs w:val="20"/>
          <w:color w:val="auto"/>
        </w:rPr>
      </w:pPr>
      <w:r>
        <w:rPr>
          <w:rFonts w:ascii="Arial" w:cs="Arial" w:eastAsia="Arial" w:hAnsi="Arial"/>
          <w:sz w:val="20"/>
          <w:szCs w:val="20"/>
          <w:b w:val="1"/>
          <w:bCs w:val="1"/>
          <w:color w:val="auto"/>
        </w:rPr>
        <w:t>December 31,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PLAN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following description of the Roper Technologies, Inc. Employees' Retirement Savings 003 Plan (the Plan) provides only general information. Participants should refer to the Plan agreement for a more complete description of the Plan's provisions.</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Plan is a defined contribution plan covering substantially all employees of certain subsidiaries of Roper Technologies, Inc. (the Company), who are age 18 or older. Eligible employees are able to enroll immediately upon their date of hire following meeting the eligibility requirements, as defined in the Plan document. Certain participants who become employees of the Company as a result of mergers or acquisitions are given credit for their prior service for purposes of determining eligibility and vesting. The Plan is subject to the provisions of the Employee Retirement Income Security Act of 1974 (ERISA), as amended. The Company’s Investment Committee determines the appropriateness of the Plan's investment offerings and monitors investment performance, as delegated by the Company's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Company serves as the Plan Administrator. The Plan Administrator has the responsibility to administer the Plan for the exclusive benefit of the participants and their beneficiaries. These duties include, but are not limited to, establishing procedures, maintaining records, interpreting provisions of the Plan, and making determinations regarding questions which may affect eligibility for benefits.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Contributions</w:t>
      </w:r>
    </w:p>
    <w:p>
      <w:pPr>
        <w:spacing w:after="0" w:line="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Each year, participants may contribute up to 50% of their eligible compensation in the form of (i) pre-tax contributions, (ii) after-tax contributions, or (iii) a combination of pre-tax and after-tax contributions. Participants may also contribute amounts representing distributions from other qualified defined benefit or defined contribution plans. Participants who are age 50 or older and make the maximum pre-tax contribution for the year may make an additional catch-up contribution up to a maximum dollar amount per year in accordance with the Internal Revenue Code (IRC), as amended. Participants who do not elect a contribution percentage or do not elect to opt out of the Plan are automatically enrolled for pre-tax contributions at a rate of 5% of eligible earnings with annual 1% increases in deferral rates, not to exceed a maximum of 10% of eligible earnings. Contributions are subject to certain limitations. Effective April 3, 2018, the Plan was amended to increase the maximum automatic deferral to 15%. The automatic deferral increase will occur the first day of each Plan year unless automatically enrolled within the last six months.</w:t>
      </w:r>
    </w:p>
    <w:p>
      <w:pPr>
        <w:spacing w:after="0" w:line="21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For the year ended December 31, 2019, the Company contributed 100% of the first 3% of base compensation that a participant contributed to the Plan and 50% of the next 3% of base compensation that a participant contributed to the Plan. In no case are participant deferrals in excess of 6% of compensation taken into account for matching purposes. In addition, the Company made profit-sharing contributions equal to 3% of each participant's compensation. Participants direct the investment of their contributions into various investment options offered by the Plan.</w:t>
      </w:r>
    </w:p>
    <w:p>
      <w:pPr>
        <w:spacing w:after="0" w:line="15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Plan currently offers common/collective trust (CCT) funds, mutual funds, and Roper Technologies, Inc., common stock as investment options for participants. Participants may change their investment options daily.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 Accounts</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Each participant's account is credited with the participant's contributions, an allocation of the Company's contributions, and Plan earnings, and an allocation of administrative expenses. Allocations are based on participant earnings or account balances, as defined. The benefit to which a participant is entitled is the benefit that can be provided from the participant's vested account.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p>
    <w:p>
      <w:pPr>
        <w:spacing w:after="0" w:line="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Participants are immediately vested in their contributions plus actual earnings thereon. Vesting in the Company's contribution portion of their accounts is based on years of continuous service. Participants vest over a five-year period beginning with 20% after one year of service and 20% each year thereafter, and are 100% vested after five years. Participants will become fully vested if the participant attains age 65, the participant incurs a disability, or upon the death of a participant.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Receivable from Participants</w:t>
      </w:r>
    </w:p>
    <w:p>
      <w:pPr>
        <w:spacing w:after="0" w:line="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Participants may borrow from their accounts a minimum of $1,000 up to a maximum equal to the lesser of $50,000 or 50% of their vested account balance, for a period not to exceed five years unless the note is for the purchase of a principal residence, in which case the period is not to exceed ten years. The notes are secured by the balance in the participant's account and bear interest at rates which are commensurate with local prevailing rates as determined by the Plan Administrator. Principal and interest are paid ratably through payroll deductions.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Benefits</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Upon termination of service due to death, disability, retirement, or separation from service, a participant will generally receive their benefits as a lump-sum amount equal to the value of the participant's vested interest in his or her account. Participants who attain age 59½ are eligible to receive in-service distributions in accordance with provisions specified in the Plan.</w:t>
      </w:r>
    </w:p>
    <w:p>
      <w:pPr>
        <w:spacing w:after="0" w:line="21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Participants can elect to receive shares of the Company's common stock if their total balance exceeds $5,000. Withdrawals from the Plan may also be made upon circumstances of financial hardship in accordance with provisions specified in the Plan.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Forfeitures</w:t>
      </w:r>
    </w:p>
    <w:p>
      <w:pPr>
        <w:sectPr>
          <w:pgSz w:w="11900" w:h="16838" w:orient="portrait"/>
          <w:cols w:equalWidth="0" w:num="1">
            <w:col w:w="11240"/>
          </w:cols>
          <w:pgMar w:left="320" w:top="1413" w:right="339" w:bottom="0" w:gutter="0" w:footer="0" w:header="0"/>
        </w:sectPr>
      </w:pPr>
    </w:p>
    <w:bookmarkStart w:id="7" w:name="page8"/>
    <w:bookmarkEnd w:id="7"/>
    <w:p>
      <w:pPr>
        <w:jc w:val="both"/>
        <w:spacing w:after="0" w:line="237" w:lineRule="auto"/>
        <w:rPr>
          <w:sz w:val="20"/>
          <w:szCs w:val="20"/>
          <w:color w:val="auto"/>
        </w:rPr>
      </w:pPr>
      <w:r>
        <w:rPr>
          <w:rFonts w:ascii="Arial" w:cs="Arial" w:eastAsia="Arial" w:hAnsi="Arial"/>
          <w:sz w:val="20"/>
          <w:szCs w:val="20"/>
          <w:color w:val="auto"/>
        </w:rPr>
        <w:t>Forfeitures of the non-vested portion of participants' accounts are used to reduce future Company contributions. Forfeiture balances were $364,650 and $643,045 as of December 31, 2019 and 2018, respectively, and forfeitures used to reduce Company contributions were approximately $1,175,000 for the year ended December 31, 2019.</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Administrative Expenses</w:t>
      </w:r>
    </w:p>
    <w:p>
      <w:pPr>
        <w:spacing w:after="0" w:line="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Certain expenses of maintaining the Plan are paid directly by the Company and are excluded from these financial statements. The Company reserves the right to elect to pay, or have the Plan pay, administrative costs in the future. Fees related to the administration of notes receivable from participants are charged directly to the participant's account and are included in administrative expenses. Investment related expenses are included in net appreciation of fair value of investments.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Management fees and other operating expenses charged to the Plan for investments are deducted from income earned on a daily basis and are not separately reflected. Consequently, management fees and operating expenses are reflected as a reduction of investment return for such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Transfers to Affiliated Plans</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Net transfers to affiliated plans represent the transfer of participant balances to/from this Plan to/from an affiliated plan of the Company due to the participant no longer meeting the plan’s eligibility requirements as the participant’s employment status has changed (e.g., from union to non-union).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financial statements of the Plan are prepared under the accrual method of accounting in accordance with accounting principles generally accepted in the United States of America (U.S. GAAP).</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 and Risks and Uncertainties</w:t>
      </w:r>
    </w:p>
    <w:p>
      <w:pPr>
        <w:spacing w:after="0" w:line="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preparation of financial statements in conformity with U.S. GAAP requires Plan management to make estimates and assumptions that affect the reported amounts of assets, liabilities, and changes therein and disclosure of contingent assets and liabilities. Actual results could differ from those estimates. 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Valuation and Income Recognition</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Investments are reported at fair value. Fair value is the price that would be received to sell an asset or paid to transfer a liability in an orderly transaction between market participants at the measurement date. The Company reviews the Plan's valuation policies utilizing information provided by the investment advisers and Vanguard Fiduciary Trust Company (the trustee).</w:t>
      </w:r>
    </w:p>
    <w:p>
      <w:pPr>
        <w:spacing w:after="0" w:line="21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Purchases and sales of investments are recorded on a trade-date basis. Interest income is accrued when earned. Dividend income is recorded on the ex-dividend date.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Benefits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Receivable from Participants</w:t>
      </w:r>
    </w:p>
    <w:p>
      <w:pPr>
        <w:spacing w:after="0" w:line="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Interest income is recorded on the accrual basis. Related fees are recorded as administrative expenses and are expensed when they are incurred. No allowance for credit losses has been recorded as of December 31, 2019 and 2018. If a participant ceases to make note repayments and the Plan Administrator deems the participant note to be in default, the participant note balance is reduced and a benefit payment is recorded.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Administrative Expenses</w:t>
      </w:r>
    </w:p>
    <w:p>
      <w:pPr>
        <w:spacing w:after="0" w:line="8"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All expenses incurred to administer the Plan are paid through forfeitures of nonvested accounts or by the Company with the exception of recordkeeping fees, which are paid by the Plan.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MEASUREMENTS</w:t>
      </w:r>
    </w:p>
    <w:p>
      <w:pPr>
        <w:spacing w:after="0" w:line="23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 xml:space="preserve">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Financial Accounting Standards Board (FASB) Accounting Standards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described as follows:</w:t>
      </w:r>
    </w:p>
    <w:p>
      <w:pPr>
        <w:spacing w:after="0" w:line="186" w:lineRule="exact"/>
        <w:rPr>
          <w:sz w:val="20"/>
          <w:szCs w:val="20"/>
          <w:color w:val="auto"/>
        </w:rPr>
      </w:pPr>
    </w:p>
    <w:p>
      <w:pPr>
        <w:ind w:left="660" w:hanging="328"/>
        <w:spacing w:after="0" w:line="23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1" w:lineRule="exact"/>
        <w:rPr>
          <w:rFonts w:ascii="Arial" w:cs="Arial" w:eastAsia="Arial" w:hAnsi="Arial"/>
          <w:sz w:val="20"/>
          <w:szCs w:val="20"/>
          <w:color w:val="auto"/>
        </w:rPr>
      </w:pPr>
    </w:p>
    <w:p>
      <w:pPr>
        <w:jc w:val="both"/>
        <w:ind w:left="660" w:hanging="328"/>
        <w:spacing w:after="0" w:line="22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Level 2 – Inputs to the valuation methodology include: Quoted prices for similar assets or liabilities in active markets; quoted prices for identical or similar assets or liabilities in inactive markets; inputs other than quoted prices that are observable for the asset or liability;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ectPr>
          <w:pgSz w:w="11900" w:h="16838" w:orient="portrait"/>
          <w:cols w:equalWidth="0" w:num="1">
            <w:col w:w="11240"/>
          </w:cols>
          <w:pgMar w:left="320" w:top="121" w:right="339" w:bottom="110" w:gutter="0" w:footer="0" w:header="0"/>
        </w:sectPr>
      </w:pPr>
    </w:p>
    <w:bookmarkStart w:id="8" w:name="page9"/>
    <w:bookmarkEnd w:id="8"/>
    <w:p>
      <w:pPr>
        <w:jc w:val="both"/>
        <w:spacing w:after="0" w:line="237" w:lineRule="auto"/>
        <w:rPr>
          <w:sz w:val="20"/>
          <w:szCs w:val="20"/>
          <w:color w:val="auto"/>
        </w:rPr>
      </w:pPr>
      <w:r>
        <w:rPr>
          <w:rFonts w:ascii="Arial" w:cs="Arial" w:eastAsia="Arial" w:hAnsi="Arial"/>
          <w:sz w:val="20"/>
          <w:szCs w:val="20"/>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is a description of the valuation methodologies used for assets and liabilities measured at fair value. There have been no significant changes in the methodologies used at December 31, 2019 and 2018.</w:t>
      </w:r>
    </w:p>
    <w:p>
      <w:pPr>
        <w:spacing w:after="0" w:line="2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Mutual Funds </w:t>
      </w:r>
      <w:r>
        <w:rPr>
          <w:rFonts w:ascii="Arial" w:cs="Arial" w:eastAsia="Arial" w:hAnsi="Arial"/>
          <w:sz w:val="20"/>
          <w:szCs w:val="20"/>
          <w:color w:val="auto"/>
        </w:rPr>
        <w:t>– Valued based on the daily closing price as reported by the fund by obtaining quoted prices on nationally recognized</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exchanges. The mutual funds held by the Plan are deemed to be actively traded.</w:t>
      </w:r>
    </w:p>
    <w:p>
      <w:pPr>
        <w:spacing w:after="0" w:line="2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Shares of Roper Technologies, Inc. Common Stock </w:t>
      </w:r>
      <w:r>
        <w:rPr>
          <w:rFonts w:ascii="Arial" w:cs="Arial" w:eastAsia="Arial" w:hAnsi="Arial"/>
          <w:sz w:val="20"/>
          <w:szCs w:val="20"/>
          <w:color w:val="auto"/>
        </w:rPr>
        <w:t>– Valued at the net asset value (NAV) of shares held by the Plan at year end by</w:t>
      </w:r>
      <w:r>
        <w:rPr>
          <w:rFonts w:ascii="Arial" w:cs="Arial" w:eastAsia="Arial" w:hAnsi="Arial"/>
          <w:sz w:val="20"/>
          <w:szCs w:val="20"/>
          <w:i w:val="1"/>
          <w:iCs w:val="1"/>
          <w:color w:val="auto"/>
        </w:rPr>
        <w:t xml:space="preserve"> </w:t>
      </w:r>
      <w:r>
        <w:rPr>
          <w:rFonts w:ascii="Arial" w:cs="Arial" w:eastAsia="Arial" w:hAnsi="Arial"/>
          <w:sz w:val="20"/>
          <w:szCs w:val="20"/>
          <w:color w:val="auto"/>
        </w:rPr>
        <w:t>obtaining quoted prices on nationally recognized securities exchanges.</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CCTs – </w:t>
      </w:r>
      <w:r>
        <w:rPr>
          <w:rFonts w:ascii="Arial" w:cs="Arial" w:eastAsia="Arial" w:hAnsi="Arial"/>
          <w:sz w:val="18"/>
          <w:szCs w:val="18"/>
          <w:color w:val="auto"/>
        </w:rPr>
        <w:t>Valued at the NAV provided by the fund's trustee as a practical expedient to estimate fair value. The NAV is based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underlying investments held by the fund less its liabilities. This practical expedient would not be used when it is determined to be probable that the fund will sell the investment for an amount different than the reported NAV. Participant transactions (purchases and sales) may occur daily. If the Plan initiates a full redemption of the collective trust, the investment advisor reserves the right to temporarily delay withdrawal from the trust in order to ensure that securities liquidations will be carried out in an orderly business manner.</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methodologies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by level, within the fair value hierarchy, the Plan's assets at fair value as of December 31, 2019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0"/>
                <w:szCs w:val="20"/>
                <w:b w:val="1"/>
                <w:bCs w:val="1"/>
                <w:color w:val="auto"/>
              </w:rPr>
              <w:t>Level 1</w:t>
            </w: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tcPr>
          <w:p>
            <w:pPr>
              <w:jc w:val="right"/>
              <w:ind w:right="90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Mutual funds</w:t>
            </w:r>
          </w:p>
        </w:tc>
        <w:tc>
          <w:tcPr>
            <w:tcW w:w="1600" w:type="dxa"/>
            <w:vAlign w:val="bottom"/>
            <w:tcBorders>
              <w:bottom w:val="single" w:sz="8" w:color="CCEEFF"/>
            </w:tcBorders>
            <w:shd w:val="clear" w:color="auto" w:fill="CCEEFF"/>
          </w:tcPr>
          <w:p>
            <w:pPr>
              <w:jc w:val="right"/>
              <w:ind w:right="138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rPr>
              <w:t>49,292</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49,292</w:t>
            </w:r>
          </w:p>
        </w:tc>
        <w:tc>
          <w:tcPr>
            <w:tcW w:w="0" w:type="dxa"/>
            <w:vAlign w:val="bottom"/>
          </w:tcPr>
          <w:p>
            <w:pPr>
              <w:spacing w:after="0"/>
              <w:rPr>
                <w:sz w:val="1"/>
                <w:szCs w:val="1"/>
                <w:color w:val="auto"/>
              </w:rPr>
            </w:pPr>
          </w:p>
        </w:tc>
      </w:tr>
      <w:tr>
        <w:trPr>
          <w:trHeight w:val="260"/>
        </w:trPr>
        <w:tc>
          <w:tcPr>
            <w:tcW w:w="6200" w:type="dxa"/>
            <w:vAlign w:val="bottom"/>
          </w:tcPr>
          <w:p>
            <w:pPr>
              <w:ind w:left="20"/>
              <w:spacing w:after="0"/>
              <w:rPr>
                <w:sz w:val="20"/>
                <w:szCs w:val="20"/>
                <w:color w:val="auto"/>
              </w:rPr>
            </w:pPr>
            <w:r>
              <w:rPr>
                <w:rFonts w:ascii="Arial" w:cs="Arial" w:eastAsia="Arial" w:hAnsi="Arial"/>
                <w:sz w:val="20"/>
                <w:szCs w:val="20"/>
                <w:color w:val="auto"/>
              </w:rPr>
              <w:t>Roper Technologies, Inc. common stock fund</w:t>
            </w:r>
          </w:p>
        </w:tc>
        <w:tc>
          <w:tcPr>
            <w:tcW w:w="160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20"/>
                <w:szCs w:val="20"/>
                <w:color w:val="auto"/>
              </w:rPr>
              <w:t>40,170</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tcPr>
          <w:p>
            <w:pPr>
              <w:jc w:val="right"/>
              <w:ind w:right="61"/>
              <w:spacing w:after="0"/>
              <w:rPr>
                <w:sz w:val="20"/>
                <w:szCs w:val="20"/>
                <w:color w:val="auto"/>
              </w:rPr>
            </w:pPr>
            <w:r>
              <w:rPr>
                <w:rFonts w:ascii="Arial" w:cs="Arial" w:eastAsia="Arial" w:hAnsi="Arial"/>
                <w:sz w:val="20"/>
                <w:szCs w:val="20"/>
                <w:color w:val="auto"/>
              </w:rPr>
              <w:t>40,170</w:t>
            </w:r>
          </w:p>
        </w:tc>
        <w:tc>
          <w:tcPr>
            <w:tcW w:w="0" w:type="dxa"/>
            <w:vAlign w:val="bottom"/>
          </w:tcPr>
          <w:p>
            <w:pPr>
              <w:spacing w:after="0"/>
              <w:rPr>
                <w:sz w:val="1"/>
                <w:szCs w:val="1"/>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Total assets in the fair value hierarchy</w:t>
            </w:r>
          </w:p>
        </w:tc>
        <w:tc>
          <w:tcPr>
            <w:tcW w:w="1600" w:type="dxa"/>
            <w:vAlign w:val="bottom"/>
            <w:tcBorders>
              <w:bottom w:val="single" w:sz="8" w:color="auto"/>
            </w:tcBorders>
            <w:shd w:val="clear" w:color="auto" w:fill="CCEEFF"/>
          </w:tcPr>
          <w:p>
            <w:pPr>
              <w:jc w:val="right"/>
              <w:ind w:right="138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89,462</w:t>
            </w: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89,462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Investments measured at NAV</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0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CCTs*</w:t>
            </w:r>
          </w:p>
        </w:tc>
        <w:tc>
          <w:tcPr>
            <w:tcW w:w="16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198,322</w:t>
            </w:r>
          </w:p>
        </w:tc>
        <w:tc>
          <w:tcPr>
            <w:tcW w:w="0" w:type="dxa"/>
            <w:vAlign w:val="bottom"/>
          </w:tcPr>
          <w:p>
            <w:pPr>
              <w:spacing w:after="0"/>
              <w:rPr>
                <w:sz w:val="1"/>
                <w:szCs w:val="1"/>
                <w:color w:val="auto"/>
              </w:rPr>
            </w:pPr>
          </w:p>
        </w:tc>
      </w:tr>
      <w:tr>
        <w:trPr>
          <w:trHeight w:val="277"/>
        </w:trPr>
        <w:tc>
          <w:tcPr>
            <w:tcW w:w="620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287,784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by level, within the fair value hierarchy, the Plan's assets at fair value as of December 31, 2018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20"/>
                <w:szCs w:val="20"/>
                <w:b w:val="1"/>
                <w:bCs w:val="1"/>
                <w:color w:val="auto"/>
              </w:rPr>
              <w:t>Level 1</w:t>
            </w: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tcPr>
          <w:p>
            <w:pPr>
              <w:jc w:val="right"/>
              <w:ind w:right="90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Mutual funds</w:t>
            </w:r>
          </w:p>
        </w:tc>
        <w:tc>
          <w:tcPr>
            <w:tcW w:w="1600" w:type="dxa"/>
            <w:vAlign w:val="bottom"/>
            <w:tcBorders>
              <w:bottom w:val="single" w:sz="8" w:color="CCEEFF"/>
            </w:tcBorders>
            <w:shd w:val="clear" w:color="auto" w:fill="CCEEFF"/>
          </w:tcPr>
          <w:p>
            <w:pPr>
              <w:jc w:val="right"/>
              <w:ind w:right="138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rPr>
              <w:t>43,338</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43,338</w:t>
            </w:r>
          </w:p>
        </w:tc>
        <w:tc>
          <w:tcPr>
            <w:tcW w:w="0" w:type="dxa"/>
            <w:vAlign w:val="bottom"/>
          </w:tcPr>
          <w:p>
            <w:pPr>
              <w:spacing w:after="0"/>
              <w:rPr>
                <w:sz w:val="1"/>
                <w:szCs w:val="1"/>
                <w:color w:val="auto"/>
              </w:rPr>
            </w:pPr>
          </w:p>
        </w:tc>
      </w:tr>
      <w:tr>
        <w:trPr>
          <w:trHeight w:val="260"/>
        </w:trPr>
        <w:tc>
          <w:tcPr>
            <w:tcW w:w="6200" w:type="dxa"/>
            <w:vAlign w:val="bottom"/>
          </w:tcPr>
          <w:p>
            <w:pPr>
              <w:ind w:left="20"/>
              <w:spacing w:after="0"/>
              <w:rPr>
                <w:sz w:val="20"/>
                <w:szCs w:val="20"/>
                <w:color w:val="auto"/>
              </w:rPr>
            </w:pPr>
            <w:r>
              <w:rPr>
                <w:rFonts w:ascii="Arial" w:cs="Arial" w:eastAsia="Arial" w:hAnsi="Arial"/>
                <w:sz w:val="20"/>
                <w:szCs w:val="20"/>
                <w:color w:val="auto"/>
              </w:rPr>
              <w:t>Roper Technologies, Inc. common stock fund</w:t>
            </w:r>
          </w:p>
        </w:tc>
        <w:tc>
          <w:tcPr>
            <w:tcW w:w="1600" w:type="dxa"/>
            <w:vAlign w:val="bottom"/>
          </w:tcPr>
          <w:p>
            <w:pPr>
              <w:spacing w:after="0"/>
              <w:rPr>
                <w:sz w:val="22"/>
                <w:szCs w:val="22"/>
                <w:color w:val="auto"/>
              </w:rPr>
            </w:pPr>
          </w:p>
        </w:tc>
        <w:tc>
          <w:tcPr>
            <w:tcW w:w="800" w:type="dxa"/>
            <w:vAlign w:val="bottom"/>
          </w:tcPr>
          <w:p>
            <w:pPr>
              <w:jc w:val="right"/>
              <w:ind w:right="41"/>
              <w:spacing w:after="0"/>
              <w:rPr>
                <w:sz w:val="20"/>
                <w:szCs w:val="20"/>
                <w:color w:val="auto"/>
              </w:rPr>
            </w:pPr>
            <w:r>
              <w:rPr>
                <w:rFonts w:ascii="Arial" w:cs="Arial" w:eastAsia="Arial" w:hAnsi="Arial"/>
                <w:sz w:val="20"/>
                <w:szCs w:val="20"/>
                <w:color w:val="auto"/>
              </w:rPr>
              <w:t>33,972</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tcPr>
          <w:p>
            <w:pPr>
              <w:jc w:val="right"/>
              <w:ind w:right="61"/>
              <w:spacing w:after="0"/>
              <w:rPr>
                <w:sz w:val="20"/>
                <w:szCs w:val="20"/>
                <w:color w:val="auto"/>
              </w:rPr>
            </w:pPr>
            <w:r>
              <w:rPr>
                <w:rFonts w:ascii="Arial" w:cs="Arial" w:eastAsia="Arial" w:hAnsi="Arial"/>
                <w:sz w:val="20"/>
                <w:szCs w:val="20"/>
                <w:color w:val="auto"/>
              </w:rPr>
              <w:t>33,972</w:t>
            </w:r>
          </w:p>
        </w:tc>
        <w:tc>
          <w:tcPr>
            <w:tcW w:w="0" w:type="dxa"/>
            <w:vAlign w:val="bottom"/>
          </w:tcPr>
          <w:p>
            <w:pPr>
              <w:spacing w:after="0"/>
              <w:rPr>
                <w:sz w:val="1"/>
                <w:szCs w:val="1"/>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Total assets in the fair value hierarchy</w:t>
            </w:r>
          </w:p>
        </w:tc>
        <w:tc>
          <w:tcPr>
            <w:tcW w:w="1600" w:type="dxa"/>
            <w:vAlign w:val="bottom"/>
            <w:tcBorders>
              <w:bottom w:val="single" w:sz="8" w:color="auto"/>
            </w:tcBorders>
            <w:shd w:val="clear" w:color="auto" w:fill="CCEEFF"/>
          </w:tcPr>
          <w:p>
            <w:pPr>
              <w:jc w:val="right"/>
              <w:ind w:right="138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77,310</w:t>
            </w: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77,310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Investments measured at NAV</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CCTs*</w:t>
            </w:r>
          </w:p>
        </w:tc>
        <w:tc>
          <w:tcPr>
            <w:tcW w:w="16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170,013</w:t>
            </w:r>
          </w:p>
        </w:tc>
        <w:tc>
          <w:tcPr>
            <w:tcW w:w="0" w:type="dxa"/>
            <w:vAlign w:val="bottom"/>
          </w:tcPr>
          <w:p>
            <w:pPr>
              <w:spacing w:after="0"/>
              <w:rPr>
                <w:sz w:val="1"/>
                <w:szCs w:val="1"/>
                <w:color w:val="auto"/>
              </w:rPr>
            </w:pPr>
          </w:p>
        </w:tc>
      </w:tr>
      <w:tr>
        <w:trPr>
          <w:trHeight w:val="277"/>
        </w:trPr>
        <w:tc>
          <w:tcPr>
            <w:tcW w:w="620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247,323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accordance with FASB ASC Subtopic 820-10, certain investments that were measured at NAV per share (or its equivalent)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21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There were no significant transfers between Level 1 and Level 2 investments or into or out of Level 3 investments during the years ended December 31, 2019 and 2018.</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tables summarize investments measured at fair value based on NAV per share as of December 31, 2019 and 2018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Redemption</w:t>
            </w:r>
          </w:p>
        </w:tc>
        <w:tc>
          <w:tcPr>
            <w:tcW w:w="1780" w:type="dxa"/>
            <w:vAlign w:val="bottom"/>
          </w:tcPr>
          <w:p>
            <w:pPr>
              <w:spacing w:after="0"/>
              <w:rPr>
                <w:sz w:val="22"/>
                <w:szCs w:val="22"/>
                <w:color w:val="auto"/>
              </w:rPr>
            </w:pPr>
          </w:p>
        </w:tc>
      </w:tr>
      <w:tr>
        <w:trPr>
          <w:trHeight w:val="284"/>
        </w:trPr>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Frequency</w:t>
            </w:r>
          </w:p>
        </w:tc>
        <w:tc>
          <w:tcPr>
            <w:tcW w:w="1780" w:type="dxa"/>
            <w:vAlign w:val="bottom"/>
          </w:tcPr>
          <w:p>
            <w:pPr>
              <w:ind w:left="20"/>
              <w:spacing w:after="0"/>
              <w:rPr>
                <w:sz w:val="20"/>
                <w:szCs w:val="20"/>
                <w:color w:val="auto"/>
              </w:rPr>
            </w:pPr>
            <w:r>
              <w:rPr>
                <w:rFonts w:ascii="Arial" w:cs="Arial" w:eastAsia="Arial" w:hAnsi="Arial"/>
                <w:sz w:val="20"/>
                <w:szCs w:val="20"/>
                <w:b w:val="1"/>
                <w:bCs w:val="1"/>
                <w:color w:val="auto"/>
              </w:rPr>
              <w:t>Redemption</w:t>
            </w:r>
          </w:p>
        </w:tc>
      </w:tr>
      <w:tr>
        <w:trPr>
          <w:trHeight w:val="284"/>
        </w:trPr>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b w:val="1"/>
                <w:bCs w:val="1"/>
                <w:color w:val="auto"/>
              </w:rPr>
              <w:t>Unfunded</w:t>
            </w: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(if currently</w:t>
            </w:r>
          </w:p>
        </w:tc>
        <w:tc>
          <w:tcPr>
            <w:tcW w:w="1780" w:type="dxa"/>
            <w:vAlign w:val="bottom"/>
          </w:tcPr>
          <w:p>
            <w:pPr>
              <w:ind w:left="20"/>
              <w:spacing w:after="0"/>
              <w:rPr>
                <w:sz w:val="20"/>
                <w:szCs w:val="20"/>
                <w:color w:val="auto"/>
              </w:rPr>
            </w:pPr>
            <w:r>
              <w:rPr>
                <w:rFonts w:ascii="Arial" w:cs="Arial" w:eastAsia="Arial" w:hAnsi="Arial"/>
                <w:sz w:val="20"/>
                <w:szCs w:val="20"/>
                <w:b w:val="1"/>
                <w:bCs w:val="1"/>
                <w:color w:val="auto"/>
              </w:rPr>
              <w:t>Notice</w:t>
            </w:r>
          </w:p>
        </w:tc>
      </w:tr>
      <w:tr>
        <w:trPr>
          <w:trHeight w:val="284"/>
        </w:trPr>
        <w:tc>
          <w:tcPr>
            <w:tcW w:w="2540" w:type="dxa"/>
            <w:vAlign w:val="bottom"/>
          </w:tcPr>
          <w:p>
            <w:pPr>
              <w:ind w:left="20"/>
              <w:spacing w:after="0"/>
              <w:rPr>
                <w:sz w:val="20"/>
                <w:szCs w:val="20"/>
                <w:color w:val="auto"/>
              </w:rPr>
            </w:pPr>
            <w:r>
              <w:rPr>
                <w:rFonts w:ascii="Arial" w:cs="Arial" w:eastAsia="Arial" w:hAnsi="Arial"/>
                <w:sz w:val="20"/>
                <w:szCs w:val="20"/>
                <w:b w:val="1"/>
                <w:bCs w:val="1"/>
                <w:color w:val="auto"/>
              </w:rPr>
              <w:t>December 31, 2019</w:t>
            </w:r>
          </w:p>
        </w:tc>
        <w:tc>
          <w:tcPr>
            <w:tcW w:w="1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20"/>
                <w:szCs w:val="20"/>
                <w:b w:val="1"/>
                <w:bCs w:val="1"/>
                <w:color w:val="auto"/>
              </w:rPr>
              <w:t>Fair Value</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b w:val="1"/>
                <w:bCs w:val="1"/>
                <w:color w:val="auto"/>
              </w:rPr>
              <w:t>Commitments</w:t>
            </w: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eligible)</w:t>
            </w:r>
          </w:p>
        </w:tc>
        <w:tc>
          <w:tcPr>
            <w:tcW w:w="1780" w:type="dxa"/>
            <w:vAlign w:val="bottom"/>
          </w:tcPr>
          <w:p>
            <w:pPr>
              <w:ind w:left="20"/>
              <w:spacing w:after="0"/>
              <w:rPr>
                <w:sz w:val="20"/>
                <w:szCs w:val="20"/>
                <w:color w:val="auto"/>
              </w:rPr>
            </w:pPr>
            <w:r>
              <w:rPr>
                <w:rFonts w:ascii="Arial" w:cs="Arial" w:eastAsia="Arial" w:hAnsi="Arial"/>
                <w:sz w:val="20"/>
                <w:szCs w:val="20"/>
                <w:b w:val="1"/>
                <w:bCs w:val="1"/>
                <w:color w:val="auto"/>
              </w:rPr>
              <w:t>Period</w:t>
            </w:r>
          </w:p>
        </w:tc>
      </w:tr>
      <w:tr>
        <w:trPr>
          <w:trHeight w:val="23"/>
        </w:trPr>
        <w:tc>
          <w:tcPr>
            <w:tcW w:w="2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CCT Funds</w:t>
            </w:r>
          </w:p>
        </w:tc>
        <w:tc>
          <w:tcPr>
            <w:tcW w:w="1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rPr>
              <w:t>198,322</w:t>
            </w:r>
          </w:p>
        </w:tc>
        <w:tc>
          <w:tcPr>
            <w:tcW w:w="18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N/A</w:t>
            </w: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Daily</w:t>
            </w:r>
          </w:p>
        </w:tc>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Daily</w:t>
            </w:r>
          </w:p>
        </w:tc>
      </w:tr>
      <w:tr>
        <w:trPr>
          <w:trHeight w:val="530"/>
        </w:trPr>
        <w:tc>
          <w:tcPr>
            <w:tcW w:w="2540" w:type="dxa"/>
            <w:vAlign w:val="bottom"/>
          </w:tcPr>
          <w:p>
            <w:pPr>
              <w:ind w:left="20"/>
              <w:spacing w:after="0"/>
              <w:rPr>
                <w:sz w:val="20"/>
                <w:szCs w:val="20"/>
                <w:color w:val="auto"/>
              </w:rPr>
            </w:pPr>
            <w:r>
              <w:rPr>
                <w:rFonts w:ascii="Arial" w:cs="Arial" w:eastAsia="Arial" w:hAnsi="Arial"/>
                <w:sz w:val="20"/>
                <w:szCs w:val="20"/>
                <w:b w:val="1"/>
                <w:bCs w:val="1"/>
                <w:color w:val="auto"/>
              </w:rPr>
              <w:t>December 31, 2018</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
        </w:trPr>
        <w:tc>
          <w:tcPr>
            <w:tcW w:w="2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4"/>
        </w:trPr>
        <w:tc>
          <w:tcPr>
            <w:tcW w:w="2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CCT Funds</w:t>
            </w:r>
          </w:p>
        </w:tc>
        <w:tc>
          <w:tcPr>
            <w:tcW w:w="134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170,013</w:t>
            </w:r>
          </w:p>
        </w:tc>
        <w:tc>
          <w:tcPr>
            <w:tcW w:w="18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N/A</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Daily</w:t>
            </w:r>
          </w:p>
        </w:tc>
        <w:tc>
          <w:tcPr>
            <w:tcW w:w="1780" w:type="dxa"/>
            <w:vAlign w:val="bottom"/>
            <w:shd w:val="clear" w:color="auto" w:fill="CCEEFF"/>
          </w:tcPr>
          <w:p>
            <w:pPr>
              <w:ind w:left="20"/>
              <w:spacing w:after="0"/>
              <w:rPr>
                <w:sz w:val="20"/>
                <w:szCs w:val="20"/>
                <w:color w:val="auto"/>
              </w:rPr>
            </w:pPr>
            <w:r>
              <w:rPr>
                <w:rFonts w:ascii="Arial" w:cs="Arial" w:eastAsia="Arial" w:hAnsi="Arial"/>
                <w:sz w:val="20"/>
                <w:szCs w:val="20"/>
                <w:color w:val="auto"/>
              </w:rPr>
              <w:t>Daily</w:t>
            </w:r>
          </w:p>
        </w:tc>
      </w:tr>
      <w:tr>
        <w:trPr>
          <w:trHeight w:val="23"/>
        </w:trPr>
        <w:tc>
          <w:tcPr>
            <w:tcW w:w="2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3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RELATED PARTY TRANSACTIONS</w:t>
      </w:r>
    </w:p>
    <w:p>
      <w:pPr>
        <w:sectPr>
          <w:pgSz w:w="11900" w:h="16838" w:orient="portrait"/>
          <w:cols w:equalWidth="0" w:num="1">
            <w:col w:w="11240"/>
          </w:cols>
          <w:pgMar w:left="320" w:top="121" w:right="339" w:bottom="0" w:gutter="0" w:footer="0" w:header="0"/>
          <w:type w:val="continuous"/>
        </w:sectPr>
      </w:pPr>
    </w:p>
    <w:bookmarkStart w:id="9" w:name="page10"/>
    <w:bookmarkEnd w:id="9"/>
    <w:p>
      <w:pPr>
        <w:jc w:val="both"/>
        <w:ind w:right="20"/>
        <w:spacing w:after="0" w:line="246" w:lineRule="auto"/>
        <w:rPr>
          <w:sz w:val="20"/>
          <w:szCs w:val="20"/>
          <w:color w:val="auto"/>
        </w:rPr>
      </w:pPr>
      <w:r>
        <w:rPr>
          <w:rFonts w:ascii="Arial" w:cs="Arial" w:eastAsia="Arial" w:hAnsi="Arial"/>
          <w:sz w:val="20"/>
          <w:szCs w:val="20"/>
          <w:color w:val="auto"/>
        </w:rPr>
        <w:t>Plan investments include shares of mutual funds and CCT funds managed by the trustee, therefore, these transactions qualify as party-in-interest, and are exempt from the prohibited transactions rule.</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Plan offers Roper Technologies, Inc. common stock as an investment option for participants. The Company is the Plan sponsor as defined by the Plan; therefore, these transactions also qualify as party-in-interest transactions, and are exempt from the prohibited transactions rule.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PLAN TERMINATION</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Although it has not expressed any intent to do so, the Company has the right under the Plan to discontinue its contributions at any time and to terminate the Plan subject to the provisions of ERISA. In the event of Plan termination, participants would become 100% vested in their employer contributions.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TAX STATUS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underlying non-standardized prototype plan has received an opinion letter from the Internal Revenue Service (IRS) dated May 28, 2014, stating that the form of the Plan is qualified under Section 401(a) of the IRC, and therefore, the related trust is tax-exempt. The Plan Administrator has determined that it is eligible to and has chosen to rely on the current IRS non-standardized prototype plan opinion letter. Once qualified, the Plan is required to operate in conformity with the IRC to maintain its qualification. The Plan Administrator believes the Plan is in compliance with the applicable requirements of the IRC and therefore, believes that the Plan is qualified, and the related trust is tax-exempt.</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U.S. 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DELINQUENT PARTICIPANT CONTRIBUTIONS</w:t>
      </w:r>
    </w:p>
    <w:p>
      <w:pPr>
        <w:spacing w:after="0" w:line="23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During the period ended December 31, 2019, the Company failed to timely remit certain employee contributions to the Plan. As soon as this was identified, the Company immediately corrected the contribution and restored the Plan for any lost earnings related to this remittance.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SUBSEQUENT EVENTS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 novel strain of coronavirus (COVID-19) was first identified in December 2019, and subsequently declared a pandemic by the World Health Organization during the first quarter of 2020. The outbreak of COVID-19 has adversely impacted global commercial activity and contributed to significant declines and volatility in financial markets. The outbreak could have a continued material adverse impact on economic and market conditions and trigger a period of global economic slowdown. The rapid development and fluidity of this situation precludes any prediction as to the ultimate material adverse impact of COVID-19. Nevertheless, COVID-19s presents material uncertainty to the Plan, its performance, and its financial results.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Management has evaluated subsequent events through June 24, 2020, which is the date the financial statements were available to be issued, and have determined that there is are no subsequent events other than those noted above that require disclosure.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366" w:right="339" w:bottom="1440" w:gutter="0" w:footer="0" w:header="0"/>
        </w:sectPr>
      </w:pPr>
    </w:p>
    <w:bookmarkStart w:id="10" w:name="page11"/>
    <w:bookmarkEnd w:id="10"/>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ROPER INDUSTRIES, INC.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EMPLOYEES’ RETIREMENT SAVINGS 003 PLAN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SPONSOR’S EIN# 51-0263969</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PLAN NUMBER: 003</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SCHEDULE H, LINE 4(a)</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SCHEDULE OF DELINQUENT PARTICIPANT CONTRIBUTIONS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December 31, 2019</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3"/>
          </w:tcPr>
          <w:p>
            <w:pPr>
              <w:spacing w:after="0"/>
              <w:rPr>
                <w:sz w:val="20"/>
                <w:szCs w:val="20"/>
                <w:color w:val="auto"/>
              </w:rPr>
            </w:pPr>
            <w:r>
              <w:rPr>
                <w:rFonts w:ascii="Arial" w:cs="Arial" w:eastAsia="Arial" w:hAnsi="Arial"/>
                <w:sz w:val="20"/>
                <w:szCs w:val="20"/>
                <w:b w:val="1"/>
                <w:bCs w:val="1"/>
                <w:color w:val="auto"/>
              </w:rPr>
              <w:t>Participant</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20"/>
                <w:szCs w:val="20"/>
                <w:b w:val="1"/>
                <w:bCs w:val="1"/>
                <w:color w:val="auto"/>
              </w:rPr>
              <w:t>Total Fully</w:t>
            </w:r>
          </w:p>
        </w:tc>
      </w:tr>
      <w:tr>
        <w:trPr>
          <w:trHeight w:val="230"/>
        </w:trPr>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3"/>
          </w:tcPr>
          <w:p>
            <w:pPr>
              <w:spacing w:after="0"/>
              <w:rPr>
                <w:sz w:val="20"/>
                <w:szCs w:val="20"/>
                <w:color w:val="auto"/>
              </w:rPr>
            </w:pPr>
            <w:r>
              <w:rPr>
                <w:rFonts w:ascii="Arial" w:cs="Arial" w:eastAsia="Arial" w:hAnsi="Arial"/>
                <w:sz w:val="20"/>
                <w:szCs w:val="20"/>
                <w:b w:val="1"/>
                <w:bCs w:val="1"/>
                <w:color w:val="auto"/>
              </w:rPr>
              <w:t>Contribution</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20"/>
                <w:szCs w:val="20"/>
                <w:b w:val="1"/>
                <w:bCs w:val="1"/>
                <w:color w:val="auto"/>
                <w:w w:val="94"/>
              </w:rPr>
              <w:t>Contributions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ind w:left="20"/>
              <w:spacing w:after="0"/>
              <w:rPr>
                <w:sz w:val="20"/>
                <w:szCs w:val="20"/>
                <w:color w:val="auto"/>
              </w:rPr>
            </w:pPr>
            <w:r>
              <w:rPr>
                <w:rFonts w:ascii="Arial" w:cs="Arial" w:eastAsia="Arial" w:hAnsi="Arial"/>
                <w:sz w:val="20"/>
                <w:szCs w:val="20"/>
                <w:b w:val="1"/>
                <w:bCs w:val="1"/>
                <w:color w:val="auto"/>
                <w:w w:val="97"/>
              </w:rPr>
              <w:t>Contributions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20"/>
                <w:szCs w:val="20"/>
                <w:b w:val="1"/>
                <w:bCs w:val="1"/>
                <w:color w:val="auto"/>
                <w:w w:val="97"/>
              </w:rPr>
              <w:t>Corrected under</w:t>
            </w:r>
          </w:p>
        </w:tc>
      </w:tr>
      <w:tr>
        <w:trPr>
          <w:trHeight w:val="229"/>
        </w:trPr>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3"/>
          </w:tcPr>
          <w:p>
            <w:pPr>
              <w:spacing w:after="0"/>
              <w:rPr>
                <w:sz w:val="20"/>
                <w:szCs w:val="20"/>
                <w:color w:val="auto"/>
              </w:rPr>
            </w:pPr>
            <w:r>
              <w:rPr>
                <w:rFonts w:ascii="Arial" w:cs="Arial" w:eastAsia="Arial" w:hAnsi="Arial"/>
                <w:sz w:val="20"/>
                <w:szCs w:val="20"/>
                <w:b w:val="1"/>
                <w:bCs w:val="1"/>
                <w:color w:val="auto"/>
              </w:rPr>
              <w:t>Transferred Late</w:t>
            </w:r>
          </w:p>
        </w:tc>
        <w:tc>
          <w:tcPr>
            <w:tcW w:w="1980" w:type="dxa"/>
            <w:vAlign w:val="bottom"/>
            <w:gridSpan w:val="3"/>
          </w:tcPr>
          <w:p>
            <w:pPr>
              <w:ind w:left="20"/>
              <w:spacing w:after="0"/>
              <w:rPr>
                <w:sz w:val="20"/>
                <w:szCs w:val="20"/>
                <w:color w:val="auto"/>
              </w:rPr>
            </w:pPr>
            <w:r>
              <w:rPr>
                <w:rFonts w:ascii="Arial" w:cs="Arial" w:eastAsia="Arial" w:hAnsi="Arial"/>
                <w:sz w:val="20"/>
                <w:szCs w:val="20"/>
                <w:b w:val="1"/>
                <w:bCs w:val="1"/>
                <w:color w:val="auto"/>
              </w:rPr>
              <w:t>Contributions Not</w:t>
            </w:r>
          </w:p>
        </w:tc>
        <w:tc>
          <w:tcPr>
            <w:tcW w:w="1960" w:type="dxa"/>
            <w:vAlign w:val="bottom"/>
            <w:gridSpan w:val="3"/>
          </w:tcPr>
          <w:p>
            <w:pPr>
              <w:ind w:left="20"/>
              <w:spacing w:after="0"/>
              <w:rPr>
                <w:sz w:val="20"/>
                <w:szCs w:val="20"/>
                <w:color w:val="auto"/>
              </w:rPr>
            </w:pPr>
            <w:r>
              <w:rPr>
                <w:rFonts w:ascii="Arial" w:cs="Arial" w:eastAsia="Arial" w:hAnsi="Arial"/>
                <w:sz w:val="20"/>
                <w:szCs w:val="20"/>
                <w:b w:val="1"/>
                <w:bCs w:val="1"/>
                <w:color w:val="auto"/>
              </w:rPr>
              <w:t>Corrected Outside</w:t>
            </w:r>
          </w:p>
        </w:tc>
        <w:tc>
          <w:tcPr>
            <w:tcW w:w="2040" w:type="dxa"/>
            <w:vAlign w:val="bottom"/>
            <w:gridSpan w:val="3"/>
          </w:tcPr>
          <w:p>
            <w:pPr>
              <w:ind w:left="20"/>
              <w:spacing w:after="0"/>
              <w:rPr>
                <w:sz w:val="20"/>
                <w:szCs w:val="20"/>
                <w:color w:val="auto"/>
              </w:rPr>
            </w:pPr>
            <w:r>
              <w:rPr>
                <w:rFonts w:ascii="Arial" w:cs="Arial" w:eastAsia="Arial" w:hAnsi="Arial"/>
                <w:sz w:val="20"/>
                <w:szCs w:val="20"/>
                <w:b w:val="1"/>
                <w:bCs w:val="1"/>
                <w:color w:val="auto"/>
              </w:rPr>
              <w:t>Pending Correction</w:t>
            </w:r>
          </w:p>
        </w:tc>
        <w:tc>
          <w:tcPr>
            <w:tcW w:w="1560" w:type="dxa"/>
            <w:vAlign w:val="bottom"/>
            <w:gridSpan w:val="2"/>
          </w:tcPr>
          <w:p>
            <w:pPr>
              <w:ind w:left="20"/>
              <w:spacing w:after="0"/>
              <w:rPr>
                <w:sz w:val="20"/>
                <w:szCs w:val="20"/>
                <w:color w:val="auto"/>
              </w:rPr>
            </w:pPr>
            <w:r>
              <w:rPr>
                <w:rFonts w:ascii="Arial" w:cs="Arial" w:eastAsia="Arial" w:hAnsi="Arial"/>
                <w:sz w:val="20"/>
                <w:szCs w:val="20"/>
                <w:b w:val="1"/>
                <w:bCs w:val="1"/>
                <w:color w:val="auto"/>
              </w:rPr>
              <w:t>VFCP and PTE</w:t>
            </w:r>
          </w:p>
        </w:tc>
      </w:tr>
      <w:tr>
        <w:trPr>
          <w:trHeight w:val="256"/>
        </w:trPr>
        <w:tc>
          <w:tcPr>
            <w:tcW w:w="1840" w:type="dxa"/>
            <w:vAlign w:val="bottom"/>
            <w:gridSpan w:val="2"/>
          </w:tcPr>
          <w:p>
            <w:pPr>
              <w:ind w:left="20"/>
              <w:spacing w:after="0"/>
              <w:rPr>
                <w:sz w:val="20"/>
                <w:szCs w:val="20"/>
                <w:color w:val="auto"/>
              </w:rPr>
            </w:pPr>
            <w:r>
              <w:rPr>
                <w:rFonts w:ascii="Arial" w:cs="Arial" w:eastAsia="Arial" w:hAnsi="Arial"/>
                <w:sz w:val="20"/>
                <w:szCs w:val="20"/>
                <w:b w:val="1"/>
                <w:bCs w:val="1"/>
                <w:color w:val="auto"/>
              </w:rPr>
              <w:t>Date</w:t>
            </w:r>
          </w:p>
        </w:tc>
        <w:tc>
          <w:tcPr>
            <w:tcW w:w="700" w:type="dxa"/>
            <w:vAlign w:val="bottom"/>
          </w:tcPr>
          <w:p>
            <w:pPr>
              <w:spacing w:after="0"/>
              <w:rPr>
                <w:sz w:val="20"/>
                <w:szCs w:val="20"/>
                <w:color w:val="auto"/>
              </w:rPr>
            </w:pPr>
            <w:r>
              <w:rPr>
                <w:rFonts w:ascii="Arial" w:cs="Arial" w:eastAsia="Arial" w:hAnsi="Arial"/>
                <w:sz w:val="20"/>
                <w:szCs w:val="20"/>
                <w:b w:val="1"/>
                <w:bCs w:val="1"/>
                <w:color w:val="auto"/>
              </w:rPr>
              <w:t>to Plan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ind w:left="20"/>
              <w:spacing w:after="0"/>
              <w:rPr>
                <w:sz w:val="20"/>
                <w:szCs w:val="20"/>
                <w:color w:val="auto"/>
              </w:rPr>
            </w:pPr>
            <w:r>
              <w:rPr>
                <w:rFonts w:ascii="Arial" w:cs="Arial" w:eastAsia="Arial" w:hAnsi="Arial"/>
                <w:sz w:val="20"/>
                <w:szCs w:val="20"/>
                <w:b w:val="1"/>
                <w:bCs w:val="1"/>
                <w:color w:val="auto"/>
              </w:rPr>
              <w:t>Corrected</w:t>
            </w: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ind w:left="20"/>
              <w:spacing w:after="0"/>
              <w:rPr>
                <w:sz w:val="20"/>
                <w:szCs w:val="20"/>
                <w:color w:val="auto"/>
              </w:rPr>
            </w:pPr>
            <w:r>
              <w:rPr>
                <w:rFonts w:ascii="Arial" w:cs="Arial" w:eastAsia="Arial" w:hAnsi="Arial"/>
                <w:sz w:val="20"/>
                <w:szCs w:val="20"/>
                <w:b w:val="1"/>
                <w:bCs w:val="1"/>
                <w:color w:val="auto"/>
              </w:rPr>
              <w:t>VFCP</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ind w:left="20"/>
              <w:spacing w:after="0"/>
              <w:rPr>
                <w:sz w:val="20"/>
                <w:szCs w:val="20"/>
                <w:color w:val="auto"/>
              </w:rPr>
            </w:pPr>
            <w:r>
              <w:rPr>
                <w:rFonts w:ascii="Arial" w:cs="Arial" w:eastAsia="Arial" w:hAnsi="Arial"/>
                <w:sz w:val="20"/>
                <w:szCs w:val="20"/>
                <w:b w:val="1"/>
                <w:bCs w:val="1"/>
                <w:color w:val="auto"/>
              </w:rPr>
              <w:t>in VFCP</w:t>
            </w: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0"/>
                <w:szCs w:val="20"/>
                <w:b w:val="1"/>
                <w:bCs w:val="1"/>
                <w:color w:val="auto"/>
                <w:w w:val="92"/>
              </w:rPr>
              <w:t>2002-51</w:t>
            </w:r>
          </w:p>
        </w:tc>
        <w:tc>
          <w:tcPr>
            <w:tcW w:w="840" w:type="dxa"/>
            <w:vAlign w:val="bottom"/>
          </w:tcPr>
          <w:p>
            <w:pPr>
              <w:spacing w:after="0"/>
              <w:rPr>
                <w:sz w:val="22"/>
                <w:szCs w:val="22"/>
                <w:color w:val="auto"/>
              </w:rPr>
            </w:pPr>
          </w:p>
        </w:tc>
      </w:tr>
      <w:tr>
        <w:trPr>
          <w:trHeight w:val="23"/>
        </w:trPr>
        <w:tc>
          <w:tcPr>
            <w:tcW w:w="15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42"/>
        </w:trPr>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61"/>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June 2019</w:t>
            </w:r>
          </w:p>
        </w:tc>
        <w:tc>
          <w:tcPr>
            <w:tcW w:w="70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122,120</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720" w:type="dxa"/>
            <w:vAlign w:val="bottom"/>
            <w:gridSpan w:val="2"/>
            <w:shd w:val="clear" w:color="auto" w:fill="CCEEFF"/>
          </w:tcPr>
          <w:p>
            <w:pPr>
              <w:ind w:left="12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91"/>
              </w:rPr>
              <w:t>122,120</w:t>
            </w:r>
          </w:p>
        </w:tc>
      </w:tr>
      <w:tr>
        <w:trPr>
          <w:trHeight w:val="23"/>
        </w:trPr>
        <w:tc>
          <w:tcPr>
            <w:tcW w:w="1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ROPER INDUSTRIES, INC.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EMPLOYEES’ RETIREMENT SAVINGS 003 PLAN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SPONSOR’S EIN# 51-0263969</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PLAN NUMBER: 003</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SCHEDULE H, LINE 4(i)</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SCHEDULE OF ASSETS (HELD AT END OF YEAR)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December 31, 2019</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b w:val="1"/>
                <w:bCs w:val="1"/>
                <w:color w:val="auto"/>
              </w:rPr>
              <w:t>(b)</w:t>
            </w:r>
          </w:p>
        </w:tc>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Description of investment including</w:t>
            </w:r>
          </w:p>
        </w:tc>
        <w:tc>
          <w:tcPr>
            <w:tcW w:w="340" w:type="dxa"/>
            <w:vAlign w:val="bottom"/>
          </w:tcPr>
          <w:p>
            <w:pPr>
              <w:ind w:left="20"/>
              <w:spacing w:after="0"/>
              <w:rPr>
                <w:sz w:val="20"/>
                <w:szCs w:val="20"/>
                <w:color w:val="auto"/>
              </w:rPr>
            </w:pPr>
            <w:r>
              <w:rPr>
                <w:rFonts w:ascii="Arial" w:cs="Arial" w:eastAsia="Arial" w:hAnsi="Arial"/>
                <w:sz w:val="20"/>
                <w:szCs w:val="20"/>
                <w:b w:val="1"/>
                <w:bCs w:val="1"/>
                <w:color w:val="auto"/>
              </w:rPr>
              <w:t>(e)</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b w:val="1"/>
                <w:bCs w:val="1"/>
                <w:color w:val="auto"/>
              </w:rPr>
              <w:t>Identity of issuer, borrower</w:t>
            </w:r>
          </w:p>
        </w:tc>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maturity date, rate of interest,</w:t>
            </w: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rPr>
              <w:t>Current</w:t>
            </w:r>
          </w:p>
        </w:tc>
        <w:tc>
          <w:tcPr>
            <w:tcW w:w="0" w:type="dxa"/>
            <w:vAlign w:val="bottom"/>
          </w:tcPr>
          <w:p>
            <w:pPr>
              <w:spacing w:after="0"/>
              <w:rPr>
                <w:sz w:val="1"/>
                <w:szCs w:val="1"/>
                <w:color w:val="auto"/>
              </w:rPr>
            </w:pPr>
          </w:p>
        </w:tc>
      </w:tr>
      <w:tr>
        <w:trPr>
          <w:trHeight w:val="283"/>
        </w:trPr>
        <w:tc>
          <w:tcPr>
            <w:tcW w:w="700" w:type="dxa"/>
            <w:vAlign w:val="bottom"/>
            <w:gridSpan w:val="2"/>
          </w:tcPr>
          <w:p>
            <w:pPr>
              <w:ind w:left="20"/>
              <w:spacing w:after="0"/>
              <w:rPr>
                <w:sz w:val="20"/>
                <w:szCs w:val="20"/>
                <w:color w:val="auto"/>
              </w:rPr>
            </w:pPr>
            <w:r>
              <w:rPr>
                <w:rFonts w:ascii="Arial" w:cs="Arial" w:eastAsia="Arial" w:hAnsi="Arial"/>
                <w:sz w:val="20"/>
                <w:szCs w:val="20"/>
                <w:b w:val="1"/>
                <w:bCs w:val="1"/>
                <w:color w:val="auto"/>
              </w:rPr>
              <w:t>(a)</w:t>
            </w:r>
          </w:p>
        </w:tc>
        <w:tc>
          <w:tcPr>
            <w:tcW w:w="4420" w:type="dxa"/>
            <w:vAlign w:val="bottom"/>
            <w:gridSpan w:val="2"/>
          </w:tcPr>
          <w:p>
            <w:pPr>
              <w:ind w:left="20"/>
              <w:spacing w:after="0"/>
              <w:rPr>
                <w:sz w:val="20"/>
                <w:szCs w:val="20"/>
                <w:color w:val="auto"/>
              </w:rPr>
            </w:pPr>
            <w:r>
              <w:rPr>
                <w:rFonts w:ascii="Arial" w:cs="Arial" w:eastAsia="Arial" w:hAnsi="Arial"/>
                <w:sz w:val="20"/>
                <w:szCs w:val="20"/>
                <w:b w:val="1"/>
                <w:bCs w:val="1"/>
                <w:color w:val="auto"/>
              </w:rPr>
              <w:t>lessor, or similar parties</w:t>
            </w:r>
          </w:p>
        </w:tc>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collateral, par, or maturity value</w:t>
            </w: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rPr>
              <w:t>Value</w:t>
            </w:r>
          </w:p>
        </w:tc>
        <w:tc>
          <w:tcPr>
            <w:tcW w:w="0" w:type="dxa"/>
            <w:vAlign w:val="bottom"/>
          </w:tcPr>
          <w:p>
            <w:pPr>
              <w:spacing w:after="0"/>
              <w:rPr>
                <w:sz w:val="1"/>
                <w:szCs w:val="1"/>
                <w:color w:val="auto"/>
              </w:rPr>
            </w:pPr>
          </w:p>
        </w:tc>
      </w:tr>
      <w:tr>
        <w:trPr>
          <w:trHeight w:val="23"/>
        </w:trPr>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b w:val="1"/>
                <w:bCs w:val="1"/>
                <w:color w:val="auto"/>
              </w:rPr>
              <w:t>Mutual Funds</w:t>
            </w:r>
          </w:p>
        </w:tc>
        <w:tc>
          <w:tcPr>
            <w:tcW w:w="4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Developed Markets Idx Ist</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Mutual funds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6,678,686</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Emrgn Mkts Stk Ix Ins</w:t>
            </w:r>
          </w:p>
        </w:tc>
        <w:tc>
          <w:tcPr>
            <w:tcW w:w="4540" w:type="dxa"/>
            <w:vAlign w:val="bottom"/>
            <w:gridSpan w:val="2"/>
          </w:tcPr>
          <w:p>
            <w:pPr>
              <w:spacing w:after="0"/>
              <w:rPr>
                <w:sz w:val="20"/>
                <w:szCs w:val="20"/>
                <w:color w:val="auto"/>
              </w:rPr>
            </w:pPr>
            <w:r>
              <w:rPr>
                <w:rFonts w:ascii="Arial" w:cs="Arial" w:eastAsia="Arial" w:hAnsi="Arial"/>
                <w:sz w:val="20"/>
                <w:szCs w:val="20"/>
                <w:color w:val="auto"/>
              </w:rPr>
              <w:t>Mutual funds</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3,070,765</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Inst Index Fund</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Mutual funds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17,831,259</w:t>
            </w:r>
          </w:p>
        </w:tc>
        <w:tc>
          <w:tcPr>
            <w:tcW w:w="0" w:type="dxa"/>
            <w:vAlign w:val="bottom"/>
          </w:tcPr>
          <w:p>
            <w:pPr>
              <w:spacing w:after="0"/>
              <w:rPr>
                <w:sz w:val="1"/>
                <w:szCs w:val="1"/>
                <w:color w:val="auto"/>
              </w:rPr>
            </w:pPr>
          </w:p>
        </w:tc>
      </w:tr>
      <w:tr>
        <w:trPr>
          <w:trHeight w:val="261"/>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Md-Cap Index Fund Ins</w:t>
            </w:r>
          </w:p>
        </w:tc>
        <w:tc>
          <w:tcPr>
            <w:tcW w:w="4540" w:type="dxa"/>
            <w:vAlign w:val="bottom"/>
            <w:gridSpan w:val="2"/>
          </w:tcPr>
          <w:p>
            <w:pPr>
              <w:spacing w:after="0"/>
              <w:rPr>
                <w:sz w:val="20"/>
                <w:szCs w:val="20"/>
                <w:color w:val="auto"/>
              </w:rPr>
            </w:pPr>
            <w:r>
              <w:rPr>
                <w:rFonts w:ascii="Arial" w:cs="Arial" w:eastAsia="Arial" w:hAnsi="Arial"/>
                <w:sz w:val="20"/>
                <w:szCs w:val="20"/>
                <w:color w:val="auto"/>
              </w:rPr>
              <w:t>Mutual funds</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8,636,090</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Prime Money Mkt</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Mutual funds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364,650</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Sm-Cap Index Fund Ins</w:t>
            </w:r>
          </w:p>
        </w:tc>
        <w:tc>
          <w:tcPr>
            <w:tcW w:w="4540" w:type="dxa"/>
            <w:vAlign w:val="bottom"/>
            <w:gridSpan w:val="2"/>
          </w:tcPr>
          <w:p>
            <w:pPr>
              <w:spacing w:after="0"/>
              <w:rPr>
                <w:sz w:val="20"/>
                <w:szCs w:val="20"/>
                <w:color w:val="auto"/>
              </w:rPr>
            </w:pPr>
            <w:r>
              <w:rPr>
                <w:rFonts w:ascii="Arial" w:cs="Arial" w:eastAsia="Arial" w:hAnsi="Arial"/>
                <w:sz w:val="20"/>
                <w:szCs w:val="20"/>
                <w:color w:val="auto"/>
              </w:rPr>
              <w:t>Mutual funds</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3,480,235</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Total Bond Idx Inst</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Mutual funds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7,704,045</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Tot Intl Bond Ix Institl</w:t>
            </w:r>
          </w:p>
        </w:tc>
        <w:tc>
          <w:tcPr>
            <w:tcW w:w="4540" w:type="dxa"/>
            <w:vAlign w:val="bottom"/>
            <w:gridSpan w:val="2"/>
          </w:tcPr>
          <w:p>
            <w:pPr>
              <w:spacing w:after="0"/>
              <w:rPr>
                <w:sz w:val="20"/>
                <w:szCs w:val="20"/>
                <w:color w:val="auto"/>
              </w:rPr>
            </w:pPr>
            <w:r>
              <w:rPr>
                <w:rFonts w:ascii="Arial" w:cs="Arial" w:eastAsia="Arial" w:hAnsi="Arial"/>
                <w:sz w:val="20"/>
                <w:szCs w:val="20"/>
                <w:color w:val="auto"/>
              </w:rPr>
              <w:t>Mutual funds</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1,526,039</w:t>
            </w:r>
          </w:p>
        </w:tc>
        <w:tc>
          <w:tcPr>
            <w:tcW w:w="0" w:type="dxa"/>
            <w:vAlign w:val="bottom"/>
          </w:tcPr>
          <w:p>
            <w:pPr>
              <w:spacing w:after="0"/>
              <w:rPr>
                <w:sz w:val="1"/>
                <w:szCs w:val="1"/>
                <w:color w:val="auto"/>
              </w:rPr>
            </w:pPr>
          </w:p>
        </w:tc>
      </w:tr>
      <w:tr>
        <w:trPr>
          <w:trHeight w:val="23"/>
        </w:trPr>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20"/>
                <w:szCs w:val="20"/>
                <w:color w:val="auto"/>
              </w:rPr>
              <w:t>Total mutual funds</w:t>
            </w:r>
          </w:p>
        </w:tc>
        <w:tc>
          <w:tcPr>
            <w:tcW w:w="4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49,291,769</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Common/Collective Trust Funds</w:t>
            </w:r>
          </w:p>
        </w:tc>
        <w:tc>
          <w:tcPr>
            <w:tcW w:w="4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Retirement Savings Trust III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28,272,130</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Tgt Retire 2015 Tr I</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5,447,287</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Tgt Retire 2020 Tr 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21,124,310</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Tgt Retire 2025 Tr I</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41,364,418</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Tgt Retire 2030 Tr 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30,053,859</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Tgt Retire 2035 Tr I</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27,590,618</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Tgt Retire 2040 Tr 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15,422,190</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Tgt Retire 2045 Tr I</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14,274,456</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Tgt Retire 2050 Tr 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6,929,394</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Tgt Retire 2055 Tr I</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3,661,197</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Tgt Retire 2060 Tr 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1,180,314</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Tgt Retire 2065 Tr I</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128,480</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Tgt Retire Inc Tr 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2,873,076</w:t>
            </w:r>
          </w:p>
        </w:tc>
        <w:tc>
          <w:tcPr>
            <w:tcW w:w="0" w:type="dxa"/>
            <w:vAlign w:val="bottom"/>
          </w:tcPr>
          <w:p>
            <w:pPr>
              <w:spacing w:after="0"/>
              <w:rPr>
                <w:sz w:val="1"/>
                <w:szCs w:val="1"/>
                <w:color w:val="auto"/>
              </w:rPr>
            </w:pPr>
          </w:p>
        </w:tc>
      </w:tr>
      <w:tr>
        <w:trPr>
          <w:trHeight w:val="23"/>
        </w:trPr>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20"/>
                <w:szCs w:val="20"/>
                <w:color w:val="auto"/>
              </w:rPr>
              <w:t>Total Common/collective trust funds</w:t>
            </w:r>
          </w:p>
        </w:tc>
        <w:tc>
          <w:tcPr>
            <w:tcW w:w="4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95"/>
              </w:rPr>
              <w:t>198,321,729</w:t>
            </w:r>
          </w:p>
        </w:tc>
        <w:tc>
          <w:tcPr>
            <w:tcW w:w="0" w:type="dxa"/>
            <w:vAlign w:val="bottom"/>
          </w:tcPr>
          <w:p>
            <w:pPr>
              <w:spacing w:after="0"/>
              <w:rPr>
                <w:sz w:val="1"/>
                <w:szCs w:val="1"/>
                <w:color w:val="auto"/>
              </w:rPr>
            </w:pPr>
          </w:p>
        </w:tc>
      </w:tr>
      <w:tr>
        <w:trPr>
          <w:trHeight w:val="254"/>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Roper Common Stock</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 stock</w:t>
            </w: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40,169,626</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Notes receivable from participants</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Interest rates ranging from 4.25% to 6.25%</w:t>
            </w: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2,949,904</w:t>
            </w:r>
          </w:p>
        </w:tc>
        <w:tc>
          <w:tcPr>
            <w:tcW w:w="0" w:type="dxa"/>
            <w:vAlign w:val="bottom"/>
          </w:tcPr>
          <w:p>
            <w:pPr>
              <w:spacing w:after="0"/>
              <w:rPr>
                <w:sz w:val="1"/>
                <w:szCs w:val="1"/>
                <w:color w:val="auto"/>
              </w:rPr>
            </w:pPr>
          </w:p>
        </w:tc>
      </w:tr>
      <w:tr>
        <w:trPr>
          <w:trHeight w:val="254"/>
        </w:trPr>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w w:val="95"/>
              </w:rPr>
              <w:t>290,733,028</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20" w:type="dxa"/>
            <w:vAlign w:val="bottom"/>
            <w:gridSpan w:val="2"/>
            <w:vMerge w:val="restart"/>
          </w:tcPr>
          <w:p>
            <w:pPr>
              <w:ind w:left="20"/>
              <w:spacing w:after="0"/>
              <w:rPr>
                <w:sz w:val="20"/>
                <w:szCs w:val="20"/>
                <w:color w:val="auto"/>
              </w:rPr>
            </w:pPr>
            <w:r>
              <w:rPr>
                <w:rFonts w:ascii="Arial" w:cs="Arial" w:eastAsia="Arial" w:hAnsi="Arial"/>
                <w:sz w:val="20"/>
                <w:szCs w:val="20"/>
                <w:color w:val="auto"/>
              </w:rPr>
              <w:t>*Indicates party-in-interest</w:t>
            </w: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20" w:type="dxa"/>
            <w:vAlign w:val="bottom"/>
            <w:gridSpan w:val="2"/>
            <w:vMerge w:val="continue"/>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ROPER Technologies, Inc.</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EMPLOYEE’S retirement savings 003 plan</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(Registrant)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5700" w:type="dxa"/>
            <w:vAlign w:val="bottom"/>
          </w:tcPr>
          <w:p>
            <w:pPr>
              <w:ind w:left="20"/>
              <w:spacing w:after="0"/>
              <w:rPr>
                <w:sz w:val="20"/>
                <w:szCs w:val="20"/>
                <w:color w:val="auto"/>
              </w:rPr>
            </w:pPr>
            <w:r>
              <w:rPr>
                <w:rFonts w:ascii="Arial" w:cs="Arial" w:eastAsia="Arial" w:hAnsi="Arial"/>
                <w:sz w:val="20"/>
                <w:szCs w:val="20"/>
                <w:color w:val="auto"/>
              </w:rPr>
              <w:t>/S/ Jason Conley</w:t>
            </w:r>
          </w:p>
        </w:tc>
        <w:tc>
          <w:tcPr>
            <w:tcW w:w="2260" w:type="dxa"/>
            <w:vAlign w:val="bottom"/>
          </w:tcPr>
          <w:p>
            <w:pPr>
              <w:ind w:left="700"/>
              <w:spacing w:after="0"/>
              <w:rPr>
                <w:sz w:val="20"/>
                <w:szCs w:val="20"/>
                <w:color w:val="auto"/>
              </w:rPr>
            </w:pPr>
            <w:r>
              <w:rPr>
                <w:rFonts w:ascii="Arial" w:cs="Arial" w:eastAsia="Arial" w:hAnsi="Arial"/>
                <w:sz w:val="20"/>
                <w:szCs w:val="20"/>
                <w:color w:val="auto"/>
                <w:w w:val="85"/>
              </w:rPr>
              <w:t>Date: June 24, 2020</w:t>
            </w:r>
          </w:p>
        </w:tc>
      </w:tr>
      <w:tr>
        <w:trPr>
          <w:trHeight w:val="23"/>
        </w:trPr>
        <w:tc>
          <w:tcPr>
            <w:tcW w:w="6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Arial" w:cs="Arial" w:eastAsia="Arial" w:hAnsi="Arial"/>
                <w:sz w:val="20"/>
                <w:szCs w:val="20"/>
                <w:color w:val="auto"/>
              </w:rPr>
              <w:t>Jason Conley, Vice President and Controller</w:t>
            </w:r>
          </w:p>
        </w:tc>
        <w:tc>
          <w:tcPr>
            <w:tcW w:w="2260" w:type="dxa"/>
            <w:vAlign w:val="bottom"/>
          </w:tcPr>
          <w:p>
            <w:pPr>
              <w:spacing w:after="0"/>
              <w:rPr>
                <w:sz w:val="22"/>
                <w:szCs w:val="22"/>
                <w:color w:val="auto"/>
              </w:rPr>
            </w:pPr>
          </w:p>
        </w:tc>
      </w:tr>
    </w:tbl>
    <w:p>
      <w:pPr>
        <w:sectPr>
          <w:pgSz w:w="11900" w:h="16838" w:orient="portrait"/>
          <w:cols w:equalWidth="0" w:num="1">
            <w:col w:w="9039"/>
          </w:cols>
          <w:pgMar w:left="1420" w:top="1440"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180" w:type="dxa"/>
            <w:vAlign w:val="bottom"/>
          </w:tcPr>
          <w:p>
            <w:pPr>
              <w:ind w:left="2420"/>
              <w:spacing w:after="0"/>
              <w:rPr>
                <w:sz w:val="20"/>
                <w:szCs w:val="20"/>
                <w:color w:val="auto"/>
              </w:rPr>
            </w:pPr>
            <w:r>
              <w:rPr>
                <w:rFonts w:ascii="Arial" w:cs="Arial" w:eastAsia="Arial" w:hAnsi="Arial"/>
                <w:sz w:val="20"/>
                <w:szCs w:val="20"/>
                <w:b w:val="1"/>
                <w:bCs w:val="1"/>
                <w:color w:val="auto"/>
              </w:rPr>
              <w:t>Exhibit Index</w:t>
            </w:r>
          </w:p>
        </w:tc>
      </w:tr>
      <w:tr>
        <w:trPr>
          <w:trHeight w:val="283"/>
        </w:trPr>
        <w:tc>
          <w:tcPr>
            <w:tcW w:w="262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 No.</w:t>
            </w:r>
          </w:p>
        </w:tc>
        <w:tc>
          <w:tcPr>
            <w:tcW w:w="8180" w:type="dxa"/>
            <w:vAlign w:val="bottom"/>
          </w:tcPr>
          <w:p>
            <w:pPr>
              <w:ind w:left="20"/>
              <w:spacing w:after="0"/>
              <w:rPr>
                <w:sz w:val="20"/>
                <w:szCs w:val="20"/>
                <w:color w:val="auto"/>
              </w:rPr>
            </w:pPr>
            <w:r>
              <w:rPr>
                <w:rFonts w:ascii="Arial" w:cs="Arial" w:eastAsia="Arial" w:hAnsi="Arial"/>
                <w:sz w:val="20"/>
                <w:szCs w:val="20"/>
                <w:b w:val="1"/>
                <w:bCs w:val="1"/>
                <w:color w:val="auto"/>
              </w:rPr>
              <w:t>Description of Index</w:t>
            </w:r>
          </w:p>
        </w:tc>
      </w:tr>
      <w:tr>
        <w:trPr>
          <w:trHeight w:val="23"/>
        </w:trPr>
        <w:tc>
          <w:tcPr>
            <w:tcW w:w="22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81"/>
        </w:trPr>
        <w:tc>
          <w:tcPr>
            <w:tcW w:w="2240" w:type="dxa"/>
            <w:vAlign w:val="bottom"/>
          </w:tcPr>
          <w:p>
            <w:pPr>
              <w:ind w:left="20"/>
              <w:spacing w:after="0"/>
              <w:rPr>
                <w:sz w:val="20"/>
                <w:szCs w:val="20"/>
                <w:color w:val="auto"/>
              </w:rPr>
            </w:pPr>
            <w:r>
              <w:rPr>
                <w:rFonts w:ascii="Arial" w:cs="Arial" w:eastAsia="Arial" w:hAnsi="Arial"/>
                <w:sz w:val="20"/>
                <w:szCs w:val="20"/>
                <w:color w:val="auto"/>
              </w:rPr>
              <w:t>23.1</w:t>
            </w:r>
          </w:p>
        </w:tc>
        <w:tc>
          <w:tcPr>
            <w:tcW w:w="380" w:type="dxa"/>
            <w:vAlign w:val="bottom"/>
          </w:tcPr>
          <w:p>
            <w:pPr>
              <w:spacing w:after="0"/>
              <w:rPr>
                <w:sz w:val="24"/>
                <w:szCs w:val="24"/>
                <w:color w:val="auto"/>
              </w:rPr>
            </w:pPr>
          </w:p>
        </w:tc>
        <w:tc>
          <w:tcPr>
            <w:tcW w:w="8180" w:type="dxa"/>
            <w:vAlign w:val="bottom"/>
          </w:tcPr>
          <w:p>
            <w:pPr>
              <w:ind w:left="20"/>
              <w:spacing w:after="0"/>
              <w:rPr>
                <w:rFonts w:ascii="Arial" w:cs="Arial" w:eastAsia="Arial" w:hAnsi="Arial"/>
                <w:sz w:val="20"/>
                <w:szCs w:val="20"/>
                <w:u w:val="single" w:color="auto"/>
                <w:color w:val="0000FF"/>
              </w:rPr>
            </w:pPr>
            <w:hyperlink w:anchor="page15">
              <w:r>
                <w:rPr>
                  <w:rFonts w:ascii="Arial" w:cs="Arial" w:eastAsia="Arial" w:hAnsi="Arial"/>
                  <w:sz w:val="20"/>
                  <w:szCs w:val="20"/>
                  <w:u w:val="single" w:color="auto"/>
                  <w:color w:val="0000FF"/>
                </w:rPr>
                <w:t>Consent of Warren Averett, LLC</w:t>
              </w:r>
            </w:hyperlink>
          </w:p>
        </w:tc>
      </w:tr>
    </w:tbl>
    <w:p>
      <w:pPr>
        <w:sectPr>
          <w:pgSz w:w="11900" w:h="16838" w:orient="portrait"/>
          <w:cols w:equalWidth="0" w:num="1">
            <w:col w:w="10800"/>
          </w:cols>
          <w:pgMar w:left="320" w:top="1413" w:right="7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consent to the incorporation by reference in Registration Statement No. 333-35672 on Form S-8 of our report dated June 24, 2020, appearing in this Annual Report on Form 11-K of the Roper Technologies, Inc. Employees’ Retirement Savings 003 Plan for the year ended December 31, 2019.</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/s/ Warren Averett, LLC</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Atlanta, Georgia</w:t>
      </w:r>
    </w:p>
    <w:p>
      <w:pPr>
        <w:spacing w:after="0"/>
        <w:rPr>
          <w:sz w:val="20"/>
          <w:szCs w:val="20"/>
          <w:color w:val="auto"/>
        </w:rPr>
      </w:pPr>
      <w:r>
        <w:rPr>
          <w:rFonts w:ascii="Arial" w:cs="Arial" w:eastAsia="Arial" w:hAnsi="Arial"/>
          <w:sz w:val="22"/>
          <w:szCs w:val="22"/>
          <w:color w:val="auto"/>
        </w:rPr>
        <w:t>June 24, 2020</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2020-06-24T09:42:07Z</dcterms:created>
  <dcterms:modified xsi:type="dcterms:W3CDTF">2020-06-24T09:42:07Z</dcterms:modified>
</cp:coreProperties>
</file>