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before="0" w:after="0"/>
        <w:jc w:val="center"/>
        <w:rPr/>
      </w:pPr>
      <w:r>
        <w:rPr/>
      </w:r>
    </w:p>
    <w:p>
      <w:pPr>
        <w:pStyle w:val="TextBody"/>
        <w:bidi w:val="0"/>
        <w:spacing w:lineRule="auto" w:line="288" w:before="0" w:after="0"/>
        <w:jc w:val="left"/>
        <w:rPr/>
      </w:pPr>
      <w:r>
        <w:rPr>
          <w:color w:val="000000"/>
        </w:rPr>
        <w:t xml:space="preserve">☑   </w:t>
      </w:r>
      <w:r>
        <w:rPr>
          <w:rFonts w:ascii="Times New Roman;serif" w:hAnsi="Times New Roman;serif"/>
          <w:b/>
          <w:color w:val="000000"/>
          <w:sz w:val="20"/>
        </w:rPr>
        <w:t>ANNUAL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fiscal year ended December 31, 2025</w:t>
      </w:r>
    </w:p>
    <w:p>
      <w:pPr>
        <w:pStyle w:val="TextBody"/>
        <w:bidi w:val="0"/>
        <w:spacing w:lineRule="auto" w:line="288" w:before="60" w:after="60"/>
        <w:jc w:val="center"/>
        <w:rPr>
          <w:rFonts w:ascii="Times New Roman;serif" w:hAnsi="Times New Roman;serif"/>
          <w:b/>
          <w:color w:val="000000"/>
          <w:sz w:val="16"/>
        </w:rPr>
      </w:pPr>
      <w:r>
        <w:rPr>
          <w:rFonts w:ascii="Times New Roman;serif" w:hAnsi="Times New Roman;serif"/>
          <w:b/>
          <w:color w:val="000000"/>
          <w:sz w:val="16"/>
        </w:rPr>
        <w:t>or</w:t>
      </w:r>
    </w:p>
    <w:p>
      <w:pPr>
        <w:pStyle w:val="TextBody"/>
        <w:bidi w:val="0"/>
        <w:spacing w:lineRule="auto" w:line="288" w:before="0" w:after="0"/>
        <w:jc w:val="left"/>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_____ to 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1-12273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ROPER TECHNOLOGIES,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bl>
      <w:tblPr>
        <w:tblW w:w="6959" w:type="dxa"/>
        <w:jc w:val="center"/>
        <w:tblInd w:w="0" w:type="dxa"/>
        <w:tblLayout w:type="fixed"/>
        <w:tblCellMar>
          <w:top w:w="28" w:type="dxa"/>
          <w:left w:w="28" w:type="dxa"/>
          <w:bottom w:w="28" w:type="dxa"/>
          <w:right w:w="28" w:type="dxa"/>
        </w:tblCellMar>
      </w:tblPr>
      <w:tblGrid>
        <w:gridCol w:w="1549"/>
        <w:gridCol w:w="1364"/>
        <w:gridCol w:w="1376"/>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51-0263969</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6496 University Parkway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Sarasota, Florida 34240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(941) 556-2601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408" w:type="dxa"/>
        <w:jc w:val="center"/>
        <w:tblInd w:w="0" w:type="dxa"/>
        <w:tblLayout w:type="fixed"/>
        <w:tblCellMar>
          <w:top w:w="28" w:type="dxa"/>
          <w:left w:w="28" w:type="dxa"/>
          <w:bottom w:w="28" w:type="dxa"/>
          <w:right w:w="28" w:type="dxa"/>
        </w:tblCellMar>
      </w:tblPr>
      <w:tblGrid>
        <w:gridCol w:w="896"/>
        <w:gridCol w:w="787"/>
        <w:gridCol w:w="792"/>
        <w:gridCol w:w="109"/>
        <w:gridCol w:w="109"/>
        <w:gridCol w:w="109"/>
        <w:gridCol w:w="519"/>
        <w:gridCol w:w="519"/>
        <w:gridCol w:w="521"/>
        <w:gridCol w:w="109"/>
        <w:gridCol w:w="109"/>
        <w:gridCol w:w="109"/>
        <w:gridCol w:w="1088"/>
        <w:gridCol w:w="1088"/>
        <w:gridCol w:w="1544"/>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ROP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 None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p>
      <w:pPr>
        <w:pStyle w:val="TextBody"/>
        <w:bidi w:val="0"/>
        <w:spacing w:lineRule="auto" w:line="288" w:before="0" w:after="100"/>
        <w:jc w:val="both"/>
        <w:rPr/>
      </w:pPr>
      <w:r>
        <w:rPr>
          <w:rFonts w:ascii="Times New Roman;serif" w:hAnsi="Times New Roman;serif"/>
          <w:b w:val="false"/>
          <w:color w:val="000000"/>
          <w:sz w:val="18"/>
        </w:rPr>
        <w:t xml:space="preserve">Indicate by check mark if the registrant is a well-known seasoned issuer, as defined in Rule 405 of the Securities Act. </w:t>
      </w:r>
      <w:r>
        <w:rPr>
          <w:color w:val="000000"/>
        </w:rPr>
        <w:t xml:space="preserve">☑ </w:t>
      </w:r>
      <w:r>
        <w:rPr>
          <w:rFonts w:ascii="Times New Roman;serif" w:hAnsi="Times New Roman;serif"/>
          <w:b w:val="false"/>
          <w:color w:val="000000"/>
          <w:sz w:val="18"/>
        </w:rPr>
        <w:t>Yes   ☐ No</w:t>
      </w:r>
    </w:p>
    <w:p>
      <w:pPr>
        <w:pStyle w:val="TextBody"/>
        <w:bidi w:val="0"/>
        <w:spacing w:lineRule="auto" w:line="288" w:before="0" w:after="100"/>
        <w:jc w:val="both"/>
        <w:rPr/>
      </w:pPr>
      <w:r>
        <w:rPr>
          <w:rFonts w:ascii="Times New Roman;serif" w:hAnsi="Times New Roman;serif"/>
          <w:b w:val="false"/>
          <w:color w:val="000000"/>
          <w:sz w:val="18"/>
        </w:rPr>
        <w:t xml:space="preserve">Indicate by check mark if the registrant is not required to file reports pursuant to Section 13 or 15(d) of the Act. ☐ Yes   </w:t>
      </w:r>
      <w:r>
        <w:rPr>
          <w:color w:val="000000"/>
        </w:rPr>
        <w:t xml:space="preserve">☑ </w:t>
      </w:r>
      <w:r>
        <w:rPr>
          <w:rFonts w:ascii="Times New Roman;serif" w:hAnsi="Times New Roman;serif"/>
          <w:b w:val="false"/>
          <w:color w:val="000000"/>
          <w:sz w:val="18"/>
        </w:rPr>
        <w:t>No</w:t>
      </w:r>
    </w:p>
    <w:p>
      <w:pPr>
        <w:pStyle w:val="TextBody"/>
        <w:bidi w:val="0"/>
        <w:spacing w:lineRule="auto" w:line="288" w:before="0" w:after="10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18"/>
        </w:rPr>
        <w:t>Yes   ☐ No</w:t>
      </w:r>
    </w:p>
    <w:p>
      <w:pPr>
        <w:pStyle w:val="TextBody"/>
        <w:bidi w:val="0"/>
        <w:spacing w:lineRule="auto" w:line="288" w:before="0" w:after="10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18"/>
        </w:rPr>
        <w:t>Yes   ☐ No</w:t>
      </w:r>
    </w:p>
    <w:p>
      <w:pPr>
        <w:pStyle w:val="TextBody"/>
        <w:bidi w:val="0"/>
        <w:spacing w:lineRule="auto" w:line="288" w:before="0" w:after="100"/>
        <w:jc w:val="both"/>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color w:val="000000"/>
        </w:rPr>
        <w:t xml:space="preserve">☑ </w:t>
      </w:r>
      <w:r>
        <w:rPr>
          <w:rFonts w:ascii="Times New Roman;serif" w:hAnsi="Times New Roman;serif"/>
          <w:b w:val="false"/>
          <w:color w:val="000000"/>
          <w:sz w:val="18"/>
        </w:rPr>
        <w:t xml:space="preserve">Large accelerated filer ☐ Accelerated filer  ☐ Non-accelerated filer </w:t>
      </w:r>
      <w:r>
        <w:rPr>
          <w:color w:val="000000"/>
        </w:rPr>
        <w:t xml:space="preserve">☐ </w:t>
      </w:r>
      <w:r>
        <w:rPr>
          <w:rFonts w:ascii="Times New Roman;serif" w:hAnsi="Times New Roman;serif"/>
          <w:b w:val="false"/>
          <w:color w:val="000000"/>
          <w:sz w:val="18"/>
        </w:rPr>
        <w:t xml:space="preserve">Smaller reporting company </w:t>
      </w:r>
      <w:r>
        <w:rPr>
          <w:color w:val="000000"/>
        </w:rPr>
        <w:t xml:space="preserve">☐ </w:t>
      </w:r>
      <w:r>
        <w:rPr>
          <w:rFonts w:ascii="Times New Roman;serif" w:hAnsi="Times New Roman;serif"/>
          <w:b w:val="false"/>
          <w:color w:val="000000"/>
          <w:sz w:val="18"/>
        </w:rPr>
        <w:t>Emerging growth company</w:t>
      </w:r>
    </w:p>
    <w:p>
      <w:pPr>
        <w:pStyle w:val="TextBody"/>
        <w:bidi w:val="0"/>
        <w:spacing w:lineRule="auto" w:line="288" w:before="0" w:after="100"/>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00"/>
        <w:jc w:val="both"/>
        <w:rPr/>
      </w:pPr>
      <w:r>
        <w:rPr>
          <w:rFonts w:ascii="Times New Roman;serif" w:hAnsi="Times New Roman;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100"/>
        <w:jc w:val="both"/>
        <w:rPr>
          <w:rFonts w:ascii="Times New Roman;serif" w:hAnsi="Times New Roman;serif"/>
          <w:b w:val="false"/>
          <w:color w:val="000000"/>
          <w:sz w:val="18"/>
        </w:rPr>
      </w:pPr>
      <w:r>
        <w:rPr>
          <w:rFonts w:ascii="Times New Roman;serif" w:hAnsi="Times New Roman;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10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100"/>
        <w:jc w:val="both"/>
        <w:rPr/>
      </w:pPr>
      <w:r>
        <w:rPr>
          <w:rFonts w:ascii="Times New Roman;serif" w:hAnsi="Times New Roman;serif"/>
          <w:b w:val="false"/>
          <w:color w:val="000000"/>
          <w:sz w:val="18"/>
        </w:rPr>
        <w:t xml:space="preserve">Indicate by check mark whether the registrant is a shell company (as defined in Rule 12b-2 of the Act). </w:t>
      </w:r>
      <w:r>
        <w:rPr>
          <w:color w:val="000000"/>
        </w:rPr>
        <w:t xml:space="preserve">☐ </w:t>
      </w: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No</w:t>
      </w:r>
    </w:p>
    <w:p>
      <w:pPr>
        <w:pStyle w:val="TextBody"/>
        <w:bidi w:val="0"/>
        <w:spacing w:lineRule="auto" w:line="288" w:before="0" w:after="100"/>
        <w:jc w:val="both"/>
        <w:rPr>
          <w:rFonts w:ascii="Times New Roman;serif" w:hAnsi="Times New Roman;serif"/>
          <w:b w:val="false"/>
          <w:color w:val="000000"/>
          <w:sz w:val="18"/>
        </w:rPr>
      </w:pPr>
      <w:r>
        <w:rPr>
          <w:rFonts w:ascii="Times New Roman;serif" w:hAnsi="Times New Roman;serif"/>
          <w:b w:val="false"/>
          <w:color w:val="000000"/>
          <w:sz w:val="18"/>
        </w:rPr>
        <w:t>Based on the closing sale price on The Nasdaq Stock Market (“Nasdaq”), on June 30, 2025, the aggregate market value of the voting and non-voting common stock held by non-affiliates of the registrant was: $60.8 billion.</w:t>
      </w:r>
    </w:p>
    <w:p>
      <w:pPr>
        <w:pStyle w:val="TextBody"/>
        <w:bidi w:val="0"/>
        <w:spacing w:lineRule="auto" w:line="288" w:before="0" w:after="100"/>
        <w:jc w:val="left"/>
        <w:rPr>
          <w:rFonts w:ascii="Times New Roman;serif" w:hAnsi="Times New Roman;serif"/>
          <w:b w:val="false"/>
          <w:color w:val="000000"/>
          <w:sz w:val="18"/>
        </w:rPr>
      </w:pPr>
      <w:r>
        <w:rPr>
          <w:rFonts w:ascii="Times New Roman;serif" w:hAnsi="Times New Roman;serif"/>
          <w:b w:val="false"/>
          <w:color w:val="000000"/>
          <w:sz w:val="18"/>
        </w:rPr>
        <w:t>Number of shares outstanding of the registrant’s common stock as of February 20, 2026: 102,927,515.</w:t>
      </w:r>
    </w:p>
    <w:p>
      <w:pPr>
        <w:pStyle w:val="TextBody"/>
        <w:bidi w:val="0"/>
        <w:spacing w:lineRule="auto" w:line="288" w:before="0" w:after="100"/>
        <w:jc w:val="center"/>
        <w:rPr>
          <w:rFonts w:ascii="Times New Roman;serif" w:hAnsi="Times New Roman;serif"/>
          <w:b/>
          <w:color w:val="000000"/>
          <w:sz w:val="18"/>
        </w:rPr>
      </w:pPr>
      <w:r>
        <w:rPr>
          <w:rFonts w:ascii="Times New Roman;serif" w:hAnsi="Times New Roman;serif"/>
          <w:b/>
          <w:color w:val="000000"/>
          <w:sz w:val="18"/>
        </w:rPr>
        <w:t>DOCUMENTS INCORPORATED BY REFERENCE</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Portions of the registrant’s Proxy Statement to be furnished to stockholders in connection with its 2026 Annual Meeting of Stockholders are incorporated by reference into Part III, Items 10, 11, 12, 13, and 14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ROPER TECHNOLOGIES,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FORM 10-K FOR THE FISCAL YEAR ENDED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05"/>
        <w:gridCol w:w="268"/>
        <w:gridCol w:w="270"/>
        <w:gridCol w:w="2941"/>
        <w:gridCol w:w="2929"/>
        <w:gridCol w:w="2947"/>
        <w:gridCol w:w="158"/>
        <w:gridCol w:w="158"/>
        <w:gridCol w:w="229"/>
      </w:tblGrid>
      <w:tr>
        <w:trPr/>
        <w:tc>
          <w:tcPr>
            <w:tcW w:w="3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13">
              <w:r>
                <w:rPr>
                  <w:rStyle w:val="InternetLink"/>
                  <w:rFonts w:ascii="Times New Roman;serif" w:hAnsi="Times New Roman;serif"/>
                  <w:b w:val="false"/>
                  <w:color w:val="0000FF"/>
                  <w:sz w:val="20"/>
                  <w:u w:val="single"/>
                </w:rPr>
                <w:t>PART I</w:t>
              </w:r>
            </w:hyperlink>
          </w:p>
        </w:tc>
        <w:tc>
          <w:tcPr>
            <w:tcW w:w="8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16">
              <w:r>
                <w:rPr>
                  <w:rStyle w:val="InternetLink"/>
                  <w:rFonts w:ascii="Times New Roman;serif" w:hAnsi="Times New Roman;serif"/>
                  <w:b w:val="false"/>
                  <w:color w:val="0000FF"/>
                  <w:sz w:val="20"/>
                  <w:u w:val="single"/>
                </w:rPr>
                <w:t>Item 1.</w:t>
              </w:r>
            </w:hyperlink>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16">
              <w:r>
                <w:rPr>
                  <w:rStyle w:val="InternetLink"/>
                  <w:rFonts w:ascii="Times New Roman;serif" w:hAnsi="Times New Roman;serif"/>
                  <w:b w:val="false"/>
                  <w:color w:val="0000FF"/>
                  <w:sz w:val="20"/>
                  <w:u w:val="single"/>
                </w:rPr>
                <w:t>Business</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16">
              <w:r>
                <w:rPr>
                  <w:rStyle w:val="InternetLink"/>
                  <w:rFonts w:ascii="Times New Roman;serif" w:hAnsi="Times New Roman;serif"/>
                  <w:b w:val="false"/>
                  <w:color w:val="0000FF"/>
                  <w:sz w:val="20"/>
                  <w:u w:val="single"/>
                </w:rPr>
                <w:t>4</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22">
              <w:r>
                <w:rPr>
                  <w:rStyle w:val="InternetLink"/>
                  <w:rFonts w:ascii="Times New Roman;serif" w:hAnsi="Times New Roman;serif"/>
                  <w:b w:val="false"/>
                  <w:color w:val="0000FF"/>
                  <w:sz w:val="20"/>
                  <w:u w:val="single"/>
                </w:rPr>
                <w:t>Item 1A.</w:t>
              </w:r>
            </w:hyperlink>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22">
              <w:r>
                <w:rPr>
                  <w:rStyle w:val="InternetLink"/>
                  <w:rFonts w:ascii="Times New Roman;serif" w:hAnsi="Times New Roman;serif"/>
                  <w:b w:val="false"/>
                  <w:color w:val="0000FF"/>
                  <w:sz w:val="20"/>
                  <w:u w:val="single"/>
                </w:rPr>
                <w:t>Risk Factors</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22">
              <w:r>
                <w:rPr>
                  <w:rStyle w:val="InternetLink"/>
                  <w:rFonts w:ascii="Times New Roman;serif" w:hAnsi="Times New Roman;serif"/>
                  <w:b w:val="false"/>
                  <w:color w:val="0000FF"/>
                  <w:sz w:val="20"/>
                  <w:u w:val="single"/>
                </w:rPr>
                <w:t>9</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25">
              <w:r>
                <w:rPr>
                  <w:rStyle w:val="InternetLink"/>
                  <w:rFonts w:ascii="Times New Roman;serif" w:hAnsi="Times New Roman;serif"/>
                  <w:b w:val="false"/>
                  <w:color w:val="0000FF"/>
                  <w:sz w:val="20"/>
                  <w:u w:val="single"/>
                </w:rPr>
                <w:t>Item 1B.</w:t>
              </w:r>
            </w:hyperlink>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25">
              <w:r>
                <w:rPr>
                  <w:rStyle w:val="InternetLink"/>
                  <w:rFonts w:ascii="Times New Roman;serif" w:hAnsi="Times New Roman;serif"/>
                  <w:b w:val="false"/>
                  <w:color w:val="0000FF"/>
                  <w:sz w:val="20"/>
                  <w:u w:val="single"/>
                </w:rPr>
                <w:t>Unresolved Staff Comments</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25">
              <w:r>
                <w:rPr>
                  <w:rStyle w:val="InternetLink"/>
                  <w:rFonts w:ascii="Times New Roman;serif" w:hAnsi="Times New Roman;serif"/>
                  <w:b w:val="false"/>
                  <w:color w:val="0000FF"/>
                  <w:sz w:val="20"/>
                  <w:u w:val="single"/>
                </w:rPr>
                <w:t>17</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28">
              <w:r>
                <w:rPr>
                  <w:rStyle w:val="InternetLink"/>
                  <w:rFonts w:ascii="Times New Roman;serif" w:hAnsi="Times New Roman;serif"/>
                  <w:b w:val="false"/>
                  <w:color w:val="0000FF"/>
                  <w:sz w:val="20"/>
                  <w:u w:val="single"/>
                </w:rPr>
                <w:t>Item 1C.</w:t>
              </w:r>
            </w:hyperlink>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28">
              <w:r>
                <w:rPr>
                  <w:rStyle w:val="InternetLink"/>
                  <w:rFonts w:ascii="Times New Roman;serif" w:hAnsi="Times New Roman;serif"/>
                  <w:b w:val="false"/>
                  <w:color w:val="0000FF"/>
                  <w:sz w:val="20"/>
                  <w:u w:val="single"/>
                </w:rPr>
                <w:t>Cybersecurity</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28">
              <w:r>
                <w:rPr>
                  <w:rStyle w:val="InternetLink"/>
                  <w:rFonts w:ascii="Times New Roman;serif" w:hAnsi="Times New Roman;serif"/>
                  <w:b w:val="false"/>
                  <w:color w:val="0000FF"/>
                  <w:sz w:val="20"/>
                  <w:u w:val="single"/>
                </w:rPr>
                <w:t>18</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31">
              <w:r>
                <w:rPr>
                  <w:rStyle w:val="InternetLink"/>
                  <w:rFonts w:ascii="Times New Roman;serif" w:hAnsi="Times New Roman;serif"/>
                  <w:b w:val="false"/>
                  <w:color w:val="0000FF"/>
                  <w:sz w:val="20"/>
                  <w:u w:val="single"/>
                </w:rPr>
                <w:t>Item 2.</w:t>
              </w:r>
            </w:hyperlink>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31">
              <w:r>
                <w:rPr>
                  <w:rStyle w:val="InternetLink"/>
                  <w:rFonts w:ascii="Times New Roman;serif" w:hAnsi="Times New Roman;serif"/>
                  <w:b w:val="false"/>
                  <w:color w:val="0000FF"/>
                  <w:sz w:val="20"/>
                  <w:u w:val="single"/>
                </w:rPr>
                <w:t>Properties</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31">
              <w:r>
                <w:rPr>
                  <w:rStyle w:val="InternetLink"/>
                  <w:rFonts w:ascii="Times New Roman;serif" w:hAnsi="Times New Roman;serif"/>
                  <w:b w:val="false"/>
                  <w:color w:val="0000FF"/>
                  <w:sz w:val="20"/>
                  <w:u w:val="single"/>
                </w:rPr>
                <w:t>19</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34">
              <w:r>
                <w:rPr>
                  <w:rStyle w:val="InternetLink"/>
                  <w:rFonts w:ascii="Times New Roman;serif" w:hAnsi="Times New Roman;serif"/>
                  <w:b w:val="false"/>
                  <w:color w:val="0000FF"/>
                  <w:sz w:val="20"/>
                  <w:u w:val="single"/>
                </w:rPr>
                <w:t>Item 3.</w:t>
              </w:r>
            </w:hyperlink>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34">
              <w:r>
                <w:rPr>
                  <w:rStyle w:val="InternetLink"/>
                  <w:rFonts w:ascii="Times New Roman;serif" w:hAnsi="Times New Roman;serif"/>
                  <w:b w:val="false"/>
                  <w:color w:val="0000FF"/>
                  <w:sz w:val="20"/>
                  <w:u w:val="single"/>
                </w:rPr>
                <w:t>Legal Proceedings</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34">
              <w:r>
                <w:rPr>
                  <w:rStyle w:val="InternetLink"/>
                  <w:rFonts w:ascii="Times New Roman;serif" w:hAnsi="Times New Roman;serif"/>
                  <w:b w:val="false"/>
                  <w:color w:val="0000FF"/>
                  <w:sz w:val="20"/>
                  <w:u w:val="single"/>
                </w:rPr>
                <w:t>19</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37">
              <w:r>
                <w:rPr>
                  <w:rStyle w:val="InternetLink"/>
                  <w:rFonts w:ascii="Times New Roman;serif" w:hAnsi="Times New Roman;serif"/>
                  <w:b w:val="false"/>
                  <w:color w:val="0000FF"/>
                  <w:sz w:val="20"/>
                  <w:u w:val="single"/>
                </w:rPr>
                <w:t>Item 4.</w:t>
              </w:r>
            </w:hyperlink>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37">
              <w:r>
                <w:rPr>
                  <w:rStyle w:val="InternetLink"/>
                  <w:rFonts w:ascii="Times New Roman;serif" w:hAnsi="Times New Roman;serif"/>
                  <w:b w:val="false"/>
                  <w:color w:val="0000FF"/>
                  <w:sz w:val="20"/>
                  <w:u w:val="single"/>
                </w:rPr>
                <w:t>Mine Safety Disclosures</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37">
              <w:r>
                <w:rPr>
                  <w:rStyle w:val="InternetLink"/>
                  <w:rFonts w:ascii="Times New Roman;serif" w:hAnsi="Times New Roman;serif"/>
                  <w:b w:val="false"/>
                  <w:color w:val="0000FF"/>
                  <w:sz w:val="20"/>
                  <w:u w:val="single"/>
                </w:rPr>
                <w:t>19</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40">
              <w:r>
                <w:rPr>
                  <w:rStyle w:val="InternetLink"/>
                  <w:rFonts w:ascii="Times New Roman;serif" w:hAnsi="Times New Roman;serif"/>
                  <w:b w:val="false"/>
                  <w:color w:val="000080"/>
                  <w:sz w:val="20"/>
                  <w:u w:val="single"/>
                </w:rPr>
                <w:t xml:space="preserve">Information </w:t>
              </w:r>
            </w:hyperlink>
            <w:hyperlink w:anchor="if6d83d51226741c1b279d31200011e3a_40">
              <w:r>
                <w:rPr>
                  <w:rStyle w:val="InternetLink"/>
                  <w:rFonts w:ascii="Times New Roman;serif" w:hAnsi="Times New Roman;serif"/>
                  <w:b w:val="false"/>
                  <w:color w:val="000080"/>
                  <w:sz w:val="20"/>
                  <w:u w:val="single"/>
                </w:rPr>
                <w:t>A</w:t>
              </w:r>
            </w:hyperlink>
            <w:hyperlink w:anchor="if6d83d51226741c1b279d31200011e3a_40">
              <w:r>
                <w:rPr>
                  <w:rStyle w:val="InternetLink"/>
                  <w:rFonts w:ascii="Times New Roman;serif" w:hAnsi="Times New Roman;serif"/>
                  <w:b w:val="false"/>
                  <w:color w:val="000080"/>
                  <w:sz w:val="20"/>
                  <w:u w:val="single"/>
                </w:rPr>
                <w:t xml:space="preserve">bout </w:t>
              </w:r>
            </w:hyperlink>
            <w:hyperlink w:anchor="if6d83d51226741c1b279d31200011e3a_40">
              <w:r>
                <w:rPr>
                  <w:rStyle w:val="InternetLink"/>
                  <w:rFonts w:ascii="Times New Roman;serif" w:hAnsi="Times New Roman;serif"/>
                  <w:b w:val="false"/>
                  <w:color w:val="000080"/>
                  <w:sz w:val="20"/>
                  <w:u w:val="single"/>
                </w:rPr>
                <w:t>O</w:t>
              </w:r>
            </w:hyperlink>
            <w:hyperlink w:anchor="if6d83d51226741c1b279d31200011e3a_40">
              <w:r>
                <w:rPr>
                  <w:rStyle w:val="InternetLink"/>
                  <w:rFonts w:ascii="Times New Roman;serif" w:hAnsi="Times New Roman;serif"/>
                  <w:b w:val="false"/>
                  <w:color w:val="000080"/>
                  <w:sz w:val="20"/>
                  <w:u w:val="single"/>
                </w:rPr>
                <w:t>ur Executive Officers</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40">
              <w:r>
                <w:rPr>
                  <w:rStyle w:val="InternetLink"/>
                  <w:rFonts w:ascii="Times New Roman;serif" w:hAnsi="Times New Roman;serif"/>
                  <w:b w:val="false"/>
                  <w:color w:val="0000FF"/>
                  <w:sz w:val="20"/>
                  <w:u w:val="single"/>
                </w:rPr>
                <w:t>20</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43">
              <w:r>
                <w:rPr>
                  <w:rStyle w:val="InternetLink"/>
                  <w:rFonts w:ascii="Times New Roman;serif" w:hAnsi="Times New Roman;serif"/>
                  <w:b w:val="false"/>
                  <w:color w:val="0000FF"/>
                  <w:sz w:val="20"/>
                  <w:u w:val="single"/>
                </w:rPr>
                <w:t>PART II</w:t>
              </w:r>
            </w:hyperlink>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46">
              <w:r>
                <w:rPr>
                  <w:rStyle w:val="InternetLink"/>
                  <w:rFonts w:ascii="Times New Roman;serif" w:hAnsi="Times New Roman;serif"/>
                  <w:b w:val="false"/>
                  <w:color w:val="0000FF"/>
                  <w:sz w:val="20"/>
                  <w:u w:val="single"/>
                </w:rPr>
                <w:t>Item 5.</w:t>
              </w:r>
            </w:hyperlink>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46">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46">
              <w:r>
                <w:rPr>
                  <w:rStyle w:val="InternetLink"/>
                  <w:rFonts w:ascii="Times New Roman;serif" w:hAnsi="Times New Roman;serif"/>
                  <w:b w:val="false"/>
                  <w:color w:val="0000FF"/>
                  <w:sz w:val="20"/>
                  <w:u w:val="single"/>
                </w:rPr>
                <w:t>21</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49">
              <w:r>
                <w:rPr>
                  <w:rStyle w:val="InternetLink"/>
                  <w:rFonts w:ascii="Times New Roman;serif" w:hAnsi="Times New Roman;serif"/>
                  <w:b w:val="false"/>
                  <w:color w:val="0000FF"/>
                  <w:sz w:val="20"/>
                  <w:u w:val="single"/>
                </w:rPr>
                <w:t>Item 6.</w:t>
              </w:r>
            </w:hyperlink>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49">
              <w:r>
                <w:rPr>
                  <w:rStyle w:val="InternetLink"/>
                  <w:rFonts w:ascii="Times New Roman;serif" w:hAnsi="Times New Roman;serif"/>
                  <w:b w:val="false"/>
                  <w:color w:val="0000FF"/>
                  <w:sz w:val="20"/>
                  <w:u w:val="single"/>
                </w:rPr>
                <w:t>[Reserved]</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49">
              <w:r>
                <w:rPr>
                  <w:rStyle w:val="InternetLink"/>
                  <w:rFonts w:ascii="Times New Roman;serif" w:hAnsi="Times New Roman;serif"/>
                  <w:b w:val="false"/>
                  <w:color w:val="0000FF"/>
                  <w:sz w:val="20"/>
                  <w:u w:val="single"/>
                </w:rPr>
                <w:t>22</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55">
              <w:r>
                <w:rPr>
                  <w:rStyle w:val="InternetLink"/>
                  <w:rFonts w:ascii="Times New Roman;serif" w:hAnsi="Times New Roman;serif"/>
                  <w:b w:val="false"/>
                  <w:color w:val="0000FF"/>
                  <w:sz w:val="20"/>
                  <w:u w:val="single"/>
                </w:rPr>
                <w:t>Item 7.</w:t>
              </w:r>
            </w:hyperlink>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5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55">
              <w:r>
                <w:rPr>
                  <w:rStyle w:val="InternetLink"/>
                  <w:rFonts w:ascii="Times New Roman;serif" w:hAnsi="Times New Roman;serif"/>
                  <w:b w:val="false"/>
                  <w:color w:val="0000FF"/>
                  <w:sz w:val="20"/>
                  <w:u w:val="single"/>
                </w:rPr>
                <w:t>23</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67">
              <w:r>
                <w:rPr>
                  <w:rStyle w:val="InternetLink"/>
                  <w:rFonts w:ascii="Times New Roman;serif" w:hAnsi="Times New Roman;serif"/>
                  <w:b w:val="false"/>
                  <w:color w:val="0000FF"/>
                  <w:sz w:val="20"/>
                  <w:u w:val="single"/>
                </w:rPr>
                <w:t>Item 7A.</w:t>
              </w:r>
            </w:hyperlink>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67">
              <w:r>
                <w:rPr>
                  <w:rStyle w:val="InternetLink"/>
                  <w:rFonts w:ascii="Times New Roman;serif" w:hAnsi="Times New Roman;serif"/>
                  <w:b w:val="false"/>
                  <w:color w:val="0000FF"/>
                  <w:sz w:val="20"/>
                  <w:u w:val="single"/>
                </w:rPr>
                <w:t>Quantitative and Qualitative Disclosures About Market Risk</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67">
              <w:r>
                <w:rPr>
                  <w:rStyle w:val="InternetLink"/>
                  <w:rFonts w:ascii="Times New Roman;serif" w:hAnsi="Times New Roman;serif"/>
                  <w:b w:val="false"/>
                  <w:color w:val="0000FF"/>
                  <w:sz w:val="20"/>
                  <w:u w:val="single"/>
                </w:rPr>
                <w:t>31</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70">
              <w:r>
                <w:rPr>
                  <w:rStyle w:val="InternetLink"/>
                  <w:rFonts w:ascii="Times New Roman;serif" w:hAnsi="Times New Roman;serif"/>
                  <w:b w:val="false"/>
                  <w:color w:val="0000FF"/>
                  <w:sz w:val="20"/>
                  <w:u w:val="single"/>
                </w:rPr>
                <w:t>Item 8.</w:t>
              </w:r>
            </w:hyperlink>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70">
              <w:r>
                <w:rPr>
                  <w:rStyle w:val="InternetLink"/>
                  <w:rFonts w:ascii="Times New Roman;serif" w:hAnsi="Times New Roman;serif"/>
                  <w:b w:val="false"/>
                  <w:color w:val="0000FF"/>
                  <w:sz w:val="20"/>
                  <w:u w:val="single"/>
                </w:rPr>
                <w:t>Financial Statements and Supplementary Data</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70">
              <w:r>
                <w:rPr>
                  <w:rStyle w:val="InternetLink"/>
                  <w:rFonts w:ascii="Times New Roman;serif" w:hAnsi="Times New Roman;serif"/>
                  <w:b w:val="false"/>
                  <w:color w:val="0000FF"/>
                  <w:sz w:val="20"/>
                  <w:u w:val="single"/>
                </w:rPr>
                <w:t>32</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184">
              <w:r>
                <w:rPr>
                  <w:rStyle w:val="InternetLink"/>
                  <w:rFonts w:ascii="Times New Roman;serif" w:hAnsi="Times New Roman;serif"/>
                  <w:b w:val="false"/>
                  <w:color w:val="0000FF"/>
                  <w:sz w:val="20"/>
                  <w:u w:val="single"/>
                </w:rPr>
                <w:t>Item 9.</w:t>
              </w:r>
            </w:hyperlink>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184">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184">
              <w:r>
                <w:rPr>
                  <w:rStyle w:val="InternetLink"/>
                  <w:rFonts w:ascii="Times New Roman;serif" w:hAnsi="Times New Roman;serif"/>
                  <w:b w:val="false"/>
                  <w:color w:val="0000FF"/>
                  <w:sz w:val="20"/>
                  <w:u w:val="single"/>
                </w:rPr>
                <w:t>66</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187">
              <w:r>
                <w:rPr>
                  <w:rStyle w:val="InternetLink"/>
                  <w:rFonts w:ascii="Times New Roman;serif" w:hAnsi="Times New Roman;serif"/>
                  <w:b w:val="false"/>
                  <w:color w:val="0000FF"/>
                  <w:sz w:val="20"/>
                  <w:u w:val="single"/>
                </w:rPr>
                <w:t>Item 9A.</w:t>
              </w:r>
            </w:hyperlink>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187">
              <w:r>
                <w:rPr>
                  <w:rStyle w:val="InternetLink"/>
                  <w:rFonts w:ascii="Times New Roman;serif" w:hAnsi="Times New Roman;serif"/>
                  <w:b w:val="false"/>
                  <w:color w:val="0000FF"/>
                  <w:sz w:val="20"/>
                  <w:u w:val="single"/>
                </w:rPr>
                <w:t>Controls and Procedures</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187">
              <w:r>
                <w:rPr>
                  <w:rStyle w:val="InternetLink"/>
                  <w:rFonts w:ascii="Times New Roman;serif" w:hAnsi="Times New Roman;serif"/>
                  <w:b w:val="false"/>
                  <w:color w:val="0000FF"/>
                  <w:sz w:val="20"/>
                  <w:u w:val="single"/>
                </w:rPr>
                <w:t>66</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190">
              <w:r>
                <w:rPr>
                  <w:rStyle w:val="InternetLink"/>
                  <w:rFonts w:ascii="Times New Roman;serif" w:hAnsi="Times New Roman;serif"/>
                  <w:b w:val="false"/>
                  <w:color w:val="0000FF"/>
                  <w:sz w:val="20"/>
                  <w:u w:val="single"/>
                </w:rPr>
                <w:t>Item 9B.</w:t>
              </w:r>
            </w:hyperlink>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190">
              <w:r>
                <w:rPr>
                  <w:rStyle w:val="InternetLink"/>
                  <w:rFonts w:ascii="Times New Roman;serif" w:hAnsi="Times New Roman;serif"/>
                  <w:b w:val="false"/>
                  <w:color w:val="0000FF"/>
                  <w:sz w:val="20"/>
                  <w:u w:val="single"/>
                </w:rPr>
                <w:t>Other Information</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190">
              <w:r>
                <w:rPr>
                  <w:rStyle w:val="InternetLink"/>
                  <w:rFonts w:ascii="Times New Roman;serif" w:hAnsi="Times New Roman;serif"/>
                  <w:b w:val="false"/>
                  <w:color w:val="0000FF"/>
                  <w:sz w:val="20"/>
                  <w:u w:val="single"/>
                </w:rPr>
                <w:t>66</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193">
              <w:r>
                <w:rPr>
                  <w:rStyle w:val="InternetLink"/>
                  <w:rFonts w:ascii="Times New Roman;serif" w:hAnsi="Times New Roman;serif"/>
                  <w:b w:val="false"/>
                  <w:color w:val="0000FF"/>
                  <w:sz w:val="20"/>
                  <w:u w:val="single"/>
                </w:rPr>
                <w:t>Item 9C.</w:t>
              </w:r>
            </w:hyperlink>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193">
              <w:r>
                <w:rPr>
                  <w:rStyle w:val="InternetLink"/>
                  <w:rFonts w:ascii="Times New Roman;serif" w:hAnsi="Times New Roman;serif"/>
                  <w:b w:val="false"/>
                  <w:color w:val="0000FF"/>
                  <w:sz w:val="20"/>
                  <w:u w:val="single"/>
                </w:rPr>
                <w:t>Disclosure Regarding Foreign Jurisdictions that Prevent Inspections</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193">
              <w:r>
                <w:rPr>
                  <w:rStyle w:val="InternetLink"/>
                  <w:rFonts w:ascii="Times New Roman;serif" w:hAnsi="Times New Roman;serif"/>
                  <w:b w:val="false"/>
                  <w:color w:val="0000FF"/>
                  <w:sz w:val="20"/>
                  <w:u w:val="single"/>
                </w:rPr>
                <w:t>66</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196">
              <w:r>
                <w:rPr>
                  <w:rStyle w:val="InternetLink"/>
                  <w:rFonts w:ascii="Times New Roman;serif" w:hAnsi="Times New Roman;serif"/>
                  <w:b w:val="false"/>
                  <w:color w:val="0000FF"/>
                  <w:sz w:val="20"/>
                  <w:u w:val="single"/>
                </w:rPr>
                <w:t>PART III</w:t>
              </w:r>
            </w:hyperlink>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199">
              <w:r>
                <w:rPr>
                  <w:rStyle w:val="InternetLink"/>
                  <w:rFonts w:ascii="Times New Roman;serif" w:hAnsi="Times New Roman;serif"/>
                  <w:b w:val="false"/>
                  <w:color w:val="0000FF"/>
                  <w:sz w:val="20"/>
                  <w:u w:val="single"/>
                </w:rPr>
                <w:t>Item 10.</w:t>
              </w:r>
            </w:hyperlink>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199">
              <w:r>
                <w:rPr>
                  <w:rStyle w:val="InternetLink"/>
                  <w:rFonts w:ascii="Times New Roman;serif" w:hAnsi="Times New Roman;serif"/>
                  <w:b w:val="false"/>
                  <w:color w:val="0000FF"/>
                  <w:sz w:val="20"/>
                  <w:u w:val="single"/>
                </w:rPr>
                <w:t>Directors, Executive Officers and Corporate Governance</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199">
              <w:r>
                <w:rPr>
                  <w:rStyle w:val="InternetLink"/>
                  <w:rFonts w:ascii="Times New Roman;serif" w:hAnsi="Times New Roman;serif"/>
                  <w:b w:val="false"/>
                  <w:color w:val="0000FF"/>
                  <w:sz w:val="20"/>
                  <w:u w:val="single"/>
                </w:rPr>
                <w:t>67</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202">
              <w:r>
                <w:rPr>
                  <w:rStyle w:val="InternetLink"/>
                  <w:rFonts w:ascii="Times New Roman;serif" w:hAnsi="Times New Roman;serif"/>
                  <w:b w:val="false"/>
                  <w:color w:val="0000FF"/>
                  <w:sz w:val="20"/>
                  <w:u w:val="single"/>
                </w:rPr>
                <w:t>Item 11.</w:t>
              </w:r>
            </w:hyperlink>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202">
              <w:r>
                <w:rPr>
                  <w:rStyle w:val="InternetLink"/>
                  <w:rFonts w:ascii="Times New Roman;serif" w:hAnsi="Times New Roman;serif"/>
                  <w:b w:val="false"/>
                  <w:color w:val="0000FF"/>
                  <w:sz w:val="20"/>
                  <w:u w:val="single"/>
                </w:rPr>
                <w:t>Executive Compensation</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202">
              <w:r>
                <w:rPr>
                  <w:rStyle w:val="InternetLink"/>
                  <w:rFonts w:ascii="Times New Roman;serif" w:hAnsi="Times New Roman;serif"/>
                  <w:b w:val="false"/>
                  <w:color w:val="0000FF"/>
                  <w:sz w:val="20"/>
                  <w:u w:val="single"/>
                </w:rPr>
                <w:t>67</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205">
              <w:r>
                <w:rPr>
                  <w:rStyle w:val="InternetLink"/>
                  <w:rFonts w:ascii="Times New Roman;serif" w:hAnsi="Times New Roman;serif"/>
                  <w:b w:val="false"/>
                  <w:color w:val="0000FF"/>
                  <w:sz w:val="20"/>
                  <w:u w:val="single"/>
                </w:rPr>
                <w:t>Item 12.</w:t>
              </w:r>
            </w:hyperlink>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205">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205">
              <w:r>
                <w:rPr>
                  <w:rStyle w:val="InternetLink"/>
                  <w:rFonts w:ascii="Times New Roman;serif" w:hAnsi="Times New Roman;serif"/>
                  <w:b w:val="false"/>
                  <w:color w:val="0000FF"/>
                  <w:sz w:val="20"/>
                  <w:u w:val="single"/>
                </w:rPr>
                <w:t>68</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208">
              <w:r>
                <w:rPr>
                  <w:rStyle w:val="InternetLink"/>
                  <w:rFonts w:ascii="Times New Roman;serif" w:hAnsi="Times New Roman;serif"/>
                  <w:b w:val="false"/>
                  <w:color w:val="0000FF"/>
                  <w:sz w:val="20"/>
                  <w:u w:val="single"/>
                </w:rPr>
                <w:t>Item 13.</w:t>
              </w:r>
            </w:hyperlink>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208">
              <w:r>
                <w:rPr>
                  <w:rStyle w:val="InternetLink"/>
                  <w:rFonts w:ascii="Times New Roman;serif" w:hAnsi="Times New Roman;serif"/>
                  <w:b w:val="false"/>
                  <w:color w:val="0000FF"/>
                  <w:sz w:val="20"/>
                  <w:u w:val="single"/>
                </w:rPr>
                <w:t>Certain Relationships and Related Transactions, and Director Independence</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208">
              <w:r>
                <w:rPr>
                  <w:rStyle w:val="InternetLink"/>
                  <w:rFonts w:ascii="Times New Roman;serif" w:hAnsi="Times New Roman;serif"/>
                  <w:b w:val="false"/>
                  <w:color w:val="0000FF"/>
                  <w:sz w:val="20"/>
                  <w:u w:val="single"/>
                </w:rPr>
                <w:t>68</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211">
              <w:r>
                <w:rPr>
                  <w:rStyle w:val="InternetLink"/>
                  <w:rFonts w:ascii="Times New Roman;serif" w:hAnsi="Times New Roman;serif"/>
                  <w:b w:val="false"/>
                  <w:color w:val="0000FF"/>
                  <w:sz w:val="20"/>
                  <w:u w:val="single"/>
                </w:rPr>
                <w:t>Item 14.</w:t>
              </w:r>
            </w:hyperlink>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211">
              <w:r>
                <w:rPr>
                  <w:rStyle w:val="InternetLink"/>
                  <w:rFonts w:ascii="Times New Roman;serif" w:hAnsi="Times New Roman;serif"/>
                  <w:b w:val="false"/>
                  <w:color w:val="0000FF"/>
                  <w:sz w:val="20"/>
                  <w:u w:val="single"/>
                </w:rPr>
                <w:t>Principal Accountant Fees and Services</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211">
              <w:r>
                <w:rPr>
                  <w:rStyle w:val="InternetLink"/>
                  <w:rFonts w:ascii="Times New Roman;serif" w:hAnsi="Times New Roman;serif"/>
                  <w:b w:val="false"/>
                  <w:color w:val="0000FF"/>
                  <w:sz w:val="20"/>
                  <w:u w:val="single"/>
                </w:rPr>
                <w:t>68</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214">
              <w:r>
                <w:rPr>
                  <w:rStyle w:val="InternetLink"/>
                  <w:rFonts w:ascii="Times New Roman;serif" w:hAnsi="Times New Roman;serif"/>
                  <w:b w:val="false"/>
                  <w:color w:val="0000FF"/>
                  <w:sz w:val="20"/>
                  <w:u w:val="single"/>
                </w:rPr>
                <w:t>PART IV</w:t>
              </w:r>
            </w:hyperlink>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217">
              <w:r>
                <w:rPr>
                  <w:rStyle w:val="InternetLink"/>
                  <w:rFonts w:ascii="Times New Roman;serif" w:hAnsi="Times New Roman;serif"/>
                  <w:b w:val="false"/>
                  <w:color w:val="0000FF"/>
                  <w:sz w:val="20"/>
                  <w:u w:val="single"/>
                </w:rPr>
                <w:t>Item 15.</w:t>
              </w:r>
            </w:hyperlink>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217">
              <w:r>
                <w:rPr>
                  <w:rStyle w:val="InternetLink"/>
                  <w:rFonts w:ascii="Times New Roman;serif" w:hAnsi="Times New Roman;serif"/>
                  <w:b w:val="false"/>
                  <w:color w:val="0000FF"/>
                  <w:sz w:val="20"/>
                  <w:u w:val="single"/>
                </w:rPr>
                <w:t>Exhibits and Financial Statement Schedules</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217">
              <w:r>
                <w:rPr>
                  <w:rStyle w:val="InternetLink"/>
                  <w:rFonts w:ascii="Times New Roman;serif" w:hAnsi="Times New Roman;serif"/>
                  <w:b w:val="false"/>
                  <w:color w:val="0000FF"/>
                  <w:sz w:val="20"/>
                  <w:u w:val="single"/>
                </w:rPr>
                <w:t>69</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220">
              <w:r>
                <w:rPr>
                  <w:rStyle w:val="InternetLink"/>
                  <w:rFonts w:ascii="Times New Roman;serif" w:hAnsi="Times New Roman;serif"/>
                  <w:b w:val="false"/>
                  <w:color w:val="0000FF"/>
                  <w:sz w:val="20"/>
                  <w:u w:val="single"/>
                </w:rPr>
                <w:t>Item 16.</w:t>
              </w:r>
            </w:hyperlink>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220">
              <w:r>
                <w:rPr>
                  <w:rStyle w:val="InternetLink"/>
                  <w:rFonts w:ascii="Times New Roman;serif" w:hAnsi="Times New Roman;serif"/>
                  <w:b w:val="false"/>
                  <w:color w:val="0000FF"/>
                  <w:sz w:val="20"/>
                  <w:u w:val="single"/>
                </w:rPr>
                <w:t>Form 10-K Summary</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220">
              <w:r>
                <w:rPr>
                  <w:rStyle w:val="InternetLink"/>
                  <w:rFonts w:ascii="Times New Roman;serif" w:hAnsi="Times New Roman;serif"/>
                  <w:b w:val="false"/>
                  <w:color w:val="0000FF"/>
                  <w:sz w:val="20"/>
                  <w:u w:val="single"/>
                </w:rPr>
                <w:t>69</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223">
              <w:r>
                <w:rPr>
                  <w:rStyle w:val="InternetLink"/>
                  <w:rFonts w:ascii="Times New Roman;serif" w:hAnsi="Times New Roman;serif"/>
                  <w:b w:val="false"/>
                  <w:color w:val="0000FF"/>
                  <w:sz w:val="20"/>
                  <w:u w:val="single"/>
                </w:rPr>
                <w:t>Signatures</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223">
              <w:r>
                <w:rPr>
                  <w:rStyle w:val="InternetLink"/>
                  <w:rFonts w:ascii="Times New Roman;serif" w:hAnsi="Times New Roman;serif"/>
                  <w:b w:val="false"/>
                  <w:color w:val="0000FF"/>
                  <w:sz w:val="20"/>
                  <w:u w:val="single"/>
                </w:rPr>
                <w:t>70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Information About 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(“Annual Report”) includes and incorporates by reference “forward-looking statements” within the meaning of the federal securities laws. In addition, we, or our executive officers on our behalf, may from time to time make forward-looking statements in reports and other documents we file with the U.S. Securities and Exchange Commission (“SEC”) or in connection with oral statements made to the press, potential investors, or others. All statements that are not historical facts are “forward-looking statements.” Forward-looking statements may be indicated by words or phrases such as “anticipate,” “estimate,” “plans,” “expects,” “projects,” “should,” “will,” “believes,” “intends,” and similar words and phrases. These statements reflect management’s current beliefs and are not guarantees of future performance. They involve risks and uncertainties that could cause actual results to differ materially from those expressed or implied in any forward-looking statement.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Examples of forward-looking statements in this report include but are not limited to statements regarding operating results, the success of our operating plans, our expectations regarding our ability to generate cash and reduce debt and associated interest expense, profit and cash flow expectations, the prospects for newly acquired businesses to be integrated and contribute to future growth, and our expectations regarding growth through acquisitions. Important assumptions relating to the forward-looking statements include, among others, demand for our products, the cost, timing, and success of product upgrades and new product introductions, raw materials costs, expected pricing levels, expected outcomes of pending litigation, competitive conditions, and general economic conditions. These assumptions could prove inaccurate. Although we believe that the estimates and projections reflected in the forward-looking statements are reasonable, our expectations may prove to be incorrect. Important factors that could cause actual results to differ materially from estimates or projections contained in the forward-looking statements include but are not limited to:</w:t>
      </w:r>
    </w:p>
    <w:p>
      <w:pPr>
        <w:pStyle w:val="TextBody"/>
        <w:bidi w:val="0"/>
        <w:spacing w:lineRule="auto" w:line="288" w:before="20" w:after="283"/>
        <w:ind w:left="0" w:right="0" w:hanging="360"/>
        <w:jc w:val="both"/>
        <w:rPr/>
      </w:pPr>
      <w:r>
        <w:rPr>
          <w:color w:val="000000"/>
        </w:rPr>
        <w:t>•</w:t>
      </w:r>
      <w:r>
        <w:rPr>
          <w:rFonts w:ascii="Times New Roman;serif" w:hAnsi="Times New Roman;serif"/>
          <w:b w:val="false"/>
          <w:color w:val="000000"/>
          <w:sz w:val="20"/>
        </w:rPr>
        <w:t>general economic conditions;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difficulty making acquisitions, including receiving the necessary regulatory approvals (including clearance under the Hart-Scott-Rodino Act in the United States (“U.S.”) and similar antitrust regulations in foreign countries), and successfully integrating acquired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unforeseen liabilities associated with future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information technology (“IT”) system failures, data security breaches, network disruptions, and cybersecurity events, including any litigation arising therefrom;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to comply with new data privacy laws and regulations, including any litigation arising therefrom;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and costs associated with our international sales and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volatile interest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limitations on our business imposed by our indebtedness;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product liability, litigation, and insurance risks;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future competition;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reduction of business with large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associated with government contracts;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supply of, or price for, labor, energy, raw materials, parts, and components, including as a result of inflation or potential supply chain constraints;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write-offs of our goodwill and other intangible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successfully develop new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risks associated with the use of artificial intelligence (“AI”), including our ability to develop, deploy, and use AI in our platforms and offerings;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to protect our intellectual property;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unfavorable changes in foreign exchange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changing U.S. and foreign trade policies, including increased trade restrictions or tariffs (including repeal of the United States-Mexico-Canada Agreement);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increased warranty exposure;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environmental compliance costs and liabilities;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 of, or change in, government regulations (including tax);</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economic disruption caused by armed conflicts (such as the war in Ukraine and conflicts in the Middle East), terrorist attacks, health crises, or other unforeseen geopolitical events;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factors discussed in Item 1A of this Annual Report under the heading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You should not place undue reliance on any forward-looking statements, which are based on current expectations. Further, forward-looking statements speak only as of the date they are made, and we undertake no obligation to publicly update any of these statements in light of new information or future events.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All currency amounts are in millions unless specified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Roper Technologies, Inc. (“Roper,” the “Company,” “we,” “our,” or “us”) is a diversified technology company. Roper has a proven, long-term, successful track record of compounding cash flow and increasing shareholder value. We operate market leading businesses that design and develop vertical software and technology enabled products for a variety of defensible niche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pursue consistent and sustainable growth in revenue, earnings, and cash flow by enabling continuous improvement in the operating performance of our businesses and by acquiring businesses that offer high value-added software, services, technology-enabled products, and solutions that we believe are capable of realizing growth while maintaining high margins. We compete in many defensible niche markets and believe we are the market leader or a competitive alternative to the market leader in most of these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last three years, we have deployed approximately $8,960 of capital toward acquisitions. In 2025, this included approximately $1,850 for the acquisition of CentralReach, a leading provider of Software-as-a-Service (“SaaS”) and AI-enabled solutions for applied behavior analysis (“ABA”) therapy clinicians, and approximately $800 for the acquisition of Subsplash, a leading provider of AI-enabled SaaS, and integrated giving solutions, for faith-based organizations. In 2024, this included approximately $1,860 for the acquisition of Procare, a leading provider of SaaS solutions and integrated payment processing for early childhood education centers, and approximately $1,600 for the acquisition of Transact Campus, a leading provider of integrated campus technology and payment solutions serving higher education, healthcare, and business campuses, which was combined with our CBORD business. In 2023, this included approximately $1,380 for the acquisition of Syntellis, a leading provider of SaaS solutions for healthcare, financial institution, and higher education providers, which was combined with our Strata business. Additionally, we deployed approximately $1,470 toward other bolt-on acquisitions to help build on the strategic position of several of our businesses.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2022, Roper completed the divestiture of a majority equity stake in its industrial businesses, including its entire historical Process Technologies reportable segment and the industrial businesses within its historical Measurement &amp; Analytical Solutions reportable segment (collectively “Indicor”), to Clayton, Dubilier &amp; Rice, LLC (“CD&amp;R”). Following the sale of the majority stake, Roper retained a minority equity interest in Indicor. See Note 9 of the Notes to Consolidated Financial Statements included in this Annual Report for additional information regarding Roper’s minority equity interest in Indicor.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results of Indicor are reported as discontinued operations for all periods presented. Unless otherwise noted, discussion within Part I relates to continuing operations.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were incorporated on December 17, 1981 under the laws of the State of Delaware.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 Share, Market Expansion, and Product Development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Leadership with Technology and Products for Niche Markets</w:t>
      </w:r>
      <w:r>
        <w:rPr>
          <w:color w:val="000000"/>
        </w:rPr>
        <w:t xml:space="preserve"> – </w:t>
      </w:r>
      <w:r>
        <w:rPr>
          <w:rFonts w:ascii="Times New Roman;serif" w:hAnsi="Times New Roman;serif"/>
          <w:b w:val="false"/>
          <w:color w:val="000000"/>
          <w:sz w:val="20"/>
        </w:rPr>
        <w:t>We maintain a leading position in many of our markets. We believe our market positions are attributable to the applications expertise used to create high value products and solutions for our customers, the underlying critical nature of our offerings, and the inherent customer intimacy of our chosen niche markets. Our businesses realize growth from new and existing customers in their niche markets through successfully executing go-to-market strategies, developing new products and applications, and delivering professional services. Increasingly, this includes AI-enabled products and functionality embedded within customers’ mission-critical workflows. By leveraging our deep domain expertise, proprietary data, and long-standing customer relationships, we believe these AI capabilities enhance product differentiation, and drive incremental automation and improved customer outcomes which support expanded monetization opportunities.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Diversified End Markets and Geographic Reach</w:t>
      </w:r>
      <w:r>
        <w:rPr>
          <w:color w:val="000000"/>
        </w:rPr>
        <w:t xml:space="preserve"> – </w:t>
      </w:r>
      <w:r>
        <w:rPr>
          <w:rFonts w:ascii="Times New Roman;serif" w:hAnsi="Times New Roman;serif"/>
          <w:b w:val="false"/>
          <w:color w:val="000000"/>
          <w:sz w:val="20"/>
        </w:rPr>
        <w:t>We have a global presence, with sales to customers outside of the U.S. totaling $1,029.7 in 2025. Information regarding our international operations is set forth in Note 14 of the Notes to Consolidated Financial Statements included in this Annual Report.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Reportable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Roper’s segment reporting structure is based on business model and delivery of performance obligations. The three reportable segments are as follows: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0"/>
        </w:rPr>
        <w:t>Application Software</w:t>
      </w:r>
      <w:r>
        <w:rPr>
          <w:color w:val="000000"/>
        </w:rPr>
        <w:t>—</w:t>
      </w:r>
      <w:r>
        <w:rPr>
          <w:rFonts w:ascii="Times New Roman;serif" w:hAnsi="Times New Roman;serif"/>
          <w:b w:val="false"/>
          <w:color w:val="000000"/>
          <w:sz w:val="20"/>
        </w:rPr>
        <w:t>Aderant, CentralReach, Clinisys, Data Innovations, Deltek, Frontline, IntelliTrans, PowerPlan, Procare, Strata, Transact/CBORD, and Vertafore;</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0"/>
        </w:rPr>
        <w:t>Network Software</w:t>
      </w:r>
      <w:r>
        <w:rPr>
          <w:color w:val="000000"/>
        </w:rPr>
        <w:t>—</w:t>
      </w:r>
      <w:r>
        <w:rPr>
          <w:rFonts w:ascii="Times New Roman;serif" w:hAnsi="Times New Roman;serif"/>
          <w:b w:val="false"/>
          <w:color w:val="000000"/>
          <w:sz w:val="20"/>
        </w:rPr>
        <w:t>ConstructConnect, DAT, Foundry, iPipeline, iTradeNetwork, MHA, SHP, SoftWriters, and Subsplash;</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0"/>
        </w:rPr>
        <w:t>Technology Enabled Products</w:t>
      </w:r>
      <w:r>
        <w:rPr>
          <w:color w:val="000000"/>
        </w:rPr>
        <w:t>—</w:t>
      </w:r>
      <w:r>
        <w:rPr>
          <w:rFonts w:ascii="Times New Roman;serif" w:hAnsi="Times New Roman;serif"/>
          <w:b w:val="false"/>
          <w:color w:val="000000"/>
          <w:sz w:val="20"/>
        </w:rPr>
        <w:t>CIVCO Medical Solutions, FMI, Inovonics, IPA, Neptune, Northern Digital, rf IDEAS, and Verathon.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Financial information about our reportable segments is presented in Note 14 of the Notes to Consolidated Financial Statements included in this Annual Report.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Application Software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Application Software segment had net revenues of $4,483.0 for the year ended December 31, 2025, representing 56.7% of our total net revenues. Below is a description of the products offered by businesses that comprise the Application Software segment: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Aderant </w:t>
      </w:r>
      <w:r>
        <w:rPr>
          <w:color w:val="000000"/>
        </w:rPr>
        <w:t xml:space="preserve">– </w:t>
      </w:r>
      <w:r>
        <w:rPr>
          <w:rFonts w:ascii="Times New Roman;serif" w:hAnsi="Times New Roman;serif"/>
          <w:b w:val="false"/>
          <w:color w:val="000000"/>
          <w:sz w:val="20"/>
        </w:rPr>
        <w:t>comprehensive management software and AI-enabled solutions for law and other professional services firms, including business development, calendar/docket matter management, time and billing, and case management.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CentralReach</w:t>
      </w:r>
      <w:r>
        <w:rPr>
          <w:color w:val="000000"/>
        </w:rPr>
        <w:t xml:space="preserve"> – </w:t>
      </w:r>
      <w:r>
        <w:rPr>
          <w:rFonts w:ascii="Times New Roman;serif" w:hAnsi="Times New Roman;serif"/>
          <w:b w:val="false"/>
          <w:color w:val="000000"/>
          <w:sz w:val="20"/>
        </w:rPr>
        <w:t>SaaS and AI-enabled solutions enabling the workflow and administration of ABA therapy for autism spectrum disorder (“ASD”) and related disabilities care.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Clinisys</w:t>
      </w:r>
      <w:r>
        <w:rPr>
          <w:color w:val="000000"/>
        </w:rPr>
        <w:t xml:space="preserve"> – </w:t>
      </w:r>
      <w:r>
        <w:rPr>
          <w:rFonts w:ascii="Times New Roman;serif" w:hAnsi="Times New Roman;serif"/>
          <w:b w:val="false"/>
          <w:color w:val="000000"/>
          <w:sz w:val="20"/>
        </w:rPr>
        <w:t>diagnostic and laboratory information management software solutions.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Data Innovations</w:t>
      </w:r>
      <w:r>
        <w:rPr>
          <w:color w:val="000000"/>
        </w:rPr>
        <w:t xml:space="preserve"> – </w:t>
      </w:r>
      <w:r>
        <w:rPr>
          <w:rFonts w:ascii="Times New Roman;serif" w:hAnsi="Times New Roman;serif"/>
          <w:b w:val="false"/>
          <w:color w:val="000000"/>
          <w:sz w:val="20"/>
        </w:rPr>
        <w:t>software solutions that enable enterprise management of hospitals and independent laboratories.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Deltek</w:t>
      </w:r>
      <w:r>
        <w:rPr>
          <w:color w:val="000000"/>
        </w:rPr>
        <w:t xml:space="preserve"> – </w:t>
      </w:r>
      <w:r>
        <w:rPr>
          <w:rFonts w:ascii="Times New Roman;serif" w:hAnsi="Times New Roman;serif"/>
          <w:b w:val="false"/>
          <w:color w:val="000000"/>
          <w:sz w:val="20"/>
        </w:rPr>
        <w:t>enterprise software, SaaS, and AI-enabled information solutions for government contractors, professional services firms, and other project-based businesses.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Frontline</w:t>
      </w:r>
      <w:r>
        <w:rPr>
          <w:color w:val="000000"/>
        </w:rPr>
        <w:t xml:space="preserve"> – </w:t>
      </w:r>
      <w:r>
        <w:rPr>
          <w:rFonts w:ascii="Times New Roman;serif" w:hAnsi="Times New Roman;serif"/>
          <w:b w:val="false"/>
          <w:color w:val="000000"/>
          <w:sz w:val="20"/>
        </w:rPr>
        <w:t>cloud-based software for K-12 school administration, connecting solutions for human capital management, student and special programs, and business operations, with powerful analytics that empower educators.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IntelliTrans</w:t>
      </w:r>
      <w:r>
        <w:rPr>
          <w:color w:val="000000"/>
        </w:rPr>
        <w:t xml:space="preserve"> – </w:t>
      </w:r>
      <w:r>
        <w:rPr>
          <w:rFonts w:ascii="Times New Roman;serif" w:hAnsi="Times New Roman;serif"/>
          <w:b w:val="false"/>
          <w:color w:val="000000"/>
          <w:sz w:val="20"/>
        </w:rPr>
        <w:t>transportation management software and services to bulk and break-bulk commodity producers.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PowerPlan</w:t>
      </w:r>
      <w:r>
        <w:rPr>
          <w:color w:val="000000"/>
        </w:rPr>
        <w:t xml:space="preserve"> – </w:t>
      </w:r>
      <w:r>
        <w:rPr>
          <w:rFonts w:ascii="Times New Roman;serif" w:hAnsi="Times New Roman;serif"/>
          <w:b w:val="false"/>
          <w:color w:val="000000"/>
          <w:sz w:val="20"/>
        </w:rPr>
        <w:t>financial and compliance management software and solutions to large complex companies in asset-intensive industries.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Procare</w:t>
      </w:r>
      <w:r>
        <w:rPr>
          <w:color w:val="000000"/>
        </w:rPr>
        <w:t xml:space="preserve"> – </w:t>
      </w:r>
      <w:r>
        <w:rPr>
          <w:rFonts w:ascii="Times New Roman;serif" w:hAnsi="Times New Roman;serif"/>
          <w:b w:val="false"/>
          <w:color w:val="000000"/>
          <w:sz w:val="20"/>
        </w:rPr>
        <w:t>cloud-based software and integrated payment processing for the management of early childhood education centers.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Strata</w:t>
      </w:r>
      <w:r>
        <w:rPr>
          <w:color w:val="000000"/>
        </w:rPr>
        <w:t xml:space="preserve"> – </w:t>
      </w:r>
      <w:r>
        <w:rPr>
          <w:rFonts w:ascii="Times New Roman;serif" w:hAnsi="Times New Roman;serif"/>
          <w:b w:val="false"/>
          <w:color w:val="000000"/>
          <w:sz w:val="20"/>
        </w:rPr>
        <w:t>cloud-based financial analytics, performance management software, and data solutions used by healthcare providers, higher education, and financial institutions for financial planning, decision support, and continuous cost improvement.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Transact/CBORD</w:t>
      </w:r>
      <w:r>
        <w:rPr>
          <w:color w:val="000000"/>
        </w:rPr>
        <w:t xml:space="preserve"> – </w:t>
      </w:r>
      <w:r>
        <w:rPr>
          <w:rFonts w:ascii="Times New Roman;serif" w:hAnsi="Times New Roman;serif"/>
          <w:b w:val="false"/>
          <w:color w:val="000000"/>
          <w:sz w:val="20"/>
        </w:rPr>
        <w:t>integrated campus technology and payment solutions, including secure access and campus identity software, commerce solutions, tuition management software and payment processing, as well as foodservice technologies, serving higher education, healthcare, K-12, and business campuses.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Vertafore</w:t>
      </w:r>
      <w:r>
        <w:rPr>
          <w:color w:val="000000"/>
        </w:rPr>
        <w:t xml:space="preserve"> – </w:t>
      </w:r>
      <w:r>
        <w:rPr>
          <w:rFonts w:ascii="Times New Roman;serif" w:hAnsi="Times New Roman;serif"/>
          <w:b w:val="false"/>
          <w:color w:val="000000"/>
          <w:sz w:val="20"/>
        </w:rPr>
        <w:t>cloud-based software for the property and casualty insurance industry, including agency and distribution management, compliance, AI-enabled workflows, and data solutions.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Network Software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Network Software segment had net revenues of $1,600.8 for the year ended December 31, 2025, representing 20.3% of our total net revenues. Below is a description of the products offered by businesses that comprise the Network Software segment: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ConstructConnect</w:t>
      </w:r>
      <w:r>
        <w:rPr>
          <w:color w:val="000000"/>
        </w:rPr>
        <w:t xml:space="preserve"> – </w:t>
      </w:r>
      <w:r>
        <w:rPr>
          <w:rFonts w:ascii="Times New Roman;serif" w:hAnsi="Times New Roman;serif"/>
          <w:b w:val="false"/>
          <w:color w:val="000000"/>
          <w:sz w:val="20"/>
        </w:rPr>
        <w:t>cloud-based data, collaboration and estimating automation software and AI-enabled solutions focused on the pre-construction phase for a network of construction contractors and building product manufacturers/distributors.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DAT</w:t>
      </w:r>
      <w:r>
        <w:rPr>
          <w:color w:val="000000"/>
        </w:rPr>
        <w:t xml:space="preserve"> – </w:t>
      </w:r>
      <w:r>
        <w:rPr>
          <w:rFonts w:ascii="Times New Roman;serif" w:hAnsi="Times New Roman;serif"/>
          <w:b w:val="false"/>
          <w:color w:val="000000"/>
          <w:sz w:val="20"/>
        </w:rPr>
        <w:t>electronic marketplaces that automate broker and carrier freight capacity matching throughout the U.S. and Canada, freight tracking and financing, and AI-enabled analytics solutions. Canadian-based Loadlink was combined with DAT in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Foundry</w:t>
      </w:r>
      <w:r>
        <w:rPr>
          <w:color w:val="000000"/>
        </w:rPr>
        <w:t xml:space="preserve"> – </w:t>
      </w:r>
      <w:r>
        <w:rPr>
          <w:rFonts w:ascii="Times New Roman;serif" w:hAnsi="Times New Roman;serif"/>
          <w:b w:val="false"/>
          <w:color w:val="000000"/>
          <w:sz w:val="20"/>
        </w:rPr>
        <w:t>software technologies and AI-enabled solutions used to deliver visual effects and 3D content for the entertainment and digital design industries.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iPipeline</w:t>
      </w:r>
      <w:r>
        <w:rPr>
          <w:color w:val="000000"/>
        </w:rPr>
        <w:t xml:space="preserve"> – </w:t>
      </w:r>
      <w:r>
        <w:rPr>
          <w:rFonts w:ascii="Times New Roman;serif" w:hAnsi="Times New Roman;serif"/>
          <w:b w:val="false"/>
          <w:color w:val="000000"/>
          <w:sz w:val="20"/>
        </w:rPr>
        <w:t>cloud-based software and AI-enabled analytics solutions for the life insurance/annuities and financial services industries.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iTradeNetwork</w:t>
      </w:r>
      <w:r>
        <w:rPr>
          <w:color w:val="000000"/>
        </w:rPr>
        <w:t xml:space="preserve"> – </w:t>
      </w:r>
      <w:r>
        <w:rPr>
          <w:rFonts w:ascii="Times New Roman;serif" w:hAnsi="Times New Roman;serif"/>
          <w:b w:val="false"/>
          <w:color w:val="000000"/>
          <w:sz w:val="20"/>
        </w:rPr>
        <w:t>electronic marketplaces and supply chain software that connect food suppliers, distributors, and vendors, primarily in the perishable food sector.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MHA</w:t>
      </w:r>
      <w:r>
        <w:rPr>
          <w:color w:val="000000"/>
        </w:rPr>
        <w:t xml:space="preserve"> – </w:t>
      </w:r>
      <w:r>
        <w:rPr>
          <w:rFonts w:ascii="Times New Roman;serif" w:hAnsi="Times New Roman;serif"/>
          <w:b w:val="false"/>
          <w:color w:val="000000"/>
          <w:sz w:val="20"/>
        </w:rPr>
        <w:t>health care services and software solutions to alternate site health care markets.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SHP</w:t>
      </w:r>
      <w:r>
        <w:rPr>
          <w:color w:val="000000"/>
        </w:rPr>
        <w:t xml:space="preserve"> – </w:t>
      </w:r>
      <w:r>
        <w:rPr>
          <w:rFonts w:ascii="Times New Roman;serif" w:hAnsi="Times New Roman;serif"/>
          <w:b w:val="false"/>
          <w:color w:val="000000"/>
          <w:sz w:val="20"/>
        </w:rPr>
        <w:t>data analytics and benchmarking information solutions for the post-acute healthcare provider marketplace.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SoftWriters</w:t>
      </w:r>
      <w:r>
        <w:rPr>
          <w:color w:val="000000"/>
        </w:rPr>
        <w:t xml:space="preserve"> – </w:t>
      </w:r>
      <w:r>
        <w:rPr>
          <w:rFonts w:ascii="Times New Roman;serif" w:hAnsi="Times New Roman;serif"/>
          <w:b w:val="false"/>
          <w:color w:val="000000"/>
          <w:sz w:val="20"/>
        </w:rPr>
        <w:t>software solutions to pharmacies that primarily serve the long-term care marketplace.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Subsplash</w:t>
      </w:r>
      <w:r>
        <w:rPr>
          <w:color w:val="000000"/>
        </w:rPr>
        <w:t xml:space="preserve"> – </w:t>
      </w:r>
      <w:r>
        <w:rPr>
          <w:rFonts w:ascii="Times New Roman;serif" w:hAnsi="Times New Roman;serif"/>
          <w:b w:val="false"/>
          <w:color w:val="000000"/>
          <w:sz w:val="20"/>
        </w:rPr>
        <w:t>AI-enabled SaaS providing digital engagement, as well as church management and integrated giving solutions for faith-based organizations.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Technology Enabled Products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Technology Enabled Products segment had net revenues of $1,818.7 for the year ended December 31, 2025, representing 23.0% of our total net revenues. Below is a description of the products offered by businesses that comprise the Technology Enabled Products segment: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CIVCO Medical Solutions</w:t>
      </w:r>
      <w:r>
        <w:rPr>
          <w:color w:val="000000"/>
        </w:rPr>
        <w:t xml:space="preserve"> – </w:t>
      </w:r>
      <w:r>
        <w:rPr>
          <w:rFonts w:ascii="Times New Roman;serif" w:hAnsi="Times New Roman;serif"/>
          <w:b w:val="false"/>
          <w:color w:val="000000"/>
          <w:sz w:val="20"/>
        </w:rPr>
        <w:t>accessories focused on guidance and infection control for ultrasound procedures.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FMI</w:t>
      </w:r>
      <w:r>
        <w:rPr>
          <w:color w:val="000000"/>
        </w:rPr>
        <w:t xml:space="preserve"> – </w:t>
      </w:r>
      <w:r>
        <w:rPr>
          <w:rFonts w:ascii="Times New Roman;serif" w:hAnsi="Times New Roman;serif"/>
          <w:b w:val="false"/>
          <w:color w:val="000000"/>
          <w:sz w:val="20"/>
        </w:rPr>
        <w:t>dispensers and metering pumps which are utilized in a broad range of applications requiring precision fluid control.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Inovonics</w:t>
      </w:r>
      <w:r>
        <w:rPr>
          <w:color w:val="000000"/>
        </w:rPr>
        <w:t xml:space="preserve"> – </w:t>
      </w:r>
      <w:r>
        <w:rPr>
          <w:rFonts w:ascii="Times New Roman;serif" w:hAnsi="Times New Roman;serif"/>
          <w:b w:val="false"/>
          <w:color w:val="000000"/>
          <w:sz w:val="20"/>
        </w:rPr>
        <w:t>high-performance wireless sensor networks and solutions for a variety of applications, including life-safety and access management.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IPA</w:t>
      </w:r>
      <w:r>
        <w:rPr>
          <w:color w:val="000000"/>
        </w:rPr>
        <w:t xml:space="preserve"> – </w:t>
      </w:r>
      <w:r>
        <w:rPr>
          <w:rFonts w:ascii="Times New Roman;serif" w:hAnsi="Times New Roman;serif"/>
          <w:b w:val="false"/>
          <w:color w:val="000000"/>
          <w:sz w:val="20"/>
        </w:rPr>
        <w:t>automated surgical scrub and linen dispensing equipment for healthcare providers.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Neptune</w:t>
      </w:r>
      <w:r>
        <w:rPr>
          <w:color w:val="000000"/>
        </w:rPr>
        <w:t xml:space="preserve"> – </w:t>
      </w:r>
      <w:r>
        <w:rPr>
          <w:rFonts w:ascii="Times New Roman;serif" w:hAnsi="Times New Roman;serif"/>
          <w:b w:val="false"/>
          <w:color w:val="000000"/>
          <w:sz w:val="20"/>
        </w:rPr>
        <w:t>water meters, enabling water utilities to remotely monitor their customers utilizing Automatic Meter Reading (AMR), Advanced Metering Infrastructure (AMI) technologies, and cloud-based software supporting meter data management and utility billing.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Northern Digital</w:t>
      </w:r>
      <w:r>
        <w:rPr>
          <w:color w:val="000000"/>
        </w:rPr>
        <w:t xml:space="preserve"> – </w:t>
      </w:r>
      <w:r>
        <w:rPr>
          <w:rFonts w:ascii="Times New Roman;serif" w:hAnsi="Times New Roman;serif"/>
          <w:b w:val="false"/>
          <w:color w:val="000000"/>
          <w:sz w:val="20"/>
        </w:rPr>
        <w:t>optical and electromagnetic precision measurement systems for medical and industrial applications.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rf IDEAS</w:t>
      </w:r>
      <w:r>
        <w:rPr>
          <w:color w:val="000000"/>
        </w:rPr>
        <w:t xml:space="preserve"> – </w:t>
      </w:r>
      <w:r>
        <w:rPr>
          <w:rFonts w:ascii="Times New Roman;serif" w:hAnsi="Times New Roman;serif"/>
          <w:b w:val="false"/>
          <w:color w:val="000000"/>
          <w:sz w:val="20"/>
        </w:rPr>
        <w:t>RFID card and credential readers used in numerous identity access management applications across a variety of vertical markets.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Verathon</w:t>
      </w:r>
      <w:r>
        <w:rPr>
          <w:color w:val="000000"/>
        </w:rPr>
        <w:t xml:space="preserve"> – </w:t>
      </w:r>
      <w:r>
        <w:rPr>
          <w:rFonts w:ascii="Times New Roman;serif" w:hAnsi="Times New Roman;serif"/>
          <w:b w:val="false"/>
          <w:color w:val="000000"/>
          <w:sz w:val="20"/>
        </w:rPr>
        <w:t>medical devices that enable airway management, including bronchoscopes and video laryngoscopes, and bladder volume measurement solutions for healthcare providers.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Materials and Suppliers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most materials and supplies we use are readily available from numerous sources and suppliers throughout the world. However, some components and sub-assemblies are currently available from only a limited number of suppliers for which we regularly investigate and identify alternative sources where possible. We also believe these conditions affect our competitors.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Remaining Performance Obligations and Backlog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transaction price of firm orders for which work has not been performed, excluding unexercised contract options. As of December 31, 2025 and 2024, total remaining performance obligations were $5,204.2 and $4,754.9,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Backlog is equal to our remaining performance obligations expected to be recognized as revenue within the next 12 months. Backlog was $3,424.6 at December 31, 2025 and $3,105.4 at December 31,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Distribution and Sales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Distribution and sales occur primarily through direct sales offices, manufacturers’ representatives, resellers, and distributors.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Governmental Regulations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face extensive government regulation around the world relating to the development, manufacture, marketing, sale, and distribution of our software, services, and products. The following sections describe certain significant regulations to which we are subject, but these are not the only regulations with which our businesses must comply. For a description of risks related to the regulations that our businesses are subject to, please refer to “Item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Privacy and Data Security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privacy and data security laws around the world that may impose operational burdens on our businesses. In 2018, the General Data Protection Regulation (“GDPR”) became effective in the European Union (“EU”) and the United Kingdom (“UK”) and imposed restrictions on how companies use, process, and protect personal information. Additionally, repeated legal challenges to the way regulators implemented GDPR provisions relating to international data transfers have created additional operational burdens and legal risks for companies when transferring personal data back and forth from the EU to many other countries, most notably the U.S. and India. In the U.S., a growing number of states have individually passed comprehensive privacy legislation, which imposes restrictions similar (but not identical) to GDPR on companies conducting business or serving customers in those states. For example, in 2020 the California Consumer Privacy Act (“CCPA”) became effective and required companies to make disclosures to consumers about their data collection, use, and sharing practices; allowed consumers to exercise control over the use and sharing of their personal data; and provided a limited private right of action for data breaches. Changes to the CCPA which became effective in 2023 have added to the processing restrictions and notifications requirements – particularly when companies engage in online advertising. Canada (Quebec) has also significantly updated its privacy laws. The compliance and other burdens on our businesses imposed by these privacy laws and regulations may be substantial as we work to comply with differing legal and implementation requirements across multiple jurisdictions.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Healthcare Regulations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manufacture, sale, lease, and service of medical diagnostic and surgical devices intended for commercial use are subject to extensive governmental regulation by the Food and Drug Administration (“FDA”) in the U.S. and by a variety of regulatory agencies in other countries for some of our businesses. Under the Federal Food, Drug, and Cosmetic Act, known as the FD&amp;C Act, manufacturers of medical products and devices must comply with certain regulations governing the design, testing, manufacturing, packaging, servicing, and marketing of medical products. FDA product approvals may be withdrawn or suspended if compliance with regulatory standards is not maintained or if problems occur following initial marketing. We are also subject to a variety of federal, state, and foreign laws which broadly relate to our interactions with healthcare practitioners and other participants in the healthcare system, including, among others, anti-kickback law, and laws regulating the confidentiality of sensitive personal information and the circumstances under which such information may be released and/or collected, such as the Health Insurance Portability and Accountability Act of 1996, or HIPAA, the Health Information Technology for Economic and Clinical Health Act, or HITECH Act, and the GDPR.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Anti-Corruption and Anti-Bribery Laws and Regulations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the U.S. Foreign Corrupt Practices Act (FCPA) and anti-corruption laws, and similar laws in foreign countries, such as the UK Bribery Act. Any violation of these laws by us or our agents or distributors could create substantial liability for us, subject our officers and directors to personal liability, and cause a loss of reputation in the market. Increased business in higher risk countries could subject us and our officers and directors to increased scrutiny and increased liability. In addition, becoming familiar with and implementing the infrastructure necessary to comply with laws, rules, and regulations applicable to new business activities and mitigating and protecting against corruption risks could be quite costly.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Export Controls and Trade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numerous domestic and foreign regulations relating to our operations worldwide. In particular, our sales activities must comply with restrictions relating to the export of controlled technology and sales to denied or sanctioned parties contained in the U.S. Export Administration Regulations, U.S. International Traffic in Arms Regulations (ITAR), and sanctions administered by the Office of Foreign Assets Control of the U.S. Department of the Treasury (OFAC). Our businesses may also be impacted by additional domestic or foreign trade regulations, including trade restrictions, trade agreements, tariffs (including new, expanded, or retaliatory tariffs), and sanctions.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Environmental Regulations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operations and properties are subject to laws and regulations relating to environmental protection, including those governing air emissions, water discharges, waste management, and workplace safety. We use, generate, and dispose of hazardous substances and waste in our operations and could be subject to material liabilities relating to the investigation and clean-up of contaminated properties and related claims. We are required to conform our operations and properties to these laws and adapt to regulatory requirements in all countries as these requirements change. In connection with our acquisitions, we may assume significant environmental liabilities, some of which we may not be aware of, or may not be quantifiable, at the time of acquisition. In addition, new laws and regulations, the discovery of previously unknown contamination, or the imposition of new requirements could increase our costs or subject us to new or increased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2025, no customer accounted for 10% or more of any segment or total Company net revenues.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Generally, our products and solutions face significant competition, although in certain niche markets there are a limited number of competitors. We believe that we are a leader in most of our markets, and no single company competes with us over a significant number of product lines. Competitors might be large or small in size, often depending on the size of the niche market we serve. We compete primarily on product quality, performance, innovation, technology, price, applications expertise, system and service flexibility, distribution channel access, and customer service capabilities.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trade secrets, including unpatented know-how and other intellectual property like software source code, we own or license the rights under numerous patents, trademarks, trade dress, and copyrights relating to certain of our products and businesses. We also employ various methods, including confidentiality and non-disclosure agreements with individuals and companies we do business with, including employees, distributors, representatives, independent contractors, and customers to protect our intellectual property. We believe none of our operating units are substantially dependent on any single item of intellectual property, including a trade secret, patent, trademark, trade dress, or copyright.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Roper is a diversified technology company that utilizes a decentralized operating model across our many businesses which serve a diverse set of end markets. Subject to oversight and guidance from Roper executive management, each business operates as an individual unit with its managers empowered to make day-to-day operating decisions, including decisions with respect to human capital management. As a result, apart from guidance with respect to: (i) compliance with legal and regulatory requirements or corporate policies; and (ii) the implementation of business unit leadership compensation and benefit programs provided by corporate management, managers at individual businesses are the primary decision makers with respect to human capital management and development. Though our individual businesses are primarily responsible for these decisions, because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the importance of human capital to our enterprise, we provide guidance and share best practices on key aspects of selection, development, engagement, and excellence of talent within our workforce.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we employed approximately 19,400 people worldwide on a consolidated basis, of which approximately 13,100 were employed in the U.S. and approximately 6,300 were employed outside of the U.S. Management believes that the Company’s employee relations are favorable.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Outside of the U.S., some employees, particularly in Europe, may be represented by an employee representative organization, such as a union, works council, or employee association.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Roper has identified and implemented other human capital priorities, including providing competitive wages and benefits, investing in leadership development, succession planning, performance-based compensation structures that directly align with the Company’s long-term value creation strategy, and promoting a holistic work environment where a breadth of perspectives is valued. The Company is committed to seeking talent from a wide range of backgrounds and fostering an inclusive work environment that supports our large global workforce and helps us innovate for our customers. We continue to focus on building a pipeline for talent that creates more opportunities for growth within the Company. Roper’s human capital strategy centers on accountability, operating autonomy, and a culture of continuous improvement across its business units.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reports we file electronically with the SEC, including our annual reports on Form 10-K, quarterly reports on Form 10-Q, current reports on Form 8-K, and our annual proxy statements, as well as any amendments to those reports, are accessible at no cost on our website at www.ropertech.com as soon as reasonably practicable after we electronically file such material with, or furnish it to, the SEC. These filings are also accessible on the SEC’s website at www.sec.gov. Our Corporate Governance Guidelines; the charters of our Audit Committee, Compensation Committee, and Nominating and Governance Committee; and our Code of Ethics (the “Code of Ethics”) are also available on our website. Any amendment to the Code of Ethics and any waiver applicable to our directors, executive officers, or senior financial officers will be posted on our website within the time period required by the SEC and Nasdaq. The information posted on our website is not incorporated into this Annual Report or any other filing made by Roper with the SEC.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Risks Related to Our Business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growth strategy includes acquisitions. We may not be able to identify suitable acquisition candidates, complete acquisitions, or integrate acquisitions successfully.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future rate of growth is highly dependent on our ability to acquire and successfully integrate new businesses. We intend to seek additional acquisition opportunities, both to expand into new markets and to enhance our position in existing markets. There are no assurances, however, that we will be able to successfully identify suitable candidates, negotiate appropriate terms, obtain financing on acceptable terms, complete proposed acquisitions, receive the necessary regulatory approvals (including clearance under the Hart-Scott-Rodino Act in the U.S. and similar antitrust regulations in foreign countries), successfully integrate acquired businesses, or expand into new markets. Once acquired, operations may not achieve anticipated levels of revenues, profitability, or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Acquisitions involve risks, including difficulties in the integration of the operations, technologies, services, and products of the acquired companies and the diversion of management’s attention from other business concerns. Although our management will endeavor to evaluate the risks inherent in any particular transaction, including but not limited to cybersecurity risks and susceptibility to market disruption from AI or otherwise, there are no assurances that we will properly ascertain all such risks. Acquisitions may involve significant cash expenditures, debt incurrences, equity issuances, and expenses. Difficulties encountered with acquisitions may have a material adverse effect on our business, financial condition, and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technology is important to our success, and our failure to protect this technology could put us at a competitive disadvantage.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Many of our products and services rely on proprietary technology; therefore, we believe that the development and protection of intellectual property rights through patents, copyrights, trade secrets, trademarks, confidentiality agreements, and other contractual provisions are important to the future success of our business. Despite our efforts to protect proprietary rights, unauthorized parties or competitors may copy or otherwise obtain and use our products or technology, including through misappropriation through contractors or other third parties. Actions to enforce these rights may result in substantial costs and diversion of resources, and we make no assurances that any such actions will be successful, particularly given evolving uncertainty regarding protection and ownership of AI-assisted outputs.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rely on information and technology, including third-party cloud computing platforms and other third-party business partners, for many of our business operations which could fail and cause disruption to our business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operations are dependent upon information technology networks and systems to securely transmit, process, and store information and to communicate among our locations around the world and with clients, suppliers, and business partners. A shutdown of, or inability to access, one or more of our facilities, a power outage, or a failure of one or more of our information technology, telecommunications, or other systems could significantly impair our ability to perform such functions on a timely basis. Our compliance, cybersecurity and data privacy programs, cybersecurity technology, and risk management cannot eliminate all system risk. Credential compromise and identity-based attacks represent risks, and while we deploy identity threat protection and multi-factor authentication across our enterprise systems, determined attackers may still gain unauthorized access through sophisticated credential theft, session hijacking, social engineering, or privilege escalation techniques. Cybersecurity incidents including ransomware attacks, insider threats, system disruptions, and configuration errors could result in the misappropriation or corruption of data and assets, or disruptions to our business strategy, results of operations, and financial condition, and may require notification to customers and regulators with associated investigation, remediation, and monitoring obligations. These disruptions may include, but are not limited to, interruptions to business operations, loss of intellectual property, release of confidential information, alteration or corruption of data or systems, costs related to remediation or the payment of ransom, litigation (including individual claims, consumer class actions, or commercial litigation), administrative, civil, or criminal investigations or actions, regulatory intervention and sanctions or fines, investigation and remediation costs, and prolonged negative publicity. While we have experienced disruptions, and our Vertafore business was previously subject to litigation regarding the exposure of data which was dismissed, none of these matters had a significant impact on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rely on business partners such as third-party data centers and cloud platforms, such as Amazon Web Services, Google Cloud Platform, Microsoft Azure, and Oracle Cloud to host certain enterprise and customer systems. Our software development and business operations rely on open-source components, third-party software libraries, and vendor dependencies that could contain undisclosed vulnerabilities, be subject to supply chain attacks, or become unavailable, potentially affecting our products, hosted services, and internal systems. Our ability to monitor such third parties’ security measures and the full impact of the systemic risk is limited, and concentration with a limited number of providers increases exposure to outages and pricing changes. If any third-party system or cloud platform that we use is unavailable to us for any reason, our customers may experience service interruptions, which could significantly impact our operations, reputation, business, and financial results. Failure of our systems or those of our third-party service providers, may result in interruptions in our service and loss of data or processing capabilities, all of which may cause a loss in customers, refunds of product fees, and/or material harm to our reputation and operating results. While certain of our businesses have experienced temporary disruptions, their impact has been limited and did not have a significant impact on our businesses.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Global cybersecurity threats are rapidly evolving and attacks to identities, networks, platforms, systems, and endpoints can range from uncoordinated individual attempts to sophisticated and targeted measures known as advanced persistent threats, directed at the Company, its businesses, its customers, and/or its third-party service providers, including, but not limited to, cloud providers and providers of network management services. These may include such things as unauthorized access, phishing attacks, denial of service, insider threats, data exfiltration and extortion, introduction of malware or ransomware, and other disruptive problems caused by threat actors. We face emerging risks from AI-powered attacks, including deepfakes used to impersonate executives or customers, AI-assisted social engineering, prompt injection attempts against AI systems, and data poisoning targeting machine learning models. These sophisticated attack techniques may bypass traditional security controls. Additionally, zero-day vulnerabilities, which are previously unknown security flaws with no available patches, pose risks that cannot be fully mitigated through our standard vulnerability management processes, requiring rapid detection and response capabilities to minimize potential damage. While we have experienced and expect to continue to experience these types of cybersecurity threats and incidents, none of them to date have been material to the Company.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seek to deploy measures to protect, detect, respond, and recover from cybersecurity threats and incidents, including identity and access controls, employee training, data protection, vulnerability management, incident response, secure product development, continuous monitoring of our networks, platforms, endpoints, and systems, and maintenance of ransomware resilient backup and recovery capabilities. Our customers are increasingly requiring cybersecurity protections and mandating cybersecurity standards in our products and services, and we may incur additional costs to comply with such demands. Despite these efforts, we can make no assurances that we will be able to mitigate, detect, prevent, timely and adequately respond, or fully recover from the negative effects of cybersecurity incidents, and such cybersecurity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The potential consequences of a material cybersecurity incident include financial loss, reputational damage, damage to our IT systems, data loss, litigation, theft of intellectual property, regulatory fines, customer attrition, diminution in the value of our investments in research and development (“R&amp;D”), and increased cybersecurity protection and remediation costs, which may not be fully covered by insurance and could adversely affect our competitiveness and results of operations. Any imposition of liability, particularly liability that is not covered by insurance or is in excess of insurance coverage, could materially harm our operating results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use AI in our business, and challenges with properly managing its use could result in reputational harm, competitive harm, and legal liability, and adversely affect our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increasingly incorporating AI solutions into our platforms, offerings, services, and operations, and we expect that AI will continue to become a more integral part of our business over time. Our competitors, AI companies, or other third parties may incorporate AI into their products or operations more quickly or successfully than us, or develop superior products and services with the aid of AI, which could impair our ability to compete effectively and adversely affect our results of operations. The rapid pace of AI advancement may make it difficult to maintain competitive advantages, and AI capabilities could quickly become commoditized, reducing our ability to differentiate our offerings. Additionally, we may face challenges in protecting AI-generated innovations as intellectual property protections for AI-created materials remain uncertain in many jurisdictions. Competitors may be able to reverse-engineer or replicate our AI capabilities, and questions regarding ownership of AI-generated content or inventions could create legal uncertainties. Furthermore, if we use AI that is based on data, algorithms, or other inputs that are flawed, or if the AI assists in producing content, analyses, or recommendations that are or are alleged to be deficient, inaccurate, violative of third-party intellectual property, or biased, our business, financial condition, and results of operations may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rely on third-party AI platforms and services, including proprietary and open-source large language models and other AI technologies provided by companies such as OpenAI, Anthropic, Google, and Microsoft. These providers may change their terms of service, increase pricing, discontinue services, experience outages, decline to provide certain indemnities, or make changes to their AI models that adversely affect our products or operations. As AI becomes more central to our offerings, our exposure to pricing changes from these providers increases, and we may not be able to pass such cost increases on to our customers. We have limited control over these third-party AI systems and their updates, and any disruption in access to these services could have a significant impact on our business. The use of AI applications may result in cybersecurity incidents that implicate the personal data of end users of such applications. Any such cybersecurity incidents related to our use of AI applications could adversely affect our reputation and results of operations. AI also presents emerging ethical issues, and if our use of AI becomes controversial, we may experience brand, reputational, or competitive harm, or legal liability.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Product liability, insurance risks, product recalls, and increased insurance costs could harm our operating results.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exposes us to product liability risks in the design, manufacture, and distribution of our products. Manufacturing or design defects could lead to recalls or safety alerts relating to our products (either voluntary or as required by regulatory authorities), and could result, in certain cases, in the removal of a product from the market which could result in significant costs, lost sales and customers, enforcement actions and/or investigations, as well as negative publicity and damage to our reputation. Personal injuries relating to the use of our products can also result in product liability claims being brought against us. We currently have product liability insurance; however, we may not be able to maintain our insurance at a reasonable cost or in amounts sufficient to adequately protect us against losses, and alleged defects or vulnerabilities in products may lead to claims for data loss, business interruption, or privacy violations that may not be fully covered by insurance. We also maintain other insurance policies, including directors’ and officers’ liability insurance and cybersecurity insurance. We believe we have adequately accrued estimated losses, principally related to deductible amounts under our insurance policies, with respect to all product liability and other claims, based upon our past experience and available facts. However, a successful product liability or other claim or series of claims brought against us could have a material adverse effect on our business, financial condition, and results of operations. In addition, a significant increase in our insurance costs or the imposition of a liability that is not covered by insurance or is in excess of insurance coverage, could have an adverse impact on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operating results could be adversely affected by a reduction in business with our large customers.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some of our businesses, we derive a significant amount of revenue from large customers. The loss or reduction of any significant contracts with any of these customers could reduce our net revenues and cash flows. Additionally, many of our products support projects for government entities. In many situations, government entities can unilaterally terminate or modify existing contracts without cause and without penalty to the government agency, and government contracts may be subject to specialized compliance obligations, audits, investigations, and bid processes that can delay awards and increase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Unfavorable changes in foreign exchange rates may harm our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Several of our subsidiaries have transactions and balances denominated in currencies other than the U.S. dollar. Most of these transactions and balances are denominated in British pounds, Canadian dollars, or euros. Sales by our operating companies whose functional currency is not the U.S. dollar represented 9% of our total net revenues for both the years ended December 31, 2025 and 2024, respectively. Unfavorable changes in exchange rates between the U.S. dollar and those currencies could reduce our reported net revenues and net earnings.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face intense competition. If we do not compete effectively, our business may suffer.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face intense competition from numerous competitors in our various businesses. Our products compete primarily on the basis of product quality, performance, innovation, technology, price, applications expertise, system and service flexibility, distribution channel access, and established customer service capabilities. We may not be able to compete effectively on all of these fronts or with all of our competitors. Moreover, competition may require us to adjust prices to stay competitive. In addition, new competitors may emerge, and product lines may be threatened by new technologies, including AI, or market trends that reduce the value of these product lines. To remain competitive, we must develop new products, respond to new technologies, and enhance our existing products in a timely manner.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indebtedness may affect our business and may restrict our operating flexibility.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As of December 31, 2025, our total consolidated debt excluding unamortized debt issuance costs was $9,355.9. In addition, we had approximately $2,644 of undrawn availability under our</w:t>
      </w:r>
      <w:r>
        <w:rPr>
          <w:color w:val="000000"/>
        </w:rPr>
        <w:t xml:space="preserve"> </w:t>
      </w:r>
      <w:r>
        <w:rPr>
          <w:rFonts w:ascii="Times New Roman;serif" w:hAnsi="Times New Roman;serif"/>
          <w:b w:val="false"/>
          <w:color w:val="000000"/>
          <w:sz w:val="20"/>
        </w:rPr>
        <w:t>unsecured revolving credit facility. Subject to restrictions contained in our credit facility, we may incur additional indebtedness in the future, including indebtedness incurred to finance acquisitions.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level of indebtedness and the debt servicing costs associated with that indebtedness could have substantial effects on our operations and business strategy. For example, our indebtedness could: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 our ability to borrow additional funds;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 our ability to complete future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 our ability to pay dividends;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 our ability to make capital expenditures;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place us at a competitive disadvantage relative to our competitors, some of which have lower debt service obligations and greater financial resources;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our vulnerability to general adverse economic and industry conditions.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make scheduled principal payments of, to pay interest on, or to refinance our indebtedness and to satisfy our other debt obligations will depend upon our future operating performance, which may be affected by factors beyond our control. In addition, there can be no assurance that future borrowings or equity financing will be available to us on favorable terms for the payment or refinancing of our indebtedness. If we are unable to service our indebtedness, our business, financial condition, and results of operations would be materially adversely affected.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credit facility contains covenants requiring us to achieve certain financial and operating results and maintain compliance with a specified financial ratio. Our ability to meet the financial covenants or requirements in our credit facility may be affected by events beyond our control, and we may not be able to satisfy such covenants and requirements. A breach of these covenants or our inability to comply with the financial ratio, tests, or other restrictions contained in our credit facility could result in an event of default under this facility. Upon the occurrence of an event of default under our credit facility, and the expiration of any grace periods, the lenders could elect to declare all amounts outstanding under the facility, together with accrued interest, to be immediately due and payable. If this were to occur, our assets may not be sufficient to fully repay the amounts due under this facility or our other indebtedness.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goodwill and other intangible assets are a significant amount of our total assets, and any write-off of our intangible assets would negatively affect our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total assets reflect substantial intangible assets, primarily goodwill. At December 31, 2025, goodwill totaled $21,341.2 as compared to $19,881.5 of total stockholders’ equity, and represented approximately 62% of our total assets of $34,577.0. The goodwill results from our acquisitions, representing the excess purchase price over the fair value of the net identifiable assets acquired. We assess at least annually whether there has been an impairment in the value of our goodwill and other indefinite-lived intangible assets. If future operating performance at one or more of our business units were to fall significantly below current or expected levels, if competing or alternative technologies emerge, if discount rates rise, or if business valuations decline, we could incur a non-cash charge to operating income. Any determination requiring the write-off of a significant portion of goodwill or unamortized intangible assets would negatively affect our results of operations, the effect of which could be material.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depend on our ability to develop new products and software, and any failure to develop or market new products and software could adversely affect our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future success of our business will depend, in part, on our ability to design and manufacture new competitive products, including the development of software, and to enhance existing product and software offerings, including through the development and deployment of AI. This product development may require substantial internal investment. There can be no assurance that unforeseen problems will not occur with respect to the development, performance, or market acceptance of new technologies, products, or software or that we will otherwise be able to successfully develop and market new products and software. Failure of our product or software offerings to gain market acceptance or our failure to successfully develop and market new products and software could reduce our margins, which would have an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Changes in the supply of, or price for, raw materials, parts, and components used in our products, or third-party services used in the delivery of our SaaS solutions could affect our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availability and prices of raw materials, parts, and components are subject to curtailment or change due to, among other things, suppliers’ allocations to other purchasers, interruptions in production by suppliers, supply chain delays and disruptions, component shortages, changes in exchange rates, and prevailing price levels. In addition, some of our products are provided by sole source suppliers and our SaaS offerings are increasingly reliant on a limited number of third-party cloud computing platforms, and transitioning to alternative suppliers or platforms may require significant time, redesign, and capital investment, or may not be feasible for certain products or services. Any changes in the supply of, or price for, these parts and components, as well as any increases in commodity prices, or the price and availability of, or any decrease in the reliability of, third-party cloud computing platforms could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non-operating results may be adversely impacted by the performance of Indicor, in which we own a minority interest.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2022, we divested a majority equity stake in our industrial businesses to CD&amp;R and retained a minority equity interest in the new parent entity, Indicor. Although we have certain limited consent, board representation, and other governance rights under existing contractual arrangements, we are a minority owner of Indicor and do not control its management, its policies, or the operation of its business, and have no further funding requirements associated with our investment. As a result, our ability to realize the ultimate anticipated benefits of the transaction depends upon the operation and management of Indicor by CD&amp;R and the Indicor management team. In addition, Indicor is an industrial company that is subject to risks that are different than the risks associated with our existing businesses. Many of these risks are outside of CD&amp;R’s or Indicor’s control and could materially impact Indicor’s business, financial condition, and results of operations. Moreover, CD&amp;R may have economic or other business interests that are inconsistent with ours, and we may be unable to prevent strategic decisions that may adversely affect the value of our investment in Indicor. We have applied the fair value option to value our equity investment in Indicor. The assessment of fair value requires significant judgments to be made. Although we believe that our judgments and assumptions are reasonable, changes in estimates or the application of alternative assumptions could produce significantly different results. In the event of a decrease in fair value, we would incur a non-cash charge within non-operating income with a corresponding reduction in the balance of our equity investment. See Note 9 of the Notes to Consolidated Financial Statements included in this Annual Report for additional information on this equity investment.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Divestitures or other dispositions could negatively impact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Divestitures pose risks and challenges that could negatively impact our business. For example, when we decide to sell or otherwise dispose of a business or assets, we may be unable to do so on satisfactory terms within our anticipated timeframe or at all, and even after reaching a definitive agreement to sell or dispose of a business, the sale is typically subject to the satisfaction of pre-closing conditions which may not become satisfied. The consummation of any divestiture can be difficult, time-consuming, and costly, and we may not be able to successfully complete identified divestitures. They may also cause diversion of management time and focus away from operating our business. In addition, divestitures or other dispositions may have other adverse financial and accounting impacts, and disputes may arise with buyers or with partners in businesses in which we own a minority interest that could be difficult or costly to resolve.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Risks Related to Government Regulations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Regulation of privacy and data security may adversely affect sales of our products and services and result in increased compliance costs.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has been, and likely will continue to be, increased regulation with respect to the collection, use, and handling of an individual’s personal and financial information. Regulatory authorities around the world have passed or are considering legislative and regulatory proposals concerning data protection, privacy, and data security. In the U.S., a growing number of states have individually passed comprehensive privacy legislation in directly regulating the collection, use, and sharing of personal information. In addition, there has been an increased focus on industry-specific privacy laws, including in the housing, financial, healthcare, and educational sectors. These statutes and regulations create civil penalties for violations, and in the case of California and some sector-specific laws, create a limited private right of action for data breaches that increase the risk of data breach litigation. Absent a preemptive Federal privacy law, as more states pass privacy legislation, there is a strong possibility that we will be required to comply with a patchwork of inconsistent privacy regulations.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Globally, personal information collected within the European Union and the United Kingdom remains subject to the GDPR, which is a UK and European Union-wide legal framework that governs data collection, use, and sharing of an individual’s personal data and creates a range of consumer privacy rights. GDPR provides significant penalties for non-compliance (up to 4% of global annual revenue) and EU data protection authorities have already issued significant fines. Canada (Quebec) has also significantly updated its privacy laws.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interpretation and application of consumer and data protection laws and industry standards in the U.S., Europe, and elsewhere can be uncertain and currently is in flux, including standards that may require contractual updates, technical safeguards, and other measures. Cloud-based solutions may be subject to further regulations, such as the EU Data Act, including data localization requirements, restrictions on long-term contracts, and other restrictions limiting the international transfer of data. The operational and cost impact of these cannot be fully known at this time. In addition to the possibility of fines, the application of these existing laws in a manner inconsistent with our current data and privacy practices requires that we change our data and privacy practices, which could have an adverse effect on our business and results of operations. Complying with these various laws could cause us to incur substantial costs or require us to change our business practices in a manner adverse to our business. Also, any new law or regulation imposing greater fees or taxes or restriction on the collection, use, or transfer of information or data internationally or over the Internet, could result in a decline in the use of our products and services and adversely affect our sales and results of operations. Finally, as we increasingly provide technological solutions, our customers and regulators will expect that we can demonstrate compliance with current data privacy and security regulations as well as new industry-developed standards, and our inability to do so may adversely impact sales of our solutions and services to certain customers. This is</w:t>
      </w:r>
      <w:r>
        <w:rPr>
          <w:color w:val="000000"/>
          <w:shd w:fill="FFFFFF" w:val="clear"/>
        </w:rPr>
        <w:t xml:space="preserve"> </w:t>
      </w:r>
      <w:r>
        <w:rPr>
          <w:rFonts w:ascii="Times New Roman;serif" w:hAnsi="Times New Roman;serif"/>
          <w:b w:val="false"/>
          <w:color w:val="000000"/>
          <w:sz w:val="20"/>
        </w:rPr>
        <w:t>particularly true for customers in highly-regulated industries, such as the healthcare industry and government contractors, and could result in regulatory actions, fines, and legal proceedings as well as negative impacts to our brand, reputation, and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Regulation limiting or controlling the use of AI may restrict our ability to use AI, our ability to create new products, and create increased compliance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an evolving landscape of laws and regulations governing the use of AI. The EU AI Act classifies AI systems by risk level and may prohibit certain high-risk applications, requiring significant change to product design, documentation, governance processes, and risk management practices to achieve compliance. In the U.S., several states, including Colorado and California, have enacted or are considering AI-specific regulations addressing transparency, bias, and accountability, particularly in the housing and employment fields. Regulatory uncertainty regarding how these laws will be interpreted and enforced creates additional compliance challenges, and may cause us to modify our data handling and compliance practices, limit our ability to use certain data to support our products or product development efforts, hinder our customers’ ability to adopt or continue to use our products, or require us to cease offering or using certain AI-enabled features or services in particular jurisdictions.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Expectations relating to sustainability considerations expose the Company to potential liabilities, increased costs, reputational harm, and other adverse effects on the Company’s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Many governments, regulators, investors, employees, customers, and other stakeholders are focused on environmental, social, governance, and other sustainability considerations relating to businesses, including climate change and greenhouse gas emissions, human capital, and diversity. The Company makes statements about sustainability goals and initiatives through information provided on its website, press statements, and other communications, including through its annual sustainability report. Responding to these sustainability considerations and implementation of these goals and initiatives involves risks and uncertainties, including those described under “Information About Forward-Looking Statements,” requires investments, and is impacted by factors that may be outside of the Company’s control. In addition, some stakeholders may disagree with the Company’s goals and initiatives and the focus of stakeholders may change and evolve over time. Stakeholders also may have very different views on where focus on sustainability topics should be placed, including differing views of regulators in various jurisdictions in which we operate. Any failure, or perceived failure, by the Company to achieve its goals, further its initiatives, adhere to its public statements, comply with federal, state, or international sustainability laws and regulations, or meet evolving and varied stakeholder expectations and standards could result in legal and regulatory proceedings against the Company and materially adversely affect the Company’s business, reputation, results of operations, financial condition, and stock price.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Risks Related to Economic and Political Conditions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Economic, political, and other risks associated with our international operations could adversely affect our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13% of our net revenues were generated from customers outside of the U.S. and 9% of our long-lived assets, excluding goodwill and other intangibles, were attributable to operations outside of the U.S. We expect our international operations to contribute materially to our business for the foreseeable future. Our international operations are subject to varying degrees of risk inherent in doing business outside of the U.S. including, without limitation, the following: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changes in a specific country’s or region’s political or economic conditions, particularly in emerging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oil price volatility;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trade protection measures, tariffs, and import or export requirements, including volatility and uncertainty about what actions may be taken by governments with respect to tariffs or trade relations, what products may be subject to such actions, and what actions may be taken by foreign countries in retaliation to proposed or imposed U.S. tariffs;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subsidies or increased access to capital for firms that are currently, or may emerge as, competitors in countries in which we have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potentially negative consequences from changes in tax laws;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difficulty in staffing and managing widespread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differing labor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differing protection of intellectual property;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differing and unexpected changes in regulatory requirements, including any measures implemented to address AI, data privacy, cybersecurity, and impacts of climate change.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Any business disruptions due to political instability, armed hostilities, incidents of terrorism, incidents of directed cyberattacks, public health crises, or extreme weather events or other natural disasters could adversely impact our financial performance.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terrorist activity, armed conflicts, directed cyberattacks, political instability, public health crises, such as epidemics or pandemics, or extreme weather events or other natural disasters occur in the U.S. or other locations, such events may negatively impact our operations, cause general economic conditions to deteriorate, or cause demand for our products to decline. A prolonged economic slowdown or recession could reduce the demand for our products, and therefore, negatively affect our future sales and profits. Any of these events could have a significant impact on our business, financial condition, or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Political and geopolitical conditions can adversely affect our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Political and geopolitical conditions in the markets in which our products and services are sold have been and could continue to be difficult to predict, resulting in adverse effects on our business. The results of elections, geopolitical events and tensions, and wars and other military conflicts (such as the ongoing conflicts in Ukraine and the Middle East) in these markets have in the past impacted and could continue to impact how existing laws, regulations and government programs or policies are implemented or result in uncertainty as to how such laws, regulations, programs or policies may change, including with respect to the negotiation of new trade agreements, new, expanded or retaliatory tariffs against certain countries or covering certain products or materials (including recent U.S. tariffs imposed or threatened to be imposed on China, Canada, Mexico, the UK, and other countries and any retaliatory actions taken by such countries). Changes in political administrations or government shutdowns in the U.S. or elsewhere may lead to variability in, or reallocation of, government spending priorities, or a reduction or delay in government spending, which has had, and could continue to have an adverse impact on our businesses that serve governmental entities or governmental contractors. In addition, certain geopolitical events have resulted in and could continue to result in, among other things, cyberattacks, supply disruptions, lower consumer demand, increases in global economic uncertainty, changes to foreign exchange rates and financial markets, and expanded regulatory sanctions and export controls, any of which may adversely affect our business and supply chain.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General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potential insolvency or financial distress of third parties could adversely impact our business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the risk that third parties to various arrangements who owe us money or goods and services, or who purchase goods and services from us, will not be able to perform their obligations or continue to place orders due to insolvency or financial distress. If third parties fail to perform their obligations under arrangements with us, we may be forced to replace the underlying commitments at current or above-market prices or on other terms that are less favorable to us. In such events, we may incur losses, or our results of operations, financial condition, or liquidity could otherwise be adversely affected.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Changes to our executive leadership team and any future loss of members of such team, and the resulting management transitions, could harm our operating results.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experienced significant changes to our executive leadership team in the past and may do so in the future. Leadership transitions and changes can be inherently difficult to manage and may cause uncertainty or disruption to our business or may increase the likelihood of turnover in key leadership positions. If we cannot effectively manage leadership transitions and changes, it could make it more difficult to successfully operate our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Legal proceedings to which we are, or may be, a party may adversely affect us.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currently, and may in the future become, subject to legal proceedings and commercial or contractual disputes. These are typically claims that arise in the normal course of business including, without limitation, commercial or contractual disputes with our suppliers or customers, intellectual property matters, data privacy matters, third-party liability, including product liability claims, and employment claims.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 downgrade in the ratings of our debt could restrict our ability to access the debt capital markets and increase our interest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Unfavorable changes in the ratings that rating agencies assign to our debt may ultimately negatively impact our access to the debt capital markets and increase the costs we incur to borrow funds. Additionally, our credit agreement includes increases in interest rates if the ratings for our debt are downgraded. Furthermore, an increase in the level of our indebtedness may increase our vulnerability to adverse general economic and industry conditions and may affect our ability to obtain additional financing.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Roper’s Cybersecurity Program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Roper maintains a global Cybersecurity Program supervised by the Vice President of Cybersecurity that outlines required cybersecurity controls for all Roper businesses. Given the decentralized nature of Roper’s operating model, day-to-day management and implementation of the Cybersecurity Program and deployment of the program’s cybersecurity controls are managed locally by each of Roper’s 29 business units, including localized information security management. In addition, because Roper’s businesses generally operate independently and maintain separate infrastructure and systems, we believe the risk of an enterprise-wide cybersecurity incident is somewhat reduced. While cybersecurity technologies and implementation may differ based on the needs and risk profile of each individual business, Roper has also implemented cybersecurity tools and managed services to centrally monitor certain aspects of the Cybersecurity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Roper performs cybersecurity risk assessments to assess compliance with mandated cybersecurity controls and to assess the likelihood and impact magnitude of specific cyberattacks. Cybersecurity risk assessments are periodically performed to assess internal compliance with cybersecurity strategy and the implementation of cybersecurity controls. Cybersecurity assessments are also performed for acquisitions and periodically for our businesses through independent testing and remediation validation to validate cybersecurity control implementation. Areas identified for enhancement and improvement are monitored and tracked to remediation by the Roper cybersecurity team, including the Vice President of Cybersecurity. In 2025, Roper engaged a third party to assess its cybersecurity program. The results of the assessment largely aligned with those of the Company’s own assessment, and the Roper cybersecurity team has implemented the suggested enhancements. Cybersecurity risk is also addressed in, and monitored by, the Company’s enterprise risk management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Cybersecurity Program includes controls designed to oversee and identify risks from cybersecurity threats associated with third parties as they are leveraged by Roper’s businesses in their respective software code development processes or for other purposes that require third-party access to critical infrastructure. The controls include, as appropriate, regularly assessing management of access controls and the cybersecurity risks posed by third parties and their supply chains, and the security posture of open-source components and software dependencies used in our products and operations. Roper conducts annual cybersecurity risk assessments for all enterprise-wide systems and cloud service providers, as well as critical enterprise systems.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Roper deploys cybersecurity practices and tools across all of its businesses designed to protect data, maintain resilient operations, and limit the impact of cybercrime. We deploy a managed detection and response solution across all of our business units and our corporate infrastructure that is designed to address the detection, response, and remediation effectiveness for cybersecurity threats. This solution is intended to provide real-time visibility of the endpoint footprint across the enterprise, including patch management and vulnerabilities, device encryption, and cybersecurity threats and detections. Additionally, this solution is designed to provide real-time monitoring of identity-based attacks, emerging AI-powered threats, as well as monitoring of the deep, dark, and social webs for cybersecurity threats targeting Roper’s businesses.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maintain a centralized incident response process with a third-party forensic partner on retainer. In addition, we have cybersecurity insurance policies in place. Roper maintains a Cybersecurity Incident Response Plan (“CSIRP”), which requires each Roper business to designate a Cybersecurity Incident Response Team that is responsible for receiving, reviewing, and responding to cybersecurity incident reports and activities. Cybersecurity incidents are required to be promptly reported to the Roper cybersecurity team, who then monitors such incidents through their resolution. We work on security awareness with our employees throughout the year with annual cybersecurity training and monthly simulated phishing campaigns to better identify and report unusual behavior and to mitigate the likelihood and impact of possible cybersecurity incidents.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Cybersecurity Governance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Cybersecurity Program is supervised by Roper’s Vice President of Cybersecurity, who has related experience including cybersecurity, IT, cloud, and security compliance. The Vice President of Cybersecurity has obtained a B.S. in Management Information Systems, a Master’s in Business Administration, and a Master’s in Management Information Systems. She also maintains the following industry cybersecurity certifications: CISA, CISSP, GSEC, GCED, GSA, and a Boardroom Certified Qualified Technology Expert (QTE).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Board of Directors (the “Board”) has not delegated responsibility for cybersecurity matters to a committee. Rather, the Board believes that due to the importance and continually evolving nature of risks from cybersecurity threats, all members of the Board should participate in the oversight of these topics. As a result, management briefs the Board on cybersecurity matters during regularly scheduled Board meetings. The Audit Committee also receives briefings on cybersecurity matters and related risks from the Vice President of Audit Services and Chief Compliance Officer, who monitors these matters pursuant to the Company’s enterprise risk management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Roper has also established a Cyber Disclosure Committee chaired by the Vice President of Cybersecurity to track and evaluate potentially material cybersecurity incidents and to assess their potential impact on the organization. This process builds upon the CSIRP and provides a framework for Roper management to monitor potentially material cybersecurity incidents. The Cyber Disclosure Committee reports its activities and findings, as appropriate, to the Chief Executive Officer, Chief Financial Officer, Principal Accounting Officer, and General Counsel, and, if appropriate, to the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have experienced cybersecurity incidents, these incidents have not materially affected Roper, including its business strategy, results of operations, or financial condition. See “Item 1A. Risk Factors, We rely on information and technology, including third-party cloud computing platforms and other third-party business partners, for many of our business operations which could fail and cause disruption to our business operations.” above for more information. While we work to maintain our Cybersecurity Program, there can be no assurance that such actions will be sufficient to prevent cybersecurity incidents or mitigate all risks from cybersecurity threats or potential risks to such systems, networks, and data or those of our third-party providers.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corporate offices, consisting of 42,000 square feet of leased space, are located at 6496 University Parkway, Sarasota, Florida. As of December 31, 2025, we leased facilities throughout the U.S. and in various locations internationally, including North America, Europe, and Asia-Pacific. Additionally, we owned one property in the U.S. as of December 31, 2025. We consider our facilities to be in good operating condition and adequate for their present use and believe we have sufficient capacity to meet our anticipated operating requirements.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pertaining to legal proceedings can be found in Note 13 to the Consolidated Financial Statements included in this Annual Report, and is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INFORMATION ABOUT OUR EXECUTIVE OFFICERS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General Instruction G(3) of Form 10-K, the following list of executive officers of the Company as of February 24, 2026 is included as an unnumbered Item in Part I of this report in lieu of being included in the Company’s Proxy Statement relating to the 2026 Annual Meeting of Shareholders.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L. Neil Hunn</w:t>
      </w:r>
      <w:r>
        <w:rPr>
          <w:rFonts w:ascii="Times New Roman;serif" w:hAnsi="Times New Roman;serif"/>
          <w:b w:val="false"/>
          <w:color w:val="000000"/>
          <w:sz w:val="20"/>
        </w:rPr>
        <w:t>, 53, has served as President and Chief Executive Officer since August 2018. He previously served as Executive Vice President and Chief Operating Officer from 2017 to 2018. Mr. Hunn also served as Group Vice President of Roper’s medical segment from 2011 to 2018 and helped drive significant growth in the Company’s medical technology and application software businesses. In addition to his operating responsibilities at Roper, Mr. Hunn led the execution of the majority of the Company’s capital deployment since joining Roper. Prior to joining Roper, Mr. Hunn served 10 years as Executive Vice President and Chief Financial Officer at MedAssets, Inc., an Atlanta-based SaaS company, and as President of its revenue cycle technology businesses. He successfully led MedAssets’ initial public offering and the execution of several M&amp;A transactions. Mr. Hunn also held roles at CMGI, an incubator of internet businesses, and Parthenon Group, a strategy consulting firm. Mr. Hunn has been a director of Deere &amp; Company, a global leader in the delivery of agricultural, construction, and forestry equipment, since 2023.</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Jason P. Conley</w:t>
      </w:r>
      <w:r>
        <w:rPr>
          <w:rFonts w:ascii="Times New Roman;serif" w:hAnsi="Times New Roman;serif"/>
          <w:b w:val="false"/>
          <w:color w:val="000000"/>
          <w:sz w:val="20"/>
        </w:rPr>
        <w:t>, 50, has served as Executive Vice President and Chief Financial Officer since February 2023. Prior thereto, he served as Vice President and Chief Accounting Officer from 2021 to February 2023 and as Vice President and Controller from 2017 to 2021. He previously served as the Chief Financial Officer at Managed Health Care Associates, a Roper subsidiary, from 2013 to 2017. He also led the financial planning and investor relations activities for Roper from 2006 to 2013. Before joining Roper, Mr. Conley served in various finance and accounting leadership roles at Honeywell International and Deloitte. Mr. Conley has been a director of KLA Corporation, an industry-leading developer of equipment and services for the semiconductor and nanoelectronics industries, since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John K. Stipancich</w:t>
      </w:r>
      <w:r>
        <w:rPr>
          <w:rFonts w:ascii="Times New Roman;serif" w:hAnsi="Times New Roman;serif"/>
          <w:b w:val="false"/>
          <w:color w:val="000000"/>
          <w:sz w:val="20"/>
        </w:rPr>
        <w:t>, 57, has served as Executive Vice President, General Counsel and Corporate Secretary since 2018 and as Vice President, General Counsel and Corporate Secretary from 2016 to 2018. Prior to joining Roper, Mr. Stipancich was with Newell Brands Inc., a consumer products company, from 2004 to May of 2016. At Newell Brands he served as Executive Vice President and Chief Financial Officer from 2015 to 2016. Prior thereto, he served in a number of leadership roles at Newell Brands including General Counsel and Corporate Secretary, and Executive Leader of its operations in Europe, the Middle East, and Africa. Prior to his twelve years at Newell Brands, Mr. Stipancich served as Executive Vice President, General Counsel and Corporate Secretary for Evenflo Company and Assistant General Counsel for Borden, both KKR portfolio companies at the time. He started his legal career in the Cleveland office of the international law firm Squire Patton Boggs. Mr. Stipancich has been a director of Mativ Holdings, Inc., a global leader in specialty materials, since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common stock trades on Nasdaq under the symbol “ROP.” Based on information available to us and our transfer agent, there were approximately 558 record holders of our common stock as of February 20, 2026.</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Dividends </w:t>
      </w:r>
      <w:r>
        <w:rPr>
          <w:color w:val="000000"/>
        </w:rPr>
        <w:t xml:space="preserve">– </w:t>
      </w:r>
      <w:r>
        <w:rPr>
          <w:rFonts w:ascii="Times New Roman;serif" w:hAnsi="Times New Roman;serif"/>
          <w:b w:val="false"/>
          <w:color w:val="000000"/>
          <w:sz w:val="20"/>
        </w:rPr>
        <w:t>We have declared a cash dividend in each quarter since our February 1992 initial public offering and we have annually increased our dividend rate since our initial public offering. In November 2025, our Board of Directors increased the quarterly dividend paid January 16, 2026 to $0.91 per share from $0.825 per share, an increase of 10%. This is the thirty-third consecutive year in which the Company has increased its dividend. The timing, declaration, and payment of future dividends will be at the sole discretion of our Board of Directors and will depend upon our profitability, cash flows, financial condition, capital needs, future prospects, and other factors deemed relevant by our Board of Directors.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Performance Graph </w:t>
      </w:r>
      <w:r>
        <w:rPr>
          <w:color w:val="000000"/>
        </w:rPr>
        <w:t xml:space="preserve">– </w:t>
      </w:r>
      <w:r>
        <w:rPr>
          <w:rFonts w:ascii="Times New Roman;serif" w:hAnsi="Times New Roman;serif"/>
          <w:b w:val="false"/>
          <w:color w:val="000000"/>
          <w:sz w:val="20"/>
        </w:rPr>
        <w:t>This performance graph shall not be deemed “filed” for purposes of Section 18 of the Securities Exchange Act of 1934, as amended (the “Exchange Act”) or otherwise subject to the liabilities under that Section and shall not be deemed incorporated by reference into any of our filings under the Securities Act of 1933, as amended, or the Exchange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graph compares, for the five year period ended December 31, 2025, the cumulative total stockholder return for our common stock, the Standard &amp; Poor’s 500 Stock Index (the “S&amp;P 500”), and the Standard &amp; Poor’s 500 Information Technology Index (the “S&amp;P 500 IT”). Measurement points are the last trading day of each of our fiscal years ended December 31, 2020, 2021, 2022, 2023, 2024, and 2025. The graph assumes that $100.00 was invested on December 31, 2020 in our common stock, the S&amp;P 500, and the S&amp;P 500 IT and assumes the reinvestment of any dividends. The stock price performance on the following graph is not necessarily indicative of future stock price performance.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74"/>
        <w:gridCol w:w="680"/>
        <w:gridCol w:w="683"/>
        <w:gridCol w:w="215"/>
        <w:gridCol w:w="737"/>
        <w:gridCol w:w="110"/>
        <w:gridCol w:w="109"/>
        <w:gridCol w:w="109"/>
        <w:gridCol w:w="109"/>
        <w:gridCol w:w="215"/>
        <w:gridCol w:w="737"/>
        <w:gridCol w:w="110"/>
        <w:gridCol w:w="109"/>
        <w:gridCol w:w="109"/>
        <w:gridCol w:w="109"/>
        <w:gridCol w:w="215"/>
        <w:gridCol w:w="737"/>
        <w:gridCol w:w="110"/>
        <w:gridCol w:w="109"/>
        <w:gridCol w:w="109"/>
        <w:gridCol w:w="109"/>
        <w:gridCol w:w="215"/>
        <w:gridCol w:w="737"/>
        <w:gridCol w:w="110"/>
        <w:gridCol w:w="109"/>
        <w:gridCol w:w="109"/>
        <w:gridCol w:w="109"/>
        <w:gridCol w:w="215"/>
        <w:gridCol w:w="737"/>
        <w:gridCol w:w="110"/>
        <w:gridCol w:w="109"/>
        <w:gridCol w:w="109"/>
        <w:gridCol w:w="109"/>
        <w:gridCol w:w="214"/>
        <w:gridCol w:w="736"/>
        <w:gridCol w:w="173"/>
      </w:tblGrid>
      <w:tr>
        <w:trPr/>
        <w:tc>
          <w:tcPr>
            <w:tcW w:w="7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12/31/2025</w:t>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Roper Technologies, Inc.</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IT</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6515100" cy="3743325"/>
            <wp:effectExtent l="0" t="0" r="0" b="0"/>
            <wp:docPr id="2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 descr=""/>
                    <pic:cNvPicPr>
                      <a:picLocks noChangeAspect="1" noChangeArrowheads="1"/>
                    </pic:cNvPicPr>
                  </pic:nvPicPr>
                  <pic:blipFill>
                    <a:blip r:embed="rId2"/>
                    <a:stretch>
                      <a:fillRect/>
                    </a:stretch>
                  </pic:blipFill>
                  <pic:spPr bwMode="auto">
                    <a:xfrm>
                      <a:off x="0" y="0"/>
                      <a:ext cx="6515100" cy="3743325"/>
                    </a:xfrm>
                    <a:prstGeom prst="rect">
                      <a:avLst/>
                    </a:prstGeom>
                  </pic:spPr>
                </pic:pic>
              </a:graphicData>
            </a:graphic>
          </wp:inline>
        </w:drawing>
      </w:r>
      <w:bookmarkStart w:id="0" w:name="i-1"/>
      <w:bookmarkEnd w:id="0"/>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Item 12 under the heading “Securities Authorized for Issuance under Equity Compensation Plans” is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2025, our Board of Directors approved a share repurchase program for the repurchase of up to $3,000.0 of our common stock. The repurchase program, announced on October 23, 2025, does not have a fixed expiration date, does not obligate the Company to acquire any specific number of shares, and may be suspended at any time at the Company’s discretion. Under the program, shares may be repurchased through open market purchases or privately negotiated transactions, including under plans complying with Rule 10b5-1 under the Exchange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 repurchases for the three months ended December 31, 2025 were as follows (amounts in millions, except for average price paid per share):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73"/>
        <w:gridCol w:w="459"/>
        <w:gridCol w:w="463"/>
        <w:gridCol w:w="109"/>
        <w:gridCol w:w="109"/>
        <w:gridCol w:w="109"/>
        <w:gridCol w:w="450"/>
        <w:gridCol w:w="450"/>
        <w:gridCol w:w="452"/>
        <w:gridCol w:w="109"/>
        <w:gridCol w:w="109"/>
        <w:gridCol w:w="109"/>
        <w:gridCol w:w="280"/>
        <w:gridCol w:w="958"/>
        <w:gridCol w:w="144"/>
        <w:gridCol w:w="109"/>
        <w:gridCol w:w="109"/>
        <w:gridCol w:w="109"/>
        <w:gridCol w:w="711"/>
        <w:gridCol w:w="711"/>
        <w:gridCol w:w="713"/>
        <w:gridCol w:w="109"/>
        <w:gridCol w:w="109"/>
        <w:gridCol w:w="109"/>
        <w:gridCol w:w="452"/>
        <w:gridCol w:w="1644"/>
        <w:gridCol w:w="337"/>
      </w:tblGrid>
      <w:tr>
        <w:trPr/>
        <w:tc>
          <w:tcPr>
            <w:tcW w:w="67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Average Price Paid Per Share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Approximate Dollar Value of Shares that May Yet be Purchased Under the Program</w:t>
            </w:r>
          </w:p>
        </w:tc>
      </w:tr>
      <w:tr>
        <w:trPr/>
        <w:tc>
          <w:tcPr>
            <w:tcW w:w="159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2025 -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33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2025 - November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2,659.4 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2025 -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18"/>
        </w:rPr>
        <w:t>Average price paid per share excludes broker commissions, and excise tax required by the Inflation Reduction Act of 2022, as amended.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are in millions unless specified, except per share data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item generally discusses our 2025 results compared to our 2024 results. Discussions of our 2024 results compared to our 2023 results can be found within Part II, Item 7 of our Annual Report on Form 10-K for the year ended December 31,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Roper Technologies, Inc. (“Roper,” the “Company,” “we,” “our,” or “us”) is a diversified technology company. Roper has a proven, long-term, successful track record of compounding cash flow and increasing shareholder value. We operate market leading businesses that design and develop vertical software and technology enabled products for a variety of defensible niche markets.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pursue consistent and sustainable growth in revenue, earnings, and cash flow by enabling continuous improvement in the operating performance of our existing businesses and by acquiring businesses that offer high value-added software, services, technology-enabled products, and solutions that we believe are capable of realizing growth while maintaining high margins.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2022, Roper completed the divestiture of a majority equity stake in its industrial businesses, including its entire historical Process Technologies reportable segment and the industrial businesses within its historical Measurement &amp; Analytical Solutions reportable segment (collectively “Indicor”), to CD&amp;R. Following the sale of the majority equity stake, Roper retained a minority equity interest in Indicor. See Note 9 of the Notes to Consolidated Financial Statements included in this Annual Report for additional information regarding Roper’s minority equity interest in Indicor.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results of Indicor are reported as discontinued operations for all periods presented. Unless otherwise noted, discussion within Management’s Discussion and Analysis of Financial Condition and Results of Operations relates to continuing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Segment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Roper’s segment reporting structure is based on business model and delivery of performance obligations. The three reportable segments are as follows: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0"/>
        </w:rPr>
        <w:t>Application Software</w:t>
      </w:r>
      <w:r>
        <w:rPr>
          <w:color w:val="000000"/>
        </w:rPr>
        <w:t>—</w:t>
      </w:r>
      <w:r>
        <w:rPr>
          <w:rFonts w:ascii="Times New Roman;serif" w:hAnsi="Times New Roman;serif"/>
          <w:b w:val="false"/>
          <w:color w:val="000000"/>
          <w:sz w:val="20"/>
        </w:rPr>
        <w:t>Aderant, CentralReach, Clinisys, Data Innovations, Deltek, Frontline, IntelliTrans, PowerPlan, Procare, Strata, Transact/CBORD, and Vertafore;</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0"/>
        </w:rPr>
        <w:t>Network Software</w:t>
      </w:r>
      <w:r>
        <w:rPr>
          <w:color w:val="000000"/>
        </w:rPr>
        <w:t>—</w:t>
      </w:r>
      <w:r>
        <w:rPr>
          <w:rFonts w:ascii="Times New Roman;serif" w:hAnsi="Times New Roman;serif"/>
          <w:b w:val="false"/>
          <w:color w:val="000000"/>
          <w:sz w:val="20"/>
        </w:rPr>
        <w:t>ConstructConnect, DAT, Foundry, iPipeline, iTradeNetwork, MHA, SHP, SoftWriters, and Subsplash;</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0"/>
        </w:rPr>
        <w:t>Technology Enabled Products</w:t>
      </w:r>
      <w:r>
        <w:rPr>
          <w:color w:val="000000"/>
        </w:rPr>
        <w:t>—</w:t>
      </w:r>
      <w:r>
        <w:rPr>
          <w:rFonts w:ascii="Times New Roman;serif" w:hAnsi="Times New Roman;serif"/>
          <w:b w:val="false"/>
          <w:color w:val="000000"/>
          <w:sz w:val="20"/>
        </w:rPr>
        <w:t>CIVCO Medical Solutions, FMI, Inovonics, IPA, Neptune, Northern Digital, rf IDEAS, and Verathon.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Financial information about our reportable segments is presented in Note 14 of the Notes to Consolidated Financial Statements included in this Annual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Application of Critical Accounting Policies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prepared in conformity with generally accepted accounting principles in the United States (“GAAP”). A discussion of our significant accounting policies can also be found in the Notes to Consolidated Financial Statements for the year ended December 31, 2025 included in this Annual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GAAP offers acceptable alternative methods for accounting for certain issues affecting our financial results, such as determining inventory cost, depreciating long-lived assets, and recognizing revenue. Other than the changes during 2023 as further described in Note 9 of our Notes to Consolidated Financial Statements with respect to the methodology used to value our equity investment in Indicor, we have not changed the application of acceptable accounting methods or the significant estimates affecting the application of these principles in the last three years in a manner that had a material effect on our Consolidated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accordance with GAAP requires the use of estimates, assumptions, judgments, and interpretations that can affect the reported amounts of assets, liabilities, revenues and expenses, the disclosure of contingent assets and liabilities, and other supplemental disclosures.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development of accounting estimates is the responsibility of our management. Our management discusses those areas that require significant judgments with the Audit Committee of our Board of Directors. The Audit Committee has reviewed all financial disclosures in our annual filings with the SEC. Although we believe the positions we have taken with regard to uncertainties are reasonable, others might reach different conclusions and our positions can change over time as more information becomes available. If an accounting estimate changes, its effects are accounted for prospectively or through a cumulative catch-up adjustment.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most significant accounting uncertainties are encountered in the areas of income taxes, valuation of other intangible assets, goodwill and other indefinite-lived intangibles impairment analyses, and valuation of our equity investment in Indicor. Estimates are considered to be significant if they meet both of the following criteria: (1) the estimate requires assumptions about matters that are uncertain at the time the estimate is made, and (2) changes in the estimate are reasonably likely to have a material financial impact from period-to-period.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taxes can be affected by estimates of whether and within which jurisdictions future earnings will occur and if, how, and when cash is repatriated to the U.S., combined with other aspects of an overall income tax strategy. Additionally, taxing jurisdictions could retroactively disagree with our tax treatment of certain items, and some historical transactions have income tax effects going forward. Accounting rules require these future effects to be evaluated using current laws, rules and regulations, each of which can change at any time and in an unpredictable manner. If there is a material change in the actual effective tax rates, the time period within which the underlying temporary differences become taxable or deductible, or if the tax law changes are unfavorable, there could be a resulting increase to income tax expense and the effective tax rate.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Our 2025 effective income tax rate was 20.6% and our 2024 effective income tax rate was 21.2%. </w:t>
      </w:r>
      <w:r>
        <w:rPr>
          <w:rFonts w:ascii="Times New Roman;serif" w:hAnsi="Times New Roman;serif"/>
          <w:b w:val="false"/>
          <w:color w:val="000000"/>
          <w:sz w:val="20"/>
          <w:shd w:fill="FFFFFF" w:val="clear"/>
        </w:rPr>
        <w:t xml:space="preserve">We expect the effective tax rate for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to be approximately</w:t>
      </w:r>
      <w:r>
        <w:rPr>
          <w:color w:val="000000"/>
        </w:rPr>
        <w:t xml:space="preserve"> </w:t>
      </w:r>
      <w:r>
        <w:rPr>
          <w:rFonts w:ascii="Times New Roman;serif" w:hAnsi="Times New Roman;serif"/>
          <w:b w:val="false"/>
          <w:color w:val="000000"/>
          <w:sz w:val="20"/>
        </w:rPr>
        <w:t>21% to 22%.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account for goodwill in a purchase business combination as the excess purchase price over the fair value of the net identifiable assets acquired. Goodwill, which is not amortized, is tested for impairment on an annual basis in conjunction with our annual forecast process during the fourth quarter (or an interim basis if an event occurs or circumstances change that would more likely than not reduce the fair value of a reporting unit below its carrying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When testing goodwill for impairment, we have the option to first assess qualitative factors to determine whether the existence of events or circumstances leads to a determination that it is more likely than not that the estimated fair value of a reporting unit is less than its carrying amount. If we elect to perform a qualitative assessment and determine that an impairment is more likely than not, we are then required to perform the quantitative impairment test; otherwise, no further analysis is required. Under the qualitative assessment, we consider various qualitative factors, including macroeconomic conditions, relevant industry and market trends, cost factors, overall financial performance, other entity-specific events, and events affecting the reporting unit that could indicate a potential change in the fair value of our reporting unit or the composition of its carrying value. We also consider the specific future outlook for the reporting unit.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may elect not to perform the qualitative assessment and, instead, proceed directly to the quantitative impairment test. The quantitative assessment utilizes the equal weighting of both an income approach (discounted cash flow) and a market approach (consisting of a comparable public company earnings multiples methodology) to estimate the fair value of a reporting unit. To determine the reasonableness of the estimated fair values, we review the assumptions to ensure that neither the income approach nor the market approach provides significantly different valuations. If the estimated fair value exceeds the carrying value, no further work is required and no impairment loss is recognized. If the carrying value exceeds the estimated fair value, a non-cash impairment loss is recognized in the amount of that excess.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Key assumptions used in the income and market approaches are updated when the analysis is performed for each reporting unit. The assumptions that have the most significant effect on the fair value calculations are the projected revenue growth rates, future operating margins, discount rates, terminal values, and earnings multiples. While we use reasonable and timely information to prepare our cash flow and discount rate assumptions, actual future cash flows or market conditions could differ significantly and could result in future non-cash impairment charges related to recorded goodwill balances.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Recently acquired reporting units generally represent a higher inherent risk of impairment, which typically decreases as the businesses are integrated into our enterprise. Negative industry or economic trends, disruptions to our business, actual results significantly below projections, unexpected significant changes or planned changes in the use of the assets, divestitures, and market capitalization declines may have a negative effect on the fair value of our reporting units.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the annual impairment test, Roper has 25 reporting units with individual goodwill amounts ranging from $17.5 to $3,371.9. In 2025, the Company performed its annual impairment test in the fourth quarter for all reporting units. The Company conducted its analysis qualitatively and assessed whether it was more likely than not that the respective fair values of these reporting units were less than their carrying amounts. The Company determined that impairment of goodwill was not likely in any of its reporting units and thus was not required to perform a quantitative assessment for these reporting units as of October 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Trade names that are determined to have an indefinite useful economic life are not amortized, but separately tested for impairment during the fourth quarter of the fiscal year or on an interim basis if an event occurs that indicates the fair value is more likely than not below the carrying value. We first qualitatively assess whether the existence of events or circumstances leads to a determination that it is more likely than not that the estimated fair value of the indefinite-lived trade name is less than its carrying amount. If necessary, we conduct a quantitative assessment using the relief-from-royalty method, which we believe to be an acceptable methodology due to its common use by valuation specialists in determining the fair value of intangible assets. This methodology assumes that, in lieu of ownership, a third party would be willing to pay a royalty in order to exploit the related benefits of these assets. The assumptions that have the most significant effect on the fair value calculations are the royalty rates, projected revenue growth rates, discount rates, and terminal values. Each royalty rate is determined based on the profitability of the trade name to which it relates and observed market royalty rates. Revenue growth rates are determined after considering current and future economic conditions, recent sales trends, discussions with customers, planned timing of new product launches, or other variables. Trade names resulting from recent acquisitions generally represent the highest risk of impairment, which typically decreases as the businesses are integrated into our enterprise.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assessment of fair value for impairment purposes requires significant judgments to be made by management. Although our forecasts are based on assumptions that are considered reasonable by management and consistent with the plans and estimates management uses to operate the underlying businesses, there is significant judgment applied in determining the expected results attributable to the businesses and/or reporting units. Changes in estimates or the application of alternative assumptions could produce significantly different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most significant identifiable intangible assets with definite useful economic lives recognized from our acquisitions are customer relationships. The fair value for customer relationships is determined as of the acquisition date using the excess earnings method. Under this methodology the fair value is determined based on the estimated future after-tax cash flows arising from the acquired customer relationships over their estimated useful lives after considering customer attrition and contributory asset charges. The assumptions that have the most significant effect on the fair value calculations are the customer attrition rates, projected customer revenue growth rates, margins, contributory asset charges, and discount rates. When testing customer relationship intangible assets for potential impairment, management considers historical customer attrition rates and projected revenues and profitability related to customers that existed at acquisition. In evaluating the amortizable life for customer relationship intangible assets, management considers historical customer attrition patterns.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evaluate whether there has been an impairment of identifiable intangible assets with definite useful economic lives, or of the remaining life of such assets, when certain indicators of impairment are present. In the event that facts and circumstances indicate that the cost or remaining period of amortization of any asset may be impaired, an evaluation of recoverability would be performed. If an evaluation is required, the estimated future gross, undiscounted cash flows associated with the asset would be compared to the asset’s carrying amount to determine if a write-down to fair value or a revision in the remaining amortization period is required.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Roper held a 43.8% and 45.5% minority equity interest in Indicor Equity, LLC, respectively. This equity interest provides us with the ability to exercise significant influence, but not control, over the investee. We elected to apply the fair value option as we believe this is the most reasonable method to value this equity investment. This investment is classified within Level 3 of the fair value hierarchy as valuation of the investment reflects management’s estimate of assumptions that market participants would use in pricing the equity interest. Any changes to the valuation estimates or assumptions, as described further in Note 9 of the Notes to Consolidated Financial Statements included in this Annual Report, could produce significantly different results. The fair value of our equity investment in Indicor is estimated on a quarterly basis and the change in fair value is reported as a component of “Equity investments gain, net” in our Consolidated Statements of Earnings.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Continuing Operations</w:t>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All currency amounts are in millions unless specified, percentages are of net revenues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Percentages may not sum due to rounding.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selected information for the years indicated:</w:t>
      </w:r>
    </w:p>
    <w:p>
      <w:pPr>
        <w:pStyle w:val="TextBody"/>
        <w:bidi w:val="0"/>
        <w:spacing w:before="0" w:after="0"/>
        <w:jc w:val="both"/>
        <w:rPr/>
      </w:pPr>
      <w:r>
        <w:rPr/>
      </w:r>
    </w:p>
    <w:tbl>
      <w:tblPr>
        <w:tblW w:w="8237" w:type="dxa"/>
        <w:jc w:val="left"/>
        <w:tblInd w:w="0" w:type="dxa"/>
        <w:tblLayout w:type="fixed"/>
        <w:tblCellMar>
          <w:top w:w="28" w:type="dxa"/>
          <w:left w:w="28" w:type="dxa"/>
          <w:bottom w:w="28" w:type="dxa"/>
          <w:right w:w="28" w:type="dxa"/>
        </w:tblCellMar>
      </w:tblPr>
      <w:tblGrid>
        <w:gridCol w:w="1371"/>
        <w:gridCol w:w="1210"/>
        <w:gridCol w:w="1213"/>
        <w:gridCol w:w="211"/>
        <w:gridCol w:w="766"/>
        <w:gridCol w:w="271"/>
        <w:gridCol w:w="109"/>
        <w:gridCol w:w="109"/>
        <w:gridCol w:w="109"/>
        <w:gridCol w:w="211"/>
        <w:gridCol w:w="766"/>
        <w:gridCol w:w="271"/>
        <w:gridCol w:w="109"/>
        <w:gridCol w:w="109"/>
        <w:gridCol w:w="109"/>
        <w:gridCol w:w="211"/>
        <w:gridCol w:w="766"/>
        <w:gridCol w:w="316"/>
      </w:tblGrid>
      <w:tr>
        <w:trPr/>
        <w:tc>
          <w:tcPr>
            <w:tcW w:w="137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124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Application Software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Network Software </w:t>
            </w:r>
            <w:r>
              <w:rPr>
                <w:rFonts w:ascii="Times New Roman;serif" w:hAnsi="Times New Roman;serif"/>
                <w:b w:val="false"/>
                <w:color w:val="000000"/>
                <w:sz w:val="13"/>
              </w:rPr>
              <w:t>(2)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Technology Enabled Products </w:t>
            </w:r>
            <w:r>
              <w:rPr>
                <w:rFonts w:ascii="Times New Roman;serif" w:hAnsi="Times New Roman;serif"/>
                <w:b w:val="false"/>
                <w:color w:val="000000"/>
                <w:sz w:val="13"/>
              </w:rPr>
              <w:t>(3)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Application Software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Software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Enabled Products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Application Software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Software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Enabled Products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margin:</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Application Software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Software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Enabled Products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administrative expenses </w:t>
            </w:r>
            <w:r>
              <w:rPr>
                <w:rFonts w:ascii="Times New Roman;serif" w:hAnsi="Times New Roman;serif"/>
                <w:b w:val="false"/>
                <w:color w:val="000000"/>
                <w:sz w:val="13"/>
              </w:rPr>
              <w:t>(4)</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gain,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9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(1)Includes results from the acquisitions of Promium, L.L.C. from May 2, 2023, Syntellis from August 7, 2023, Replicon Inc. from August 21, 2023, ProPricer from December 26, 2023, Procare from February 26, 2024, Transact from August 20, 2024, Surefyre, Inc. from November 4, 2024, CentralReach from April 23, 2025, Orchard Software from July 28, 2025, HerculesAI from August 8, 2025, Spectrum AI, Inc. from August 15, 2025, and Valuation Pricing Director Limited from October 23, 2025.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(2)Includes results from the acquisitions of Trucker Tools, LLC from December 17, 2024, Outgo from May 15, 2025, Subsplash from July 25, 2025, and Convoy from July 30, 2025.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(3)Includes results from the acquisition of Muni-Link from February 19, 2025.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(4)Includes unallocated corporate general and administrative expenses and enterprise-wide stock-based compensation.</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Year Ended December 31, 2025 compared to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revenues for the year ended December 31, 2025 were $7,902.5 as compared to $7,039.2 for the year ended December 31, 2024, an increase of 12.3%. The components of revenue growth for the year ended December 31, 2025 were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75"/>
        <w:gridCol w:w="667"/>
        <w:gridCol w:w="669"/>
        <w:gridCol w:w="410"/>
        <w:gridCol w:w="409"/>
        <w:gridCol w:w="1022"/>
        <w:gridCol w:w="109"/>
        <w:gridCol w:w="109"/>
        <w:gridCol w:w="109"/>
        <w:gridCol w:w="350"/>
        <w:gridCol w:w="348"/>
        <w:gridCol w:w="875"/>
        <w:gridCol w:w="109"/>
        <w:gridCol w:w="109"/>
        <w:gridCol w:w="109"/>
        <w:gridCol w:w="569"/>
        <w:gridCol w:w="569"/>
        <w:gridCol w:w="1423"/>
        <w:gridCol w:w="109"/>
        <w:gridCol w:w="109"/>
        <w:gridCol w:w="109"/>
        <w:gridCol w:w="109"/>
        <w:gridCol w:w="109"/>
        <w:gridCol w:w="255"/>
        <w:gridCol w:w="256"/>
        <w:gridCol w:w="409"/>
      </w:tblGrid>
      <w:tr>
        <w:trPr/>
        <w:tc>
          <w:tcPr>
            <w:tcW w:w="77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Application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Network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Technology Enabled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Roper</w:t>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Growth</w:t>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Impact of:</w:t>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8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Revenue Growth</w:t>
            </w:r>
          </w:p>
        </w:tc>
        <w:tc>
          <w:tcPr>
            <w:tcW w:w="81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our Application Software segment, net revenues grew 15.9% to $4,483.0 for the year ended December 31, 2025 as compared to $3,868.3 for the year ended December 31, 2024, led by acquisition contribution from Transact and CentralReach. The growth of 5.4% in organic revenues was broad-based across the segment led by our businesses serving the acute healthcare, property and casualty insurance, and legal markets, partially offset by a decrease in organic non-recurring revenue driven primarily by our business serving the government contracting market. Gross margin increased slightly to 68.5% for the year ended December 31, 2025 as compared to 68.4% for the year ended December 31, 2024, due primarily to improved leverage on higher organic revenues, which was offset by a lower gross margin profile associated with the higher payments revenue mix at Transact. Selling, general and administrative (“SG&amp;A”) expenses as a percentage of net revenues improved to 41.6% in the year ended December 31, 2025 as compared to 42.0% in the year ended December 31, 2024, due primarily to operating leverage on higher organic revenues and cost synergies resulting from the integration of Transact with CBORD, partially offset by higher amortization of acquired intangibles from the acquisition of CentralReach. The resulting operating margin was 26.8% in the year ended December 31, 2025 as compared to 26.5% in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our Network Software segment, net revenues grew 8.5% to $1,600.8 for the year ended December 31, 2025 as compared to $1,475.6 for the year ended December 31, 2024, led by acquisition contribution from Subsplash. The growth of 4.1% in organic revenues was led by our network software businesses serving the freight match, construction, and alternate site healthcare markets, partially offset by a decline in our media and entertainment software business related to end-market conditions. Gross margin decreased to 84.1% for the year ended December 31, 2025 as compared to 85.0% for the year ended December 31, 2024, due primarily to gross margin profiles associated with our 2025 acquisitions, predominantly driven by the payments revenue mix at Subsplash. SG&amp;A expenses as a percentage of net revenues increased to 40.6% in the year ended December 31, 2025 as compared to 39.9% in the year ended December 31, 2024, due primarily to higher amortization of acquired intangibles and SG&amp;A profiles associated with our 2025 acquisitions. The resulting operating margin was 43.5% in the year ended December 31, 2025 as compared to 45.2% in the year ended December 31, 2024.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our Technology Enabled Products segment, net revenues grew 7.3% to $1,818.7 for the year ended December 31, 2025 as compared to $1,695.3 for the year ended December 31, 2024. The growth of 6.5% in organic revenues was broad-based across the segment, led by our medical products businesses, highlighted by our precision measurement business, and growth in our access management businesses. Gross margin increased to 58.1% for the year ended December 31, 2025 as compared to 57.6% for the year ended December 31, 2024, due primarily to improved leverage on higher organic revenues at our precision measurement business as well as revenue mix. SG&amp;A expenses as a percentage of net revenues improved slightly to 23.6% in the year ended December 31, 2025 as compared to 23.7% in the year ended December 31, 2024, due primarily to operating leverage on higher organic revenues, mostly offset by revenue mix. The resulting operating margin was 34.5% in the year ended December 31, 2025 as compared to 33.9% in the year ended December 31, 2024.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Corporate expenses increased by $22.8 to $290.2, or 3.7% of net revenues, in 2025 as compared to $267.4, or 3.8% of net revenues, in 2024. The dollar increase was due primarily to higher stock-based compensation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net, increased to $325.0 for the year ended December 31, 2025 as compared to $259.2 for the year ended December 31, 2024. The increase was due primarily to a higher weighted-average fixed-rate debt balance and fixed-rate debt interest rate, partially offset by lower weighted-average borrowings on our revolving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Equity investments activity, net, was a gain of $25.5 for the year ended December 31, 2025 due primarily to a $24.0 increase in the fair value of our equity investment in Indicor. Equity investments activity, net, was a gain of $234.6 for the year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December 31, 2024 due primarily to a $135.6 gain on the sale of our equity investment in Certinia and a $96.4 increase in the fair value of our equity investment in Indicor. Changes in the fair value of our Indicor equity investment are primarily due to fluctuations in the equity values of comparable guideline public companies.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2025 effective income tax rate of 20.6% decreased as compared to our 2024 tax rate of 21.2%, due primarily to favorable rate impacts from the recognition of a net tax benefit associated with legal entity restructuring and a reduction in state taxes, partially offset by the non-recurrence of prior year valuation allowance releases.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Backlog is equal to our remaining performance obligations expected to be recognized as revenue within the next 12 months, as discussed within Note 1 of the Notes to Consolidated Financial Statements. Backlog increased 10.3% to $3,424.6 at December 31, 2025 as compared to $3,105.4 at December 31, 2024 due primarily to acquisitions and organic growth in our software segments.</w:t>
      </w:r>
    </w:p>
    <w:p>
      <w:pPr>
        <w:pStyle w:val="TextBody"/>
        <w:bidi w:val="0"/>
        <w:spacing w:before="0" w:after="0"/>
        <w:jc w:val="left"/>
        <w:rPr/>
      </w:pPr>
      <w:r>
        <w:rPr/>
      </w:r>
    </w:p>
    <w:tbl>
      <w:tblPr>
        <w:tblW w:w="6388" w:type="dxa"/>
        <w:jc w:val="left"/>
        <w:tblInd w:w="0" w:type="dxa"/>
        <w:tblLayout w:type="fixed"/>
        <w:tblCellMar>
          <w:top w:w="28" w:type="dxa"/>
          <w:left w:w="28" w:type="dxa"/>
          <w:bottom w:w="28" w:type="dxa"/>
          <w:right w:w="28" w:type="dxa"/>
        </w:tblCellMar>
      </w:tblPr>
      <w:tblGrid>
        <w:gridCol w:w="934"/>
        <w:gridCol w:w="821"/>
        <w:gridCol w:w="824"/>
        <w:gridCol w:w="211"/>
        <w:gridCol w:w="766"/>
        <w:gridCol w:w="109"/>
        <w:gridCol w:w="109"/>
        <w:gridCol w:w="109"/>
        <w:gridCol w:w="109"/>
        <w:gridCol w:w="211"/>
        <w:gridCol w:w="766"/>
        <w:gridCol w:w="109"/>
        <w:gridCol w:w="109"/>
        <w:gridCol w:w="109"/>
        <w:gridCol w:w="109"/>
        <w:gridCol w:w="255"/>
        <w:gridCol w:w="256"/>
        <w:gridCol w:w="472"/>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Backlog 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Application Software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Software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Enabled Products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Condition, Liquidity, and Capital Resources</w:t>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Amounts are in millions unless specified, except per share data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Selected cash flows for the years ended December 31, 2025 and 2024 were as follows:</w:t>
      </w:r>
    </w:p>
    <w:p>
      <w:pPr>
        <w:pStyle w:val="TextBody"/>
        <w:bidi w:val="0"/>
        <w:spacing w:before="0" w:after="0"/>
        <w:jc w:val="both"/>
        <w:rPr/>
      </w:pPr>
      <w:r>
        <w:rPr/>
      </w:r>
    </w:p>
    <w:tbl>
      <w:tblPr>
        <w:tblW w:w="5281" w:type="dxa"/>
        <w:jc w:val="left"/>
        <w:tblInd w:w="0" w:type="dxa"/>
        <w:tblLayout w:type="fixed"/>
        <w:tblCellMar>
          <w:top w:w="28" w:type="dxa"/>
          <w:left w:w="28" w:type="dxa"/>
          <w:bottom w:w="28" w:type="dxa"/>
          <w:right w:w="28" w:type="dxa"/>
        </w:tblCellMar>
      </w:tblPr>
      <w:tblGrid>
        <w:gridCol w:w="858"/>
        <w:gridCol w:w="753"/>
        <w:gridCol w:w="758"/>
        <w:gridCol w:w="211"/>
        <w:gridCol w:w="841"/>
        <w:gridCol w:w="109"/>
        <w:gridCol w:w="109"/>
        <w:gridCol w:w="109"/>
        <w:gridCol w:w="109"/>
        <w:gridCol w:w="211"/>
        <w:gridCol w:w="841"/>
        <w:gridCol w:w="109"/>
        <w:gridCol w:w="109"/>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Operating activities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by 6% to $2,540.3 in 2025 as compared to $2,393.2 in 2024 due primarily to the change in net earnings before non-cash expenses, and a benefit to cash income taxes paid in connection with the repeal of the requirement to capitalize and amortize domestic R&amp;D expenditures under Internal Revenue Code Section 174 (“Section 174”) associated with the enactment of the One Big Beautiful Bill Act (the “OBBBA”). These increases were partially offset by less cash provided by net working capital primarily related to changes in the balances of accounts receivable and accrued expenses.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Investing activities</w:t>
      </w:r>
      <w:r>
        <w:rPr>
          <w:color w:val="000000"/>
        </w:rPr>
        <w:t xml:space="preserve">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during 2025 was primarily for the acquisitions of CentralReach, Subsplash, Convoy, and Orchard Software. Cash used in investing activities during 2024 was primarily for business acquisitions, most notably Procare and Transact, partially offset by proceeds from the sale of our equity investment in Certinia.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Financing activities</w:t>
      </w:r>
      <w:r>
        <w:rPr>
          <w:color w:val="000000"/>
        </w:rPr>
        <w:t xml:space="preserve">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Cash provided by financing activities during 2025 was primarily from the issuance of $2,000.0 of senior notes in August 2025, net borrowings of $725.0 under our unsecured revolving credit facility, and net proceeds from stock-based compensation, partially offset by $1,000.0 of senior notes repaid at maturity, $500.0 in repurchases of our common stock, and dividend payments. Cash provided by financing activities during 2024 was primarily from the issuance of $2,000.0 of senior notes in August 2024 and net proceeds from stock-based compensation, partially offset by $500.0 of senior notes repaid at maturity, dividend payments, and $235.0 of net repayments on our unsecured revolving credit facility.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Net working capital</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Net working capital (total current assets, excluding cash, less total current liabilities, excluding debt) was negative $1,389.7 at December 31, 2025 as compared to negative $1,434.6 at December 31, 2024, due primarily to an increase in accounts receivable, changes in tax-related balances, and an increase in prepaid expenses and other current assets, partially offset by increases in deferred revenue and other accrued liabilities. Consistent negative net working capital demonstrates Roper’s continued focus on asset-light business models.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Debt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Total debt excluding unamortized debt issuance costs was $9,355.9 at December 31, 2025 (32.0% of total capital) as compared to $7,669.2 at December 31, 2024 (28.9% of total capital). Our total debt increased at December 31, 2025 as compared to December 31, 2024 due primarily to the issuance of $2,000.0 of senior notes in August 2025, and $725.0 of net borrowings under our unsecured revolving credit facility, partially offset by $1,000.0 of senior notes repaid at maturity. The net proceeds from the issuance of senior notes were used to repay a portion of the borrowings outstanding under our unsecured credit facility associated with our 2025 acquisitions, as well as to repay a portion of the senior notes due in September 2025. The remaining portion of senior notes due in September 2025 and the senior notes due in December 2025 were repaid using borrowings under our unsecured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21, 2022, we entered into a five-year unsecured credit facility (the “Credit Agreement”) among Roper, the financial institutions from time to time party thereto, JPMorgan Chase Bank, N.A., as administrative agent, Bank of America, N.A. and Wells Fargo Bank, N.A., as syndication agents, and Mizuho Bank, Ltd., MUFG Bank, Ltd., PNC Bank, National Association, TD Bank, N.A., Truist Bank, and U.S. Bank, National Association, as documentation agents, which replaced the previous $3,000.0 unsecured credit facility, dated as of September 2, 2020, as amended. The Credit Agreement comprises a five-year $3,500.0 revolving credit facility, which includes availability of up to $150.0 for letters of credit. We may also, subject to compliance with specified conditions, request additional term loans or revolving credit commitments in an aggregate amount not to exceed $500.0.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Credit Agreement requires Roper to maintain a Total Debt to Total Capital Ratio (as defined in the Credit Agreement) of 0.65 to 1.00, or less. Borrowings under the Credit Agreement are prepayable at Roper’s option at any time in whole or in part without premium or penalty.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were in compliance with all debt covenants related to our unsecured credit facility throughout the years ended December 31, 2025 and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December 31, 2025, we had $8,500.0 of senior unsecured notes, $850.0 of borrowings outstanding under our unsecured revolving credit facility and $8.1 of outstanding letters of credit at December 31, 2025, of which, $6.2 was covered by our lending group thereby reducing our revolving credit capacity commensurately. At December 31, 2025, we also had $5.9 of other debt in the form of short-term borrowings and finance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redeem some or all of each outstanding series of senior notes at any time or from time to time, at 100% of their principal amount, plus a make-whole premium based on a spread to U.S. Treasury securities. We are also entitled to redeem some or all of each outstanding series of senior notes at 100% of their principal amount plus accrued and unpaid interest, on or after applicable dates in advance of maturity.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8 of the Notes to Consolidated Financial Statements included in this Annual Report for additional information regarding our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Foreign cash, and cash equivalents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Cash and cash equivalents held at our foreign subsidiaries totaled $171.2 at December 31, 2025 as compared to $130.8 at December 31, 2024, an increase of 30.9%. The increase was primarily due to cash generated at our foreign subsidiaries, partially offset by cash repatriation of $305.7. We intend to repatriate substantially all historical and future foreign earnings that can be repatriated without incremental U.S. federal tax cost.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Capitalized expenditures</w:t>
      </w:r>
    </w:p>
    <w:p>
      <w:pPr>
        <w:pStyle w:val="TextBody"/>
        <w:bidi w:val="0"/>
        <w:spacing w:lineRule="auto" w:line="288" w:before="100" w:after="180"/>
        <w:jc w:val="both"/>
        <w:rPr>
          <w:rFonts w:ascii="Times New Roman;serif" w:hAnsi="Times New Roman;serif"/>
          <w:b w:val="false"/>
          <w:color w:val="000000"/>
          <w:sz w:val="20"/>
        </w:rPr>
      </w:pPr>
      <w:r>
        <w:rPr>
          <w:rFonts w:ascii="Times New Roman;serif" w:hAnsi="Times New Roman;serif"/>
          <w:b w:val="false"/>
          <w:color w:val="000000"/>
          <w:sz w:val="20"/>
        </w:rPr>
        <w:t>Capital expenditures were $47.4 and $66.0 during 2025 and 2024, respectively. Capitalized software expenditures were $57.3 and $45.0 during 2025 and 2024, respectively. Capital expenditures and capitalized software expenditures were relatively consistent as a percentage of annual net revenues in 2025 as compared to 2024. In the future, we expect the aggregate of capital expenditures and capitalized software expenditures as a percentage of annual net revenues to be between 1.0% and 1.5%.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Tax legislation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enactment of the OBBBA on July 4, 2025, introduced various tax reform provisions, including the repeal of the requirement to capitalize and amortize domestic R&amp;D expenditures under Section 174. The legislation includes multiple effective dates and, as enacted, did not have a material impact on our 2025 annual effective tax rate and is not expected to have a significant impact on our annual effective tax rate in future years. We continue to assess the broader impacts of the OBBBA.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OBBBA repealed the domestic capitalization of R&amp;D under Section 174, which resulted in a cash tax benefit of approximately $150 in 2025. The remaining cash tax benefit associated with the enactment of the OBBBA is expected to be utilized over the next three to five years. Management expects annual cash tax payments as a percentage of pre-tax earnings to be relatively consistent on a go-forward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 October 2025, our Board approved a share repurchase program for the repurchase of up to $3,000.0 of our common stock. During the fourth quarter of 2025, we repurchased 1.121 shares of our common stock for an aggregate purchase price of $500.0 and an average price paid per share of $445.87, excluding broker commissions and excise tax. As of December 31, 2025, $2,500.0 of the originally authorized amount under the share repurchase program remained available for future repurchases.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January 1, 2026 to February 20, 2026, we repurchased 3.723 shares of our common stock for an aggregate purchase price of $1,313.5 and an average price paid per share of $352.80, excluding broker commissions and excise tax. As of February 20, 2026, $1,186.5 of the originally authorized amount under the share repurchase program remained available for future repurchases.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Material Contractual Cash Obligations</w:t>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All currency amounts are in millions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quantifies our material contractual cash obligations at December 31, 2025:</w:t>
      </w:r>
    </w:p>
    <w:p>
      <w:pPr>
        <w:pStyle w:val="TextBody"/>
        <w:bidi w:val="0"/>
        <w:spacing w:before="0" w:after="0"/>
        <w:jc w:val="both"/>
        <w:rPr/>
      </w:pPr>
      <w:r>
        <w:rPr/>
      </w:r>
    </w:p>
    <w:tbl>
      <w:tblPr>
        <w:tblW w:w="10810" w:type="dxa"/>
        <w:jc w:val="left"/>
        <w:tblInd w:w="0" w:type="dxa"/>
        <w:tblLayout w:type="fixed"/>
        <w:tblCellMar>
          <w:top w:w="28" w:type="dxa"/>
          <w:left w:w="28" w:type="dxa"/>
          <w:bottom w:w="28" w:type="dxa"/>
          <w:right w:w="28" w:type="dxa"/>
        </w:tblCellMar>
      </w:tblPr>
      <w:tblGrid>
        <w:gridCol w:w="397"/>
        <w:gridCol w:w="349"/>
        <w:gridCol w:w="350"/>
        <w:gridCol w:w="211"/>
        <w:gridCol w:w="871"/>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Material contractual cash obligations</w:t>
            </w:r>
            <w:r>
              <w:rPr>
                <w:color w:val="000000"/>
              </w:rPr>
              <w:t xml:space="preserve"> </w:t>
            </w:r>
            <w:r>
              <w:rPr>
                <w:rFonts w:ascii="Times New Roman;serif" w:hAnsi="Times New Roman;serif"/>
                <w:b/>
                <w:color w:val="000000"/>
                <w:sz w:val="13"/>
              </w:rPr>
              <w:t>1</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Payments due in fiscal year</w:t>
            </w:r>
          </w:p>
        </w:tc>
      </w:tr>
      <w:tr>
        <w:trPr/>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Thereafter</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9,355.9 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 interest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 obligations </w:t>
            </w:r>
            <w:r>
              <w:rPr>
                <w:rFonts w:ascii="Times New Roman;serif" w:hAnsi="Times New Roman;serif"/>
                <w:b w:val="false"/>
                <w:color w:val="000000"/>
                <w:sz w:val="13"/>
              </w:rPr>
              <w:t>2</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pPr>
      <w:r>
        <w:rPr>
          <w:rFonts w:ascii="Times New Roman;serif" w:hAnsi="Times New Roman;serif"/>
          <w:b w:val="false"/>
          <w:color w:val="000000"/>
          <w:sz w:val="13"/>
        </w:rPr>
        <w:t xml:space="preserve">1 </w:t>
      </w:r>
      <w:r>
        <w:rPr>
          <w:rFonts w:ascii="Times New Roman;serif" w:hAnsi="Times New Roman;serif"/>
          <w:b w:val="false"/>
          <w:color w:val="000000"/>
          <w:sz w:val="18"/>
        </w:rPr>
        <w:t>We have excluded the liability for uncertain tax positions and certain other tax liabilities as we are not able to reasonably estimate the timing of the payments. See Note 7 of the Notes to Consolidated Financial Statements included in this Annual Report.</w:t>
      </w:r>
    </w:p>
    <w:p>
      <w:pPr>
        <w:pStyle w:val="TextBody"/>
        <w:bidi w:val="0"/>
        <w:spacing w:lineRule="auto" w:line="288" w:before="60" w:after="283"/>
        <w:jc w:val="both"/>
        <w:rPr/>
      </w:pPr>
      <w:r>
        <w:rPr>
          <w:rFonts w:ascii="Times New Roman;serif" w:hAnsi="Times New Roman;serif"/>
          <w:b w:val="false"/>
          <w:color w:val="000000"/>
          <w:sz w:val="13"/>
        </w:rPr>
        <w:t xml:space="preserve">2 </w:t>
      </w:r>
      <w:r>
        <w:rPr>
          <w:rFonts w:ascii="Times New Roman;serif" w:hAnsi="Times New Roman;serif"/>
          <w:b w:val="false"/>
          <w:color w:val="000000"/>
          <w:sz w:val="18"/>
        </w:rPr>
        <w:t>Represents minimum fixed price purchase commitments that are legally binding across Roper.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internally generated cash flows and the remaining availability under our unsecured credit facility will be adequate to finance our normal operating requirements. Although we maintain an active acquisition program, any future acquisitions will be dependent on numerous factors and it is not feasible to reasonably estimate if or when any such acquisitions will occur and what the impact will be on our business, financial condition, and results of operations. Such acquisitions may be financed by the use of existing credit lines, future cash flows from operations, future divestitures, the proceeds from the issuance of new debt or equity securities, or any combination of these methods, the terms and availability of which will be subject to market and economic conditions generally.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anticipate that our businesses will generate positive cash flows from operating activities, and that these cash flows will permit the reduction of currently outstanding debt in accordance with the repayment schedule. However, the rate at which we can reduce our debt during 2026 (and reduce the associated interest expense) will be affected by, among other things, the financing and operating requirements of any new acquisitions, the financial performance of our existing companies, any allocation of capital toward share repurchases, the impact of geopolitical and economic uncertainties, and the financial markets generally. None of these factors can be predicted with certainty.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See Note 1 of the Notes to Consolidated Financial Statements included in this Annual Report for information regarding the effect of new accounting pronouncements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interest rate risks on our outstanding revolving credit facility borrowings, and to foreign currency exchange risks on our transactions and balances denominated in currencies other than the U.S. dollar. We are also exposed to equity price risk as it relates to the change in fair value of our equity investment in Indicor, and to equity market risks pertaining to the traded price of our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December 31, 2025, we had $8,500.0 of fixed-rate borrowings with interest rates ranging from 1.40% to 5.10%. At December 31, 2025, the prevailing market rates for each of our long-term notes were between 0.3% lower and 2.8% higher than the fixed rates on our debt instruments. Our unsecured credit facility contains a $3,500.0 variable-rate revolver with $850.0 of outstanding borrowings at December 31,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Several of our businesses have transactions and balances denominated in currencies other than the U.S. dollar. Most of these transactions or balances are denominated in British pounds, Canadian dollars, or euros. Net revenues recognized by our companies whose functional currency is not the U.S. dollar were approximately 9% of our total net revenues in 2025 and approximately 88% of these net revenues were recognized by our companies with a functional currency that is either the British pound, Canadian dollar, or euro. If these currency exchange rates had been 10% different throughout 2025 compared to currency exchange rates actually experienced, the impact on our net earnings would have been less than 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equity price risk as it relates to the change in fair value of our equity investment in Indicor. This equity investment is accounted for under the fair value option with its fair value estimated on a quarterly basis and its change in fair value reported as a component of “Equity investments gain, net” in our Consolidated Statements of Earnings. A hypothetical 10% decrease in the fair value of our equity investment in Indicor based on the balance at December 31, 2025 would result in a non-cash charge within non-operating income of approximately $79.6. See Note 9 of the Notes to Consolidated Financial Statements included in this Annual Report for additional information on this equity investment.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trading price of our common stock influences the valuation of stock award grants and the effects these grants have on our results of operations. The stock price also influences the computation of potentially dilutive common stock used in the determination of diluted earnings per share. In addition, the stock price also affects our employees’ perceptions of programs that involve our common stock. The quantification of the effects of these changing prices on our future earnings and cash flows is not readily determinable.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INDEX TO CONSOLIDATED FINANCIAL STATEMENTS AND SUPPLEMENTARY DATA</w:t>
      </w:r>
    </w:p>
    <w:tbl>
      <w:tblPr>
        <w:tblW w:w="9451" w:type="dxa"/>
        <w:jc w:val="left"/>
        <w:tblInd w:w="0" w:type="dxa"/>
        <w:tblLayout w:type="fixed"/>
        <w:tblCellMar>
          <w:top w:w="28" w:type="dxa"/>
          <w:left w:w="28" w:type="dxa"/>
          <w:bottom w:w="28" w:type="dxa"/>
          <w:right w:w="28" w:type="dxa"/>
        </w:tblCellMar>
      </w:tblPr>
      <w:tblGrid>
        <w:gridCol w:w="3225"/>
        <w:gridCol w:w="2835"/>
        <w:gridCol w:w="2850"/>
        <w:gridCol w:w="158"/>
        <w:gridCol w:w="158"/>
        <w:gridCol w:w="225"/>
      </w:tblGrid>
      <w:tr>
        <w:trPr/>
        <w:tc>
          <w:tcPr>
            <w:tcW w:w="3225"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8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w:t>
            </w:r>
          </w:p>
        </w:tc>
        <w:tc>
          <w:tcPr>
            <w:tcW w:w="54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73">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(PricewaterhouseCoopers LLP, PCAOB ID 238)</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73">
              <w:r>
                <w:rPr>
                  <w:rStyle w:val="InternetLink"/>
                  <w:rFonts w:ascii="Times New Roman;serif" w:hAnsi="Times New Roman;serif"/>
                  <w:b w:val="false"/>
                  <w:color w:val="0000FF"/>
                  <w:sz w:val="20"/>
                  <w:u w:val="single"/>
                </w:rPr>
                <w:t>33</w:t>
              </w:r>
            </w:hyperlink>
          </w:p>
        </w:tc>
      </w:tr>
      <w:tr>
        <w:trPr/>
        <w:tc>
          <w:tcPr>
            <w:tcW w:w="8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76">
              <w:r>
                <w:rPr>
                  <w:rStyle w:val="InternetLink"/>
                  <w:rFonts w:ascii="Times New Roman;serif" w:hAnsi="Times New Roman;serif"/>
                  <w:b w:val="false"/>
                  <w:color w:val="000080"/>
                  <w:sz w:val="20"/>
                  <w:u w:val="single"/>
                </w:rPr>
                <w:t>Consolidated Balance Sheets as of December 31, 202</w:t>
              </w:r>
            </w:hyperlink>
            <w:hyperlink w:anchor="if6d83d51226741c1b279d31200011e3a_76">
              <w:r>
                <w:rPr>
                  <w:rStyle w:val="InternetLink"/>
                  <w:rFonts w:ascii="Times New Roman;serif" w:hAnsi="Times New Roman;serif"/>
                  <w:b w:val="false"/>
                  <w:color w:val="000080"/>
                  <w:sz w:val="20"/>
                  <w:u w:val="single"/>
                </w:rPr>
                <w:t>5</w:t>
              </w:r>
            </w:hyperlink>
            <w:hyperlink w:anchor="if6d83d51226741c1b279d31200011e3a_76">
              <w:r>
                <w:rPr>
                  <w:rStyle w:val="InternetLink"/>
                  <w:rFonts w:ascii="Times New Roman;serif" w:hAnsi="Times New Roman;serif"/>
                  <w:b w:val="false"/>
                  <w:color w:val="000080"/>
                  <w:sz w:val="20"/>
                  <w:u w:val="single"/>
                </w:rPr>
                <w:t xml:space="preserve"> and 202</w:t>
              </w:r>
            </w:hyperlink>
            <w:hyperlink w:anchor="if6d83d51226741c1b279d31200011e3a_76">
              <w:r>
                <w:rPr>
                  <w:rStyle w:val="InternetLink"/>
                  <w:rFonts w:ascii="Times New Roman;serif" w:hAnsi="Times New Roman;serif"/>
                  <w:b w:val="false"/>
                  <w:color w:val="000080"/>
                  <w:sz w:val="20"/>
                  <w:u w:val="single"/>
                </w:rPr>
                <w:t>4</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76">
              <w:r>
                <w:rPr>
                  <w:rStyle w:val="InternetLink"/>
                  <w:rFonts w:ascii="Times New Roman;serif" w:hAnsi="Times New Roman;serif"/>
                  <w:b w:val="false"/>
                  <w:color w:val="0000FF"/>
                  <w:sz w:val="20"/>
                  <w:u w:val="single"/>
                </w:rPr>
                <w:t>36</w:t>
              </w:r>
            </w:hyperlink>
          </w:p>
        </w:tc>
      </w:tr>
      <w:tr>
        <w:trPr/>
        <w:tc>
          <w:tcPr>
            <w:tcW w:w="8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79">
              <w:r>
                <w:rPr>
                  <w:rStyle w:val="InternetLink"/>
                  <w:rFonts w:ascii="Times New Roman;serif" w:hAnsi="Times New Roman;serif"/>
                  <w:b w:val="false"/>
                  <w:color w:val="000080"/>
                  <w:sz w:val="20"/>
                  <w:u w:val="single"/>
                </w:rPr>
                <w:t>Consolidated Statements of Earnings for the Years ended December 31, 202</w:t>
              </w:r>
            </w:hyperlink>
            <w:hyperlink w:anchor="if6d83d51226741c1b279d31200011e3a_79">
              <w:r>
                <w:rPr>
                  <w:rStyle w:val="InternetLink"/>
                  <w:rFonts w:ascii="Times New Roman;serif" w:hAnsi="Times New Roman;serif"/>
                  <w:b w:val="false"/>
                  <w:color w:val="000080"/>
                  <w:sz w:val="20"/>
                  <w:u w:val="single"/>
                </w:rPr>
                <w:t>5</w:t>
              </w:r>
            </w:hyperlink>
            <w:hyperlink w:anchor="if6d83d51226741c1b279d31200011e3a_79">
              <w:r>
                <w:rPr>
                  <w:rStyle w:val="InternetLink"/>
                  <w:rFonts w:ascii="Times New Roman;serif" w:hAnsi="Times New Roman;serif"/>
                  <w:b w:val="false"/>
                  <w:color w:val="000080"/>
                  <w:sz w:val="20"/>
                  <w:u w:val="single"/>
                </w:rPr>
                <w:t>, 202</w:t>
              </w:r>
            </w:hyperlink>
            <w:hyperlink w:anchor="if6d83d51226741c1b279d31200011e3a_79">
              <w:r>
                <w:rPr>
                  <w:rStyle w:val="InternetLink"/>
                  <w:rFonts w:ascii="Times New Roman;serif" w:hAnsi="Times New Roman;serif"/>
                  <w:b w:val="false"/>
                  <w:color w:val="000080"/>
                  <w:sz w:val="20"/>
                  <w:u w:val="single"/>
                </w:rPr>
                <w:t>4</w:t>
              </w:r>
            </w:hyperlink>
            <w:hyperlink w:anchor="if6d83d51226741c1b279d31200011e3a_79">
              <w:r>
                <w:rPr>
                  <w:rStyle w:val="InternetLink"/>
                  <w:rFonts w:ascii="Times New Roman;serif" w:hAnsi="Times New Roman;serif"/>
                  <w:b w:val="false"/>
                  <w:color w:val="000080"/>
                  <w:sz w:val="20"/>
                  <w:u w:val="single"/>
                </w:rPr>
                <w:t>, and 202</w:t>
              </w:r>
            </w:hyperlink>
            <w:hyperlink w:anchor="if6d83d51226741c1b279d31200011e3a_79">
              <w:r>
                <w:rPr>
                  <w:rStyle w:val="InternetLink"/>
                  <w:rFonts w:ascii="Times New Roman;serif" w:hAnsi="Times New Roman;serif"/>
                  <w:b w:val="false"/>
                  <w:color w:val="000080"/>
                  <w:sz w:val="20"/>
                  <w:u w:val="single"/>
                </w:rPr>
                <w:t>3</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79">
              <w:r>
                <w:rPr>
                  <w:rStyle w:val="InternetLink"/>
                  <w:rFonts w:ascii="Times New Roman;serif" w:hAnsi="Times New Roman;serif"/>
                  <w:b w:val="false"/>
                  <w:color w:val="0000FF"/>
                  <w:sz w:val="20"/>
                  <w:u w:val="single"/>
                </w:rPr>
                <w:t>37</w:t>
              </w:r>
            </w:hyperlink>
          </w:p>
        </w:tc>
      </w:tr>
      <w:tr>
        <w:trPr/>
        <w:tc>
          <w:tcPr>
            <w:tcW w:w="8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82">
              <w:r>
                <w:rPr>
                  <w:rStyle w:val="InternetLink"/>
                  <w:rFonts w:ascii="Times New Roman;serif" w:hAnsi="Times New Roman;serif"/>
                  <w:b w:val="false"/>
                  <w:color w:val="000080"/>
                  <w:sz w:val="20"/>
                  <w:u w:val="single"/>
                </w:rPr>
                <w:t>Consolidated Statements of Comprehensive Income for the Years ended December 31, 202</w:t>
              </w:r>
            </w:hyperlink>
            <w:hyperlink w:anchor="if6d83d51226741c1b279d31200011e3a_82">
              <w:r>
                <w:rPr>
                  <w:rStyle w:val="InternetLink"/>
                  <w:rFonts w:ascii="Times New Roman;serif" w:hAnsi="Times New Roman;serif"/>
                  <w:b w:val="false"/>
                  <w:color w:val="000080"/>
                  <w:sz w:val="20"/>
                  <w:u w:val="single"/>
                </w:rPr>
                <w:t>5</w:t>
              </w:r>
            </w:hyperlink>
            <w:hyperlink w:anchor="if6d83d51226741c1b279d31200011e3a_82">
              <w:r>
                <w:rPr>
                  <w:rStyle w:val="InternetLink"/>
                  <w:rFonts w:ascii="Times New Roman;serif" w:hAnsi="Times New Roman;serif"/>
                  <w:b w:val="false"/>
                  <w:color w:val="000080"/>
                  <w:sz w:val="20"/>
                  <w:u w:val="single"/>
                </w:rPr>
                <w:t>, 202</w:t>
              </w:r>
            </w:hyperlink>
            <w:hyperlink w:anchor="if6d83d51226741c1b279d31200011e3a_82">
              <w:r>
                <w:rPr>
                  <w:rStyle w:val="InternetLink"/>
                  <w:rFonts w:ascii="Times New Roman;serif" w:hAnsi="Times New Roman;serif"/>
                  <w:b w:val="false"/>
                  <w:color w:val="000080"/>
                  <w:sz w:val="20"/>
                  <w:u w:val="single"/>
                </w:rPr>
                <w:t>4</w:t>
              </w:r>
            </w:hyperlink>
            <w:hyperlink w:anchor="if6d83d51226741c1b279d31200011e3a_82">
              <w:r>
                <w:rPr>
                  <w:rStyle w:val="InternetLink"/>
                  <w:rFonts w:ascii="Times New Roman;serif" w:hAnsi="Times New Roman;serif"/>
                  <w:b w:val="false"/>
                  <w:color w:val="000080"/>
                  <w:sz w:val="20"/>
                  <w:u w:val="single"/>
                </w:rPr>
                <w:t>, and 202</w:t>
              </w:r>
            </w:hyperlink>
            <w:hyperlink w:anchor="if6d83d51226741c1b279d31200011e3a_82">
              <w:r>
                <w:rPr>
                  <w:rStyle w:val="InternetLink"/>
                  <w:rFonts w:ascii="Times New Roman;serif" w:hAnsi="Times New Roman;serif"/>
                  <w:b w:val="false"/>
                  <w:color w:val="000080"/>
                  <w:sz w:val="20"/>
                  <w:u w:val="single"/>
                </w:rPr>
                <w:t>3</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82">
              <w:r>
                <w:rPr>
                  <w:rStyle w:val="InternetLink"/>
                  <w:rFonts w:ascii="Times New Roman;serif" w:hAnsi="Times New Roman;serif"/>
                  <w:b w:val="false"/>
                  <w:color w:val="0000FF"/>
                  <w:sz w:val="20"/>
                  <w:u w:val="single"/>
                </w:rPr>
                <w:t>38</w:t>
              </w:r>
            </w:hyperlink>
          </w:p>
        </w:tc>
      </w:tr>
      <w:tr>
        <w:trPr/>
        <w:tc>
          <w:tcPr>
            <w:tcW w:w="8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85">
              <w:r>
                <w:rPr>
                  <w:rStyle w:val="InternetLink"/>
                  <w:rFonts w:ascii="Times New Roman;serif" w:hAnsi="Times New Roman;serif"/>
                  <w:b w:val="false"/>
                  <w:color w:val="000080"/>
                  <w:sz w:val="20"/>
                  <w:u w:val="single"/>
                </w:rPr>
                <w:t>Consolidated Statements of Stockholders’ Equity for the Years ended December 31, 202</w:t>
              </w:r>
            </w:hyperlink>
            <w:hyperlink w:anchor="if6d83d51226741c1b279d31200011e3a_85">
              <w:r>
                <w:rPr>
                  <w:rStyle w:val="InternetLink"/>
                  <w:rFonts w:ascii="Times New Roman;serif" w:hAnsi="Times New Roman;serif"/>
                  <w:b w:val="false"/>
                  <w:color w:val="000080"/>
                  <w:sz w:val="20"/>
                  <w:u w:val="single"/>
                </w:rPr>
                <w:t>5</w:t>
              </w:r>
            </w:hyperlink>
            <w:hyperlink w:anchor="if6d83d51226741c1b279d31200011e3a_85">
              <w:r>
                <w:rPr>
                  <w:rStyle w:val="InternetLink"/>
                  <w:rFonts w:ascii="Times New Roman;serif" w:hAnsi="Times New Roman;serif"/>
                  <w:b w:val="false"/>
                  <w:color w:val="000080"/>
                  <w:sz w:val="20"/>
                  <w:u w:val="single"/>
                </w:rPr>
                <w:t>, 202</w:t>
              </w:r>
            </w:hyperlink>
            <w:hyperlink w:anchor="if6d83d51226741c1b279d31200011e3a_85">
              <w:r>
                <w:rPr>
                  <w:rStyle w:val="InternetLink"/>
                  <w:rFonts w:ascii="Times New Roman;serif" w:hAnsi="Times New Roman;serif"/>
                  <w:b w:val="false"/>
                  <w:color w:val="000080"/>
                  <w:sz w:val="20"/>
                  <w:u w:val="single"/>
                </w:rPr>
                <w:t>4</w:t>
              </w:r>
            </w:hyperlink>
            <w:hyperlink w:anchor="if6d83d51226741c1b279d31200011e3a_85">
              <w:r>
                <w:rPr>
                  <w:rStyle w:val="InternetLink"/>
                  <w:rFonts w:ascii="Times New Roman;serif" w:hAnsi="Times New Roman;serif"/>
                  <w:b w:val="false"/>
                  <w:color w:val="000080"/>
                  <w:sz w:val="20"/>
                  <w:u w:val="single"/>
                </w:rPr>
                <w:t>, and 202</w:t>
              </w:r>
            </w:hyperlink>
            <w:hyperlink w:anchor="if6d83d51226741c1b279d31200011e3a_85">
              <w:r>
                <w:rPr>
                  <w:rStyle w:val="InternetLink"/>
                  <w:rFonts w:ascii="Times New Roman;serif" w:hAnsi="Times New Roman;serif"/>
                  <w:b w:val="false"/>
                  <w:color w:val="000080"/>
                  <w:sz w:val="20"/>
                  <w:u w:val="single"/>
                </w:rPr>
                <w:t>3</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85">
              <w:r>
                <w:rPr>
                  <w:rStyle w:val="InternetLink"/>
                  <w:rFonts w:ascii="Times New Roman;serif" w:hAnsi="Times New Roman;serif"/>
                  <w:b w:val="false"/>
                  <w:color w:val="0000FF"/>
                  <w:sz w:val="20"/>
                  <w:u w:val="single"/>
                </w:rPr>
                <w:t>39</w:t>
              </w:r>
            </w:hyperlink>
          </w:p>
        </w:tc>
      </w:tr>
      <w:tr>
        <w:trPr/>
        <w:tc>
          <w:tcPr>
            <w:tcW w:w="8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91">
              <w:r>
                <w:rPr>
                  <w:rStyle w:val="InternetLink"/>
                  <w:rFonts w:ascii="Times New Roman;serif" w:hAnsi="Times New Roman;serif"/>
                  <w:b w:val="false"/>
                  <w:color w:val="000080"/>
                  <w:sz w:val="20"/>
                  <w:u w:val="single"/>
                </w:rPr>
                <w:t>Consolidated Statements of Cash Flows for the Years ended December 31, 202</w:t>
              </w:r>
            </w:hyperlink>
            <w:hyperlink w:anchor="if6d83d51226741c1b279d31200011e3a_91">
              <w:r>
                <w:rPr>
                  <w:rStyle w:val="InternetLink"/>
                  <w:rFonts w:ascii="Times New Roman;serif" w:hAnsi="Times New Roman;serif"/>
                  <w:b w:val="false"/>
                  <w:color w:val="000080"/>
                  <w:sz w:val="20"/>
                  <w:u w:val="single"/>
                </w:rPr>
                <w:t>5</w:t>
              </w:r>
            </w:hyperlink>
            <w:hyperlink w:anchor="if6d83d51226741c1b279d31200011e3a_91">
              <w:r>
                <w:rPr>
                  <w:rStyle w:val="InternetLink"/>
                  <w:rFonts w:ascii="Times New Roman;serif" w:hAnsi="Times New Roman;serif"/>
                  <w:b w:val="false"/>
                  <w:color w:val="000080"/>
                  <w:sz w:val="20"/>
                  <w:u w:val="single"/>
                </w:rPr>
                <w:t>, 202</w:t>
              </w:r>
            </w:hyperlink>
            <w:hyperlink w:anchor="if6d83d51226741c1b279d31200011e3a_91">
              <w:r>
                <w:rPr>
                  <w:rStyle w:val="InternetLink"/>
                  <w:rFonts w:ascii="Times New Roman;serif" w:hAnsi="Times New Roman;serif"/>
                  <w:b w:val="false"/>
                  <w:color w:val="000080"/>
                  <w:sz w:val="20"/>
                  <w:u w:val="single"/>
                </w:rPr>
                <w:t>4</w:t>
              </w:r>
            </w:hyperlink>
            <w:hyperlink w:anchor="if6d83d51226741c1b279d31200011e3a_91">
              <w:r>
                <w:rPr>
                  <w:rStyle w:val="InternetLink"/>
                  <w:rFonts w:ascii="Times New Roman;serif" w:hAnsi="Times New Roman;serif"/>
                  <w:b w:val="false"/>
                  <w:color w:val="000080"/>
                  <w:sz w:val="20"/>
                  <w:u w:val="single"/>
                </w:rPr>
                <w:t>, and 202</w:t>
              </w:r>
            </w:hyperlink>
            <w:hyperlink w:anchor="if6d83d51226741c1b279d31200011e3a_91">
              <w:r>
                <w:rPr>
                  <w:rStyle w:val="InternetLink"/>
                  <w:rFonts w:ascii="Times New Roman;serif" w:hAnsi="Times New Roman;serif"/>
                  <w:b w:val="false"/>
                  <w:color w:val="000080"/>
                  <w:sz w:val="20"/>
                  <w:u w:val="single"/>
                </w:rPr>
                <w:t>3</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91">
              <w:r>
                <w:rPr>
                  <w:rStyle w:val="InternetLink"/>
                  <w:rFonts w:ascii="Times New Roman;serif" w:hAnsi="Times New Roman;serif"/>
                  <w:b w:val="false"/>
                  <w:color w:val="0000FF"/>
                  <w:sz w:val="20"/>
                  <w:u w:val="single"/>
                </w:rPr>
                <w:t>40</w:t>
              </w:r>
            </w:hyperlink>
          </w:p>
        </w:tc>
      </w:tr>
      <w:tr>
        <w:trPr/>
        <w:tc>
          <w:tcPr>
            <w:tcW w:w="8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d83d51226741c1b279d31200011e3a_94">
              <w:r>
                <w:rPr>
                  <w:rStyle w:val="InternetLink"/>
                  <w:rFonts w:ascii="Times New Roman;serif" w:hAnsi="Times New Roman;serif"/>
                  <w:b w:val="false"/>
                  <w:color w:val="0000FF"/>
                  <w:sz w:val="20"/>
                  <w:u w:val="single"/>
                </w:rPr>
                <w:t>Notes to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d83d51226741c1b279d31200011e3a_94">
              <w:r>
                <w:rPr>
                  <w:rStyle w:val="InternetLink"/>
                  <w:rFonts w:ascii="Times New Roman;serif" w:hAnsi="Times New Roman;serif"/>
                  <w:b w:val="false"/>
                  <w:color w:val="0000FF"/>
                  <w:sz w:val="20"/>
                  <w:u w:val="single"/>
                </w:rPr>
                <w:t>41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w:t>
      </w:r>
      <w:bookmarkStart w:id="1" w:name="i0cc66fbc30674b5c8eb5668f90df3d2c_27319"/>
      <w:bookmarkEnd w:id="1"/>
      <w:r>
        <w:rPr>
          <w:rFonts w:ascii="Times New Roman;serif" w:hAnsi="Times New Roman;serif"/>
          <w:b/>
          <w:color w:val="000000"/>
          <w:sz w:val="20"/>
        </w:rPr>
        <w:t>Firm</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 Roper Technologies, Inc.</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before="0" w:after="0"/>
        <w:jc w:val="both"/>
        <w:rPr/>
      </w:pPr>
      <w:r>
        <w:rPr/>
      </w:r>
    </w:p>
    <w:p>
      <w:pPr>
        <w:pStyle w:val="TextBody"/>
        <w:bidi w:val="0"/>
        <w:spacing w:lineRule="auto" w:line="261" w:before="0" w:after="0"/>
        <w:jc w:val="both"/>
        <w:rPr/>
      </w:pPr>
      <w:r>
        <w:rPr>
          <w:rFonts w:ascii="Times New Roman;serif" w:hAnsi="Times New Roman;serif"/>
          <w:b w:val="false"/>
          <w:color w:val="000000"/>
          <w:sz w:val="20"/>
        </w:rPr>
        <w:t xml:space="preserve">We have audited the accompanying consolidated balance sheets of Roper Technologies, Inc. and its subsidiaries (the “Company”) as of December 31, 2025 and 2024, and the related consolidated statements of earnings, of comprehensive income, of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Committee of Sponsoring Organizations of the Treadway Commission (COSO).</w:t>
      </w:r>
    </w:p>
    <w:p>
      <w:pPr>
        <w:pStyle w:val="TextBody"/>
        <w:bidi w:val="0"/>
        <w:spacing w:before="0" w:after="0"/>
        <w:jc w:val="both"/>
        <w:rPr/>
      </w:pPr>
      <w:r>
        <w:rPr/>
      </w:r>
    </w:p>
    <w:p>
      <w:pPr>
        <w:pStyle w:val="TextBody"/>
        <w:bidi w:val="0"/>
        <w:spacing w:lineRule="auto" w:line="261" w:before="0" w:after="0"/>
        <w:jc w:val="both"/>
        <w:rPr/>
      </w:pPr>
      <w:r>
        <w:rPr>
          <w:rFonts w:ascii="Times New Roman;serif" w:hAnsi="Times New Roman;serif"/>
          <w:b w:val="false"/>
          <w:color w:val="000000"/>
          <w:sz w:val="20"/>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COSO.</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in Management’s Report on Internal Control over Financial Reporting, management has excluded nine entities from its assessment of internal control over financial reporting as of December 31, 2025 because they were acquired by the Company in purchase business combinations during 2025. We have also excluded these nine entities from our audit of internal control over financial reporting. These entities, each of which is wholly-owned, comprised, in the aggregate, total assets and total revenues excluded from management’s assessment and our audit of internal control over financial reporting of less than 1% and approximately 3% of consolidated total assets and consolidated total revenues, respectively, as of and for the year ended December 31, 2025.</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 </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i/>
          <w:color w:val="000000"/>
          <w:sz w:val="20"/>
        </w:rPr>
      </w:pPr>
      <w:r>
        <w:rPr>
          <w:rFonts w:ascii="Times New Roman;serif" w:hAnsi="Times New Roman;serif"/>
          <w:b w:val="false"/>
          <w:i/>
          <w:color w:val="000000"/>
          <w:sz w:val="20"/>
        </w:rPr>
        <w:t>Acquisition of CentralReach Holdings, LLC – Valuation of Customer Relationships</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in Notes 1 and 2 to the consolidated financial statements, on April 23, 2025, the Company acquired CentralReach Holdings, LLC (“CentralReach”) for a net purchase price of $1,850.0 million. Of the acquired amortizable intangible assets, $776.0 million of customer relationships were recorded. The fair value for customer relationships is determined as of the acquisition date using the excess earnings method. Under this methodology, the fair value is determined by management based on the estimated future after-tax cash flows arising from the acquired customer relationships over their estimated useful lives after considering customer attrition and contributory asset charges. The assumptions that have the most significant effect on the fair value calculations are the customer attrition rates, projected customer revenue growth rates, margins, contributory asset charges, and discount rates.</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The principal considerations for our determination that performing procedures relating to the valuation of customer relationships acquired in the acquisition of CentralReach is a critical audit matter are (i) the significant judgment by management when developing the fair value estimate of the customer relationships acquired; (ii) a high degree of auditor judgment, subjectivity, and effort in performing procedures and evaluating management’s significant assumptions related to the customer attrition rate, projected customer revenue growth rates, margins, contributory asset charges, and discount rate; and (iii) the audit effort involved the use of professionals with specialized skill and knowledge.</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acquired. These procedures also included, among others (i) reading the purchase agreement; (ii) testing management’s process for developing the fair value estimate of the customer relationships acquired; (iii) evaluating the appropriateness of the excess earnings method used by management; (iv) testing the completeness and accuracy of the underlying data used in the excess earnings method; and (v) evaluating the reasonableness of the significant assumptions used by management related to the customer attrition rate, projected customer revenue growth rates, margins, contributory asset charges, and discount rate. Evaluating management’s assumptions related to projected customer revenue growth rates and margins involved considering (i) the current and past performance of the CentralReach business; (ii) the consistency with external market and industry data; and (iii) whether the assumptions were consistent with evidence obtained in other areas of the audit. Professionals with specialized skill and knowledge were used to assist in evaluating (i) the appropriateness of the excess earnings method and (ii) the reasonableness of the customer attrition rate, contributory asset charges, and discount rate assumptions.</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i/>
          <w:color w:val="000000"/>
          <w:sz w:val="20"/>
        </w:rPr>
      </w:pPr>
      <w:r>
        <w:rPr>
          <w:rFonts w:ascii="Times New Roman;serif" w:hAnsi="Times New Roman;serif"/>
          <w:b w:val="false"/>
          <w:i/>
          <w:color w:val="000000"/>
          <w:sz w:val="20"/>
        </w:rPr>
        <w:t>Acquisition of Subsplash TopCo, LLC – Valuation of Customer Relationships</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in Notes 1 and 2 to the consolidated financial statements, on July 25, 2025, the Company acquired Subsplash TopCo, LLC (“Subsplash”) for a net purchase price of $800.0 million. Of the acquired amortizable intangible assets, $328.1 million of customer relationships were recorded. The fair value for customer relationships is determined as of the acquisition date using the excess earnings method. Under this methodology, the fair value is determined by management based on the estimated future after-tax cash flows arising from the acquired customer relationships over their estimated useful lives after considering customer attrition and contributory asset charges. The assumptions that have the most significant effect on the fair value calculations are the customer attrition rates, projected customer revenue growth rates, margins, contributory asset charges, and discount rates.</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The principal considerations for our determination that performing procedures relating to the valuation of customer relationships acquired in the acquisition of Subsplash is a critical audit matter are (i) the significant judgment by management when developing the fair value estimate of the customer relationships acquired; (ii) a high degree of auditor judgment, subjectivity, and effort in performing procedures and evaluating management’s significant assumptions related to the customer attrition rate, projected customer revenue growth rates, margins, contributory asset charges, and discount rate; and (iii) the audit effort involved the use of professionals with specialized skill and knowledge.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acquired. These procedures also included, among others (i) reading the purchase agreement; (ii) testing management’s process for developing the fair value estimate of the customer relationships acquired; (iii) evaluating the appropriateness of the excess earnings method used by management; (iv) testing the completeness and accuracy of the underlying data used in the excess earnings method; and (v) evaluating the reasonableness of the significant assumptions used by management related to the customer attrition rate, projected customer revenue growth rates, margins, contributory asset charges, and discount rate. Evaluating management’s assumptions related to projected customer revenue growth rates and margins involved considering (i) the current and past performance of the Subsplash business; (ii) the consistency with external market and industry data; and (iii) whether the assumptions were consistent with evidence obtained in other areas of the audit. Professionals with specialized skill and knowledge were used to assist in evaluating (i) the appropriateness of the excess earnings method and (ii) the reasonableness of the customer attrition rate, contributory asset charges, and discount rate assumptions.</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Tampa, Florida</w:t>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February 24,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ROPER TECHNOLOGIES, INC.</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millions, except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99"/>
        <w:gridCol w:w="2316"/>
        <w:gridCol w:w="2334"/>
        <w:gridCol w:w="211"/>
        <w:gridCol w:w="871"/>
        <w:gridCol w:w="109"/>
        <w:gridCol w:w="109"/>
        <w:gridCol w:w="109"/>
        <w:gridCol w:w="109"/>
        <w:gridCol w:w="211"/>
        <w:gridCol w:w="871"/>
        <w:gridCol w:w="156"/>
      </w:tblGrid>
      <w:tr>
        <w:trPr/>
        <w:tc>
          <w:tcPr>
            <w:tcW w:w="2799"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7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9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13)</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per share; 1.0 shares authorized; none outstanding</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per share; 350.0 shares authorized; 109.3 shares issued and 106.6 outstanding at December 31, 2025 and 108.9 shares issued and 107.3 outstanding at December 31, 2024</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2.7 shares at December 31, 2025 and 1.6 shares at December 31, 2024</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31,334.7 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ROPER TECHNOLOGIES,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EARNINGS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millions, except per share data)</w:t>
      </w:r>
    </w:p>
    <w:p>
      <w:pPr>
        <w:pStyle w:val="TextBody"/>
        <w:bidi w:val="0"/>
        <w:spacing w:before="0" w:after="0"/>
        <w:jc w:val="center"/>
        <w:rPr/>
      </w:pPr>
      <w:r>
        <w:rPr/>
      </w:r>
    </w:p>
    <w:tbl>
      <w:tblPr>
        <w:tblW w:w="8756" w:type="dxa"/>
        <w:jc w:val="left"/>
        <w:tblInd w:w="0" w:type="dxa"/>
        <w:tblLayout w:type="fixed"/>
        <w:tblCellMar>
          <w:top w:w="28" w:type="dxa"/>
          <w:left w:w="28" w:type="dxa"/>
          <w:bottom w:w="28" w:type="dxa"/>
          <w:right w:w="28" w:type="dxa"/>
        </w:tblCellMar>
      </w:tblPr>
      <w:tblGrid>
        <w:gridCol w:w="1732"/>
        <w:gridCol w:w="1528"/>
        <w:gridCol w:w="1539"/>
        <w:gridCol w:w="211"/>
        <w:gridCol w:w="766"/>
        <w:gridCol w:w="109"/>
        <w:gridCol w:w="109"/>
        <w:gridCol w:w="109"/>
        <w:gridCol w:w="109"/>
        <w:gridCol w:w="211"/>
        <w:gridCol w:w="766"/>
        <w:gridCol w:w="109"/>
        <w:gridCol w:w="109"/>
        <w:gridCol w:w="109"/>
        <w:gridCol w:w="109"/>
        <w:gridCol w:w="211"/>
        <w:gridCol w:w="766"/>
        <w:gridCol w:w="154"/>
      </w:tblGrid>
      <w:tr>
        <w:trPr/>
        <w:tc>
          <w:tcPr>
            <w:tcW w:w="173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7,902.5 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7,039.2 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6,177.8 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gain,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discontinued operations, net of tax</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discontinued operations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per share from continuing operations: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per share from discontinued operations: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per share: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ROPER TECHNOLOGIES,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millions)</w:t>
      </w:r>
    </w:p>
    <w:p>
      <w:pPr>
        <w:pStyle w:val="TextBody"/>
        <w:bidi w:val="0"/>
        <w:spacing w:before="0" w:after="0"/>
        <w:jc w:val="center"/>
        <w:rPr/>
      </w:pPr>
      <w:r>
        <w:rPr/>
      </w:r>
    </w:p>
    <w:tbl>
      <w:tblPr>
        <w:tblW w:w="8231" w:type="dxa"/>
        <w:jc w:val="center"/>
        <w:tblInd w:w="0" w:type="dxa"/>
        <w:tblLayout w:type="fixed"/>
        <w:tblCellMar>
          <w:top w:w="28" w:type="dxa"/>
          <w:left w:w="28" w:type="dxa"/>
          <w:bottom w:w="28" w:type="dxa"/>
          <w:right w:w="28" w:type="dxa"/>
        </w:tblCellMar>
      </w:tblPr>
      <w:tblGrid>
        <w:gridCol w:w="1547"/>
        <w:gridCol w:w="1357"/>
        <w:gridCol w:w="1370"/>
        <w:gridCol w:w="211"/>
        <w:gridCol w:w="766"/>
        <w:gridCol w:w="109"/>
        <w:gridCol w:w="109"/>
        <w:gridCol w:w="109"/>
        <w:gridCol w:w="109"/>
        <w:gridCol w:w="211"/>
        <w:gridCol w:w="766"/>
        <w:gridCol w:w="109"/>
        <w:gridCol w:w="109"/>
        <w:gridCol w:w="109"/>
        <w:gridCol w:w="109"/>
        <w:gridCol w:w="211"/>
        <w:gridCol w:w="766"/>
        <w:gridCol w:w="154"/>
      </w:tblGrid>
      <w:tr>
        <w:trPr/>
        <w:tc>
          <w:tcPr>
            <w:tcW w:w="154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1,384.2 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ROPER TECHNOLOGIES,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millions, except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49"/>
        <w:gridCol w:w="365"/>
        <w:gridCol w:w="366"/>
        <w:gridCol w:w="195"/>
        <w:gridCol w:w="195"/>
        <w:gridCol w:w="196"/>
        <w:gridCol w:w="109"/>
        <w:gridCol w:w="109"/>
        <w:gridCol w:w="109"/>
        <w:gridCol w:w="198"/>
        <w:gridCol w:w="381"/>
        <w:gridCol w:w="112"/>
        <w:gridCol w:w="109"/>
        <w:gridCol w:w="109"/>
        <w:gridCol w:w="109"/>
        <w:gridCol w:w="210"/>
        <w:gridCol w:w="742"/>
        <w:gridCol w:w="117"/>
        <w:gridCol w:w="109"/>
        <w:gridCol w:w="109"/>
        <w:gridCol w:w="109"/>
        <w:gridCol w:w="200"/>
        <w:gridCol w:w="798"/>
        <w:gridCol w:w="111"/>
        <w:gridCol w:w="109"/>
        <w:gridCol w:w="109"/>
        <w:gridCol w:w="109"/>
        <w:gridCol w:w="291"/>
        <w:gridCol w:w="849"/>
        <w:gridCol w:w="162"/>
        <w:gridCol w:w="109"/>
        <w:gridCol w:w="109"/>
        <w:gridCol w:w="109"/>
        <w:gridCol w:w="199"/>
        <w:gridCol w:w="588"/>
        <w:gridCol w:w="111"/>
        <w:gridCol w:w="109"/>
        <w:gridCol w:w="109"/>
        <w:gridCol w:w="109"/>
        <w:gridCol w:w="208"/>
        <w:gridCol w:w="829"/>
        <w:gridCol w:w="171"/>
      </w:tblGrid>
      <w:tr>
        <w:trPr/>
        <w:tc>
          <w:tcPr>
            <w:tcW w:w="64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December 31, 2022</w:t>
            </w:r>
          </w:p>
        </w:tc>
        <w:tc>
          <w:tcPr>
            <w:tcW w:w="58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2,510.2 </w:t>
            </w:r>
          </w:p>
        </w:tc>
        <w:tc>
          <w:tcPr>
            <w:tcW w:w="11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13,730.7 </w:t>
            </w:r>
          </w:p>
        </w:tc>
        <w:tc>
          <w:tcPr>
            <w:tcW w:w="1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w:t>
            </w:r>
          </w:p>
        </w:tc>
        <w:tc>
          <w:tcPr>
            <w:tcW w:w="1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1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16,037.8 </w:t>
            </w:r>
          </w:p>
        </w:tc>
        <w:tc>
          <w:tcPr>
            <w:tcW w:w="1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 exercises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sold under employee stock purchase plan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adjustments, including tax provision of $10.3</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activity</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($2.80 per share)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December 31, 2023</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14,816.3 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17,444.8 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5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1,549.3 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1,549.3 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 exercises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sold under employee stock purchase plan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adjustments, including tax benefit of $13.6</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activity</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($3.08 per share)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December 31, 2024</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16,034.9 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18,867.6 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5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1,536.3 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1,536.3 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 exercises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sold under employee stock purchase plan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Common stock repurchased </w:t>
            </w:r>
            <w:r>
              <w:rPr>
                <w:rFonts w:ascii="Times New Roman;serif" w:hAnsi="Times New Roman;serif"/>
                <w:b w:val="false"/>
                <w:color w:val="000000"/>
                <w:sz w:val="12"/>
              </w:rPr>
              <w:t>(1)</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consideration for business acquisition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adjustments, including tax provision of $18.4</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activity</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($3.39 per share)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December 31, 2025</w:t>
            </w:r>
          </w:p>
        </w:tc>
        <w:tc>
          <w:tcPr>
            <w:tcW w:w="5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3,292.2 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17,205.7 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(516.1)</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19,881.5 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18"/>
        </w:rPr>
        <w:t>Balance includes commissions, and excise tax required by the Inflation Reduction Act of 2022, as amended.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ROPER TECHNOLOGIES,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millions)</w:t>
      </w:r>
    </w:p>
    <w:tbl>
      <w:tblPr>
        <w:tblW w:w="10205" w:type="dxa"/>
        <w:jc w:val="center"/>
        <w:tblInd w:w="0" w:type="dxa"/>
        <w:tblLayout w:type="fixed"/>
        <w:tblCellMar>
          <w:top w:w="28" w:type="dxa"/>
          <w:left w:w="28" w:type="dxa"/>
          <w:bottom w:w="28" w:type="dxa"/>
          <w:right w:w="28" w:type="dxa"/>
        </w:tblCellMar>
      </w:tblPr>
      <w:tblGrid>
        <w:gridCol w:w="2403"/>
        <w:gridCol w:w="2049"/>
        <w:gridCol w:w="2064"/>
        <w:gridCol w:w="196"/>
        <w:gridCol w:w="691"/>
        <w:gridCol w:w="109"/>
        <w:gridCol w:w="109"/>
        <w:gridCol w:w="109"/>
        <w:gridCol w:w="109"/>
        <w:gridCol w:w="196"/>
        <w:gridCol w:w="691"/>
        <w:gridCol w:w="109"/>
        <w:gridCol w:w="109"/>
        <w:gridCol w:w="109"/>
        <w:gridCol w:w="109"/>
        <w:gridCol w:w="196"/>
        <w:gridCol w:w="691"/>
        <w:gridCol w:w="156"/>
      </w:tblGrid>
      <w:tr>
        <w:trPr/>
        <w:tc>
          <w:tcPr>
            <w:tcW w:w="2403"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5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9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earnings from continuing operations to cash flows from operating activities:</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property, plant and equipment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 compensation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investments gain,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acquired businesses:</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receivables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taxes paid for gains on disposals of equity investment and business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income taxes paid, excluding tax associated with gains on disposals of equity investment and business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 from continuing operations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operating activities from discontinued operations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(used in) investing activities:</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businesses, net of cash acquired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expenditures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equity investment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equity investment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 from continuing operations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disposition of discontinued operations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(used in) financing activities:</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senior notes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senior notes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(payments) under revolving line of credit,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to stockholders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sales under employee stock purchase plan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stock-based compensation,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provided by (used in) financing activities </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(Continued)</w:t>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65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ROPER TECHNOLOGIES,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CASH FLOWS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millions)</w:t>
      </w:r>
    </w:p>
    <w:p>
      <w:pPr>
        <w:pStyle w:val="TextBody"/>
        <w:bidi w:val="0"/>
        <w:spacing w:before="0" w:after="0"/>
        <w:jc w:val="center"/>
        <w:rPr/>
      </w:pPr>
      <w:r>
        <w:rPr/>
      </w:r>
    </w:p>
    <w:tbl>
      <w:tblPr>
        <w:tblW w:w="8247" w:type="dxa"/>
        <w:jc w:val="center"/>
        <w:tblInd w:w="0" w:type="dxa"/>
        <w:tblLayout w:type="fixed"/>
        <w:tblCellMar>
          <w:top w:w="28" w:type="dxa"/>
          <w:left w:w="28" w:type="dxa"/>
          <w:bottom w:w="28" w:type="dxa"/>
          <w:right w:w="28" w:type="dxa"/>
        </w:tblCellMar>
      </w:tblPr>
      <w:tblGrid>
        <w:gridCol w:w="1652"/>
        <w:gridCol w:w="1448"/>
        <w:gridCol w:w="1460"/>
        <w:gridCol w:w="196"/>
        <w:gridCol w:w="691"/>
        <w:gridCol w:w="109"/>
        <w:gridCol w:w="109"/>
        <w:gridCol w:w="109"/>
        <w:gridCol w:w="109"/>
        <w:gridCol w:w="196"/>
        <w:gridCol w:w="691"/>
        <w:gridCol w:w="109"/>
        <w:gridCol w:w="109"/>
        <w:gridCol w:w="109"/>
        <w:gridCol w:w="109"/>
        <w:gridCol w:w="196"/>
        <w:gridCol w:w="691"/>
        <w:gridCol w:w="154"/>
      </w:tblGrid>
      <w:tr>
        <w:trPr/>
        <w:tc>
          <w:tcPr>
            <w:tcW w:w="1652"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88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year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consideration for business acquisition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 of businesses acquired:</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assets, including goodwill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assumed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equity consideration transferred, net of cash acquired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ROPER TECHNOLOGIES,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Years ended December 31, 2025, 2024, and 2023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are in millions unless specified, except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 xml:space="preserve">(1) </w:t>
      </w:r>
      <w:r>
        <w:rPr>
          <w:rFonts w:ascii="Times New Roman;serif" w:hAnsi="Times New Roman;serif"/>
          <w:b w:val="false"/>
          <w:color w:val="000000"/>
          <w:sz w:val="20"/>
          <w:u w:val="single"/>
        </w:rPr>
        <w:t>Summary of Accounting Policies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u w:val="single"/>
        </w:rPr>
        <w:t>Basis of Presentation</w:t>
      </w:r>
      <w:r>
        <w:rPr>
          <w:color w:val="000000"/>
        </w:rPr>
        <w:t xml:space="preserve"> – </w:t>
      </w:r>
      <w:r>
        <w:rPr>
          <w:rFonts w:ascii="Times New Roman;serif" w:hAnsi="Times New Roman;serif"/>
          <w:b w:val="false"/>
          <w:color w:val="000000"/>
          <w:sz w:val="20"/>
        </w:rPr>
        <w:t>These financial statements present the consolidated information of Roper Technologies, Inc. and its subsidiaries (“Roper,” the “Company,” “we,” “our,” or “us”). All significant intercompany accounts and transactions have been eliminated. Certain prior period amounts have been reclassified to conform to current period presentation.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u w:val="single"/>
        </w:rPr>
        <w:t>Nature of the Business</w:t>
      </w:r>
      <w:r>
        <w:rPr>
          <w:color w:val="000000"/>
        </w:rPr>
        <w:t xml:space="preserve"> – </w:t>
      </w:r>
      <w:r>
        <w:rPr>
          <w:rFonts w:ascii="Times New Roman;serif" w:hAnsi="Times New Roman;serif"/>
          <w:b w:val="false"/>
          <w:color w:val="000000"/>
          <w:sz w:val="20"/>
        </w:rPr>
        <w:t>Roper is a diversified technology company. The Company operates market leading businesses that design and develop vertical software and technology enabled products for a variety of defensible niche markets.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Discontinued Operations</w:t>
      </w:r>
      <w:r>
        <w:rPr>
          <w:color w:val="000000"/>
        </w:rPr>
        <w:t xml:space="preserve"> – </w:t>
      </w:r>
      <w:r>
        <w:rPr>
          <w:rFonts w:ascii="Times New Roman;serif" w:hAnsi="Times New Roman;serif"/>
          <w:b w:val="false"/>
          <w:color w:val="000000"/>
          <w:sz w:val="20"/>
        </w:rPr>
        <w:t>In November 2022, the Company completed the divestiture of a majority equity stake in its industrial businesses, including its entire historical Process Technologies reportable segment and the industrial businesses within its historical Measurement &amp; Analytical Solutions reportable segment, to Clayton, Dubilier &amp; Rice, LLC (“CD&amp;R”). The businesses included in this transaction were Alpha, AMOT, CCC, Cornell, Dynisco, FTI, Hansen, Hardy, Logitech, Metrix, PAC, Roper Pump, Struers, Technolog, Uson, and Viatran (collectively “Indicor”). Following the sale of the majority stake, the Company retained a minority equity interest in Indicor. This transaction is referred to herein as the “Indicor Transaction.” The Company concluded that the Indicor Transaction represented a strategic shift that had a major effect on the Company’s operations and financial results. Accordingly, the financial results of Indicor are reported as discontinued operations for all periods presented. Unless otherwise noted, discussion within these Notes to Consolidated Financial Statements relates to continuing operations.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u w:val="single"/>
        </w:rPr>
        <w:t>Recent Accounting Pronouncements</w:t>
      </w:r>
      <w:r>
        <w:rPr>
          <w:color w:val="000000"/>
        </w:rPr>
        <w:t xml:space="preserve"> – </w:t>
      </w:r>
      <w:r>
        <w:rPr>
          <w:rFonts w:ascii="Times New Roman;serif" w:hAnsi="Times New Roman;serif"/>
          <w:b w:val="false"/>
          <w:color w:val="000000"/>
          <w:sz w:val="20"/>
        </w:rPr>
        <w:t>The Financial Accounting Standards Board (“FASB”) establishes changes to accounting principles under GAAP in the form of accounting standards updates (“ASUs”) to the FASB’s Accounting Standards Codification (“ASC”). The Company considers the applicability and impact of all ASUs. Any recent ASUs not listed below were assessed and either determined to be not applicable or are expected to have an immaterial impact on the Company’s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Accounting Standards Update No. 2023-09, “Income Taxes (Topic 740): Improvements to Income Tax Disclosures” (ASU 2023-09), which expands income tax disclosure requirements, including disaggregation of rate reconciliation table categories, disaggregation of earnings before income taxes and income tax expense information, and disaggregation of income taxes paid information, among other changes. This guidance is effective for annual periods beginning after December 15, 2024. The Company adopted this update on a prospective basis for the year ended December 31, 2025. Refer to Note 7 for the inclusion of the expanded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Recently Released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Accounting Standards Update No. 2024-03, “Income Statement—Reporting Comprehensive Income—Expense Disaggregation Disclosures (Subtopic 220-40): Disaggregation of Income Statement Expenses” (ASU 2024-03), which requires the disclosure of additional information about specific categories of costs and expenses in the notes to consolidated financial statements. This guidance is effective for annual periods beginning after December 15, 2026, and interim periods within fiscal years beginning after December 15, 2027. Early adoption is permitted. This ASU will likely result in additional disclosures. We are currently evaluating the provisions of this ASU.</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Accounting Standards Update No. 2025-06, “Intangibles—Goodwill and Other—Internal-Use Software (Subtopic 350-40): Targeted Improvements to the Accounting for Internal-Use Software” (ASU 2025-06), which updates the threshold for cost capitalization of internal-use software development costs by removing all references to project development stages and adding considerations for evaluating the probable-to-complete recognition threshold. This guidance is effective for annual periods beginning after December 15, 2027, and interim periods within those fiscal years. Early adoption is permitted. We are currently evaluating the provisions of this ASU.</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Significant Accounting Policies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u w:val="single"/>
        </w:rPr>
        <w:t>Cash and Cash Equivalents</w:t>
      </w:r>
      <w:r>
        <w:rPr>
          <w:color w:val="000000"/>
        </w:rPr>
        <w:t xml:space="preserve"> – </w:t>
      </w:r>
      <w:r>
        <w:rPr>
          <w:rFonts w:ascii="Times New Roman;serif" w:hAnsi="Times New Roman;serif"/>
          <w:b w:val="false"/>
          <w:color w:val="000000"/>
          <w:sz w:val="20"/>
        </w:rPr>
        <w:t>Roper considers highly liquid financial instruments with remaining maturities at acquisition of three months or less to be cash equivalents. Roper had $41.0 and $0.9 of cash equivalents at December 31, 2025 and 2024, respectively.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u w:val="single"/>
        </w:rPr>
        <w:t>Contingencies</w:t>
      </w:r>
      <w:r>
        <w:rPr>
          <w:color w:val="000000"/>
        </w:rPr>
        <w:t xml:space="preserve"> – </w:t>
      </w:r>
      <w:r>
        <w:rPr>
          <w:rFonts w:ascii="Times New Roman;serif" w:hAnsi="Times New Roman;serif"/>
          <w:b w:val="false"/>
          <w:color w:val="000000"/>
          <w:sz w:val="20"/>
        </w:rPr>
        <w:t>Management continually assesses the probability of any adverse judgments or outcomes to its potential contingencies. Disclosure of the contingency is made if there is at least a reasonable possibility that a loss or an additional loss may have been incurred. In the assessment of contingencies as of December 31, 2025, management concluded that there were no matters for which there was a reasonable possibility of a material loss.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u w:val="single"/>
        </w:rPr>
        <w:t>Earnings per Share</w:t>
      </w:r>
      <w:r>
        <w:rPr>
          <w:color w:val="000000"/>
        </w:rPr>
        <w:t xml:space="preserve"> – </w:t>
      </w:r>
      <w:r>
        <w:rPr>
          <w:rFonts w:ascii="Times New Roman;serif" w:hAnsi="Times New Roman;serif"/>
          <w:b w:val="false"/>
          <w:color w:val="000000"/>
          <w:sz w:val="20"/>
        </w:rPr>
        <w:t>Basic earnings per share was calculated using net earnings and the weighted average number of shares of common stock outstanding during the respective year. Diluted earnings per share was calculated using net earnings and the weighted average number of shares of common stock and potential common stock outstanding during the respective year. Potentially dilutive common stock consisted of stock options and restricted stock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effects of potential common stock were determined using the treasury stock method:</w:t>
      </w:r>
    </w:p>
    <w:p>
      <w:pPr>
        <w:pStyle w:val="TextBody"/>
        <w:bidi w:val="0"/>
        <w:spacing w:before="0" w:after="0"/>
        <w:jc w:val="both"/>
        <w:rPr/>
      </w:pPr>
      <w:r>
        <w:rPr/>
      </w:r>
    </w:p>
    <w:tbl>
      <w:tblPr>
        <w:tblW w:w="6417" w:type="dxa"/>
        <w:jc w:val="left"/>
        <w:tblInd w:w="0" w:type="dxa"/>
        <w:tblLayout w:type="fixed"/>
        <w:tblCellMar>
          <w:top w:w="28" w:type="dxa"/>
          <w:left w:w="28" w:type="dxa"/>
          <w:bottom w:w="28" w:type="dxa"/>
          <w:right w:w="28" w:type="dxa"/>
        </w:tblCellMar>
      </w:tblPr>
      <w:tblGrid>
        <w:gridCol w:w="1364"/>
        <w:gridCol w:w="1199"/>
        <w:gridCol w:w="1202"/>
        <w:gridCol w:w="189"/>
        <w:gridCol w:w="189"/>
        <w:gridCol w:w="193"/>
        <w:gridCol w:w="149"/>
        <w:gridCol w:w="149"/>
        <w:gridCol w:w="149"/>
        <w:gridCol w:w="189"/>
        <w:gridCol w:w="189"/>
        <w:gridCol w:w="193"/>
        <w:gridCol w:w="149"/>
        <w:gridCol w:w="149"/>
        <w:gridCol w:w="149"/>
        <w:gridCol w:w="180"/>
        <w:gridCol w:w="180"/>
        <w:gridCol w:w="256"/>
      </w:tblGrid>
      <w:tr>
        <w:trPr/>
        <w:tc>
          <w:tcPr>
            <w:tcW w:w="136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4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57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potential common stock: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awards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57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there were 0.841, 0.419, and 0.726 stock-based awards outstanding, respectively, that were not included in the determination of diluted earnings per share because to do so would have been antidilutive.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Equity Investment</w:t>
      </w:r>
      <w:r>
        <w:rPr>
          <w:color w:val="000000"/>
        </w:rPr>
        <w:t xml:space="preserve"> – </w:t>
      </w:r>
      <w:r>
        <w:rPr>
          <w:rFonts w:ascii="Times New Roman;serif" w:hAnsi="Times New Roman;serif"/>
          <w:b w:val="false"/>
          <w:color w:val="000000"/>
          <w:sz w:val="20"/>
        </w:rPr>
        <w:t>As of December 31, 2025 and 2024, the Company held a 43.8% and 45.5% minority equity interest in Indicor Equity, LLC, respectively. This equity interest provides us with the ability to exercise significant influence, but not control, over the investee. We elected to apply the fair value option as we believe this is the most reasonable method to value this equity investment. The fair value of Roper’s equity investment in Indicor is estimated on a quarterly basis and the change in fair value is reported as a component of “Equity investments gain, net” in our Consolidated Statements of Earnings. See Note 9 for additional information on this investment.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Estimates</w:t>
      </w:r>
      <w:r>
        <w:rPr>
          <w:color w:val="000000"/>
        </w:rPr>
        <w:t xml:space="preserve"> – </w:t>
      </w: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and the disclosure of contingent assets and liabilities. Actual results could differ from those estimates.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Foreign Currency Translation and Transactions</w:t>
      </w:r>
      <w:r>
        <w:rPr>
          <w:color w:val="000000"/>
        </w:rPr>
        <w:t xml:space="preserve"> – </w:t>
      </w:r>
      <w:r>
        <w:rPr>
          <w:rFonts w:ascii="Times New Roman;serif" w:hAnsi="Times New Roman;serif"/>
          <w:b w:val="false"/>
          <w:color w:val="000000"/>
          <w:sz w:val="20"/>
        </w:rPr>
        <w:t>Assets and liabilities of subsidiaries whose functional currency is not the U.S. dollar were translated at the exchange rate in effect at the balance sheet date, and revenues and expenses were translated at average exchange rates for the period in which those entities were included in Roper’s financial results. Translation adjustments are reflected within other comprehensive income. Foreign currency transaction gains and losses are recorded in our Consolidated Statements of Earnings within “Other (income) expense, net.” Foreign currency transaction gains/(losses) were not material for any periods presented.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Goodwill and Other Intangibles</w:t>
      </w:r>
      <w:r>
        <w:rPr>
          <w:color w:val="000000"/>
        </w:rPr>
        <w:t xml:space="preserve"> – </w:t>
      </w:r>
      <w:r>
        <w:rPr>
          <w:rFonts w:ascii="Times New Roman;serif" w:hAnsi="Times New Roman;serif"/>
          <w:b w:val="false"/>
          <w:color w:val="000000"/>
          <w:sz w:val="20"/>
        </w:rPr>
        <w:t xml:space="preserve">Roper accounts for goodwill in a purchase business combination as the excess of the cost over the estimated fair value of net assets acquired. Business combinations can also result in the recognition of other intangible assets. Amortization of intangible assets, if applicable, occurs over their estimated useful lives. Goodwill, which is not amortized, is tested for impairment on an annual basis (or an interim basis if an event occurs or circumstances change that would more likely than not reduce the fair value of a reporting unit below its carrying value). When testing goodwill for impairment, the Company has the option to first assess qualitative factors to determine whether the existence of events or circumstances leads to a determination that it is more likely than not that the estimated fair value of a reporting unit is less than its carrying amount. If the Company elects to perform a qualitative assessment and determines that an impairment is more likely than not, then performance of the quantitative impairment test is required. The quantitative assessment utilizes the equal weighting of both an income approach (discounted cash flow) and a market approach (consisting of a comparable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company earnings multiples methodology) to estimate the fair value of a reporting unit. To determine the reasonableness of the estimated fair values, the Company reviews the assumptions to ensure that neither the income approach nor the market approach provides significantly different valuations. If the estimated fair value exceeds the carrying value, no further work is required and no impairment loss is recognized. If the carrying value exceeds the estimated fair value, a non-cash impairment loss is recognized in the amount of that excess.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When performing the quantitative assessment, key assumptions used in the income and market approaches are updated when the analysis is performed for each reporting unit. The assumptions that have the most significant effect on the fair value calculations are the projected revenue growth rates, future operating margins, discount rates, terminal values, and earnings multiples. While the Company uses reasonable and timely information to prepare its discounted cash flow analysis, actual future cash flows or market conditions could differ significantly and could result in future impairment charges related to recorded goodwill balances.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the annual impairment test, Roper has 25 reporting units with individual goodwill amounts ranging from $17.5 to $3,371.9. In 2025, the Company performed its annual impairment test in the fourth quarter for all reporting units. The Company conducted its analysis qualitatively and assessed whether it was more likely than not that the respective fair values of these reporting units were less than their carrying amounts. The Company determined that impairment of goodwill was not likely in any of its reporting units and thus was not required to perform a quantitative assessment for these reporting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Recently acquired reporting units generally represent a higher inherent risk of impairment, which typically decreases as the businesses are integrated into the enterprise. Negative industry or economic trends, disruptions to its business, actual results significantly below expected results, unexpected significant changes or planned changes in the use of the assets, divestitures, and market capitalization declines may have a negative effect on the fair value of Roper’s reporting units.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events or circumstances, although not comprehensive, would be considered to determine whether interim testing of goodwill would be required: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significant adverse change in legal factors or in the business climate;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adverse action or assessment by a regulator;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unanticipated competition;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loss of key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more-likely-than-not expectation that a reporting unit or a significant portion of a reporting unit will be sold or otherwise disposed of;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testing for recoverability of a significant asset group within a reporting unit;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recognition of a goodwill impairment loss in the financial statements of a subsidiary that is a component of a reporting unit.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Trade names that are determined to have indefinite useful economic lives are not amortized, but are separately tested for impairment during the fourth quarter of the fiscal year or on an interim basis if an event occurs that indicates the fair value is more likely than not below the carrying value. Roper first qualitatively assesses whether the existence of events or circumstances leads to a determination that it is more likely than not that the estimated fair value of an indefinite-lived trade name is less than its carrying amount. If necessary, Roper conducts a quantitative assessment using the relief-from-royalty method. This methodology assumes that, in lieu of ownership, a third party would be willing to pay a royalty in order to exploit the related benefits of these assets. To the extent the Company determines a fair value, the inputs used represent a Level 3 fair value measurement in the FASB fair value hierarchy given that the inputs are unobservable. The assumptions that have the most significant effect on the fair value calculations are the royalty rates, projected revenue growth rates, discount rates, and terminal values. Each royalty rate is determined based on the profitability of the trade name to which it relates and observed market royalty rates. Revenue growth rates are determined after considering current and future economic conditions, recent sales trends, discussions with customers, planned timing of new product launches, or other variables. Trade names resulting from recent acquisitions generally represent the highest risk of impairment, which typically decreases as the businesses are integrated into Roper.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assessment of fair value for impairment purposes requires significant judgments to be made by management. Although forecasts are based on assumptions that are considered reasonable by management and consistent with the plans and estimates management uses to operate the underlying businesses, there is significant judgment in estimating future operating results. Changes in estimates or the application of alternative assumptions could produce significantly different results.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most significant identifiable intangible assets with definite useful economic lives recognized from our acquisitions are customer relationships. The fair value for customer relationships is determined as of the acquisition date using the excess earnings method. Under this methodology the fair value is determined based on the estimated future after-tax cash flows arising from the acquired customer relationships over their estimated useful lives after considering customer attrition and contributory asset charges. The assumptions that have the most significant effect on the fair value calculations are the customer attrition rates, projected customer revenue growth rates, margins, contributory asset charges, and discount rates. When testing customer relationship intangible assets for potential impairment, management considers historical customer attrition rates and projected revenues and profitability related to customers that existed at acquisition. In evaluating the amortizable life for customer relationship intangible assets, management considers historical customer attrition patterns.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Roper evaluates whether there has been an impairment of identifiable intangible assets with definite useful economic lives, or of the remaining life of such assets, when certain indicators of impairment are present. In the event that facts and circumstances indicate that the cost or remaining period of amortization of any asset may be impaired, an evaluation of recoverability would be performed. If an evaluation is required, the estimated future gross, undiscounted cash flows associated with the asset would be compared to the asset’s carrying amount to determine if a write-down to fair value or a revision in the remaining amortization period is required.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Impairment of Long-Lived Assets</w:t>
      </w:r>
      <w:r>
        <w:rPr>
          <w:color w:val="000000"/>
        </w:rPr>
        <w:t xml:space="preserve"> – </w:t>
      </w:r>
      <w:r>
        <w:rPr>
          <w:rFonts w:ascii="Times New Roman;serif" w:hAnsi="Times New Roman;serif"/>
          <w:b w:val="false"/>
          <w:color w:val="000000"/>
          <w:sz w:val="20"/>
        </w:rPr>
        <w:t>The Company determines whether there has been an impairment of long-lived assets, excluding goodwill and other intangible assets, when certain indicators of impairment are present. In the event that facts and circumstances indicate that the cost or life of any long-lived asset may be impaired, an evaluation of recoverability would be performed. If an evaluation is required, the estimated future gross, undiscounted cash flows associated with the asset would be compared to the asset’s carrying amount to determine if a write-down to fair value or a revision to the remaining useful life is required. Future adverse changes in market conditions or poor operating results of underlying long-lived assets could result in losses or an inability to recover the carrying value of the long-lived assets that may not be reflected in the assets’ current carrying value, thereby possibly requiring an impairment charge or acceleration of depreciation or amortization expense in the future.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u w:val="single"/>
        </w:rPr>
        <w:t>Income Taxes</w:t>
      </w:r>
      <w:r>
        <w:rPr>
          <w:color w:val="000000"/>
        </w:rPr>
        <w:t xml:space="preserve"> – </w:t>
      </w:r>
      <w:r>
        <w:rPr>
          <w:rFonts w:ascii="Times New Roman;serif" w:hAnsi="Times New Roman;serif"/>
          <w:b w:val="false"/>
          <w:color w:val="000000"/>
          <w:sz w:val="20"/>
        </w:rPr>
        <w:t>The Company recognizes in the Consolidated Financial Statements only those tax positions determined to be “more likely than not” of being sustained upon examination based on the technical merits of the positions. Interest and penalties related to unrecognized tax benefits are classified as a component of income tax expense.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records a valuation allowance to reduce its deferred tax assets if, based on the weight of available evidence, both positive and negative, for each respective tax jurisdiction, it is more likely than not that some portion or all of such deferred tax assets will not be realized. Available evidence which is considered in determining the amount of valuation allowance required includes, but is not limited to, the Company’s estimate of future taxable income and any applicable tax planning strategies.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assets and liabilities have different bases for financial reporting and income tax purposes. Deferred income taxes have been provided for these differences at the enacted tax rates expected to be paid.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U.S. government enacted H.R. 1, the One Big Beautiful Bill Act (the “OBBBA”), which introduced tax reform provisions that amend, eliminate, or extend certain tax rules under the Inflation Reduction Act and the Tax Cuts and Jobs Act. Legislative changes, including the repeal of the requirement to capitalize and amortize domestic research and development (“R&amp;D”) expenditures, provided the Company with a cash tax benefit for the year ended December 31, 2025. The legislation includes multiple effective dates and, as enacted, did not have a material impact on the Company’s 2025 annual effective tax rate. The Company continues to assess the broader impacts of the OBBBA. See Note 7 for additional information regarding income taxes.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u w:val="single"/>
        </w:rPr>
        <w:t>Inventories</w:t>
      </w:r>
      <w:r>
        <w:rPr>
          <w:color w:val="000000"/>
        </w:rPr>
        <w:t xml:space="preserve"> – </w:t>
      </w:r>
      <w:r>
        <w:rPr>
          <w:rFonts w:ascii="Times New Roman;serif" w:hAnsi="Times New Roman;serif"/>
          <w:b w:val="false"/>
          <w:color w:val="000000"/>
          <w:sz w:val="20"/>
        </w:rPr>
        <w:t>Inventories are valued at the lower of cost and net realizable value. Cost is determined using the first-in, first-out method. The Company writes down its inventory for estimated obsolescence or excess inventory equal to the difference between the cost of inventory and the estimated net realizable value based upon assumptions about future demand and market conditions.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u w:val="single"/>
        </w:rPr>
        <w:t>Product Warranties</w:t>
      </w:r>
      <w:r>
        <w:rPr>
          <w:color w:val="000000"/>
        </w:rPr>
        <w:t xml:space="preserve"> – </w:t>
      </w:r>
      <w:r>
        <w:rPr>
          <w:rFonts w:ascii="Times New Roman;serif" w:hAnsi="Times New Roman;serif"/>
          <w:b w:val="false"/>
          <w:color w:val="000000"/>
          <w:sz w:val="20"/>
        </w:rPr>
        <w:t>The Company sells certain of its products to customers with a product warranty that allows customers to return a defective product during a specified warranty period following the purchase in exchange for a replacement product, repair at no cost to the customer, or the issuance of a credit to the customer. The Company accrues its estimated exposure to warranty claims based upon current and historical product sales data, warranty costs incurred, and any other related information known to the Company.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u w:val="single"/>
        </w:rPr>
        <w:t>Property, Plant and Equipment and Depreciation and Amortization</w:t>
      </w:r>
      <w:r>
        <w:rPr>
          <w:color w:val="000000"/>
        </w:rPr>
        <w:t xml:space="preserve"> – </w:t>
      </w:r>
      <w:r>
        <w:rPr>
          <w:rFonts w:ascii="Times New Roman;serif" w:hAnsi="Times New Roman;serif"/>
          <w:b w:val="false"/>
          <w:color w:val="000000"/>
          <w:sz w:val="20"/>
        </w:rPr>
        <w:t>Property, plant and equipment is stated at cost less accumulated depreciation and amortization. Depreciation and amortization are provided for using principally the straight-line method over the estimated useful lives of the assets as follows:</w:t>
      </w:r>
    </w:p>
    <w:p>
      <w:pPr>
        <w:pStyle w:val="TextBody"/>
        <w:bidi w:val="0"/>
        <w:spacing w:before="0" w:after="0"/>
        <w:jc w:val="both"/>
        <w:rPr/>
      </w:pPr>
      <w:r>
        <w:rPr/>
      </w:r>
    </w:p>
    <w:tbl>
      <w:tblPr>
        <w:tblW w:w="4093" w:type="dxa"/>
        <w:jc w:val="left"/>
        <w:tblInd w:w="0" w:type="dxa"/>
        <w:tblLayout w:type="fixed"/>
        <w:tblCellMar>
          <w:top w:w="28" w:type="dxa"/>
          <w:left w:w="28" w:type="dxa"/>
          <w:bottom w:w="28" w:type="dxa"/>
          <w:right w:w="28" w:type="dxa"/>
        </w:tblCellMar>
      </w:tblPr>
      <w:tblGrid>
        <w:gridCol w:w="1053"/>
        <w:gridCol w:w="922"/>
        <w:gridCol w:w="934"/>
        <w:gridCol w:w="346"/>
        <w:gridCol w:w="346"/>
        <w:gridCol w:w="492"/>
      </w:tblGrid>
      <w:tr>
        <w:trPr/>
        <w:tc>
          <w:tcPr>
            <w:tcW w:w="105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20 - 30 years</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other equipment</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8 - 15 years</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3 - 5 years</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Leasehold improvements are depreciated over the shorter of the remaining lease term or the useful life of the asset.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u w:val="single"/>
        </w:rPr>
        <w:t>Research, Development and Engineering</w:t>
      </w:r>
      <w:r>
        <w:rPr>
          <w:color w:val="000000"/>
        </w:rPr>
        <w:t xml:space="preserve"> – </w:t>
      </w:r>
      <w:r>
        <w:rPr>
          <w:rFonts w:ascii="Times New Roman;serif" w:hAnsi="Times New Roman;serif"/>
          <w:b w:val="false"/>
          <w:color w:val="000000"/>
          <w:sz w:val="20"/>
        </w:rPr>
        <w:t>Research, development and engineering (“R,D&amp;E”) costs include salaries and benefits, rents, supplies, and other costs related to products under development or improvements to existing products. R,D&amp;E costs are expensed as incurred and are included within selling, general and administrative expenses. R,D&amp;E expenses totaled $852.5, $748.1, and $646.1 for the years ended December 31, 2025, 2024, and 2023, respectively.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Revenue Recognition</w:t>
      </w:r>
      <w:r>
        <w:rPr>
          <w:color w:val="000000"/>
        </w:rPr>
        <w:t xml:space="preserve"> – </w:t>
      </w:r>
      <w:r>
        <w:rPr>
          <w:rFonts w:ascii="Times New Roman;serif" w:hAnsi="Times New Roman;serif"/>
          <w:b w:val="false"/>
          <w:color w:val="000000"/>
          <w:sz w:val="20"/>
        </w:rPr>
        <w:t>The reported results reflect the application of ASC 606 guidance. The amount of revenue recognized reflects the consideration which the Company expects to be entitled to receive in exchange for these products and/or services. To achieve this principle, the Company applies the following five steps:</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identify the contract with the customer;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identify the performance obligations in the contract;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determine the transaction price;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allocate the transaction price to performance obligations in the contract;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recognize revenue when or as the Company satisfies a performance obligation.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Disaggregated Revenue </w:t>
      </w:r>
      <w:r>
        <w:rPr>
          <w:color w:val="000000"/>
        </w:rPr>
        <w:t xml:space="preserve">– </w:t>
      </w:r>
      <w:r>
        <w:rPr>
          <w:rFonts w:ascii="Times New Roman;serif" w:hAnsi="Times New Roman;serif"/>
          <w:b w:val="false"/>
          <w:color w:val="000000"/>
          <w:sz w:val="20"/>
        </w:rPr>
        <w:t>We disaggregate our revenues by reportable segment into four categories: (i) recurring revenue comprised of Software-as-a-Service (“SaaS”), annual term licenses, and software post-contract support (“PCS”); (ii) reoccurring revenue comprised of transactional and volume-based fees facilitated through our software; (iii) non-recurring revenue comprised of multi-year term and perpetual software licenses, professional services associated with software products and hardware sold with our software licenses; and (iv) product revenue. See details in the tables below: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20"/>
        <w:gridCol w:w="633"/>
        <w:gridCol w:w="612"/>
        <w:gridCol w:w="109"/>
        <w:gridCol w:w="109"/>
        <w:gridCol w:w="109"/>
        <w:gridCol w:w="345"/>
        <w:gridCol w:w="1262"/>
        <w:gridCol w:w="180"/>
        <w:gridCol w:w="109"/>
        <w:gridCol w:w="109"/>
        <w:gridCol w:w="109"/>
        <w:gridCol w:w="300"/>
        <w:gridCol w:w="1095"/>
        <w:gridCol w:w="155"/>
        <w:gridCol w:w="109"/>
        <w:gridCol w:w="109"/>
        <w:gridCol w:w="109"/>
        <w:gridCol w:w="475"/>
        <w:gridCol w:w="1733"/>
        <w:gridCol w:w="250"/>
        <w:gridCol w:w="109"/>
        <w:gridCol w:w="109"/>
        <w:gridCol w:w="109"/>
        <w:gridCol w:w="211"/>
        <w:gridCol w:w="766"/>
        <w:gridCol w:w="160"/>
      </w:tblGrid>
      <w:tr>
        <w:trPr/>
        <w:tc>
          <w:tcPr>
            <w:tcW w:w="72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Application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Network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Technology Enabled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Reoccurring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Software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1,818.7 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7,902.5 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20"/>
        <w:gridCol w:w="633"/>
        <w:gridCol w:w="612"/>
        <w:gridCol w:w="109"/>
        <w:gridCol w:w="109"/>
        <w:gridCol w:w="109"/>
        <w:gridCol w:w="345"/>
        <w:gridCol w:w="1262"/>
        <w:gridCol w:w="180"/>
        <w:gridCol w:w="109"/>
        <w:gridCol w:w="109"/>
        <w:gridCol w:w="109"/>
        <w:gridCol w:w="300"/>
        <w:gridCol w:w="1095"/>
        <w:gridCol w:w="155"/>
        <w:gridCol w:w="109"/>
        <w:gridCol w:w="109"/>
        <w:gridCol w:w="109"/>
        <w:gridCol w:w="475"/>
        <w:gridCol w:w="1733"/>
        <w:gridCol w:w="250"/>
        <w:gridCol w:w="109"/>
        <w:gridCol w:w="109"/>
        <w:gridCol w:w="109"/>
        <w:gridCol w:w="211"/>
        <w:gridCol w:w="766"/>
        <w:gridCol w:w="160"/>
      </w:tblGrid>
      <w:tr>
        <w:trPr/>
        <w:tc>
          <w:tcPr>
            <w:tcW w:w="72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2024</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Application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Network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Technology Enabled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Reoccurring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Software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3,868.3 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1,695.3 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7,039.2 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20"/>
        <w:gridCol w:w="633"/>
        <w:gridCol w:w="612"/>
        <w:gridCol w:w="109"/>
        <w:gridCol w:w="109"/>
        <w:gridCol w:w="109"/>
        <w:gridCol w:w="345"/>
        <w:gridCol w:w="1262"/>
        <w:gridCol w:w="180"/>
        <w:gridCol w:w="109"/>
        <w:gridCol w:w="109"/>
        <w:gridCol w:w="109"/>
        <w:gridCol w:w="300"/>
        <w:gridCol w:w="1095"/>
        <w:gridCol w:w="155"/>
        <w:gridCol w:w="109"/>
        <w:gridCol w:w="109"/>
        <w:gridCol w:w="109"/>
        <w:gridCol w:w="475"/>
        <w:gridCol w:w="1733"/>
        <w:gridCol w:w="250"/>
        <w:gridCol w:w="109"/>
        <w:gridCol w:w="109"/>
        <w:gridCol w:w="109"/>
        <w:gridCol w:w="211"/>
        <w:gridCol w:w="766"/>
        <w:gridCol w:w="160"/>
      </w:tblGrid>
      <w:tr>
        <w:trPr/>
        <w:tc>
          <w:tcPr>
            <w:tcW w:w="72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2023</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Application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Network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Technology Enabled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Reoccurring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Software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1,532.7 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3,186.9 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1,551.5 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recognize revenue over time or at a point in time depending on our evaluation of when the customer obtains control over the promised products or services. For software arrangements that include multiple performance obligations, we allocate revenue to each performance obligation based on estimates of the price that we would charge the customer for each promised product or service if it were sold on a standalone basis. Software licenses may be combined with implementation/installation services as a single performance obligation if the implementation/installation significantly modifies or customizes the functionality of the software license.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Software and related services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Recurring – consists primarily of SaaS subscriptions and PCS which are recognized ratably over the contractual term, and annual term software licenses which are generally recognized at a point in time.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Reoccurring – consists primarily of transactional and volume-based fees which are highly reoccurring and recognized at a point in time under a usage-based model.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Non-recurring – consists primarily of perpetual, multi-year term software licenses, or installation/implementation services and associated hardware. Revenues from perpetual and multi-year term licenses are generally recognized at a point in time. Revenues from software implementation projects are generally recognized over time using the input method, utilizing the ratio of costs or labor hours incurred to total estimated costs or labor, as the measure of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Payment for software licenses is generally required within 30 to 60 days of the transfer of control. Payment for PCS is generally required within 30 to 60 days of the commencement of the service period, which is primarily offered to customers over a one-year timeframe. Payment terms do not contain a significant financing component. Payment for implementation/installation services that are recognized over time is typically commensurate with milestones defined in the contract, or billable hours incurred.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from product sales is recognized when control transfers to the customer, which is generally when the product is shipped. Non-project-based installation and repair services are performed by certain of our businesses for which revenue is recognized upon completion.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Payment terms are generally 30 to 60 days from the transfer of control. Payment terms do not contain a significant financing component.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Accounts receivable, net</w:t>
      </w:r>
      <w:r>
        <w:rPr>
          <w:color w:val="000000"/>
        </w:rPr>
        <w:t xml:space="preserve"> – </w:t>
      </w:r>
      <w:r>
        <w:rPr>
          <w:rFonts w:ascii="Times New Roman;serif" w:hAnsi="Times New Roman;serif"/>
          <w:b w:val="false"/>
          <w:color w:val="000000"/>
          <w:sz w:val="20"/>
        </w:rPr>
        <w:t>Accounts receivable, net includes amounts billed and currently due from customers. The amounts due are stated at their net estimated realizable value. Accounts receivable are stated net of an allowance for doubtful accounts and sales allowances of $25.5 and $21.6 at December 31, 2025 and 2024, respectively. We make estimates of expected allowance for doubtful accounts based upon our assessment of various factors, including historical experience, the age of the accounts receivable balances, changes to customer creditworthiness, and other factors that may affect our ability to collect from customers.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Unbilled receivables</w:t>
      </w:r>
      <w:r>
        <w:rPr>
          <w:color w:val="000000"/>
        </w:rPr>
        <w:t xml:space="preserve"> – </w:t>
      </w:r>
      <w:r>
        <w:rPr>
          <w:rFonts w:ascii="Times New Roman;serif" w:hAnsi="Times New Roman;serif"/>
          <w:b w:val="false"/>
          <w:color w:val="000000"/>
          <w:sz w:val="20"/>
        </w:rPr>
        <w:t>Our unbilled receivables</w:t>
      </w:r>
      <w:r>
        <w:rPr>
          <w:color w:val="000000"/>
        </w:rPr>
        <w:t xml:space="preserve"> </w:t>
      </w:r>
      <w:r>
        <w:rPr>
          <w:rFonts w:ascii="Times New Roman;serif" w:hAnsi="Times New Roman;serif"/>
          <w:b w:val="false"/>
          <w:color w:val="000000"/>
          <w:sz w:val="20"/>
        </w:rPr>
        <w:t>include unbilled amounts typically resulting from sales under software milestone billings associated with multi-year term license renewals and software implementations when the input method of revenue recognition is utilized and revenue recognized exceeds the amount billed to the customer, and right to payment is not solely due to the passage of time. Amounts may not exceed their net realizable value.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Deferred revenue</w:t>
      </w:r>
      <w:r>
        <w:rPr>
          <w:color w:val="000000"/>
        </w:rPr>
        <w:t xml:space="preserve"> – </w:t>
      </w:r>
      <w:r>
        <w:rPr>
          <w:rFonts w:ascii="Times New Roman;serif" w:hAnsi="Times New Roman;serif"/>
          <w:b w:val="false"/>
          <w:color w:val="000000"/>
          <w:sz w:val="20"/>
        </w:rPr>
        <w:t>We record deferred revenue when cash payments are received or due in advance of our performance. Our deferred revenue relates primarily to software and related services. In most cases, we recognize deferred revenue ratably over time as the SaaS or PCS performance obligation is satisfied. The non-current portion of deferred revenue is included in “Other liabilities” in our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unbilled receivables and deferred revenue are reported in a net position on a contract-by-contract basis at the end of each reporting period. The net balances are classified as current or non-current based on expected timing of revenue recognition and billable milestones.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Deferred commissions</w:t>
      </w:r>
      <w:r>
        <w:rPr>
          <w:color w:val="000000"/>
        </w:rPr>
        <w:t xml:space="preserve"> – </w:t>
      </w:r>
      <w:r>
        <w:rPr>
          <w:rFonts w:ascii="Times New Roman;serif" w:hAnsi="Times New Roman;serif"/>
          <w:b w:val="false"/>
          <w:color w:val="000000"/>
          <w:sz w:val="20"/>
        </w:rPr>
        <w:t>Our incremental direct costs of obtaining a contract, which consist of sales commissions primarily for our software sales, are deferred and amortized on a straight-line basis over the period of contract performance or a longer period, depending on facts and circumstances. We classify deferred commissions as current or non-current based on the expected timing of expense recognition. Where the amortization period would have been one year or less, we expense the associated incremental direct cost as incurred. The current and non-current portions of deferred commissions are included in “Prepaid expenses and other current assets” and “Other assets,” respectively, in our Consolidated Balance Sheets. At December 31, 2025 and 2024, the current portion of deferred commissions was $47.4 and $40.5, respectively, and the non-current portion of deferred commissions was $66.2 and $50.0, respectively. The Company recognized $36.7, $32.2, and $29.3 of expense related to deferred commissions for the years ended December 31, 2025, 2024, and 2023, respectively.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Remaining performance obligations</w:t>
      </w:r>
      <w:r>
        <w:rPr>
          <w:color w:val="000000"/>
        </w:rPr>
        <w:t xml:space="preserve"> – </w:t>
      </w:r>
      <w:r>
        <w:rPr>
          <w:rFonts w:ascii="Times New Roman;serif" w:hAnsi="Times New Roman;serif"/>
          <w:b w:val="false"/>
          <w:color w:val="000000"/>
          <w:sz w:val="20"/>
        </w:rPr>
        <w:t>Remaining performance obligations represent the transaction price of firm orders for which work has not been performed, excluding unexercised contract options. As of December 31, 2025, total remaining performance obligations were $5,204.2. We expect to recognize revenues on approximately 66% of our remaining performance obligations over the next 12 months, with the remainder of the revenue to be recognized thereafter.</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u w:val="single"/>
        </w:rPr>
        <w:t>Capitalized Software</w:t>
      </w:r>
      <w:r>
        <w:rPr>
          <w:color w:val="000000"/>
        </w:rPr>
        <w:t xml:space="preserve"> – </w:t>
      </w:r>
      <w:r>
        <w:rPr>
          <w:rFonts w:ascii="Times New Roman;serif" w:hAnsi="Times New Roman;serif"/>
          <w:b w:val="false"/>
          <w:color w:val="000000"/>
          <w:sz w:val="20"/>
        </w:rPr>
        <w:t>The Company accounts for capitalized software under applicable accounting guidance which, among other provisions, requires capitalization of certain internal-use software costs once certain criteria are met. Overhead, general and administrative, and training costs are not capitalized. Capitalized software balances, net of accumulated amortization, were $131.0 and $116.9 at December 31, 2025 and 2024, respectively, which are included in “Other assets” in our Consolidated Balance Sheets.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u w:val="single"/>
        </w:rPr>
        <w:t>Stock-Based Compensation</w:t>
      </w:r>
      <w:r>
        <w:rPr>
          <w:color w:val="000000"/>
        </w:rPr>
        <w:t xml:space="preserve"> – </w:t>
      </w:r>
      <w:r>
        <w:rPr>
          <w:rFonts w:ascii="Times New Roman;serif" w:hAnsi="Times New Roman;serif"/>
          <w:b w:val="false"/>
          <w:color w:val="000000"/>
          <w:sz w:val="20"/>
        </w:rPr>
        <w:t>The Company recognizes expense for the grant date fair value of its stock-based awards on a straight-line basis (or, in the case of certain performance-based awards, on a graded basis) over the employee’s requisite service period (generally the vesting period of the award). The fair values of performance-based restricted stock awards which are subject to a market modifier were estimated using a Monte Carlo simulation model, using risk-free interest rate, expected volatility, expected dividend yield, and correlation coefficient as key assumptions. The fair values of option awards are estimated using the Black-Scholes option valuation model. The Company accounts for forfeitures of stock-based awards as they occur, with previously recognized compensation reversed in the period in which the awards are forfeited.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(2) </w:t>
      </w:r>
      <w:r>
        <w:rPr>
          <w:rFonts w:ascii="Times New Roman;serif" w:hAnsi="Times New Roman;serif"/>
          <w:b w:val="false"/>
          <w:color w:val="000000"/>
          <w:sz w:val="20"/>
          <w:u w:val="single"/>
        </w:rPr>
        <w:t>Business Acquisitions and Dispositions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2025 Acquisitions </w:t>
      </w:r>
      <w:r>
        <w:rPr>
          <w:color w:val="000000"/>
        </w:rPr>
        <w:t xml:space="preserve">– </w:t>
      </w:r>
      <w:r>
        <w:rPr>
          <w:rFonts w:ascii="Times New Roman;serif" w:hAnsi="Times New Roman;serif"/>
          <w:b w:val="false"/>
          <w:color w:val="000000"/>
          <w:sz w:val="20"/>
        </w:rPr>
        <w:t>Roper completed nine business acquisitions in the year ended December 31, 2025. The results of operations of the acquired businesses are included in Roper’s Consolidated Financial Statements from the date of each acquisition. Pro forma results of operations and the revenues and net earnings subsequent to each acquisition date for the 2025 acquisitions have not been presented because the effects of the acquisitions, individually and in the aggregate, were not material to our financial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23, 2025, Roper acquired CentralReach Holdings, LLC (“CentralReach”) for a purchase price of $1,850, net of cash acquired and certain liabilities assumed. Additionally, the purchase price contemplated a net present value tax benefit of approximately $200, which is expected to be utilized over the subsequent 15 years. CentralReach is a leading provider of SaaS and AI-enabled solutions enabling the workflow and administration of ABA therapy for ASD and related disabilities care. The transaction was funded using borrowings under Roper’s unsecured revolving credit facility. The results of CentralReach are reported in the Application Software reportable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$1,049.0 in goodwill, $48.0 assigned to trade names that are not subject to amortization, and $842.0 of other identifiable intangibles in connection with the CentralReach acquisition. The amortizable intangible assets include customer relationships of $776.0 (19 year useful life) and technology of $66.0 (6 year useful life). Including measurement period adjustments, net assets acquired also include approximately $84 of net deferred tax liabilities, primarily attributable to acquired intangible assets, partially offset by federal tax attributes. Approximately $590 of goodwill is expected to be deductible for income tax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25, 2025, Roper acquired Subsplash TopCo, LLC (“Subsplash”) for a purchase price of $800.0, net of cash acquired and certain liabilities assumed. Subsplash is a leading provider of AI-enabled SaaS providing digital engagement, as well as church management and integrated giving solutions for faith-based organizations. The results of Subsplash are reported in the Network Software reportable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$513.9 in goodwill, $26.0 assigned to trade names that are not subject to amortization, and $365.1 of other identifiable intangibles in connection with the Subsplash acquisition. The amortizable intangible assets include customer relationships of $328.1 (17 year useful life) and technology of $37.0 (6 year useful life). Including measurement period adjustments, net assets acquired also include approximately $88 of net deferred tax liabilities, primarily attributable to acquired intangible assets, partially offset by federal tax attributes.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Roper completed the following bolt-on acquisitions listed below for purchase prices totaling $664.4, net of cash acquired and certain liabilities assumed.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19, 2025, Roper acquired substantially all of the assets of Muni-Link, a leading provider of cloud-based utility management, billing, and customer communication software solutions for municipalities and other local governments. This acquisition has been integrated into our Neptune business and its results are reported in the Technology Enabled Products reportable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15, 2025, Roper acquired Outgo Inc. (“Outgo”), a provider of cloud-based freight payment software and AI-enabled factoring solutions that automate invoicing, underwriting, payments, and collections for commercial trucking. Additionally, on July 30, 2025, Roper acquired Flexport Freight Tech LLC (“Convoy”), a leading provider of automated load management and digital freight-matching technology, matching trusted brokers and carriers for commercial trucking. These acquisitions have been integrated into our DAT business and their results are reported in the Network Software reportable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28, 2025, Roper acquired Brickyard Topco, Inc. (“Orchard Software”), a provider of laboratory information management systems for hospitals, reference labs, physician groups, and public health entities. This acquisition has been integrated into our Clinisys business and its results are reported in the Application Software reportable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August 2025, Roper acquired Spectrum AI, Inc., as well as the legal technology assets of Zero Cognitive Systems, Inc. (“HerculesAI”). In October 2025, Roper acquired Valuation Pricing Director Limited (VPD). These acquisitions have been integrated into businesses within our Application Software reportable segment and their results are reported in the Application Software reportable segment.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$460.9 in goodwill, $8.4 assigned to trade names that are not subject to amortization, and $210.4 of other identifiable intangibles in connection with these 2025 bolt-on acquisitions. The amortizable intangible assets include customer relationships of $123.8 (16.7 year weighted average useful life) and technology of $86.6 (7.5 year weighted average useful life). Approximately $273 of goodwill is expected to be deductible for income tax purposes.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2024 Acquisitions </w:t>
      </w:r>
      <w:r>
        <w:rPr>
          <w:color w:val="000000"/>
        </w:rPr>
        <w:t xml:space="preserve">– </w:t>
      </w:r>
      <w:r>
        <w:rPr>
          <w:rFonts w:ascii="Times New Roman;serif" w:hAnsi="Times New Roman;serif"/>
          <w:b w:val="false"/>
          <w:color w:val="000000"/>
          <w:sz w:val="20"/>
        </w:rPr>
        <w:t>Roper completed four business acquisitions in the year ended December 31, 2024. The results of operations of the acquired businesses are included in Roper’s Consolidated Financial Statements from the date of each acquisition. Pro forma results of operations and the revenues and net earnings subsequent to each acquisition date for the 2024 acquisitions have not been presented because the effects of the acquisitions, individually and in the aggregate, were not material to our financial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26, 2024, Roper acquired Genesis Ultimate Holding Co., the parent company of Procare Software, LLC (“Procare”), a leading provider of SaaS and integrated payment processing for the management of early childhood education centers, for a purchase price of $1,860.0, net of cash acquired and certain liabilities assumed. Additionally, the purchase price contemplated a net present value tax benefit of approximately $110, which is expected to be utilized over the subsequent 13 years. The results of Procare are reported in the Application Software reportable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$1,208.2 in goodwill, $39.0 assigned to trade names that are not subject to amortization, and $762.0 of other identifiable intangibles in connection with the Procare acquisition. The amortizable intangible assets include customer relationships of $708.0 (20 year useful life) and technology of $54.0 (5 year useful life). Net assets acquired also include approximately $122 of net deferred tax liabilities, primarily attributable to acquired intangible assets, partially offset by federal tax attributes.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20, 2024, Roper acquired RCP Vega Holdings, LLC, the parent company of Transact Campus Inc. (“Transact”), a leading provider of integrated campus technology and payment solutions, including campus identity software and secure access, tuition and fees management software and payment processing, as well as point-of-sale commerce solutions. Transact serves higher education institutions, healthcare facilities, and business campuses. Roper acquired Transact for a purchase price of $1,607, net of cash acquired and certain liabilities assumed. Additionally, the purchase price contemplated a net present value tax benefit of approximately $100, which is expected to be utilized over the subsequent 14 years. This acquisition has been integrated with our CBORD business and its results are reported in the Application Software reportable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$947.3 in goodwill, $41.0 assigned to trade names that are not subject to amortization, and $705.0 of other identifiable intangibles in connection with the Transact acquisition. The amortizable intangible assets include customer relationships of $656.0 (18 year useful life) and technology of $49.0 (6 year useful life). Including measurement period adjustments, net assets acquired also include approximately $74 of net deferred tax liabilities, primarily attributable to acquired intangible assets, partially offset by federal tax attributes.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Roper completed two other bolt-on acquisitions for purchase prices totaling $153.1, net of cash acquired and certain liabilities assumed.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4, 2024, Roper acquired the issued and outstanding shares of Surefyre, Inc., a leading provider of cloud-based insurance software that automates the submission and underwriting processes for managing general agents, wholesalers, and carriers. This acquisition has been integrated into our Vertafore business and its results are reported in the Application Software reportable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17, 2024, Roper acquired the outstanding membership interests of Trucker Tools, LLC, a leader in load visibility, automated booking, and digital freight matching software solutions for commercial trucking. This acquisition has been integrated into our DAT business and its results are reported in the Network Software reportable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$99.9 in goodwill, $3.2 assigned to trade names that are not subject to amortization, and $53.3 of other identifiable intangibles in connection with the other 2024 acquisitions. The amortizable intangible assets include customer relationships of $47.3 (14.5 year weighted average useful life) and technology of $6.0 (5.0 year weighted average useful life).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2023 Acquisitions </w:t>
      </w:r>
      <w:r>
        <w:rPr>
          <w:color w:val="000000"/>
        </w:rPr>
        <w:t xml:space="preserve">– </w:t>
      </w:r>
      <w:r>
        <w:rPr>
          <w:rFonts w:ascii="Times New Roman;serif" w:hAnsi="Times New Roman;serif"/>
          <w:b w:val="false"/>
          <w:color w:val="000000"/>
          <w:sz w:val="20"/>
        </w:rPr>
        <w:t>Roper completed four business acquisitions in the year ended December 31, 2023. The results of operations of the acquired businesses are included in Roper’s Consolidated Financial Statements from the date of each acquisition. Pro forma results of operations and the revenues and net earnings subsequent to each acquisition date for the 2023 acquisitions have not been presented because the effects of the acquisitions, individually and in the aggregate, were not material to our financial results.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largest of the 2023 acquisitions was Syntellis Parent, LLC (“Syntellis”), the parent company of Syntellis Performance Solutions, LLC, a leading provider of cloud-based performance management and data solutions for healthcare, financial institution, and higher education providers. Roper acquired the outstanding membership interests of Syntellis on August 7, 2023, for a purchase price of $1,381, adjusted for cash acquired and certain liabilities assumed. Additionally, the purchase price contemplated a net present value tax benefit of approximately $135, which is expected to be utilized over the subsequent 15 years. This acquisition has been integrated into our Strata business and its results are reported in the Application Software reportable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$859.0 in goodwill, $17.0 assigned to trade names that are not subject to amortization, and $594.0 of other identifiable intangibles in connection with the Syntellis acquisition. The amortizable intangible assets include customer relationships of $529.0 (20 year useful life) and technology of $65.0 (7 year useful life).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2023, Roper completed three other bolt-on acquisitions for purchase prices totaling $543.5, net of cash acquired and certain liabilities assumed.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2, 2023, Roper acquired the outstanding membership interests of Promium, L.L.C., a leading provider of laboratory information management systems in the environmental and water markets. This acquisition has been integrated into our Clinisys business and its results are reported in the Application Software reportable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21, 2023, Roper acquired the assets of Replicon Inc., a provider of time tracking software solutions for project and services centric organizations, for a purchase price of $447.5, adjusted for cash acquired and certain liabilities assumed. Additionally, the purchase price contemplated a net present value tax benefit of approximately $80, which is expected to be utilized over the subsequent 15 years. This acquisition has been integrated into our Deltek business and its results are reported in the Application Software reportable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26, 2023, Roper acquired the issued and outstanding shares of Executive Business Services, Inc. (“ProPricer”), a leading provider of proposal pricing software solutions for government contractors and government agencies. This acquisition has been integrated into our Deltek business and its results are reported in the Application Software reportable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$330.6 in goodwill, $15.4 assigned to trade names that are not subject to amortization, and $229.1 of other identifiable intangibles in connection with the other 2023 acquisitions. The amortizable intangible assets include customer relationships of $209.4 (16.9 year weighted average useful life) and technology of $19.7 (5.0 year weighted average useful life).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4, 2023, Roper acquired an 18.2% limited partnership minority interest in CI Ultimate Holdings, L.P., the parent entity of Certinia Inc., a leading provider of professional services automation software, for $125.0. Roper completed the sale of its equity investment in Certinia in November 2024 for cash proceeds of $245.6. The sale resulted in a pretax gain of $135.6, which is reported within “Equity investments gain, net” in our Consolidated Statement of Earnings. In addition, we recognized income tax expense of $30.2 in connection with the sale, which is included within “Income taxes” in our Consolidated Statement of Earnings.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 xml:space="preserve">(3) </w:t>
      </w:r>
      <w:r>
        <w:rPr>
          <w:rFonts w:ascii="Times New Roman;serif" w:hAnsi="Times New Roman;serif"/>
          <w:b w:val="false"/>
          <w:color w:val="000000"/>
          <w:sz w:val="20"/>
          <w:u w:val="single"/>
        </w:rPr>
        <w:t>Inventories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inventories at December 31 were as follows:</w:t>
      </w:r>
    </w:p>
    <w:p>
      <w:pPr>
        <w:pStyle w:val="TextBody"/>
        <w:bidi w:val="0"/>
        <w:spacing w:before="0" w:after="0"/>
        <w:jc w:val="both"/>
        <w:rPr/>
      </w:pPr>
      <w:r>
        <w:rPr/>
      </w:r>
    </w:p>
    <w:tbl>
      <w:tblPr>
        <w:tblW w:w="4569" w:type="dxa"/>
        <w:jc w:val="left"/>
        <w:tblInd w:w="0" w:type="dxa"/>
        <w:tblLayout w:type="fixed"/>
        <w:tblCellMar>
          <w:top w:w="28" w:type="dxa"/>
          <w:left w:w="28" w:type="dxa"/>
          <w:bottom w:w="28" w:type="dxa"/>
          <w:right w:w="28" w:type="dxa"/>
        </w:tblCellMar>
      </w:tblPr>
      <w:tblGrid>
        <w:gridCol w:w="842"/>
        <w:gridCol w:w="739"/>
        <w:gridCol w:w="744"/>
        <w:gridCol w:w="211"/>
        <w:gridCol w:w="616"/>
        <w:gridCol w:w="109"/>
        <w:gridCol w:w="109"/>
        <w:gridCol w:w="109"/>
        <w:gridCol w:w="109"/>
        <w:gridCol w:w="211"/>
        <w:gridCol w:w="61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reserves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(4) </w:t>
      </w:r>
      <w:r>
        <w:rPr>
          <w:rFonts w:ascii="Times New Roman;serif" w:hAnsi="Times New Roman;serif"/>
          <w:b w:val="false"/>
          <w:color w:val="000000"/>
          <w:sz w:val="20"/>
          <w:u w:val="single"/>
        </w:rPr>
        <w:t>Property, Plant and Equipment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property, plant and equipment at December 31 were as follows:</w:t>
      </w:r>
    </w:p>
    <w:p>
      <w:pPr>
        <w:pStyle w:val="TextBody"/>
        <w:bidi w:val="0"/>
        <w:spacing w:before="0" w:after="0"/>
        <w:jc w:val="both"/>
        <w:rPr/>
      </w:pPr>
      <w:r>
        <w:rPr/>
      </w:r>
    </w:p>
    <w:tbl>
      <w:tblPr>
        <w:tblW w:w="5544" w:type="dxa"/>
        <w:jc w:val="left"/>
        <w:tblInd w:w="0" w:type="dxa"/>
        <w:tblLayout w:type="fixed"/>
        <w:tblCellMar>
          <w:top w:w="28" w:type="dxa"/>
          <w:left w:w="28" w:type="dxa"/>
          <w:bottom w:w="28" w:type="dxa"/>
          <w:right w:w="28" w:type="dxa"/>
        </w:tblCellMar>
      </w:tblPr>
      <w:tblGrid>
        <w:gridCol w:w="1195"/>
        <w:gridCol w:w="1047"/>
        <w:gridCol w:w="1058"/>
        <w:gridCol w:w="211"/>
        <w:gridCol w:w="616"/>
        <w:gridCol w:w="109"/>
        <w:gridCol w:w="109"/>
        <w:gridCol w:w="109"/>
        <w:gridCol w:w="109"/>
        <w:gridCol w:w="211"/>
        <w:gridCol w:w="616"/>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leasehold improvements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other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gross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related to property, plant and equipment was $39.8, $37.1, and $35.4 for the years ended December 31, 2025, 2024, and 2023,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 xml:space="preserve">(5) </w:t>
      </w:r>
      <w:r>
        <w:rPr>
          <w:rFonts w:ascii="Times New Roman;serif" w:hAnsi="Times New Roman;serif"/>
          <w:b w:val="false"/>
          <w:color w:val="000000"/>
          <w:sz w:val="20"/>
          <w:u w:val="single"/>
        </w:rPr>
        <w:t>Goodwill and Other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carrying value of goodwill by segment was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83"/>
        <w:gridCol w:w="717"/>
        <w:gridCol w:w="721"/>
        <w:gridCol w:w="298"/>
        <w:gridCol w:w="1232"/>
        <w:gridCol w:w="154"/>
        <w:gridCol w:w="109"/>
        <w:gridCol w:w="109"/>
        <w:gridCol w:w="109"/>
        <w:gridCol w:w="283"/>
        <w:gridCol w:w="1032"/>
        <w:gridCol w:w="146"/>
        <w:gridCol w:w="109"/>
        <w:gridCol w:w="109"/>
        <w:gridCol w:w="109"/>
        <w:gridCol w:w="425"/>
        <w:gridCol w:w="1551"/>
        <w:gridCol w:w="223"/>
        <w:gridCol w:w="109"/>
        <w:gridCol w:w="109"/>
        <w:gridCol w:w="109"/>
        <w:gridCol w:w="109"/>
        <w:gridCol w:w="109"/>
        <w:gridCol w:w="211"/>
        <w:gridCol w:w="871"/>
        <w:gridCol w:w="159"/>
      </w:tblGrid>
      <w:tr>
        <w:trPr/>
        <w:tc>
          <w:tcPr>
            <w:tcW w:w="9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Application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Network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Technology Enabled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December 31, 2023</w:t>
            </w:r>
          </w:p>
        </w:tc>
        <w:tc>
          <w:tcPr>
            <w:tcW w:w="2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12,563.4 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3,624.6 </w:t>
            </w:r>
          </w:p>
        </w:tc>
        <w:tc>
          <w:tcPr>
            <w:tcW w:w="14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930.8 </w:t>
            </w:r>
          </w:p>
        </w:tc>
        <w:tc>
          <w:tcPr>
            <w:tcW w:w="22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17,118.8 </w:t>
            </w:r>
          </w:p>
        </w:tc>
        <w:tc>
          <w:tcPr>
            <w:tcW w:w="15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w:t>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 and other</w:t>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December 31, 2024</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19,312.9 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w:t>
            </w:r>
          </w:p>
        </w:tc>
        <w:tc>
          <w:tcPr>
            <w:tcW w:w="15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2,023.8 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 and other</w:t>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December 31, 2025</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1,003.9 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21,341.2 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Reclassifications and other relates to purchase accounting adjustments for completed acquisitions, composed primarily of purchase accounting adjustments that decrease goodwill and deferred tax liabilities, for both the years ended December 31, 2025 and 2024,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intangible assets were comprised of:</w:t>
      </w:r>
    </w:p>
    <w:p>
      <w:pPr>
        <w:pStyle w:val="TextBody"/>
        <w:bidi w:val="0"/>
        <w:spacing w:before="0" w:after="0"/>
        <w:jc w:val="both"/>
        <w:rPr/>
      </w:pPr>
      <w:r>
        <w:rPr/>
      </w:r>
    </w:p>
    <w:tbl>
      <w:tblPr>
        <w:tblW w:w="8548" w:type="dxa"/>
        <w:jc w:val="left"/>
        <w:tblInd w:w="0" w:type="dxa"/>
        <w:tblLayout w:type="fixed"/>
        <w:tblCellMar>
          <w:top w:w="28" w:type="dxa"/>
          <w:left w:w="28" w:type="dxa"/>
          <w:bottom w:w="28" w:type="dxa"/>
          <w:right w:w="28" w:type="dxa"/>
        </w:tblCellMar>
      </w:tblPr>
      <w:tblGrid>
        <w:gridCol w:w="1060"/>
        <w:gridCol w:w="931"/>
        <w:gridCol w:w="933"/>
        <w:gridCol w:w="211"/>
        <w:gridCol w:w="871"/>
        <w:gridCol w:w="109"/>
        <w:gridCol w:w="109"/>
        <w:gridCol w:w="109"/>
        <w:gridCol w:w="109"/>
        <w:gridCol w:w="454"/>
        <w:gridCol w:w="1680"/>
        <w:gridCol w:w="235"/>
        <w:gridCol w:w="109"/>
        <w:gridCol w:w="109"/>
        <w:gridCol w:w="109"/>
        <w:gridCol w:w="263"/>
        <w:gridCol w:w="955"/>
        <w:gridCol w:w="192"/>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book value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subject to amortization:</w:t>
            </w:r>
          </w:p>
        </w:tc>
        <w:tc>
          <w:tcPr>
            <w:tcW w:w="119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related intangibles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(3,457.0)</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Unpatented technology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other protective rights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not subject to amortization:</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(3,913.6)</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subject to amortization:</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related intangibles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(3,894.6)</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8,406.9 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Unpatented technology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other protective rights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not subject to amortization:</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(4,322.5)</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9,764.2 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of other intangible assets was $815.4, $745.2, and $698.4 during the years ended December 31, 2025, 2024, and 2023, respectively. Amortization expense is expected to be $833.0 in 2026, $791.0 in 2027, $751.0 in 2028, $680.0 in 2029, and $671.0 in 2030.</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 xml:space="preserve">(6) </w:t>
      </w:r>
      <w:r>
        <w:rPr>
          <w:rFonts w:ascii="Times New Roman;serif" w:hAnsi="Times New Roman;serif"/>
          <w:b w:val="false"/>
          <w:color w:val="000000"/>
          <w:sz w:val="20"/>
          <w:u w:val="single"/>
        </w:rPr>
        <w:t>Other Accrued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accrued liabilities at December 31 were as follows:</w:t>
      </w:r>
    </w:p>
    <w:p>
      <w:pPr>
        <w:pStyle w:val="TextBody"/>
        <w:bidi w:val="0"/>
        <w:spacing w:before="0" w:after="0"/>
        <w:jc w:val="both"/>
        <w:rPr/>
      </w:pPr>
      <w:r>
        <w:rPr/>
      </w:r>
    </w:p>
    <w:tbl>
      <w:tblPr>
        <w:tblW w:w="4748" w:type="dxa"/>
        <w:jc w:val="left"/>
        <w:tblInd w:w="0" w:type="dxa"/>
        <w:tblLayout w:type="fixed"/>
        <w:tblCellMar>
          <w:top w:w="28" w:type="dxa"/>
          <w:left w:w="28" w:type="dxa"/>
          <w:bottom w:w="28" w:type="dxa"/>
          <w:right w:w="28" w:type="dxa"/>
        </w:tblCellMar>
      </w:tblPr>
      <w:tblGrid>
        <w:gridCol w:w="906"/>
        <w:gridCol w:w="795"/>
        <w:gridCol w:w="803"/>
        <w:gridCol w:w="211"/>
        <w:gridCol w:w="616"/>
        <w:gridCol w:w="109"/>
        <w:gridCol w:w="109"/>
        <w:gridCol w:w="109"/>
        <w:gridCol w:w="109"/>
        <w:gridCol w:w="211"/>
        <w:gridCol w:w="616"/>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dividends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other taxes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 xml:space="preserve">(7) </w:t>
      </w:r>
      <w:r>
        <w:rPr>
          <w:rFonts w:ascii="Times New Roman;serif" w:hAnsi="Times New Roman;serif"/>
          <w:b w:val="false"/>
          <w:color w:val="000000"/>
          <w:sz w:val="20"/>
          <w:u w:val="single"/>
        </w:rPr>
        <w:t>Income Taxes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Earnings before income taxes for the years ended December 31, 2025, 2024, and 2023 consisted of the following components:</w:t>
      </w:r>
    </w:p>
    <w:p>
      <w:pPr>
        <w:pStyle w:val="TextBody"/>
        <w:bidi w:val="0"/>
        <w:spacing w:before="0" w:after="0"/>
        <w:jc w:val="both"/>
        <w:rPr/>
      </w:pPr>
      <w:r>
        <w:rPr/>
      </w:r>
    </w:p>
    <w:tbl>
      <w:tblPr>
        <w:tblW w:w="6462" w:type="dxa"/>
        <w:jc w:val="left"/>
        <w:tblInd w:w="0" w:type="dxa"/>
        <w:tblLayout w:type="fixed"/>
        <w:tblCellMar>
          <w:top w:w="28" w:type="dxa"/>
          <w:left w:w="28" w:type="dxa"/>
          <w:bottom w:w="28" w:type="dxa"/>
          <w:right w:w="28" w:type="dxa"/>
        </w:tblCellMar>
      </w:tblPr>
      <w:tblGrid>
        <w:gridCol w:w="909"/>
        <w:gridCol w:w="796"/>
        <w:gridCol w:w="800"/>
        <w:gridCol w:w="211"/>
        <w:gridCol w:w="766"/>
        <w:gridCol w:w="109"/>
        <w:gridCol w:w="109"/>
        <w:gridCol w:w="109"/>
        <w:gridCol w:w="109"/>
        <w:gridCol w:w="211"/>
        <w:gridCol w:w="766"/>
        <w:gridCol w:w="109"/>
        <w:gridCol w:w="109"/>
        <w:gridCol w:w="109"/>
        <w:gridCol w:w="109"/>
        <w:gridCol w:w="211"/>
        <w:gridCol w:w="766"/>
        <w:gridCol w:w="154"/>
      </w:tblGrid>
      <w:tr>
        <w:trPr/>
        <w:tc>
          <w:tcPr>
            <w:tcW w:w="9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4605" cy="14605"/>
                <wp:effectExtent l="0" t="0" r="0" b="0"/>
                <wp:wrapNone/>
                <wp:docPr id="53" name="Frame5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Components of income tax expense for the years ended December 31, 2025, 2024, and 2023 were as follows:</w:t>
      </w:r>
    </w:p>
    <w:p>
      <w:pPr>
        <w:pStyle w:val="TextBody"/>
        <w:bidi w:val="0"/>
        <w:spacing w:before="0" w:after="0"/>
        <w:jc w:val="both"/>
        <w:rPr/>
      </w:pPr>
      <w:r>
        <w:rPr/>
      </w:r>
    </w:p>
    <w:tbl>
      <w:tblPr>
        <w:tblW w:w="5231" w:type="dxa"/>
        <w:jc w:val="left"/>
        <w:tblInd w:w="0" w:type="dxa"/>
        <w:tblLayout w:type="fixed"/>
        <w:tblCellMar>
          <w:top w:w="28" w:type="dxa"/>
          <w:left w:w="28" w:type="dxa"/>
          <w:bottom w:w="28" w:type="dxa"/>
          <w:right w:w="28" w:type="dxa"/>
        </w:tblCellMar>
      </w:tblPr>
      <w:tblGrid>
        <w:gridCol w:w="644"/>
        <w:gridCol w:w="537"/>
        <w:gridCol w:w="543"/>
        <w:gridCol w:w="211"/>
        <w:gridCol w:w="616"/>
        <w:gridCol w:w="109"/>
        <w:gridCol w:w="109"/>
        <w:gridCol w:w="109"/>
        <w:gridCol w:w="109"/>
        <w:gridCol w:w="211"/>
        <w:gridCol w:w="616"/>
        <w:gridCol w:w="109"/>
        <w:gridCol w:w="109"/>
        <w:gridCol w:w="109"/>
        <w:gridCol w:w="109"/>
        <w:gridCol w:w="211"/>
        <w:gridCol w:w="616"/>
        <w:gridCol w:w="154"/>
      </w:tblGrid>
      <w:tr>
        <w:trPr/>
        <w:tc>
          <w:tcPr>
            <w:tcW w:w="64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93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adopted ASU 2023-09 on a prospective basis beginning with the 2025 annual reporting period. Reconciliations between the U.S. federal statutory income tax rate and the effective income tax rate for the year ended December 31, 2025 were as follows:</w:t>
      </w:r>
    </w:p>
    <w:p>
      <w:pPr>
        <w:pStyle w:val="TextBody"/>
        <w:bidi w:val="0"/>
        <w:spacing w:before="0" w:after="0"/>
        <w:jc w:val="left"/>
        <w:rPr/>
      </w:pPr>
      <w:r>
        <w:rPr/>
      </w:r>
    </w:p>
    <w:tbl>
      <w:tblPr>
        <w:tblW w:w="8177" w:type="dxa"/>
        <w:jc w:val="left"/>
        <w:tblInd w:w="0" w:type="dxa"/>
        <w:tblLayout w:type="fixed"/>
        <w:tblCellMar>
          <w:top w:w="28" w:type="dxa"/>
          <w:left w:w="28" w:type="dxa"/>
          <w:bottom w:w="28" w:type="dxa"/>
          <w:right w:w="28" w:type="dxa"/>
        </w:tblCellMar>
      </w:tblPr>
      <w:tblGrid>
        <w:gridCol w:w="1832"/>
        <w:gridCol w:w="1615"/>
        <w:gridCol w:w="1622"/>
        <w:gridCol w:w="211"/>
        <w:gridCol w:w="616"/>
        <w:gridCol w:w="109"/>
        <w:gridCol w:w="109"/>
        <w:gridCol w:w="109"/>
        <w:gridCol w:w="109"/>
        <w:gridCol w:w="255"/>
        <w:gridCol w:w="256"/>
        <w:gridCol w:w="417"/>
        <w:gridCol w:w="109"/>
        <w:gridCol w:w="109"/>
        <w:gridCol w:w="109"/>
        <w:gridCol w:w="109"/>
        <w:gridCol w:w="109"/>
        <w:gridCol w:w="109"/>
        <w:gridCol w:w="109"/>
        <w:gridCol w:w="154"/>
      </w:tblGrid>
      <w:tr>
        <w:trPr/>
        <w:tc>
          <w:tcPr>
            <w:tcW w:w="1832"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statutory tax expense and rate</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and local income tax, net of federal income tax effect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tax credits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credits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entity restructuring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and effective tax rate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erif" w:hAnsi="Times New Roman;serif"/>
          <w:b w:val="false"/>
          <w:color w:val="000000"/>
          <w:sz w:val="13"/>
        </w:rPr>
        <w:t xml:space="preserve">(1) </w:t>
      </w:r>
      <w:r>
        <w:rPr>
          <w:rFonts w:ascii="Times New Roman;serif" w:hAnsi="Times New Roman;serif"/>
          <w:b w:val="false"/>
          <w:color w:val="000000"/>
          <w:sz w:val="18"/>
        </w:rPr>
        <w:t>Taxes in California, Illinois, Massachusetts, Minnesota, New York, Pennsylvania, and Tennessee made up the majority of the tax effect in this category for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Reconciliations between the U.S. federal statutory income tax rate and the effective income tax rate for the years ended December 31, 2024 and 2023 were as follows:</w:t>
      </w:r>
    </w:p>
    <w:p>
      <w:pPr>
        <w:pStyle w:val="TextBody"/>
        <w:bidi w:val="0"/>
        <w:spacing w:before="0" w:after="0"/>
        <w:jc w:val="both"/>
        <w:rPr/>
      </w:pPr>
      <w:r>
        <w:rPr/>
      </w:r>
    </w:p>
    <w:tbl>
      <w:tblPr>
        <w:tblW w:w="4784" w:type="dxa"/>
        <w:jc w:val="left"/>
        <w:tblInd w:w="0" w:type="dxa"/>
        <w:tblLayout w:type="fixed"/>
        <w:tblCellMar>
          <w:top w:w="28" w:type="dxa"/>
          <w:left w:w="28" w:type="dxa"/>
          <w:bottom w:w="28" w:type="dxa"/>
          <w:right w:w="28" w:type="dxa"/>
        </w:tblCellMar>
      </w:tblPr>
      <w:tblGrid>
        <w:gridCol w:w="1014"/>
        <w:gridCol w:w="894"/>
        <w:gridCol w:w="896"/>
        <w:gridCol w:w="255"/>
        <w:gridCol w:w="256"/>
        <w:gridCol w:w="292"/>
        <w:gridCol w:w="109"/>
        <w:gridCol w:w="109"/>
        <w:gridCol w:w="109"/>
        <w:gridCol w:w="255"/>
        <w:gridCol w:w="256"/>
        <w:gridCol w:w="339"/>
      </w:tblGrid>
      <w:tr>
        <w:trPr/>
        <w:tc>
          <w:tcPr>
            <w:tcW w:w="101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statutory tax rate</w:t>
            </w:r>
          </w:p>
        </w:tc>
        <w:tc>
          <w:tcPr>
            <w:tcW w:w="51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3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operations, net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tax credits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 net of federal benefit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amount of cash income taxes paid (net of refunds received), disaggregated by individual jurisdiction in which income taxes paid (net of refunds received) was greater than or equal to 5% of total income taxes paid (net of refunds received), during the year ended December 31, 2025 was as follows:</w:t>
      </w:r>
    </w:p>
    <w:p>
      <w:pPr>
        <w:pStyle w:val="TextBody"/>
        <w:bidi w:val="0"/>
        <w:spacing w:before="0" w:after="0"/>
        <w:jc w:val="both"/>
        <w:rPr/>
      </w:pPr>
      <w:r>
        <w:rPr/>
      </w:r>
    </w:p>
    <w:tbl>
      <w:tblPr>
        <w:tblW w:w="3892" w:type="dxa"/>
        <w:jc w:val="left"/>
        <w:tblInd w:w="0" w:type="dxa"/>
        <w:tblLayout w:type="fixed"/>
        <w:tblCellMar>
          <w:top w:w="28" w:type="dxa"/>
          <w:left w:w="28" w:type="dxa"/>
          <w:bottom w:w="28" w:type="dxa"/>
          <w:right w:w="28" w:type="dxa"/>
        </w:tblCellMar>
      </w:tblPr>
      <w:tblGrid>
        <w:gridCol w:w="897"/>
        <w:gridCol w:w="785"/>
        <w:gridCol w:w="793"/>
        <w:gridCol w:w="211"/>
        <w:gridCol w:w="616"/>
        <w:gridCol w:w="109"/>
        <w:gridCol w:w="109"/>
        <w:gridCol w:w="109"/>
        <w:gridCol w:w="109"/>
        <w:gridCol w:w="154"/>
      </w:tblGrid>
      <w:tr>
        <w:trPr/>
        <w:tc>
          <w:tcPr>
            <w:tcW w:w="89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Federal </w:t>
            </w:r>
            <w:r>
              <w:rPr>
                <w:rFonts w:ascii="Times New Roman;serif" w:hAnsi="Times New Roman;serif"/>
                <w:b w:val="false"/>
                <w:color w:val="000000"/>
                <w:sz w:val="13"/>
              </w:rPr>
              <w:t>(1)</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income taxes paid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erif" w:hAnsi="Times New Roman;serif"/>
          <w:b w:val="false"/>
          <w:color w:val="000000"/>
          <w:sz w:val="13"/>
        </w:rPr>
        <w:t xml:space="preserve">(1) </w:t>
      </w:r>
      <w:r>
        <w:rPr>
          <w:rFonts w:ascii="Times New Roman;serif" w:hAnsi="Times New Roman;serif"/>
          <w:b w:val="false"/>
          <w:color w:val="000000"/>
          <w:sz w:val="18"/>
        </w:rPr>
        <w:t>Includes $45.7 of cash paid for transferable tax credits purchased during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cash income taxes paid (net of refunds received) during the years ended December 31, 2024 and 2023 was $483.8 and $455.9,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deferred income tax balance sheet accounts arise from temporary differences between the amounts of assets and liabilities recognized for financial reporting and tax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Components of deferred tax assets and liabilities at December 31 were as follows:</w:t>
      </w:r>
    </w:p>
    <w:p>
      <w:pPr>
        <w:pStyle w:val="TextBody"/>
        <w:bidi w:val="0"/>
        <w:spacing w:before="0" w:after="0"/>
        <w:jc w:val="both"/>
        <w:rPr/>
      </w:pPr>
      <w:r>
        <w:rPr/>
      </w:r>
    </w:p>
    <w:tbl>
      <w:tblPr>
        <w:tblW w:w="6189" w:type="dxa"/>
        <w:jc w:val="left"/>
        <w:tblInd w:w="0" w:type="dxa"/>
        <w:tblLayout w:type="fixed"/>
        <w:tblCellMar>
          <w:top w:w="28" w:type="dxa"/>
          <w:left w:w="28" w:type="dxa"/>
          <w:bottom w:w="28" w:type="dxa"/>
          <w:right w:w="28" w:type="dxa"/>
        </w:tblCellMar>
      </w:tblPr>
      <w:tblGrid>
        <w:gridCol w:w="1322"/>
        <w:gridCol w:w="1159"/>
        <w:gridCol w:w="1164"/>
        <w:gridCol w:w="211"/>
        <w:gridCol w:w="766"/>
        <w:gridCol w:w="109"/>
        <w:gridCol w:w="109"/>
        <w:gridCol w:w="109"/>
        <w:gridCol w:w="109"/>
        <w:gridCol w:w="211"/>
        <w:gridCol w:w="766"/>
        <w:gridCol w:w="154"/>
      </w:tblGrid>
      <w:tr>
        <w:trPr/>
        <w:tc>
          <w:tcPr>
            <w:tcW w:w="132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8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credits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R&amp;D expenditures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limitation carryforwards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and equipment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 on unremitted foreign earnings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basis difference in Indicor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has $57.8 of tax-effected U.S. federal net operating loss carryforwards and $49.8 of tax-effected state net operating loss carryforwards without regard for federal benefit of state. The majority of the net operating loss carryforwards are subject to limitation under the Internal Revenue Code of 1986, as amended (“IRC”) Section 382. As of December 31, 2025, the Company has $7.3 of tax-effected foreign net operating loss carryforwards, certain of which are subject to limitation. Additionally, as of December 31, 2025, the Company has $49.3 of IRC Section 163(j) interest expense limitation carryforwards which have an indefinite carryforward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OBBBA was enacted, which introduced tax reform provisions, including the repeal of the requirement to capitalize and amortize domestic R&amp;D expenditures as previously required under IRC Section 174. The legislation includes multiple effective dates and the Company has recognized the financial effects of the OBBBA provisions to the extent they are applicable through the year ended December 31,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has a $165.5 deferred tax asset related to R&amp;D expenditures capitalized under the IRC. The Company amortizes foreign R&amp;D costs for tax purposes over 15 years for R&amp;D performed outside of the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 deferred tax liability of $241.5 in outside basis difference as of December 31, 2025 associated with the retained minority equity interest in Indicor. See Note 9 for additional information on this minority equity interest.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determined that total valuation allowances of $10.9 were necessary to reduce U.S. federal and state deferred tax assets by $7.2 and foreign deferred tax assets by $3.7, where it was more likely than not that all such deferred tax assets will not be realized. As of December 31, 2025, the Company believes it is more likely than not that the remaining net deferred tax assets will be realized based on the Company’s estimate of future taxable income and any applicable tax planning strategies within various tax jurisdictions.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recognizes in the Consolidated Financial Statements only those tax positions determined to be “more likely than not” of being sustained upon examination based on the technical merits of the positions.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Reconciliations of the beginning and ending amounts of unrecognized tax benefits are as follows:</w:t>
      </w:r>
    </w:p>
    <w:p>
      <w:pPr>
        <w:pStyle w:val="TextBody"/>
        <w:bidi w:val="0"/>
        <w:spacing w:before="0" w:after="0"/>
        <w:jc w:val="both"/>
        <w:rPr/>
      </w:pPr>
      <w:r>
        <w:rPr/>
      </w:r>
    </w:p>
    <w:tbl>
      <w:tblPr>
        <w:tblW w:w="8892" w:type="dxa"/>
        <w:jc w:val="left"/>
        <w:tblInd w:w="0" w:type="dxa"/>
        <w:tblLayout w:type="fixed"/>
        <w:tblCellMar>
          <w:top w:w="28" w:type="dxa"/>
          <w:left w:w="28" w:type="dxa"/>
          <w:bottom w:w="28" w:type="dxa"/>
          <w:right w:w="28" w:type="dxa"/>
        </w:tblCellMar>
      </w:tblPr>
      <w:tblGrid>
        <w:gridCol w:w="2066"/>
        <w:gridCol w:w="1813"/>
        <w:gridCol w:w="1821"/>
        <w:gridCol w:w="211"/>
        <w:gridCol w:w="511"/>
        <w:gridCol w:w="109"/>
        <w:gridCol w:w="109"/>
        <w:gridCol w:w="109"/>
        <w:gridCol w:w="109"/>
        <w:gridCol w:w="211"/>
        <w:gridCol w:w="511"/>
        <w:gridCol w:w="109"/>
        <w:gridCol w:w="109"/>
        <w:gridCol w:w="109"/>
        <w:gridCol w:w="109"/>
        <w:gridCol w:w="211"/>
        <w:gridCol w:w="511"/>
        <w:gridCol w:w="154"/>
      </w:tblGrid>
      <w:tr>
        <w:trPr/>
        <w:tc>
          <w:tcPr>
            <w:tcW w:w="2066"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of prior periods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of the current period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tax positions of prior periods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attributable to lapses of applicable statutes of limitations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attributable to settlements with taxing authorities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total amount of unrecognized tax benefits that, if recognized, would impact the effective tax rate is $24.4. Interest and penalties related to unrecognized tax benefits were $0.7 in 2025 and are classified as a component of income tax expense. Accrued interest and penalties were $8.5 at December 31, 2025 and $7.8 at December 31, 2024. During the next twelve months, it is reasonably possible that the unrecognized tax benefits may decrease by a net amount of $6.0, mainly due to anticipated statute of limitations lapses in various jurisdictions.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and its subsidiaries are subject to examinations for U.S. federal income tax as well as income tax in various state, city, and foreign jurisdictions. The Company’s federal income tax returns for 2022 through the current period remain open to examination and the relevant state, city, and foreign statutes vary. The Company does not expect the assessment of any significant additional tax in excess of amounts reserved.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intends to distribute substantially all historical unremitted foreign earnings up to the amount of excess foreign cash, as well as substantially all future foreign earnings that can be repatriated without incremental U.S. federal tax cost. Any remaining outside basis differences relating to the Company’s investment in foreign subsidiaries are not expected to be material and are expected to be reinvested indefinitely.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 xml:space="preserve">(8) </w:t>
      </w:r>
      <w:r>
        <w:rPr>
          <w:rFonts w:ascii="Times New Roman;serif" w:hAnsi="Times New Roman;serif"/>
          <w:b w:val="false"/>
          <w:color w:val="000000"/>
          <w:sz w:val="20"/>
          <w:u w:val="single"/>
        </w:rPr>
        <w:t>Long-Term Debt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21, 2022, the Company entered into a five-year unsecured credit facility (the “Credit Agreement”) among Roper, the financial institutions from time to time party thereto, JPMorgan Chase Bank, N.A., as administrative agent, Bank of America, N.A. and Wells Fargo Bank, N.A., as syndication agents, and Mizuho Bank, Ltd., MUFG Bank, Ltd., PNC Bank, National Association, TD Bank, N.A., Truist Bank, and U.S. Bank, National Association, as documentation agents, which replaced the previous $3,000.0 unsecured credit facility, dated as of September 2, 2020, as amended. The Credit Agreement comprises a five-year $3,500.0 revolving credit facility, which includes availability of up to $150.0 for letters of credit. The Company may also, subject to compliance with specified conditions, request additional term loans or revolving credit commitments in an aggregate amount not to exceed $500.0.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Loans under the Credit Agreement can be borrowed as term Secured Overnight Financing Rate (“SOFR”) loans or Alternate Base Rate (“ABR”) Loans, at the Company’s option. Each term SOFR loan will bear interest at a rate per annum equal to the applicable Adjusted Term SOFR rate plus a spread ranging from 0.795% to 1.300%, as determined by the Company’s senior unsecured long-term debt rating at such time. Based on the Company’s current rating, the spread for SOFR loans would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0.910%. Each ABR Loan will bear interest at a rate per annum equal to the Alternate Base Rate plus a spread ranging from 0.000% to 0.300%, as determined by the Company’s senior unsecured long-term debt rating at such time. Based on the Company’s current rating, the spread for ABR Loans would be 0.000%.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outstanding under the Credit Agreement may be accelerated upon the occurrence of customary events of default. The Credit Agreement requires the Company to maintain a Total Debt to Total Capital Ratio of 0.65 to 1.00, or less. Borrowings under the Credit Agreement are prepayable at Roper’s option at any time in whole or in part without premium or penalty.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December 31, 2025 and 2024, there were $850.0 and $125.0 of borrowings outstanding under the Credit Agreement, respectively. The Company was in compliance with its debt covenants throughout the years ended December 31, 2025 and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12, 2025, the Company completed a public offering of $500.0 aggregate principal amount of 4.25% senior unsecured notes due September 15, 2028 (“2028 Notes”), $500.0 aggregate principal amount of 4.45% senior unsecured notes due September 15, 2030 (“2030 Notes”), and $1,000.0 aggregate principal amount 5.10% senior unsecured notes due September 15, 2035 (“2035 Notes” and, collectively with the 2028 Notes and 2030 Notes, the “Notes”). The net proceeds were used to repay a portion of the borrowings outstanding under our unsecured credit facility associated with our 2025 acquisitions, as well as to repay a portion of the senior notes due September 15,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series of Notes bears interest at a fixed rate. Interest on the Notes will be payable semi-annually in arrears on March 15 and September 15 of each year, beginning March 15,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21, 2024, the Company completed a public offering of $500.0 aggregate principal amount of 4.50% senior unsecured notes due October 15, 2029 (“2029 Notes”), $500.0 aggregate principal amount of 4.75% senior unsecured notes due February 15, 2032 (“2032 Notes”), and $1,000.0 aggregate principal amount 4.90% senior unsecured notes due October 15, 2034 (“2034 Notes”). The net proceeds were used to repay a portion of the borrowings outstanding under our unsecured credit facility, including borrowings incurred on August 20, 2024 to fund the purchase price of the Transact acquisition, as well as to repay a portion of the senior notes due September 15,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2029 Notes and 2034 Notes bear interest at a fixed rate, payable semi-annually in arrears on April 15 and October 15 of each year, beginning April 15, 2025. The 2032 Notes bear interest at a fixed rate, payable semi-annually in arrears on February 15 and August 15 of each year, beginning February 15,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22, 2020, the Company completed a public offering of $600.0 aggregate principal amount of 2.00% senior unsecured notes due June 30, 2030 (“Existing 2030 Notes”). The Existing 2030 Notes bear interest at a fixed rate, payable semi-annually in arrears on June 30 and December 30 of each year, beginning December 30, 2020.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 2020, the Company completed a public offering of $300.0 aggregate principal amount of 0.45% fixed-rate senior unsecured notes due August 15, 2022, $700.0 aggregate principal amount of 1.00% senior unsecured notes due September 15, 2025, $700.0 aggregate principal amount of 1.40% senior unsecured notes due September 15, 2027 (“2027 Notes”), and $1,000.0 aggregate principal amount of 1.75% senior unsecured notes due February 15, 2031 (“2031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2031 Notes bear interest at a fixed rate, payable semi-annually in arrears on February 15 and August 15 of each year, beginning February 15, 2021. The 2027 Notes bear interest at a fixed rate, payable semi-annually in arrears on March 15 and September 15 of each year, beginning March 15, 2021.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26, 2019, the Company completed a public offering of $500.0 aggregate principal amount of 2.35% fixed-rate senior unsecured notes due September 15, 2024 and $700.0 aggregate principal amount of 2.95% senior unsecured notes due September 15, 2029 (“Existing 2029 Notes”). The Existing 2029 Notes bear interest at a fixed rate, payable semi-annually in arrears on March 15 and September 15 of each year, beginning March 15, 2020.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28, 2018, the Company completed a public offering of $700.0 aggregate principal amount of 3.65% fixed-rate senior unsecured notes due September 15, 2023 and $800.0 aggregate principal amount of 4.20% senior unsecured notes due September 15, 2028 (“Existing 2028 Notes”). The Existing 2028 Notes bear interest at a fixed rate, payable semi-annually in arrears on March 15 and September 15 of each year, beginning March 15, 2019.</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19, 2016, the Company completed a public offering of $700.0 aggregate principal amount of 3.80% senior unsecured notes due December 15, 2026. The notes bear interest at a fixed rate, payable semi-annually in arrears on June 15 and December 15 of each year, beginning June 15, 2017.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7, 2015, the Company completed a public offering of $300.0 aggregate principal amount of 3.85% senior unsecured notes due December 15,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Roper may redeem some or all of each outstanding series of senior notes at any time or from time to time, at 100% of their principal amount, plus a make-whole premium based on a spread to U.S. Treasury securities. Roper is also entitled to redeem some or all of each outstanding series of senior notes at 100% of their principal amount plus accrued and unpaid interest, on or after applicable dates in advance of maturity.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15, 2025, $700.0 of 1.00% senior notes due 2025 were repaid at maturity using borrowings under our unsecured credit facility as well as a portion of the net proceeds from the issuance of the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15, 2025, $300.0 of 3.85% senior notes due 2025 were repaid at maturity using borrowings under our unsecured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15, 2024, $500.0 of 2.35% senior notes due 2024 were repaid at maturity using borrowings under our unsecured credit facility as well as a portion of the net proceeds from the August 2024 issuance of senior unsecured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15, 2023, $700.0 of 3.65% senior notes due 2023 were repaid at maturity using borrowings under our unsecured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senior notes are unsecured senior obligations of the Company and rank equally in right of payment with all of Roper’s existing and future unsecured senior indebtedness. The notes are effectively subordinated in right of payment to any of its existing and future secured indebtedness to the extent of the value of the collateral securing such indebtedness. The notes are not guaranteed by any of Roper’s subsidiaries and are effectively subordinated to all existing and future indebtedness and other liabilities of Roper’s subsidiaries.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debt at December 31 consisted of the following:</w:t>
      </w:r>
    </w:p>
    <w:p>
      <w:pPr>
        <w:pStyle w:val="TextBody"/>
        <w:bidi w:val="0"/>
        <w:spacing w:before="0" w:after="0"/>
        <w:jc w:val="both"/>
        <w:rPr/>
      </w:pPr>
      <w:r>
        <w:rPr/>
      </w:r>
    </w:p>
    <w:tbl>
      <w:tblPr>
        <w:tblW w:w="6923" w:type="dxa"/>
        <w:jc w:val="left"/>
        <w:tblInd w:w="0" w:type="dxa"/>
        <w:tblLayout w:type="fixed"/>
        <w:tblCellMar>
          <w:top w:w="28" w:type="dxa"/>
          <w:left w:w="28" w:type="dxa"/>
          <w:bottom w:w="28" w:type="dxa"/>
          <w:right w:w="28" w:type="dxa"/>
        </w:tblCellMar>
      </w:tblPr>
      <w:tblGrid>
        <w:gridCol w:w="1584"/>
        <w:gridCol w:w="1395"/>
        <w:gridCol w:w="1400"/>
        <w:gridCol w:w="211"/>
        <w:gridCol w:w="766"/>
        <w:gridCol w:w="109"/>
        <w:gridCol w:w="109"/>
        <w:gridCol w:w="109"/>
        <w:gridCol w:w="109"/>
        <w:gridCol w:w="211"/>
        <w:gridCol w:w="766"/>
        <w:gridCol w:w="154"/>
      </w:tblGrid>
      <w:tr>
        <w:trPr/>
        <w:tc>
          <w:tcPr>
            <w:tcW w:w="158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revolving credit facility</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3.850% senior notes due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$700 1.000% senior notes due 2025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$700 3.800% senior notes due 2026</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$700 1.400% senior notes due 2027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$800 4.200% senior notes due 2028</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4.250% senior notes due 2028</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4.500% senior notes due 2029</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$700 2.950% senior notes due 2029</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$600 2.000% senior notes due 2030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4.450% senior notes due 2030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$1,000 1.750% senior notes due 2031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4.750% senior notes due 2032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$1,000 4.900% senior notes due 2034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$1,000 5.100% senior notes due 2035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Deferred financing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deferred financing costs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net of deferred financing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deferred financing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interest rate on borrowings under the unsecured credit facility is calculated based upon various recognized indices plus a margin as defined in the Credit Agreement. At December 31, 2025, Roper had $8.1 of outstanding letters of credit.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maturities of total debt during each of the next five years ending December 31 and thereafter are as follows:</w:t>
      </w:r>
    </w:p>
    <w:p>
      <w:pPr>
        <w:pStyle w:val="TextBody"/>
        <w:bidi w:val="0"/>
        <w:spacing w:before="0" w:after="0"/>
        <w:jc w:val="both"/>
        <w:rPr/>
      </w:pPr>
      <w:r>
        <w:rPr/>
      </w:r>
    </w:p>
    <w:tbl>
      <w:tblPr>
        <w:tblW w:w="2090" w:type="dxa"/>
        <w:jc w:val="left"/>
        <w:tblInd w:w="0" w:type="dxa"/>
        <w:tblLayout w:type="fixed"/>
        <w:tblCellMar>
          <w:top w:w="28" w:type="dxa"/>
          <w:left w:w="28" w:type="dxa"/>
          <w:bottom w:w="28" w:type="dxa"/>
          <w:right w:w="28" w:type="dxa"/>
        </w:tblCellMar>
      </w:tblPr>
      <w:tblGrid>
        <w:gridCol w:w="347"/>
        <w:gridCol w:w="304"/>
        <w:gridCol w:w="308"/>
        <w:gridCol w:w="211"/>
        <w:gridCol w:w="766"/>
        <w:gridCol w:w="154"/>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2027</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2028</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2029</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2030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 xml:space="preserve">(9) </w:t>
      </w:r>
      <w:r>
        <w:rPr>
          <w:rFonts w:ascii="Times New Roman;serif" w:hAnsi="Times New Roman;serif"/>
          <w:b w:val="false"/>
          <w:color w:val="000000"/>
          <w:sz w:val="20"/>
          <w:u w:val="single"/>
        </w:rPr>
        <w:t>Fair Value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Financial assets and liabilities are valued using market prices on active markets (Level 1), less active markets (Level 2), and little or no market activity (Level 3). Level 1 instrument valuations are obtained from real-time quotes for transactions in active exchange markets involving identical assets. Level 2 instrument valuations are obtained from readily available pricing sources for comparable instruments, identical instruments in less active markets, or models using market observable inputs. Level 3 instrument valuations typically reflect management’s estimate of assumptions that market participants would use in pricing the asset or liability.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Debt</w:t>
      </w:r>
      <w:r>
        <w:rPr>
          <w:color w:val="000000"/>
        </w:rPr>
        <w:t xml:space="preserve"> – </w:t>
      </w:r>
      <w:r>
        <w:rPr>
          <w:rFonts w:ascii="Times New Roman;serif" w:hAnsi="Times New Roman;serif"/>
          <w:b w:val="false"/>
          <w:color w:val="000000"/>
          <w:sz w:val="20"/>
        </w:rPr>
        <w:t>As of December 31, 2025 and 2024, the total estimated fair value of Roper’s fixed-rate senior notes was $8,287.4 and $7,005.2, respectively. The fair values of the senior notes are based on the trading prices of each series of notes, which the Company has determined to be Level 2 in the FASB fair value hierarchy.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Indicor Equity Investment </w:t>
      </w:r>
      <w:r>
        <w:rPr>
          <w:color w:val="000000"/>
        </w:rPr>
        <w:t xml:space="preserve">– </w:t>
      </w:r>
      <w:r>
        <w:rPr>
          <w:rFonts w:ascii="Times New Roman;serif" w:hAnsi="Times New Roman;serif"/>
          <w:b w:val="false"/>
          <w:color w:val="000000"/>
          <w:sz w:val="20"/>
        </w:rPr>
        <w:t>In November 2022, Roper completed the divestiture of a majority 51% equity stake in Indicor to CD&amp;R. In connection with the Indicor Transaction, the Company initially retained a 49% equity interest in Indicor valued at $535.0 as of the transaction close date. This initial valuation was based on the implied equity value associated with the sale price of the 51% equity interest in Indicor to CD&amp;R for approximately $829, inclusive of the Unit Adjustment received by CD&amp;R as discussed below. During 2023, we revised our valuation methodology to utilize the market multiple approach consisting of comparable guideline public companies revenue and earnings multiples to estimate the fair value of this investment, net of the Unit Adjustment discussed below. Our valuation methodology was updated in 2023 given the passage of time since the transaction date and in consideration of observable market data, including Indicor’s divestiture of its CCC business unit to Honeywell International Inc. on June 30, 2023 for approximately $670.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this investment, Roper is required to make quarterly payments (“Unit Adjustment”), to CD&amp;R, either (i) in cash, with total payments of approximately $29 per year on a pretax basis, or (ii) in-kind through the transfer of Roper’s equity interests in Indicor to CD&amp;R, of approximately 1.7% ownership interest on an annual basis. Roper intends to continue making these quarterly payments in-kind. Roper’s valuation of the Unit Adjustment is based on an expected investment horizon of 5 years from the date of the Indicor Transaction. The Company’s obligation to make such quarterly payments will cease upon the earlier of:</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Indicor achieving $425.0 of earnings before interest, taxes, depreciation, and amortization in any three twelve-month periods, whether or not consecutive; or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Upon the initial public offering of Indicor.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of a sale of Indicor, CD&amp;R would be entitled to a liquidation preference equal to its initial investment of approximately $829, plus any Unit Adjustment paid in-kind. Management’s valuation as of December 31, 2025 assumes the expected exit of the Indicor equity investment is an initial public offering which is not subject to the liquidation preference. Roper’s approval is required prior to a sale of Indicor for a value that would trigger the liquidation preference. As of December 31, 2025, management does not expect a liquidation preference associated with the investment to negatively impact the realization of cash upon any disposition.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assessment of fair value for this equity investment requires significant judgments to be made by management. Although our assumptions are considered reasonable and are consistent with the plans and estimates, there is significant judgment applied in determining fair value. Changes in estimates or the application of alternative assumptions could produce significantly different results. The fair value of the investment reflects management’s estimate of assumptions that market participants would use in pricing the equity interest, which the Company has determined to be Level 3 in the FASB fair value hierarchy.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fair value for our equity investment in Indicor measured using Level 3 inputs:</w:t>
      </w:r>
    </w:p>
    <w:p>
      <w:pPr>
        <w:pStyle w:val="TextBody"/>
        <w:bidi w:val="0"/>
        <w:spacing w:before="0" w:after="0"/>
        <w:jc w:val="both"/>
        <w:rPr/>
      </w:pPr>
      <w:r>
        <w:rPr/>
      </w:r>
    </w:p>
    <w:tbl>
      <w:tblPr>
        <w:tblW w:w="4078" w:type="dxa"/>
        <w:jc w:val="left"/>
        <w:tblInd w:w="0" w:type="dxa"/>
        <w:tblLayout w:type="fixed"/>
        <w:tblCellMar>
          <w:top w:w="28" w:type="dxa"/>
          <w:left w:w="28" w:type="dxa"/>
          <w:bottom w:w="28" w:type="dxa"/>
          <w:right w:w="28" w:type="dxa"/>
        </w:tblCellMar>
      </w:tblPr>
      <w:tblGrid>
        <w:gridCol w:w="641"/>
        <w:gridCol w:w="563"/>
        <w:gridCol w:w="566"/>
        <w:gridCol w:w="217"/>
        <w:gridCol w:w="634"/>
        <w:gridCol w:w="112"/>
        <w:gridCol w:w="112"/>
        <w:gridCol w:w="112"/>
        <w:gridCol w:w="112"/>
        <w:gridCol w:w="217"/>
        <w:gridCol w:w="634"/>
        <w:gridCol w:w="158"/>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received $5.1, $10.8, and $32.5 of dividend distributions from Indicor during the years ended December 31, 2025, 2024, and 2023, respectively, which are reported within “Equity investments gain, net” in our Consolidated Statements of Earnings. These dividend distributions were intended to offset certain cash taxes payable associated with Roper’s ownership stake and were contemplated in the determination of the fair value for the equity investment in Indicor.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 xml:space="preserve">(10) </w:t>
      </w:r>
      <w:r>
        <w:rPr>
          <w:rFonts w:ascii="Times New Roman;serif" w:hAnsi="Times New Roman;serif"/>
          <w:b w:val="false"/>
          <w:color w:val="000000"/>
          <w:sz w:val="20"/>
          <w:u w:val="single"/>
        </w:rPr>
        <w:t>Retirement and Other Benefit Plans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Roper maintains three defined contribution retirement plans under the provisions of Section 401(k) of the IRC covering substantially all U.S. employees. Roper partially matches employee contributions. Costs related to all such plans were $51.9, $44.2, and $39.1 for 2025, 2024, and 2023,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 xml:space="preserve">(11) </w:t>
      </w:r>
      <w:r>
        <w:rPr>
          <w:rFonts w:ascii="Times New Roman;serif" w:hAnsi="Times New Roman;serif"/>
          <w:b w:val="false"/>
          <w:color w:val="000000"/>
          <w:sz w:val="20"/>
          <w:u w:val="single"/>
        </w:rPr>
        <w:t>Stock-Based Compensation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Roper Technologies, Inc. 2021 Incentive Plan (“2021 Plan”) is a stock-based compensation plan used to grant incentive stock options, nonqualified stock options, restricted stock and restricted stock units (collectively “restricted stock awards”), stock appreciation rights, or equivalent instruments to Roper’s employees, officers, directors, and consultants. The 2021 Plan was approved by shareholders at the Annual Meeting of Shareholders on June 14, 2021. The 2021 Plan replaces the Roper Technologies, Inc. 2016 Incentive Plan, as amended (“2016 Plan”), and no additional grants will be made from the 2016 Plan. At December 31, 2025, 4.293 shares were available to grant under the 2021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Roper Technologies, Inc. Employee Stock Purchase Plan, as amended and restated (“ESPP”), employees in the U.S. and Canada are allowed to designate up to 10% of eligible earnings to purchase Roper’s common stock at a 10% discount on the lower of the closing price of the stock on the first and last day of each quarterly offering period. Common stock sold to employees pursuant to the ESPP may be either treasury stock, stock purchased on the open market, or newly issued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is not allocated to our reportable segments, which are described further in Note 14. Stock-based compensation expense for the years ended December 31, 2025, 2024, and 2023, included as a component of “Selling, general and administrative expenses,” was as follows:</w:t>
      </w:r>
    </w:p>
    <w:p>
      <w:pPr>
        <w:pStyle w:val="TextBody"/>
        <w:bidi w:val="0"/>
        <w:spacing w:before="0" w:after="0"/>
        <w:jc w:val="both"/>
        <w:rPr/>
      </w:pPr>
      <w:r>
        <w:rPr/>
      </w:r>
    </w:p>
    <w:tbl>
      <w:tblPr>
        <w:tblW w:w="6746" w:type="dxa"/>
        <w:jc w:val="left"/>
        <w:tblInd w:w="0" w:type="dxa"/>
        <w:tblLayout w:type="fixed"/>
        <w:tblCellMar>
          <w:top w:w="28" w:type="dxa"/>
          <w:left w:w="28" w:type="dxa"/>
          <w:bottom w:w="28" w:type="dxa"/>
          <w:right w:w="28" w:type="dxa"/>
        </w:tblCellMar>
      </w:tblPr>
      <w:tblGrid>
        <w:gridCol w:w="1174"/>
        <w:gridCol w:w="1030"/>
        <w:gridCol w:w="1035"/>
        <w:gridCol w:w="211"/>
        <w:gridCol w:w="616"/>
        <w:gridCol w:w="109"/>
        <w:gridCol w:w="109"/>
        <w:gridCol w:w="109"/>
        <w:gridCol w:w="109"/>
        <w:gridCol w:w="211"/>
        <w:gridCol w:w="616"/>
        <w:gridCol w:w="109"/>
        <w:gridCol w:w="109"/>
        <w:gridCol w:w="109"/>
        <w:gridCol w:w="109"/>
        <w:gridCol w:w="211"/>
        <w:gridCol w:w="616"/>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recognized in net earnings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Stock Options</w:t>
      </w:r>
      <w:r>
        <w:rPr>
          <w:color w:val="000000"/>
        </w:rPr>
        <w:t xml:space="preserve"> – </w:t>
      </w:r>
      <w:r>
        <w:rPr>
          <w:rFonts w:ascii="Times New Roman;serif" w:hAnsi="Times New Roman;serif"/>
          <w:b w:val="false"/>
          <w:color w:val="000000"/>
          <w:sz w:val="20"/>
        </w:rPr>
        <w:t>Stock options are granted at prices not less than 100% of market value of the underlying stock at the date of grant. Stock options typically vest over a period of three years from the grant date and expire 10 years after the grant date. The Company recorded $40.4, $37.6, and $38.0 of compensation expense relating to outstanding options during 2025, 2024, and 2023, respectively, as a component of corporate general and administrative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estimates the fair value of its option awards using the Black-Scholes option valuation model. The stock volatility for each grant is measured using the weighted average of historical daily price changes of the Company’s common stock over the most recent period equal to the expected life of the grant. The expected term of options granted is derived from historical data to estimate option exercises and employee forfeitures, and represents the period of time that options granted are expected to be outstanding. The risk-free rate is based on the U.S. Treasury yield curve in effect at the time of grant for the expected life of the award.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weighted-average fair value of options granted in 2025, 2024, and 2023 were calculated using the following weighted average assumptions:</w:t>
      </w:r>
    </w:p>
    <w:p>
      <w:pPr>
        <w:pStyle w:val="TextBody"/>
        <w:bidi w:val="0"/>
        <w:spacing w:before="0" w:after="0"/>
        <w:jc w:val="both"/>
        <w:rPr/>
      </w:pPr>
      <w:r>
        <w:rPr/>
      </w:r>
    </w:p>
    <w:tbl>
      <w:tblPr>
        <w:tblW w:w="6090" w:type="dxa"/>
        <w:jc w:val="left"/>
        <w:tblInd w:w="0" w:type="dxa"/>
        <w:tblLayout w:type="fixed"/>
        <w:tblCellMar>
          <w:top w:w="28" w:type="dxa"/>
          <w:left w:w="28" w:type="dxa"/>
          <w:bottom w:w="28" w:type="dxa"/>
          <w:right w:w="28" w:type="dxa"/>
        </w:tblCellMar>
      </w:tblPr>
      <w:tblGrid>
        <w:gridCol w:w="973"/>
        <w:gridCol w:w="854"/>
        <w:gridCol w:w="857"/>
        <w:gridCol w:w="360"/>
        <w:gridCol w:w="361"/>
        <w:gridCol w:w="176"/>
        <w:gridCol w:w="109"/>
        <w:gridCol w:w="109"/>
        <w:gridCol w:w="109"/>
        <w:gridCol w:w="360"/>
        <w:gridCol w:w="361"/>
        <w:gridCol w:w="176"/>
        <w:gridCol w:w="109"/>
        <w:gridCol w:w="109"/>
        <w:gridCol w:w="109"/>
        <w:gridCol w:w="360"/>
        <w:gridCol w:w="361"/>
        <w:gridCol w:w="237"/>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fair value ($)</w:t>
            </w:r>
          </w:p>
        </w:tc>
        <w:tc>
          <w:tcPr>
            <w:tcW w:w="72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177.50 </w:t>
            </w:r>
          </w:p>
        </w:tc>
        <w:tc>
          <w:tcPr>
            <w:tcW w:w="1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173.21 </w:t>
            </w:r>
          </w:p>
        </w:tc>
        <w:tc>
          <w:tcPr>
            <w:tcW w:w="1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130.23 </w:t>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option life (years)</w:t>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activities, with respect to the Company’s share-based compensation plans, for the years ended December 31, 2025 and 2024:</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38"/>
        <w:gridCol w:w="560"/>
        <w:gridCol w:w="563"/>
        <w:gridCol w:w="431"/>
        <w:gridCol w:w="366"/>
        <w:gridCol w:w="367"/>
        <w:gridCol w:w="109"/>
        <w:gridCol w:w="109"/>
        <w:gridCol w:w="109"/>
        <w:gridCol w:w="422"/>
        <w:gridCol w:w="1447"/>
        <w:gridCol w:w="220"/>
        <w:gridCol w:w="109"/>
        <w:gridCol w:w="109"/>
        <w:gridCol w:w="109"/>
        <w:gridCol w:w="908"/>
        <w:gridCol w:w="908"/>
        <w:gridCol w:w="910"/>
        <w:gridCol w:w="109"/>
        <w:gridCol w:w="109"/>
        <w:gridCol w:w="109"/>
        <w:gridCol w:w="316"/>
        <w:gridCol w:w="926"/>
        <w:gridCol w:w="242"/>
      </w:tblGrid>
      <w:tr>
        <w:trPr/>
        <w:tc>
          <w:tcPr>
            <w:tcW w:w="6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2023</w:t>
            </w:r>
          </w:p>
        </w:tc>
        <w:tc>
          <w:tcPr>
            <w:tcW w:w="79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36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340.89 </w:t>
            </w:r>
          </w:p>
        </w:tc>
        <w:tc>
          <w:tcPr>
            <w:tcW w:w="22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0.286 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553.79 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(0.422)</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(0.072)</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0.306 </w:t>
            </w:r>
          </w:p>
        </w:tc>
        <w:tc>
          <w:tcPr>
            <w:tcW w:w="3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(0.370)</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(0.067)</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523.60 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December 31, 2025</w:t>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3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December 31, 2025, there was $59.1 of total unrecognized compensation expense related to nonvested options granted under the Company’s stock-based compensation plans. That cost is expected to be recognized over a weighted average period of 1.97 years. The total intrinsic value of options exercised in 2025, 2024, and 2023 was $86.5, $108.9, and $133.7, respectively. Cash received from option exercises under all plans in 2025, 2024, and 2023 was $115.0, $125.7, and $146.5, respectively.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Restricted Stock Awards</w:t>
      </w:r>
      <w:r>
        <w:rPr>
          <w:color w:val="000000"/>
        </w:rPr>
        <w:t xml:space="preserve"> – </w:t>
      </w:r>
      <w:r>
        <w:rPr>
          <w:rFonts w:ascii="Times New Roman;serif" w:hAnsi="Times New Roman;serif"/>
          <w:b w:val="false"/>
          <w:color w:val="000000"/>
          <w:sz w:val="20"/>
        </w:rPr>
        <w:t>During 2025 and 2024, the Company granted 0.476 and 0.402 shares, respectively, of restricted stock awards to certain employee and director participants under its compensation plans. These awards were granted at the fair market value of the share on the date of grant. Restricted stock awards granted generally vest over a period of one to five years. The Company recorded $122.7, $105.7, and $83.3 of compensation expense related to outstanding shares of restricted stock awards held by employees and directors during 2025, 2024, and 2023,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Restricted stock awards include 0.074 and 0.072 performance-based restricted stock awards granted to certain members of the Roper senior leadership team during 2025 and 2024, respectively, that include the ability to earn up to 200% of the number of restricted stock awards originally granted contingent upon Roper’s performance over a three-year period, which are subject to a market modifier based on the Company’s ranking of total shareholder return relative to the other companies within the Standard &amp; Poor’s 500 Stock Index.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a Monte Carlo simulation model to estimate the fair value of its performance-based restricted stock awards which are subject to a market modifier. The expected volatility is measured using daily logarithmic changes in the Company’s historical stock prices over the most recent period equal to the expected term. The expected term is the term remaining from the grant date to the end of the performance period.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values of performance-based restricted stock awards which are subject to a market modifier, granted in 2025 and 2024, were determined using the following weighted average assumptions:</w:t>
      </w:r>
    </w:p>
    <w:p>
      <w:pPr>
        <w:pStyle w:val="TextBody"/>
        <w:bidi w:val="0"/>
        <w:spacing w:before="0" w:after="0"/>
        <w:jc w:val="both"/>
        <w:rPr/>
      </w:pPr>
      <w:r>
        <w:rPr/>
      </w:r>
    </w:p>
    <w:tbl>
      <w:tblPr>
        <w:tblW w:w="5924" w:type="dxa"/>
        <w:jc w:val="left"/>
        <w:tblInd w:w="0" w:type="dxa"/>
        <w:tblLayout w:type="fixed"/>
        <w:tblCellMar>
          <w:top w:w="28" w:type="dxa"/>
          <w:left w:w="28" w:type="dxa"/>
          <w:bottom w:w="28" w:type="dxa"/>
          <w:right w:w="28" w:type="dxa"/>
        </w:tblCellMar>
      </w:tblPr>
      <w:tblGrid>
        <w:gridCol w:w="1283"/>
        <w:gridCol w:w="1126"/>
        <w:gridCol w:w="1131"/>
        <w:gridCol w:w="360"/>
        <w:gridCol w:w="361"/>
        <w:gridCol w:w="176"/>
        <w:gridCol w:w="109"/>
        <w:gridCol w:w="109"/>
        <w:gridCol w:w="109"/>
        <w:gridCol w:w="360"/>
        <w:gridCol w:w="361"/>
        <w:gridCol w:w="176"/>
        <w:gridCol w:w="109"/>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grant date fair value ($)</w:t>
            </w:r>
          </w:p>
        </w:tc>
        <w:tc>
          <w:tcPr>
            <w:tcW w:w="72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663.42 </w:t>
            </w:r>
          </w:p>
        </w:tc>
        <w:tc>
          <w:tcPr>
            <w:tcW w:w="1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563.00 </w:t>
            </w:r>
          </w:p>
        </w:tc>
        <w:tc>
          <w:tcPr>
            <w:tcW w:w="1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restricted stock award activity during 2025 and 2024:</w:t>
      </w:r>
    </w:p>
    <w:p>
      <w:pPr>
        <w:pStyle w:val="TextBody"/>
        <w:bidi w:val="0"/>
        <w:spacing w:before="0" w:after="0"/>
        <w:jc w:val="both"/>
        <w:rPr/>
      </w:pPr>
      <w:r>
        <w:rPr/>
      </w:r>
    </w:p>
    <w:tbl>
      <w:tblPr>
        <w:tblW w:w="8651" w:type="dxa"/>
        <w:jc w:val="left"/>
        <w:tblInd w:w="0" w:type="dxa"/>
        <w:tblLayout w:type="fixed"/>
        <w:tblCellMar>
          <w:top w:w="28" w:type="dxa"/>
          <w:left w:w="28" w:type="dxa"/>
          <w:bottom w:w="28" w:type="dxa"/>
          <w:right w:w="28" w:type="dxa"/>
        </w:tblCellMar>
      </w:tblPr>
      <w:tblGrid>
        <w:gridCol w:w="1016"/>
        <w:gridCol w:w="891"/>
        <w:gridCol w:w="897"/>
        <w:gridCol w:w="109"/>
        <w:gridCol w:w="109"/>
        <w:gridCol w:w="109"/>
        <w:gridCol w:w="109"/>
        <w:gridCol w:w="529"/>
        <w:gridCol w:w="529"/>
        <w:gridCol w:w="531"/>
        <w:gridCol w:w="109"/>
        <w:gridCol w:w="109"/>
        <w:gridCol w:w="109"/>
        <w:gridCol w:w="678"/>
        <w:gridCol w:w="2319"/>
        <w:gridCol w:w="498"/>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0" w:type="dxa"/>
            <w:gridSpan w:val="10"/>
            <w:tcBorders/>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0.440 </w:t>
            </w:r>
          </w:p>
        </w:tc>
        <w:tc>
          <w:tcPr>
            <w:tcW w:w="5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431.96 </w:t>
            </w:r>
          </w:p>
        </w:tc>
        <w:tc>
          <w:tcPr>
            <w:tcW w:w="49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0.402 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552.94 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(0.229)</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445.87 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(0.058)</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522.46 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0.555 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515.77 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0.476 </w:t>
            </w:r>
          </w:p>
        </w:tc>
        <w:tc>
          <w:tcPr>
            <w:tcW w:w="5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581.56 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(0.157)</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498.46 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(0.091)</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555.10 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0.783 </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553.96 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December 31, 2025, there was $155.1 of total unrecognized compensation expense related to nonvested restricted stock awards granted to both employees and directors under the Company’s compensation plans. That cost is expected to be recognized over a weighted average period of 1.88 years. The total grant date fair value of restricted stock awards vested during 2025, 2024, and 2023 was $78.0, $102.2, and $82.2, respectively.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Employee Stock Purchase Plan</w:t>
      </w:r>
      <w:r>
        <w:rPr>
          <w:color w:val="000000"/>
        </w:rPr>
        <w:t xml:space="preserve"> – </w:t>
      </w:r>
      <w:r>
        <w:rPr>
          <w:rFonts w:ascii="Times New Roman;serif" w:hAnsi="Times New Roman;serif"/>
          <w:b w:val="false"/>
          <w:color w:val="000000"/>
          <w:sz w:val="20"/>
        </w:rPr>
        <w:t>During 2025, 2024, and 2023, participants of the ESPP purchased 0.049, 0.038, and 0.038 shares, respectively, of Roper’s common stock for total consideration of $22.4, $18.5, and $15.5, respectively. All of these shares were purchased from Roper’s treasury shares.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color w:val="000000"/>
          <w:sz w:val="20"/>
        </w:rPr>
        <w:t xml:space="preserve">(12) </w:t>
      </w:r>
      <w:r>
        <w:rPr>
          <w:rFonts w:ascii="Times New Roman;serif" w:hAnsi="Times New Roman;serif"/>
          <w:b w:val="false"/>
          <w:color w:val="000000"/>
          <w:sz w:val="20"/>
          <w:u w:val="single"/>
        </w:rPr>
        <w:t>Stockholders’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2025, the Company’s Board of Directors approved a share repurchase program for the repurchase of up to $3,000.0 of the Company’s common stock. Shares of common stock may be repurchased from time to time through open market purchases or privately negotiated transactions, including under plans complying with Rule 10b5-1 under the Exchange Act, and subject to market conditions, applicable legal requirements, and other relevant factors. The repurchase program does not have a fixed expiration date, does not obligate the Company to acquire any specific number of shares, and may be suspended at any time at the Company’s discretion. The timing, manner, price, and amount of any repurchases will be determined by the Company in its discretion and will depend on a variety of factors, including price, business and market conditions, corporate and regulatory requirements, alternative investment opportunities, acquisition opportunities, and other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repurchased 1.121 shares of its common stock for an aggregate purchase price of $500.0 and an average price paid per share of $445.87, excluding broker commissions and excise tax. All repurchases were made in open market transactions and there are no current plans to retire repurchased shares. As of December 31, 2025, $2,500.0 of the originally authorized amount under the share repurchase program remained available for future repurchases.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January 1, 2026 to February 20, 2026, the Company repurchased 3.723 shares of its common stock in open market transactions for an aggregate purchase price of $1,313.5 and an average price paid per share of $352.80, excluding broker commissions and excise tax. As of February 20, 2026, $1,186.5 of the originally authorized amount under the share repurchase program remained available for future repurchases.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color w:val="000000"/>
          <w:sz w:val="20"/>
        </w:rPr>
        <w:t xml:space="preserve">(13) </w:t>
      </w:r>
      <w:r>
        <w:rPr>
          <w:rFonts w:ascii="Times New Roman;serif" w:hAnsi="Times New Roman;serif"/>
          <w:b w:val="false"/>
          <w:color w:val="000000"/>
          <w:sz w:val="20"/>
          <w:u w:val="single"/>
        </w:rPr>
        <w:t>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Roper, in the ordinary course of business, is party to various pending or threatened legal actions, including product liability, intellectual property, antitrust, data privacy, and employment practices that, in general, are of a nature consistent with those over the past several years. After analyzing the Company’s contingent liabilities on a gross basis and, based upon past experience with resolution of such legal claims and the availability and limits of the primary, excess, and umbrella liability insurance coverages with respect to pending claims, management believes that adequate provision has been made to cover any potential liability not covered by insurance, and that the ultimate liability, if any, arising from these actions should not have a material adverse effect on Roper’s consolidated financial position, results of operations, or cash flows. However, no assurances can be given in this regard.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January 2025, Roper’s subsidiary, PowerPlan, Inc., settled a legal matter for $24.0 on a pretax basis ($17.7 after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Roper had $42.6 of outstanding surety bonds. Certain contracts require Roper to provide a surety bond as a guarantee of its performance of contractual obligations.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 xml:space="preserve">(14) </w:t>
      </w:r>
      <w:r>
        <w:rPr>
          <w:rFonts w:ascii="Times New Roman;serif" w:hAnsi="Times New Roman;serif"/>
          <w:b w:val="false"/>
          <w:color w:val="000000"/>
          <w:sz w:val="20"/>
          <w:u w:val="single"/>
        </w:rPr>
        <w:t>Segment and Geographic Area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businesses are reported in three segments classified based on business model and delivery of performance obligations. The segments are: Application Software, Network Software, and Technology Enabled Products. The three reportable segments are as follows: </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0"/>
        </w:rPr>
        <w:t>Application Software</w:t>
      </w:r>
      <w:r>
        <w:rPr>
          <w:color w:val="000000"/>
        </w:rPr>
        <w:t>—</w:t>
      </w:r>
      <w:r>
        <w:rPr>
          <w:rFonts w:ascii="Times New Roman;serif" w:hAnsi="Times New Roman;serif"/>
          <w:b w:val="false"/>
          <w:color w:val="000000"/>
          <w:sz w:val="20"/>
        </w:rPr>
        <w:t>Aderant, CentralReach, Clinisys, Data Innovations, Deltek, Frontline, IntelliTrans, PowerPlan, Procare, Strata, Transact/CBORD, and Vertafore;</w:t>
      </w:r>
    </w:p>
    <w:p>
      <w:pPr>
        <w:pStyle w:val="TextBody"/>
        <w:bidi w:val="0"/>
        <w:spacing w:before="0" w:after="0"/>
        <w:jc w:val="left"/>
        <w:rPr/>
      </w:pPr>
      <w:r>
        <w:rPr/>
      </w:r>
    </w:p>
    <w:p>
      <w:pPr>
        <w:pStyle w:val="TextBody"/>
        <w:bidi w:val="0"/>
        <w:spacing w:lineRule="auto" w:line="288" w:before="0" w:after="0"/>
        <w:jc w:val="both"/>
        <w:rPr/>
      </w:pPr>
      <w:r>
        <w:rPr>
          <w:color w:val="000000"/>
        </w:rPr>
        <w:t>–</w:t>
      </w:r>
      <w:r>
        <w:rPr>
          <w:rFonts w:ascii="Times New Roman;serif" w:hAnsi="Times New Roman;serif"/>
          <w:b/>
          <w:color w:val="000000"/>
          <w:sz w:val="20"/>
        </w:rPr>
        <w:t>Network Software</w:t>
      </w:r>
      <w:r>
        <w:rPr>
          <w:color w:val="000000"/>
        </w:rPr>
        <w:t>—</w:t>
      </w:r>
      <w:r>
        <w:rPr>
          <w:rFonts w:ascii="Times New Roman;serif" w:hAnsi="Times New Roman;serif"/>
          <w:b w:val="false"/>
          <w:color w:val="000000"/>
          <w:sz w:val="20"/>
        </w:rPr>
        <w:t>ConstructConnect, DAT, Foundry, iPipeline, iTradeNetwork, MHA, SHP, SoftWriters, and Subsplash;</w:t>
      </w:r>
    </w:p>
    <w:p>
      <w:pPr>
        <w:pStyle w:val="TextBody"/>
        <w:bidi w:val="0"/>
        <w:spacing w:before="0" w:after="0"/>
        <w:jc w:val="left"/>
        <w:rPr/>
      </w:pPr>
      <w:r>
        <w:rPr/>
      </w:r>
    </w:p>
    <w:p>
      <w:pPr>
        <w:pStyle w:val="TextBody"/>
        <w:bidi w:val="0"/>
        <w:spacing w:lineRule="auto" w:line="288" w:before="0" w:after="0"/>
        <w:jc w:val="both"/>
        <w:rPr/>
      </w:pPr>
      <w:r>
        <w:rPr>
          <w:color w:val="000000"/>
        </w:rPr>
        <w:t>–</w:t>
      </w:r>
      <w:r>
        <w:rPr>
          <w:rFonts w:ascii="Times New Roman;serif" w:hAnsi="Times New Roman;serif"/>
          <w:b/>
          <w:color w:val="000000"/>
          <w:sz w:val="20"/>
        </w:rPr>
        <w:t>Technology Enabled Products</w:t>
      </w:r>
      <w:r>
        <w:rPr>
          <w:color w:val="000000"/>
        </w:rPr>
        <w:t>—</w:t>
      </w:r>
      <w:r>
        <w:rPr>
          <w:rFonts w:ascii="Times New Roman;serif" w:hAnsi="Times New Roman;serif"/>
          <w:b w:val="false"/>
          <w:color w:val="000000"/>
          <w:sz w:val="20"/>
        </w:rPr>
        <w:t>CIVCO Medical Solutions, FMI, Inovonics, IPA, Neptune, Northern Digital, rf IDEAS, and Verathon.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a group that consists of the Chief Executive Officer and the Board of Directors. The CODM uses operating profit to measure segment performance to evaluate resource allocation, primarily related to capital deployment towards business acquisitions, as such decisions are made by our Chief Executive Officer and Board of Directors collectively.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material transactions between Roper’s reportable segments during 2025, 2024, and 2023. Operating profit by reportable segment is defined as net revenues less operating costs and expenses. These costs and expenses do not include unallocated corporate general and administrative expenses or enterprise-wide stock-based compensation. Items below “Income from operations” in Roper’s Consolidated Statements of Earnings are not allocated to reportable segments.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Corporate assets are principally comprised of cash and cash equivalents, income taxes receivable, deferred tax assets, deferred compensation assets, an equity investment, and property and equipment.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Selected financial information by reportable segment for 2025, 2024, and 2023 was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51"/>
        <w:gridCol w:w="659"/>
        <w:gridCol w:w="670"/>
        <w:gridCol w:w="250"/>
        <w:gridCol w:w="1034"/>
        <w:gridCol w:w="129"/>
        <w:gridCol w:w="109"/>
        <w:gridCol w:w="109"/>
        <w:gridCol w:w="109"/>
        <w:gridCol w:w="243"/>
        <w:gridCol w:w="886"/>
        <w:gridCol w:w="125"/>
        <w:gridCol w:w="109"/>
        <w:gridCol w:w="109"/>
        <w:gridCol w:w="109"/>
        <w:gridCol w:w="310"/>
        <w:gridCol w:w="1130"/>
        <w:gridCol w:w="163"/>
        <w:gridCol w:w="109"/>
        <w:gridCol w:w="109"/>
        <w:gridCol w:w="109"/>
        <w:gridCol w:w="109"/>
        <w:gridCol w:w="109"/>
        <w:gridCol w:w="211"/>
        <w:gridCol w:w="766"/>
        <w:gridCol w:w="109"/>
        <w:gridCol w:w="109"/>
        <w:gridCol w:w="109"/>
        <w:gridCol w:w="109"/>
        <w:gridCol w:w="211"/>
        <w:gridCol w:w="871"/>
        <w:gridCol w:w="161"/>
      </w:tblGrid>
      <w:tr>
        <w:trPr/>
        <w:tc>
          <w:tcPr>
            <w:tcW w:w="75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Application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Network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Technology Enabled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141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 expense</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080"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080"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25,372.6 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6,458.7 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expenditures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2024</w:t>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 expense</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80"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080"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080"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expenditures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2023</w:t>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 expense</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080"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080"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expenditures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Summarized long-lived assets information for Roper’s U.S. and foreign operations (principally in Canada, Europe, and Asia) for 2025, 2024, and 2023 was as follows:</w:t>
      </w:r>
    </w:p>
    <w:p>
      <w:pPr>
        <w:pStyle w:val="TextBody"/>
        <w:bidi w:val="0"/>
        <w:spacing w:before="0" w:after="0"/>
        <w:jc w:val="left"/>
        <w:rPr/>
      </w:pPr>
      <w:r>
        <w:rPr/>
      </w:r>
    </w:p>
    <w:tbl>
      <w:tblPr>
        <w:tblW w:w="5690" w:type="dxa"/>
        <w:jc w:val="left"/>
        <w:tblInd w:w="0" w:type="dxa"/>
        <w:tblLayout w:type="fixed"/>
        <w:tblCellMar>
          <w:top w:w="28" w:type="dxa"/>
          <w:left w:w="28" w:type="dxa"/>
          <w:bottom w:w="28" w:type="dxa"/>
          <w:right w:w="28" w:type="dxa"/>
        </w:tblCellMar>
      </w:tblPr>
      <w:tblGrid>
        <w:gridCol w:w="713"/>
        <w:gridCol w:w="624"/>
        <w:gridCol w:w="628"/>
        <w:gridCol w:w="211"/>
        <w:gridCol w:w="616"/>
        <w:gridCol w:w="109"/>
        <w:gridCol w:w="109"/>
        <w:gridCol w:w="109"/>
        <w:gridCol w:w="109"/>
        <w:gridCol w:w="211"/>
        <w:gridCol w:w="616"/>
        <w:gridCol w:w="109"/>
        <w:gridCol w:w="109"/>
        <w:gridCol w:w="109"/>
        <w:gridCol w:w="109"/>
        <w:gridCol w:w="109"/>
        <w:gridCol w:w="109"/>
        <w:gridCol w:w="211"/>
        <w:gridCol w:w="616"/>
        <w:gridCol w:w="154"/>
      </w:tblGrid>
      <w:tr>
        <w:trPr/>
        <w:tc>
          <w:tcPr>
            <w:tcW w:w="7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Sales to customers outside of the U.S. accounted for a significant portion of Roper’s net revenues. Sales are attributed to geographic areas based upon the location where the product is ultimately delivered. Roper’s net revenues for the years ended December 31, 2025, 2024, and 2023 are shown below by region, except for the U.S. and Canada, which are presented separately:</w:t>
      </w:r>
    </w:p>
    <w:p>
      <w:pPr>
        <w:pStyle w:val="TextBody"/>
        <w:bidi w:val="0"/>
        <w:spacing w:before="0" w:after="0"/>
        <w:jc w:val="both"/>
        <w:rPr/>
      </w:pPr>
      <w:r>
        <w:rPr/>
      </w:r>
    </w:p>
    <w:tbl>
      <w:tblPr>
        <w:tblW w:w="6012" w:type="dxa"/>
        <w:jc w:val="left"/>
        <w:tblInd w:w="0" w:type="dxa"/>
        <w:tblLayout w:type="fixed"/>
        <w:tblCellMar>
          <w:top w:w="28" w:type="dxa"/>
          <w:left w:w="28" w:type="dxa"/>
          <w:bottom w:w="28" w:type="dxa"/>
          <w:right w:w="28" w:type="dxa"/>
        </w:tblCellMar>
      </w:tblPr>
      <w:tblGrid>
        <w:gridCol w:w="588"/>
        <w:gridCol w:w="514"/>
        <w:gridCol w:w="517"/>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154"/>
      </w:tblGrid>
      <w:tr>
        <w:trPr/>
        <w:tc>
          <w:tcPr>
            <w:tcW w:w="58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the world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 xml:space="preserve">(15) </w:t>
      </w:r>
      <w:r>
        <w:rPr>
          <w:rFonts w:ascii="Times New Roman;serif" w:hAnsi="Times New Roman;serif"/>
          <w:b w:val="false"/>
          <w:color w:val="000000"/>
          <w:sz w:val="20"/>
          <w:u w:val="single"/>
        </w:rPr>
        <w:t>Concentration of Risk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Financial instruments which potentially subject the Company to credit risk consist primarily of cash and cash equivalents, accounts receivable, and unbilled receivables.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maintains cash and cash equivalents with various major financial institutions around the world. The Company limits the amount of credit exposure with any one financial institution and believes that no significant concentration of credit risk exists with respect to cash and cash equivalent balances.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Accounts receivable and unbilled receivables subject the Company to the potential for credit risk with customers. To reduce credit risk, the Company performs ongoing evaluations of its customers’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(16)  </w:t>
      </w:r>
      <w:r>
        <w:rPr>
          <w:rFonts w:ascii="Times New Roman;serif" w:hAnsi="Times New Roman;serif"/>
          <w:b w:val="false"/>
          <w:color w:val="000000"/>
          <w:sz w:val="20"/>
          <w:u w:val="single"/>
        </w:rPr>
        <w:t>Contract Balances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 balances at December 31 are set forth in the following table:</w:t>
      </w:r>
    </w:p>
    <w:p>
      <w:pPr>
        <w:pStyle w:val="TextBody"/>
        <w:bidi w:val="0"/>
        <w:spacing w:before="0" w:after="0"/>
        <w:jc w:val="left"/>
        <w:rPr/>
      </w:pPr>
      <w:r>
        <w:rPr/>
      </w:r>
    </w:p>
    <w:tbl>
      <w:tblPr>
        <w:tblW w:w="6717" w:type="dxa"/>
        <w:jc w:val="left"/>
        <w:tblInd w:w="0" w:type="dxa"/>
        <w:tblLayout w:type="fixed"/>
        <w:tblCellMar>
          <w:top w:w="28" w:type="dxa"/>
          <w:left w:w="28" w:type="dxa"/>
          <w:bottom w:w="28" w:type="dxa"/>
          <w:right w:w="28" w:type="dxa"/>
        </w:tblCellMar>
      </w:tblPr>
      <w:tblGrid>
        <w:gridCol w:w="973"/>
        <w:gridCol w:w="855"/>
        <w:gridCol w:w="857"/>
        <w:gridCol w:w="211"/>
        <w:gridCol w:w="841"/>
        <w:gridCol w:w="109"/>
        <w:gridCol w:w="109"/>
        <w:gridCol w:w="109"/>
        <w:gridCol w:w="109"/>
        <w:gridCol w:w="211"/>
        <w:gridCol w:w="841"/>
        <w:gridCol w:w="109"/>
        <w:gridCol w:w="109"/>
        <w:gridCol w:w="109"/>
        <w:gridCol w:w="109"/>
        <w:gridCol w:w="211"/>
        <w:gridCol w:w="691"/>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 account</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Unbilled receivables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current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 – non-current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contract assets/(liabilities)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change in our net contract assets/(liabilities) from December 31, 2024 to December 31, 2025 was primarily due to the timing of payments and invoicing as well as growth related to SaaS and PCS renewals.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recognized during the years ended December 31, 2025 and 2024 that was included in the deferred revenue balance on December 31, 2024 and 2023 was $1,716.9 and $1,546.5, respectively. In order to determine revenues recognized in the period from contract liabilities, we allocate revenue to the individual deferred revenue balance outstanding at the beginning of the year until the revenue exceeds that balance.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Impairment losses recognized on our accounts receivable and unbilled receivables were immaterial in each of the years ended December 31, 2025, 2024, and 2023,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 xml:space="preserve">(17) </w:t>
      </w:r>
      <w:r>
        <w:rPr>
          <w:rFonts w:ascii="Times New Roman;serif" w:hAnsi="Times New Roman;serif"/>
          <w:b w:val="false"/>
          <w:color w:val="000000"/>
          <w:sz w:val="20"/>
          <w:u w:val="single"/>
        </w:rPr>
        <w:t>Leases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operating leases are primarily for real property in support of our business operations. Although many of our leases contain renewal options, we generally are not reasonably certain to exercise these options at the commencement date. Accordingly, renewal options are generally not included in the lease term for determining the right-of-use (“ROU”) asset and lease liability at commencement. Variable lease payments generally depend on an inflation-based index and such payments are not included in the original estimate of the lease liability. These variable lease payments are not material.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the Company recognized $60.1, $53.9, and $50.6 of operating lease expense,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supplemental cash flow information related to the Company’s operating leases for the years ended December 31:</w:t>
      </w:r>
    </w:p>
    <w:p>
      <w:pPr>
        <w:pStyle w:val="TextBody"/>
        <w:bidi w:val="0"/>
        <w:spacing w:before="0" w:after="0"/>
        <w:jc w:val="both"/>
        <w:rPr/>
      </w:pPr>
      <w:r>
        <w:rPr/>
      </w:r>
    </w:p>
    <w:tbl>
      <w:tblPr>
        <w:tblW w:w="9161" w:type="dxa"/>
        <w:jc w:val="left"/>
        <w:tblInd w:w="0" w:type="dxa"/>
        <w:tblLayout w:type="fixed"/>
        <w:tblCellMar>
          <w:top w:w="28" w:type="dxa"/>
          <w:left w:w="28" w:type="dxa"/>
          <w:bottom w:w="28" w:type="dxa"/>
          <w:right w:w="28" w:type="dxa"/>
        </w:tblCellMar>
      </w:tblPr>
      <w:tblGrid>
        <w:gridCol w:w="2161"/>
        <w:gridCol w:w="1897"/>
        <w:gridCol w:w="1911"/>
        <w:gridCol w:w="211"/>
        <w:gridCol w:w="511"/>
        <w:gridCol w:w="109"/>
        <w:gridCol w:w="109"/>
        <w:gridCol w:w="109"/>
        <w:gridCol w:w="109"/>
        <w:gridCol w:w="211"/>
        <w:gridCol w:w="511"/>
        <w:gridCol w:w="109"/>
        <w:gridCol w:w="109"/>
        <w:gridCol w:w="109"/>
        <w:gridCol w:w="109"/>
        <w:gridCol w:w="211"/>
        <w:gridCol w:w="511"/>
        <w:gridCol w:w="154"/>
      </w:tblGrid>
      <w:tr>
        <w:trPr/>
        <w:tc>
          <w:tcPr>
            <w:tcW w:w="2161"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used for operating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operating lease obligations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lease balances within the Consolidated Balance Sheets related to the Company’s operating leases as of December 31:</w:t>
      </w:r>
    </w:p>
    <w:p>
      <w:pPr>
        <w:pStyle w:val="TextBody"/>
        <w:bidi w:val="0"/>
        <w:spacing w:before="0" w:after="0"/>
        <w:jc w:val="both"/>
        <w:rPr/>
      </w:pPr>
      <w:r>
        <w:rPr/>
      </w:r>
    </w:p>
    <w:tbl>
      <w:tblPr>
        <w:tblW w:w="7786" w:type="dxa"/>
        <w:jc w:val="left"/>
        <w:tblInd w:w="0" w:type="dxa"/>
        <w:tblLayout w:type="fixed"/>
        <w:tblCellMar>
          <w:top w:w="28" w:type="dxa"/>
          <w:left w:w="28" w:type="dxa"/>
          <w:bottom w:w="28" w:type="dxa"/>
          <w:right w:w="28" w:type="dxa"/>
        </w:tblCellMar>
      </w:tblPr>
      <w:tblGrid>
        <w:gridCol w:w="1028"/>
        <w:gridCol w:w="900"/>
        <w:gridCol w:w="906"/>
        <w:gridCol w:w="109"/>
        <w:gridCol w:w="109"/>
        <w:gridCol w:w="109"/>
        <w:gridCol w:w="684"/>
        <w:gridCol w:w="684"/>
        <w:gridCol w:w="686"/>
        <w:gridCol w:w="109"/>
        <w:gridCol w:w="109"/>
        <w:gridCol w:w="109"/>
        <w:gridCol w:w="211"/>
        <w:gridCol w:w="616"/>
        <w:gridCol w:w="109"/>
        <w:gridCol w:w="109"/>
        <w:gridCol w:w="109"/>
        <w:gridCol w:w="109"/>
        <w:gridCol w:w="211"/>
        <w:gridCol w:w="616"/>
        <w:gridCol w:w="154"/>
      </w:tblGrid>
      <w:tr>
        <w:trPr/>
        <w:tc>
          <w:tcPr>
            <w:tcW w:w="102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assets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non-cancellable leases were as follows:</w:t>
      </w:r>
    </w:p>
    <w:p>
      <w:pPr>
        <w:pStyle w:val="TextBody"/>
        <w:bidi w:val="0"/>
        <w:spacing w:before="0" w:after="0"/>
        <w:jc w:val="both"/>
        <w:rPr/>
      </w:pPr>
      <w:r>
        <w:rPr/>
      </w:r>
    </w:p>
    <w:tbl>
      <w:tblPr>
        <w:tblW w:w="3636" w:type="dxa"/>
        <w:jc w:val="center"/>
        <w:tblInd w:w="0" w:type="dxa"/>
        <w:tblLayout w:type="fixed"/>
        <w:tblCellMar>
          <w:top w:w="28" w:type="dxa"/>
          <w:left w:w="28" w:type="dxa"/>
          <w:bottom w:w="28" w:type="dxa"/>
          <w:right w:w="28" w:type="dxa"/>
        </w:tblCellMar>
      </w:tblPr>
      <w:tblGrid>
        <w:gridCol w:w="960"/>
        <w:gridCol w:w="842"/>
        <w:gridCol w:w="853"/>
        <w:gridCol w:w="211"/>
        <w:gridCol w:w="616"/>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975" w:type="dxa"/>
        <w:jc w:val="center"/>
        <w:tblInd w:w="0" w:type="dxa"/>
        <w:tblLayout w:type="fixed"/>
        <w:tblCellMar>
          <w:top w:w="28" w:type="dxa"/>
          <w:left w:w="28" w:type="dxa"/>
          <w:bottom w:w="28" w:type="dxa"/>
          <w:right w:w="28" w:type="dxa"/>
        </w:tblCellMar>
      </w:tblPr>
      <w:tblGrid>
        <w:gridCol w:w="1957"/>
        <w:gridCol w:w="1716"/>
        <w:gridCol w:w="1726"/>
        <w:gridCol w:w="203"/>
        <w:gridCol w:w="203"/>
        <w:gridCol w:w="170"/>
      </w:tblGrid>
      <w:tr>
        <w:trPr/>
        <w:tc>
          <w:tcPr>
            <w:tcW w:w="1957"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 operating leases (years)</w:t>
            </w:r>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 (%)</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Our management is responsible for establishing and maintaining adequate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Times New Roman;serif" w:hAnsi="Times New Roman;serif"/>
          <w:b w:val="false"/>
          <w:i/>
          <w:color w:val="000000"/>
          <w:sz w:val="20"/>
        </w:rPr>
        <w:t>Internal Control—Integrated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Based on our evaluation under the framework in Internal Control—Integrated Framework, our management concluded that our internal control over financial reporting was effective as of December 31, 2025. Our internal control over financial reporting as of December 31, 2025 has been audited by PricewaterhouseCoopers LLP, an independent registered public accounting firm, as stated in their report which is included 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management excluded the nine acquisitions completed during 2025 from its assessment of internal control over financial reporting as of December 31, 2025. These acquisitions are wholly-owned subsidiaries whose total assets (excluding goodwill and other identifiable intangibles, which are included within the scope of the assessment) represent less than 1%, and whose aggregate total revenues represent approximately 3%, of the related Consolidated Financial Statement amounts as of and for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required by SEC rules, we have evaluated the effectiveness of the design and operation of our disclosure controls and procedures as of the end of the period covered by this report. This evaluation was carried out under the supervision and with the participation of our management, including our principal executive officer and principal financial officer. Based on this evaluation, we have concluded that our disclosure controls and procedures were effective as of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are our controls and other procedures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are accumulated and communicated to our management, including our principal executive officer and principal financial officer,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that occurred during the fourth quarter of 2025 that has materially affected, or is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no director or officer of the Company adopted, modified, or terminated a “Rule 10b5-1 trading arrangement” or “non-Rule 10b5-1 trading arrangement,” as each term is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Except as otherwise indicated, the following information required by the Instructions to Form 10-K is incorporated herein by reference from the sections of the Roper Proxy Statement for the annual meeting of shareholders (“2026 Proxy Statement”), which we anticipate filing with the SEC within 120 days after the end of the fiscal year to which this report relates, as specified below: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information about our directors required by this </w:t>
      </w:r>
      <w:r>
        <w:rPr>
          <w:rFonts w:ascii="Times New Roman;serif" w:hAnsi="Times New Roman;serif"/>
          <w:b w:val="false"/>
          <w:i/>
          <w:color w:val="000000"/>
          <w:sz w:val="20"/>
        </w:rPr>
        <w:t>Item 10 - Directors, Executive Officers and Corporate Governance</w:t>
      </w:r>
      <w:r>
        <w:rPr>
          <w:color w:val="000000"/>
        </w:rPr>
        <w:t> </w:t>
      </w:r>
      <w:r>
        <w:rPr>
          <w:rFonts w:ascii="Times New Roman;serif" w:hAnsi="Times New Roman;serif"/>
          <w:b w:val="false"/>
          <w:color w:val="000000"/>
          <w:sz w:val="20"/>
        </w:rPr>
        <w:t>is contained in the 2026 Proxy Statement under the caption “Proposal 1: Election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regarding our audit committee is contained in the 2026 Proxy Statement under the captions “Corporate Governance” and “Board Committees and Meetings.”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applicable, information required under this Item with respect to compliance with Section 16(a) of the Exchange Act will be included in the Proxy Statement under the caption “Delinquent Section 16(a) Reports,” which information is incorporated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required under this Item with respect to executive officers of the Company is included as a supplemental item at the end of Part I of this report.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Code of Ethics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Roper has a code of ethics for directors, officers (including the Company’s principal executive officer, principal financial officer, and principal accounting officer), and employees. The Code of Ethics is available on the Company’s website at www.ropertech.com/code-of-ethics. The Company posts any amendments to its Code of Ethics or waivers of its Code of Ethics (to the extent applicable to the Company’s directors, executive officers, or senior financial officers) at the same location on the Company’s website. In addition, copies of the Code of Ethics may be obtained in print without charge upon written request by any stockholder to the Company’s Corporate Secretary at 6496 University Parkway, Sarasota, Florida 34240.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Securities Transaction Compliance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Roper has adopted a securities transaction compliance program applicable to its directors, officers and employees, and has implemented procedures for Roper, governing the purchase, sale, and other disposition of Roper’s securities. Roper believes its insider trading policy and procedures are reasonably designed to promote compliance with insider trading laws, rules and regulations, and listing standards applicable to Roper. A copy of the Roper Technologies, Inc. Securities Transaction Compliance Program is filed as Exhibit 19.1 to this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information required by this </w:t>
      </w:r>
      <w:r>
        <w:rPr>
          <w:rFonts w:ascii="Times New Roman;serif" w:hAnsi="Times New Roman;serif"/>
          <w:b w:val="false"/>
          <w:i/>
          <w:color w:val="000000"/>
          <w:sz w:val="20"/>
        </w:rPr>
        <w:t>Item 11 - Executive Compensation </w:t>
      </w:r>
      <w:r>
        <w:rPr>
          <w:rFonts w:ascii="Times New Roman;serif" w:hAnsi="Times New Roman;serif"/>
          <w:b w:val="false"/>
          <w:color w:val="000000"/>
          <w:sz w:val="20"/>
        </w:rPr>
        <w:t>is contained in the 2026 Proxy Statement under the captions “Compensation Discussion and Analysis,” “Executive Compensation,” “Director Compensation,” “Compensation Committee Report,” and “Compensation Committee Interlocks and Insider Participation.”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(All share amounts are in millions)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Other than as set forth below, the information required by this </w:t>
      </w:r>
      <w:r>
        <w:rPr>
          <w:rFonts w:ascii="Times New Roman;serif" w:hAnsi="Times New Roman;serif"/>
          <w:b w:val="false"/>
          <w:i/>
          <w:color w:val="000000"/>
          <w:sz w:val="20"/>
        </w:rPr>
        <w:t>Item 12 - Security Ownership of Certain Beneficial Owners and Management and Related Stockholder Matters</w:t>
      </w:r>
      <w:r>
        <w:rPr>
          <w:color w:val="000000"/>
        </w:rPr>
        <w:t> </w:t>
      </w:r>
      <w:r>
        <w:rPr>
          <w:rFonts w:ascii="Times New Roman;serif" w:hAnsi="Times New Roman;serif"/>
          <w:b w:val="false"/>
          <w:color w:val="000000"/>
          <w:sz w:val="20"/>
        </w:rPr>
        <w:t>and not otherwise set forth below is contained in the 2026 Proxy Statement under the caption “Beneficial Ownership.”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as of December 31, 2025 regarding compensation plans (including individual compensation arrangements) under which our equity securities are authorized for issuance: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03"/>
        <w:gridCol w:w="618"/>
        <w:gridCol w:w="623"/>
        <w:gridCol w:w="734"/>
        <w:gridCol w:w="734"/>
        <w:gridCol w:w="736"/>
        <w:gridCol w:w="109"/>
        <w:gridCol w:w="109"/>
        <w:gridCol w:w="109"/>
        <w:gridCol w:w="477"/>
        <w:gridCol w:w="1634"/>
        <w:gridCol w:w="248"/>
        <w:gridCol w:w="109"/>
        <w:gridCol w:w="109"/>
        <w:gridCol w:w="109"/>
        <w:gridCol w:w="888"/>
        <w:gridCol w:w="888"/>
        <w:gridCol w:w="1268"/>
      </w:tblGrid>
      <w:tr>
        <w:trPr/>
        <w:tc>
          <w:tcPr>
            <w:tcW w:w="70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r>
      <w:tr>
        <w:trPr/>
        <w:tc>
          <w:tcPr>
            <w:tcW w:w="1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Plan Category</w:t>
            </w:r>
          </w:p>
        </w:tc>
        <w:tc>
          <w:tcPr>
            <w:tcW w:w="220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w:t>
              <w:br/>
              <w:t>Number of Securities to be Issued Upon Exercise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w:t>
              <w:br/>
              <w:t>Weighted-Average Exercise Price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w:t>
              <w:br/>
              <w:t>Number of Securities Remaining Available for Future Issuance under Equity Compensation Plans (Excluding Securities Reflected in Column (a))</w:t>
            </w:r>
          </w:p>
        </w:tc>
      </w:tr>
      <w:tr>
        <w:trPr/>
        <w:tc>
          <w:tcPr>
            <w:tcW w:w="1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Equity Compensation Plans Approved by Shareholders </w:t>
            </w:r>
            <w:r>
              <w:rPr>
                <w:rFonts w:ascii="Times New Roman;serif" w:hAnsi="Times New Roman;serif"/>
                <w:b w:val="false"/>
                <w:color w:val="000000"/>
                <w:sz w:val="13"/>
              </w:rPr>
              <w:t>(1)</w:t>
            </w:r>
          </w:p>
        </w:tc>
        <w:tc>
          <w:tcPr>
            <w:tcW w:w="220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Restricted stock awards </w:t>
            </w:r>
            <w:r>
              <w:rPr>
                <w:rFonts w:ascii="Times New Roman;serif" w:hAnsi="Times New Roman;serif"/>
                <w:b w:val="false"/>
                <w:color w:val="000000"/>
                <w:sz w:val="13"/>
              </w:rPr>
              <w:t>(2)</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0.783 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1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Shareholders</w:t>
            </w:r>
          </w:p>
        </w:tc>
        <w:tc>
          <w:tcPr>
            <w:tcW w:w="146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1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Consists of the Amended and Restated 2006 Incentive Plan, the 2016 Incentive Plan, as amended, and the 2021 Incentive Plan. No additional awards may be granted under the 2006 Incentive Plan or the 2016 Incentive Plan.</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The weighted-average exercise price is not applicable to restricted stock awards.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before="0" w:after="0"/>
        <w:ind w:left="0" w:right="0" w:hanging="1440"/>
        <w:jc w:val="left"/>
        <w:rPr/>
      </w:pPr>
      <w:r>
        <w:rPr/>
      </w:r>
    </w:p>
    <w:p>
      <w:pPr>
        <w:pStyle w:val="TextBody"/>
        <w:bidi w:val="0"/>
        <w:spacing w:lineRule="auto" w:line="288" w:before="0" w:after="0"/>
        <w:jc w:val="both"/>
        <w:rPr/>
      </w:pPr>
      <w:r>
        <w:rPr>
          <w:rFonts w:ascii="Times New Roman;serif" w:hAnsi="Times New Roman;serif"/>
          <w:b w:val="false"/>
          <w:color w:val="000000"/>
          <w:sz w:val="20"/>
        </w:rPr>
        <w:t>The information required by this </w:t>
      </w:r>
      <w:r>
        <w:rPr>
          <w:rFonts w:ascii="Times New Roman;serif" w:hAnsi="Times New Roman;serif"/>
          <w:b w:val="false"/>
          <w:i/>
          <w:color w:val="000000"/>
          <w:sz w:val="20"/>
        </w:rPr>
        <w:t>Item 13 - Certain Relationships and Related Transactions, and Director Independence</w:t>
      </w:r>
      <w:r>
        <w:rPr>
          <w:color w:val="000000"/>
        </w:rPr>
        <w:t> </w:t>
      </w:r>
      <w:r>
        <w:rPr>
          <w:rFonts w:ascii="Times New Roman;serif" w:hAnsi="Times New Roman;serif"/>
          <w:b w:val="false"/>
          <w:color w:val="000000"/>
          <w:sz w:val="20"/>
        </w:rPr>
        <w:t>is contained in the 2026 Proxy Statement under the captions “Director Independence” and “Review and Approval of Related Person Transactions.”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The information required by this </w:t>
      </w:r>
      <w:r>
        <w:rPr>
          <w:rFonts w:ascii="Times New Roman;serif" w:hAnsi="Times New Roman;serif"/>
          <w:b w:val="false"/>
          <w:i/>
          <w:color w:val="000000"/>
          <w:sz w:val="20"/>
        </w:rPr>
        <w:t>Item 14 - Principal Accountant Fees and Services</w:t>
      </w:r>
      <w:r>
        <w:rPr>
          <w:color w:val="000000"/>
        </w:rPr>
        <w:t> </w:t>
      </w:r>
      <w:r>
        <w:rPr>
          <w:rFonts w:ascii="Times New Roman;serif" w:hAnsi="Times New Roman;serif"/>
          <w:b w:val="false"/>
          <w:color w:val="000000"/>
          <w:sz w:val="20"/>
        </w:rPr>
        <w:t>is contained in the 2026 Proxy Statement under the captions “Proposal 3: Ratification of the Appointment of PricewaterhouseCoopers LLP as our Independent Registered Public Accounting Firm for the Year Ending December 31, 2026” and “Independent Public Accountant’s Fees.”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The following documents are filed as a part of this Annual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Consolidated Financial Statements: The following Consolidated Financial Statements are included in Part II, Item 8 of this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as of December 31, 2025 and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Earnings for the Years ended December 31, 2025, 2024, and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for the Years ended December 31, 2025, 2024, and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 for the Years ended December 31, 2025, 2024, and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the Years ended December 31, 2025, 2024, and 2023</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Exhibits</w:t>
      </w:r>
    </w:p>
    <w:p>
      <w:pPr>
        <w:pStyle w:val="TextBody"/>
        <w:bidi w:val="0"/>
        <w:spacing w:before="0" w:after="0"/>
        <w:ind w:left="0" w:right="0" w:hanging="720"/>
        <w:jc w:val="left"/>
        <w:rPr/>
      </w:pPr>
      <w:r>
        <w:rPr/>
      </w:r>
    </w:p>
    <w:tbl>
      <w:tblPr>
        <w:tblW w:w="10205" w:type="dxa"/>
        <w:jc w:val="center"/>
        <w:tblInd w:w="0" w:type="dxa"/>
        <w:tblLayout w:type="fixed"/>
        <w:tblCellMar>
          <w:top w:w="28" w:type="dxa"/>
          <w:left w:w="28" w:type="dxa"/>
          <w:bottom w:w="28" w:type="dxa"/>
          <w:right w:w="28" w:type="dxa"/>
        </w:tblCellMar>
      </w:tblPr>
      <w:tblGrid>
        <w:gridCol w:w="296"/>
        <w:gridCol w:w="260"/>
        <w:gridCol w:w="261"/>
        <w:gridCol w:w="109"/>
        <w:gridCol w:w="109"/>
        <w:gridCol w:w="109"/>
        <w:gridCol w:w="2975"/>
        <w:gridCol w:w="2511"/>
        <w:gridCol w:w="3575"/>
      </w:tblGrid>
      <w:tr>
        <w:trPr/>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 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Equity Purchase Agreement by and among RIPIC Holdco Inc., Roper International Holding, Inc., RIPIC Equity LLC, CD&amp;R Tree Delaware Holdings, L.P. AND, solely for purposes of section 6.25, Roper Technologies, Inc. dated as of May 29, 2022.*</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Amended and Restated Certificate of Incorporation effective as of June 13, 2023.</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 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Amended and Restated By-Laws.</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 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Indenture between Registrant and Wells Fargo Bank, dated as of August 4, 2008.</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 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u w:val="single"/>
                </w:rPr>
                <w:t>Indenture between Registrant and Wells Fargo Bank, dated as of November 26, 2018.</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 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u w:val="single"/>
                </w:rPr>
                <w:t>Form of Note.</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(g) 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20"/>
                  <w:u w:val="single"/>
                </w:rPr>
                <w:t>Form of 4.200% Senior Notes due 2028.</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(h) 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20"/>
                  <w:u w:val="single"/>
                </w:rPr>
                <w:t>Form of 3.800% Senior Notes due 2026.</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 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20"/>
                  <w:u w:val="single"/>
                </w:rPr>
                <w:t>Form of 2.950% Senior Notes due 2029.</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 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20"/>
                  <w:u w:val="single"/>
                </w:rPr>
                <w:t>Form of 2.000% Senior Notes due 2030.</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(k) 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20"/>
                  <w:u w:val="single"/>
                </w:rPr>
                <w:t>Form of 1.400% Senior Notes due 2027.</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(k) 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20"/>
                  <w:u w:val="single"/>
                </w:rPr>
                <w:t>Form of 1.750% Senior Notes due 2031.</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 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FF"/>
                  <w:sz w:val="20"/>
                  <w:u w:val="single"/>
                </w:rPr>
                <w:t>Form of 4.500% Senior Notes due 2029.</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 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20"/>
                  <w:u w:val="single"/>
                </w:rPr>
                <w:t>Form of 4.750% Senior Notes due 2032.</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 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20"/>
                  <w:u w:val="single"/>
                </w:rPr>
                <w:t>Form of 4.900% Senior Notes due 2034.</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 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20"/>
                  <w:u w:val="single"/>
                </w:rPr>
                <w:t>Form of 4.250% Senior Notes due 2028.</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 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FF"/>
                  <w:sz w:val="20"/>
                  <w:u w:val="single"/>
                </w:rPr>
                <w:t>Form of 4.450% Senior Notes due 2030.</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 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20"/>
                  <w:u w:val="single"/>
                </w:rPr>
                <w:t>Form of 5.100% Senior Notes due 2035.</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 4.16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80"/>
                  <w:sz w:val="20"/>
                  <w:u w:val="single"/>
                </w:rPr>
                <w:t>Description of Registrant’s Securities Registered Pursuant to Section 12 of the Securities Exchange Act of 1934</w:t>
              </w:r>
            </w:hyperlink>
            <w:hyperlink r:id="rId22">
              <w:r>
                <w:rPr>
                  <w:rStyle w:val="InternetLink"/>
                  <w:rFonts w:ascii="Times New Roman;serif" w:hAnsi="Times New Roman;serif"/>
                  <w:b w:val="false"/>
                  <w:color w:val="000080"/>
                  <w:sz w:val="20"/>
                  <w:u w:val="single"/>
                </w:rPr>
                <w:t>.</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FF"/>
                  <w:sz w:val="20"/>
                  <w:u w:val="single"/>
                </w:rPr>
                <w:t>Employee Stock Purchase Plan, as Amended and Restated. †</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ropernqdcplanamendedandres.htm">
              <w:r>
                <w:rPr>
                  <w:rStyle w:val="InternetLink"/>
                  <w:rFonts w:ascii="Times New Roman;serif" w:hAnsi="Times New Roman;serif"/>
                  <w:b w:val="false"/>
                  <w:color w:val="000080"/>
                  <w:sz w:val="20"/>
                  <w:u w:val="single"/>
                </w:rPr>
                <w:t>Non-Qualified Retirement Plan, as Amended and Restated</w:t>
              </w:r>
            </w:hyperlink>
            <w:hyperlink w:anchor="ropernqdcplanamendedandres.htm">
              <w:r>
                <w:rPr>
                  <w:rStyle w:val="InternetLink"/>
                  <w:rFonts w:ascii="Times New Roman;serif" w:hAnsi="Times New Roman;serif"/>
                  <w:b w:val="false"/>
                  <w:color w:val="000080"/>
                  <w:sz w:val="20"/>
                  <w:u w:val="single"/>
                </w:rPr>
                <w:t>, filed herewith</w:t>
              </w:r>
            </w:hyperlink>
            <w:hyperlink w:anchor="ropernqdcplanamendedandres.htm">
              <w:r>
                <w:rPr>
                  <w:rStyle w:val="InternetLink"/>
                  <w:rFonts w:ascii="Times New Roman;serif" w:hAnsi="Times New Roman;serif"/>
                  <w:b w:val="false"/>
                  <w:color w:val="000080"/>
                  <w:sz w:val="20"/>
                  <w:u w:val="single"/>
                </w:rPr>
                <w:t>. †</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 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erif" w:hAnsi="Times New Roman;serif"/>
                  <w:b w:val="false"/>
                  <w:color w:val="0000FF"/>
                  <w:sz w:val="20"/>
                  <w:u w:val="single"/>
                </w:rPr>
                <w:t>Credit Agreement dated as of July 21, 2022, among Roper, the foreign subsidiary borrowers from time to time party thereto, the financial institutions party thereto, JPMorgan Chase Bank, N.A., as administrative agent, Bank of America, N.A. and Wells Fargo Bank, N.A., as syndication agents, and Mizuho Bank, Ltd., MUFG Bank, Ltd., PNC Bank, National Association, TD Bank, N.A., Truist Bank and U.S. Bank, National Association, as documentation agents.</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(q) 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erif" w:hAnsi="Times New Roman;serif"/>
                  <w:b w:val="false"/>
                  <w:color w:val="0000FF"/>
                  <w:sz w:val="20"/>
                  <w:u w:val="single"/>
                </w:rPr>
                <w:t>Amended and Restated 2006 Incentive Plan. †</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(r) 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FF"/>
                  <w:sz w:val="20"/>
                  <w:u w:val="single"/>
                </w:rPr>
                <w:t>Form of Non-Statutory Stock Option Agreement, under the 2006 Incentive Plan. †</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 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00FF"/>
                  <w:sz w:val="20"/>
                  <w:u w:val="single"/>
                </w:rPr>
                <w:t>Offer Letter to John K. Stipancich. †</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 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80"/>
                  <w:sz w:val="20"/>
                  <w:u w:val="single"/>
                </w:rPr>
                <w:t xml:space="preserve">Form of </w:t>
              </w:r>
            </w:hyperlink>
            <w:hyperlink r:id="rId29">
              <w:r>
                <w:rPr>
                  <w:rStyle w:val="InternetLink"/>
                  <w:rFonts w:ascii="Times New Roman;serif" w:hAnsi="Times New Roman;serif"/>
                  <w:b w:val="false"/>
                  <w:color w:val="000080"/>
                  <w:sz w:val="20"/>
                  <w:u w:val="single"/>
                </w:rPr>
                <w:t>D</w:t>
              </w:r>
            </w:hyperlink>
            <w:hyperlink r:id="rId30">
              <w:r>
                <w:rPr>
                  <w:rStyle w:val="InternetLink"/>
                  <w:rFonts w:ascii="Times New Roman;serif" w:hAnsi="Times New Roman;serif"/>
                  <w:b w:val="false"/>
                  <w:color w:val="000080"/>
                  <w:sz w:val="20"/>
                  <w:u w:val="single"/>
                </w:rPr>
                <w:t xml:space="preserve">irector and </w:t>
              </w:r>
            </w:hyperlink>
            <w:hyperlink r:id="rId31">
              <w:r>
                <w:rPr>
                  <w:rStyle w:val="InternetLink"/>
                  <w:rFonts w:ascii="Times New Roman;serif" w:hAnsi="Times New Roman;serif"/>
                  <w:b w:val="false"/>
                  <w:color w:val="000080"/>
                  <w:sz w:val="20"/>
                  <w:u w:val="single"/>
                </w:rPr>
                <w:t>O</w:t>
              </w:r>
            </w:hyperlink>
            <w:hyperlink r:id="rId32">
              <w:r>
                <w:rPr>
                  <w:rStyle w:val="InternetLink"/>
                  <w:rFonts w:ascii="Times New Roman;serif" w:hAnsi="Times New Roman;serif"/>
                  <w:b w:val="false"/>
                  <w:color w:val="000080"/>
                  <w:sz w:val="20"/>
                  <w:u w:val="single"/>
                </w:rPr>
                <w:t>fficer Indemnification Agreement. †</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 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erif" w:hAnsi="Times New Roman;serif"/>
                  <w:b w:val="false"/>
                  <w:color w:val="0000FF"/>
                  <w:sz w:val="20"/>
                  <w:u w:val="single"/>
                </w:rPr>
                <w:t>2016 Incentive Plan. †</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 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FF"/>
                  <w:sz w:val="20"/>
                  <w:u w:val="single"/>
                </w:rPr>
                <w:t>Amendment No. 1 to the 2016 Incentive Plan. †</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 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erif" w:hAnsi="Times New Roman;serif"/>
                  <w:b w:val="false"/>
                  <w:color w:val="0000FF"/>
                  <w:sz w:val="20"/>
                  <w:u w:val="single"/>
                </w:rPr>
                <w:t>Form of Non-Statutory Stock Option Agreement, under the 2016 Incentive Plan. †</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(x) 10.11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erif" w:hAnsi="Times New Roman;serif"/>
                  <w:b w:val="false"/>
                  <w:color w:val="0000FF"/>
                  <w:sz w:val="20"/>
                  <w:u w:val="single"/>
                </w:rPr>
                <w:t>Offer Letter to Neil Hunn. †</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 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erif" w:hAnsi="Times New Roman;serif"/>
                  <w:b w:val="false"/>
                  <w:color w:val="0000FF"/>
                  <w:sz w:val="20"/>
                  <w:u w:val="single"/>
                </w:rPr>
                <w:t>Long-Term Incentive Opportunity Agreement for Neil Hunn. †</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(z) 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erif" w:hAnsi="Times New Roman;serif"/>
                  <w:b w:val="false"/>
                  <w:color w:val="0000FF"/>
                  <w:sz w:val="20"/>
                  <w:u w:val="single"/>
                </w:rPr>
                <w:t>2021 Incentive Plan. †</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(z) 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erif" w:hAnsi="Times New Roman;serif"/>
                  <w:b w:val="false"/>
                  <w:color w:val="0000FF"/>
                  <w:sz w:val="20"/>
                  <w:u w:val="single"/>
                </w:rPr>
                <w:t>Form of Performance-Based Restricted Stock Award Agreement, under the 2021 Incentive Plan. †</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(z) 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erif" w:hAnsi="Times New Roman;serif"/>
                  <w:b w:val="false"/>
                  <w:color w:val="000080"/>
                  <w:sz w:val="20"/>
                  <w:u w:val="single"/>
                </w:rPr>
                <w:t>Form of Non-Statutory Stock Option</w:t>
              </w:r>
            </w:hyperlink>
            <w:hyperlink r:id="rId41">
              <w:r>
                <w:rPr>
                  <w:rStyle w:val="InternetLink"/>
                  <w:rFonts w:ascii="Times New Roman;serif" w:hAnsi="Times New Roman;serif"/>
                  <w:b w:val="false"/>
                  <w:color w:val="000080"/>
                  <w:sz w:val="20"/>
                  <w:u w:val="single"/>
                </w:rPr>
                <w:t xml:space="preserve"> Award</w:t>
              </w:r>
            </w:hyperlink>
            <w:hyperlink r:id="rId42">
              <w:r>
                <w:rPr>
                  <w:rStyle w:val="InternetLink"/>
                  <w:rFonts w:ascii="Times New Roman;serif" w:hAnsi="Times New Roman;serif"/>
                  <w:b w:val="false"/>
                  <w:color w:val="000080"/>
                  <w:sz w:val="20"/>
                  <w:u w:val="single"/>
                </w:rPr>
                <w:t xml:space="preserve"> Agreement, under the 2021 Incentive Plan. †</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(z) 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erif" w:hAnsi="Times New Roman;serif"/>
                  <w:b w:val="false"/>
                  <w:color w:val="0000FF"/>
                  <w:sz w:val="20"/>
                  <w:u w:val="single"/>
                </w:rPr>
                <w:t>Form of Time-Based Restricted Stock Award Agreement, under the 2021 Incentive Plan. †</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(aa) 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erif" w:hAnsi="Times New Roman;serif"/>
                  <w:b w:val="false"/>
                  <w:color w:val="0000FF"/>
                  <w:sz w:val="20"/>
                  <w:u w:val="single"/>
                </w:rPr>
                <w:t>Form of Performance Share Unit Award Agreement, under the 2021 Incentive Plan. †</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(bb) 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Times New Roman;serif" w:hAnsi="Times New Roman;serif"/>
                  <w:b w:val="false"/>
                  <w:color w:val="0000FF"/>
                  <w:sz w:val="20"/>
                  <w:u w:val="single"/>
                </w:rPr>
                <w:t>Form of Time-Based Restricted Stock Unit Award Agreement, for use commencing in 2024 under the 2021 Incentive Plan. †</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(bb) 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Times New Roman;serif" w:hAnsi="Times New Roman;serif"/>
                  <w:b w:val="false"/>
                  <w:color w:val="0000FF"/>
                  <w:sz w:val="20"/>
                  <w:u w:val="single"/>
                </w:rPr>
                <w:t>Form of Executive Officer Performance Share Unit Award Agreement, for use commencing in 2024 under the 2021 Incentive Plan. †</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(bb) 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Times New Roman;serif" w:hAnsi="Times New Roman;serif"/>
                  <w:b w:val="false"/>
                  <w:color w:val="0000FF"/>
                  <w:sz w:val="20"/>
                  <w:u w:val="single"/>
                </w:rPr>
                <w:t>Form of Senior Management Performance Share Unit Award Agreement, for use commencing in 2024 under the 2021 Incentive Plan. †</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(cc) 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erif" w:hAnsi="Times New Roman;serif"/>
                  <w:b w:val="false"/>
                  <w:color w:val="0000FF"/>
                  <w:sz w:val="20"/>
                  <w:u w:val="single"/>
                </w:rPr>
                <w:t>Form of Non-Statutory Stock Option Award Agreement, for use commencing in 2025 under the 2021 Incentive Plan. †</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(cc) 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Times New Roman;serif" w:hAnsi="Times New Roman;serif"/>
                  <w:b w:val="false"/>
                  <w:color w:val="000080"/>
                  <w:sz w:val="20"/>
                  <w:u w:val="single"/>
                </w:rPr>
                <w:t>Form of Time-Based Restricted Stock Unit Award Agreement, for use commencing in 202</w:t>
              </w:r>
            </w:hyperlink>
            <w:hyperlink r:id="rId50">
              <w:r>
                <w:rPr>
                  <w:rStyle w:val="InternetLink"/>
                  <w:rFonts w:ascii="Times New Roman;serif" w:hAnsi="Times New Roman;serif"/>
                  <w:b w:val="false"/>
                  <w:color w:val="000080"/>
                  <w:sz w:val="20"/>
                  <w:u w:val="single"/>
                </w:rPr>
                <w:t>5</w:t>
              </w:r>
            </w:hyperlink>
            <w:hyperlink r:id="rId51">
              <w:r>
                <w:rPr>
                  <w:rStyle w:val="InternetLink"/>
                  <w:rFonts w:ascii="Times New Roman;serif" w:hAnsi="Times New Roman;serif"/>
                  <w:b w:val="false"/>
                  <w:color w:val="000080"/>
                  <w:sz w:val="20"/>
                  <w:u w:val="single"/>
                </w:rPr>
                <w:t xml:space="preserve"> under the 2021 Incentive Plan. †</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(cc) 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Times New Roman;serif" w:hAnsi="Times New Roman;serif"/>
                  <w:b w:val="false"/>
                  <w:color w:val="0000FF"/>
                  <w:sz w:val="20"/>
                  <w:u w:val="single"/>
                </w:rPr>
                <w:t>Form of Executive Officer Performance Share Unit Award Agreement, for use commencing in 2025 under the 2021 Incentive Plan. †</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(cc) 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3">
              <w:r>
                <w:rPr>
                  <w:rStyle w:val="InternetLink"/>
                  <w:rFonts w:ascii="Times New Roman;serif" w:hAnsi="Times New Roman;serif"/>
                  <w:b w:val="false"/>
                  <w:color w:val="0000FF"/>
                  <w:sz w:val="20"/>
                  <w:u w:val="single"/>
                </w:rPr>
                <w:t>Form of Senior Management Performance Share Unit Award Agreement, for use commencing in 2025 under the 2021 Incentive Plan. †</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(dd) 10.25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4">
              <w:r>
                <w:rPr>
                  <w:rStyle w:val="InternetLink"/>
                  <w:rFonts w:ascii="Times New Roman;serif" w:hAnsi="Times New Roman;serif"/>
                  <w:b w:val="false"/>
                  <w:color w:val="0000FF"/>
                  <w:sz w:val="20"/>
                  <w:u w:val="single"/>
                </w:rPr>
                <w:t>Roper Technologies, Inc. Director Compensation Plan. †</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(dd) 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5">
              <w:r>
                <w:rPr>
                  <w:rStyle w:val="InternetLink"/>
                  <w:rFonts w:ascii="Times New Roman;serif" w:hAnsi="Times New Roman;serif"/>
                  <w:b w:val="false"/>
                  <w:color w:val="000080"/>
                  <w:sz w:val="20"/>
                  <w:u w:val="single"/>
                </w:rPr>
                <w:t>Form of Non-Employee Director Restricted Stock Unit Award Agreement, under the 2021 Incentive Plan (included in Exhibit 10.2</w:t>
              </w:r>
            </w:hyperlink>
            <w:hyperlink r:id="rId56">
              <w:r>
                <w:rPr>
                  <w:rStyle w:val="InternetLink"/>
                  <w:rFonts w:ascii="Times New Roman;serif" w:hAnsi="Times New Roman;serif"/>
                  <w:b w:val="false"/>
                  <w:color w:val="000080"/>
                  <w:sz w:val="20"/>
                  <w:u w:val="single"/>
                </w:rPr>
                <w:t>5</w:t>
              </w:r>
            </w:hyperlink>
            <w:hyperlink r:id="rId57">
              <w:r>
                <w:rPr>
                  <w:rStyle w:val="InternetLink"/>
                  <w:rFonts w:ascii="Times New Roman;serif" w:hAnsi="Times New Roman;serif"/>
                  <w:b w:val="false"/>
                  <w:color w:val="000080"/>
                  <w:sz w:val="20"/>
                  <w:u w:val="single"/>
                </w:rPr>
                <w:t>). †</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(dd) 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8">
              <w:r>
                <w:rPr>
                  <w:rStyle w:val="InternetLink"/>
                  <w:rFonts w:ascii="Times New Roman;serif" w:hAnsi="Times New Roman;serif"/>
                  <w:b w:val="false"/>
                  <w:color w:val="000080"/>
                  <w:sz w:val="20"/>
                  <w:u w:val="single"/>
                </w:rPr>
                <w:t>Form of Non-Employee Director Restricted Stock Award Agreement, under the 2021 Incentive Plan (included in Exhibit 10.2</w:t>
              </w:r>
            </w:hyperlink>
            <w:hyperlink r:id="rId59">
              <w:r>
                <w:rPr>
                  <w:rStyle w:val="InternetLink"/>
                  <w:rFonts w:ascii="Times New Roman;serif" w:hAnsi="Times New Roman;serif"/>
                  <w:b w:val="false"/>
                  <w:color w:val="000080"/>
                  <w:sz w:val="20"/>
                  <w:u w:val="single"/>
                </w:rPr>
                <w:t>5</w:t>
              </w:r>
            </w:hyperlink>
            <w:hyperlink r:id="rId60">
              <w:r>
                <w:rPr>
                  <w:rStyle w:val="InternetLink"/>
                  <w:rFonts w:ascii="Times New Roman;serif" w:hAnsi="Times New Roman;serif"/>
                  <w:b w:val="false"/>
                  <w:color w:val="000080"/>
                  <w:sz w:val="20"/>
                  <w:u w:val="single"/>
                </w:rPr>
                <w:t>). †</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(ee) 10.28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1">
              <w:r>
                <w:rPr>
                  <w:rStyle w:val="InternetLink"/>
                  <w:rFonts w:ascii="Times New Roman;serif" w:hAnsi="Times New Roman;serif"/>
                  <w:b w:val="false"/>
                  <w:color w:val="000080"/>
                  <w:sz w:val="20"/>
                  <w:u w:val="single"/>
                </w:rPr>
                <w:t>First Amendment to Roper Technologies, Inc. Director Compensation Plan</w:t>
              </w:r>
            </w:hyperlink>
            <w:hyperlink r:id="rId62">
              <w:r>
                <w:rPr>
                  <w:rStyle w:val="InternetLink"/>
                  <w:rFonts w:ascii="Times New Roman;serif" w:hAnsi="Times New Roman;serif"/>
                  <w:b w:val="false"/>
                  <w:color w:val="000080"/>
                  <w:sz w:val="20"/>
                  <w:u w:val="single"/>
                </w:rPr>
                <w:t>.</w:t>
              </w:r>
            </w:hyperlink>
            <w:hyperlink r:id="rId63">
              <w:r>
                <w:rPr>
                  <w:rStyle w:val="InternetLink"/>
                  <w:rFonts w:ascii="Times New Roman;serif" w:hAnsi="Times New Roman;serif"/>
                  <w:b w:val="false"/>
                  <w:color w:val="000080"/>
                  <w:sz w:val="20"/>
                  <w:u w:val="single"/>
                </w:rPr>
                <w:t xml:space="preserve"> †</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(ee) 10.29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4">
              <w:r>
                <w:rPr>
                  <w:rStyle w:val="InternetLink"/>
                  <w:rFonts w:ascii="Times New Roman;serif" w:hAnsi="Times New Roman;serif"/>
                  <w:b w:val="false"/>
                  <w:color w:val="0000FF"/>
                  <w:sz w:val="20"/>
                  <w:u w:val="single"/>
                </w:rPr>
                <w:t>Form of Non-Employee Director Unrestricted Stock Unit Award Agreement. †</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(ff) 10.30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5">
              <w:r>
                <w:rPr>
                  <w:rStyle w:val="InternetLink"/>
                  <w:rFonts w:ascii="Times New Roman;serif" w:hAnsi="Times New Roman;serif"/>
                  <w:b w:val="false"/>
                  <w:color w:val="000080"/>
                  <w:sz w:val="20"/>
                  <w:u w:val="single"/>
                </w:rPr>
                <w:t>Second Amendment to Roper Technologies, Inc. Director Compensation Plan</w:t>
              </w:r>
            </w:hyperlink>
            <w:hyperlink r:id="rId66">
              <w:r>
                <w:rPr>
                  <w:rStyle w:val="InternetLink"/>
                  <w:rFonts w:ascii="Times New Roman;serif" w:hAnsi="Times New Roman;serif"/>
                  <w:b w:val="false"/>
                  <w:color w:val="000080"/>
                  <w:sz w:val="20"/>
                  <w:u w:val="single"/>
                </w:rPr>
                <w:t>.</w:t>
              </w:r>
            </w:hyperlink>
            <w:hyperlink r:id="rId67">
              <w:r>
                <w:rPr>
                  <w:rStyle w:val="InternetLink"/>
                  <w:rFonts w:ascii="Times New Roman;serif" w:hAnsi="Times New Roman;serif"/>
                  <w:b w:val="false"/>
                  <w:color w:val="000080"/>
                  <w:sz w:val="20"/>
                  <w:u w:val="single"/>
                </w:rPr>
                <w:t xml:space="preserve"> †</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(ff) 10.31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8">
              <w:r>
                <w:rPr>
                  <w:rStyle w:val="InternetLink"/>
                  <w:rFonts w:ascii="Times New Roman;serif" w:hAnsi="Times New Roman;serif"/>
                  <w:b w:val="false"/>
                  <w:color w:val="000080"/>
                  <w:sz w:val="20"/>
                  <w:u w:val="single"/>
                </w:rPr>
                <w:t>Form of Non-Employee Director Deferred</w:t>
              </w:r>
            </w:hyperlink>
            <w:hyperlink r:id="rId69">
              <w:r>
                <w:rPr>
                  <w:rStyle w:val="InternetLink"/>
                  <w:rFonts w:ascii="Times New Roman;serif" w:hAnsi="Times New Roman;serif"/>
                  <w:b w:val="false"/>
                  <w:color w:val="000080"/>
                  <w:sz w:val="20"/>
                  <w:u w:val="single"/>
                </w:rPr>
                <w:t xml:space="preserve"> Restricted</w:t>
              </w:r>
            </w:hyperlink>
            <w:hyperlink r:id="rId70">
              <w:r>
                <w:rPr>
                  <w:rStyle w:val="InternetLink"/>
                  <w:rFonts w:ascii="Times New Roman;serif" w:hAnsi="Times New Roman;serif"/>
                  <w:b w:val="false"/>
                  <w:color w:val="000080"/>
                  <w:sz w:val="20"/>
                  <w:u w:val="single"/>
                </w:rPr>
                <w:t xml:space="preserve"> </w:t>
              </w:r>
            </w:hyperlink>
            <w:hyperlink r:id="rId71">
              <w:r>
                <w:rPr>
                  <w:rStyle w:val="InternetLink"/>
                  <w:rFonts w:ascii="Times New Roman;serif" w:hAnsi="Times New Roman;serif"/>
                  <w:b w:val="false"/>
                  <w:color w:val="000080"/>
                  <w:sz w:val="20"/>
                  <w:u w:val="single"/>
                </w:rPr>
                <w:t>Stock Unit Award Agreement. †</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securitiestransactioncompl.htm">
              <w:r>
                <w:rPr>
                  <w:rStyle w:val="InternetLink"/>
                  <w:rFonts w:ascii="Times New Roman;serif" w:hAnsi="Times New Roman;serif"/>
                  <w:b w:val="false"/>
                  <w:color w:val="0000FF"/>
                  <w:sz w:val="20"/>
                  <w:u w:val="single"/>
                </w:rPr>
                <w:t>Roper Technologies, Inc. Securities Transaction Compliance Program, filed herewith.</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202510-kex211.htm">
              <w:r>
                <w:rPr>
                  <w:rStyle w:val="InternetLink"/>
                  <w:rFonts w:ascii="Times New Roman;serif" w:hAnsi="Times New Roman;serif"/>
                  <w:b w:val="false"/>
                  <w:color w:val="0000FF"/>
                  <w:sz w:val="20"/>
                  <w:u w:val="single"/>
                </w:rPr>
                <w:t>List of Subsidiaries, filed herewith.</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202510-kex231.htm">
              <w:r>
                <w:rPr>
                  <w:rStyle w:val="InternetLink"/>
                  <w:rFonts w:ascii="Times New Roman;serif" w:hAnsi="Times New Roman;serif"/>
                  <w:b w:val="false"/>
                  <w:color w:val="0000FF"/>
                  <w:sz w:val="20"/>
                  <w:u w:val="single"/>
                </w:rPr>
                <w:t>Consent of Independent Registered Public Accountants, filed herewith.</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202510-kex311.htm">
              <w:r>
                <w:rPr>
                  <w:rStyle w:val="InternetLink"/>
                  <w:rFonts w:ascii="Times New Roman;serif" w:hAnsi="Times New Roman;serif"/>
                  <w:b w:val="false"/>
                  <w:color w:val="0000FF"/>
                  <w:sz w:val="20"/>
                  <w:u w:val="single"/>
                </w:rPr>
                <w:t>Rule 13a-14(a)/15d-14(a) Certification of the Chief Executive Officer, filed herewith.</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202510-kex312.htm">
              <w:r>
                <w:rPr>
                  <w:rStyle w:val="InternetLink"/>
                  <w:rFonts w:ascii="Times New Roman;serif" w:hAnsi="Times New Roman;serif"/>
                  <w:b w:val="false"/>
                  <w:color w:val="0000FF"/>
                  <w:sz w:val="20"/>
                  <w:u w:val="single"/>
                </w:rPr>
                <w:t>Rule 13a-14(a)/15d-14(a) Certification of the Chief Financial Officer, filed herewith.</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202510-kex321.htm">
              <w:r>
                <w:rPr>
                  <w:rStyle w:val="InternetLink"/>
                  <w:rFonts w:ascii="Times New Roman;serif" w:hAnsi="Times New Roman;serif"/>
                  <w:b w:val="false"/>
                  <w:color w:val="0000FF"/>
                  <w:sz w:val="20"/>
                  <w:u w:val="single"/>
                </w:rPr>
                <w:t>Section 1350 Certification of the Chief Executive and Chief Financial Officers, furnished herewith.</w:t>
              </w:r>
            </w:hyperlink>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(gg) 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2">
              <w:r>
                <w:rPr>
                  <w:rStyle w:val="InternetLink"/>
                  <w:rFonts w:ascii="Times New Roman;serif" w:hAnsi="Times New Roman;serif"/>
                  <w:b w:val="false"/>
                  <w:color w:val="0000FF"/>
                  <w:sz w:val="20"/>
                  <w:u w:val="single"/>
                </w:rPr>
                <w:t>Roper Technologies, Inc. Compensation Clawback Policy. †</w:t>
              </w:r>
            </w:hyperlink>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furnished herewith.</w:t>
            </w:r>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 furnished herewith.</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 furnished herewith.</w:t>
            </w:r>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 furnished herewith.</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 furnished herewith.</w:t>
            </w:r>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 furnished herewith.</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related exhibits and schedules are not being filed herewith. The Company agrees to furnish supplementally a copy of any such exhibits and schedules to the Securities and Exchange Commission upon request.</w:t>
            </w:r>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2.1 to the Company’s Quarterly Report on Form 10-Q filed August 3, 2022 (file no. 1-12273).</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3.1 to the Company’s Current Report on Form 8-K filed June 14, 2023 (file no. 1-12273).</w:t>
            </w:r>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3.1 to the Company’s Current Report on Form 8-K filed November 7, 2024 (file no. 1-12273).</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4.2 to the Company’s Quarterly Report on Form 10-Q filed November 7, 2008 (file no. 1-12273).</w:t>
            </w:r>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4.1 to the Company’s Registration Statement on Form S-3ASR filed November 26, 2018 (file no. 333-228532).</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4.2 to the Company’s Registration Statement on Form S-3ASR filed November 25, 2015 (file no. 333-208200).</w:t>
            </w:r>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4.1 to the Company’s Current Report on Form 8-K filed August 28, 2018 (file no. 1-12273).</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4.1 to the Company’s Current Report on Form 8-K filed December 19, 2016 (file no. 1-12273).</w:t>
            </w:r>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4.1 to the Company’s Current Report on Form 8-K filed August 26, 2019 (file no. 1-12273).</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4.1 to the Company’s Current Report on Form 8-K filed June 22, 2020 (file no. 1-12273).</w:t>
            </w:r>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4.1 to the Company’s Current Report on Form 8-K filed September 1, 2020 (file no. 1-12273).</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4.1 to the Company’s Current Report on Form 8-K filed August 21, 2024 (file no. 1-12273).</w:t>
            </w:r>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4.1 to the Company’s Current Report on Form 8-K filed August 12, 2025 (file no. 1-12273).</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4.15 to the Company’s Annual Report on Form 10-K filed February 24, 2025 (file no. 1-12273).</w:t>
            </w:r>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10.1 to the Company’s Quarterly Report on Form 10-Q filed August 1, 2024 (file no. 1-12273).</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10.1 to the Company’s Current Report on Form 8-K filed July 22, 2022 (file no. 1-12273).</w:t>
            </w:r>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Appendix A to the Company’s Definitive Proxy Statement on Schedule 14A filed April 30, 2012 (file no. 1-12273).</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10.5 to the Company’s Current Report on Form 8-K filed December 6, 2006 (file no. 1-12273).</w:t>
            </w:r>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10.17 to the Company’s Annual Report on Form 10-K filed February 27, 2017 (file no. 1-12273).</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10.1 to the Company’s Quarterly Report on Form 10-Q filed November 5, 2018 (file no. 1-12273).</w:t>
            </w:r>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Appendix B to the Company’s Definitive Proxy Statement on Schedule 14A filed April 26, 2016 (file no. 1-12273).</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10.20 to the Company’s Annual Report on Form 10-K filed February 27, 2017 (file no. 1-12273).</w:t>
            </w:r>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10.16 to the Company’s Annual Report on Form 10-K filed February 25, 2019 (file no. 1-12273).</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10.22 to the Company’s Annual Report on Form 10-K filed February 23, 2018 (file no. 1-12273).</w:t>
            </w:r>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10.1 to the Company’s Current Report on Form 8-K filed November 26, 2019 (file no. 1-12273).</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Exhibits 10.1, 10.2, 10.3, and 10.4 to the Company’s Current Report on Form 8-K filed June 14, 2021 (file no. 1-12273).</w:t>
            </w:r>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10.22 to the Company’s Annual Report on Form 10-K filed February 22, 2024 (file no. 1-12273).</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Exhibits 10.1, 10.2, and 10.3 to the Company’s Quarterly Report on Form 10-Q filed May 3, 2024 (file no. 1-12273).</w:t>
            </w:r>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Exhibits 10.1, 10.2, 10.3, and 10.4 to the Company’s Quarterly Report on Form 10-Q filed May 2, 2025 (file no. 1-12273).</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Exhibits 10.5, 10.6, and 10.7 to the Company’s Quarterly Report on Form 10-Q filed August 5, 2021 (file no. 1-12273).</w:t>
            </w:r>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Exhibits 10.1 and 10.2 to the Company’s Quarterly Report on Form 10-Q filed August 1, 2025 (file no. 1-12273).</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Exhibits 10.1 and 10.2 to the Company’s Quarterly Report on Form 10-Q filed October 31, 2025 (file no. 1-12273).</w:t>
            </w:r>
          </w:p>
        </w:tc>
      </w:tr>
      <w:tr>
        <w:trPr/>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gg)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97.1 to the Company’s Annual Report on Form 10-K filed February 22, 2024 (file no. 1-12273).</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r>
        <w:rPr>
          <w:rFonts w:ascii="Times New Roman;serif" w:hAnsi="Times New Roman;serif"/>
          <w:b/>
          <w:color w:val="000000"/>
          <w:sz w:val="20"/>
        </w:rPr>
        <w: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ROPER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w:t>
      </w:r>
    </w:p>
    <w:tbl>
      <w:tblPr>
        <w:tblW w:w="7013" w:type="dxa"/>
        <w:jc w:val="center"/>
        <w:tblInd w:w="0" w:type="dxa"/>
        <w:tblLayout w:type="fixed"/>
        <w:tblCellMar>
          <w:top w:w="28" w:type="dxa"/>
          <w:left w:w="28" w:type="dxa"/>
          <w:bottom w:w="28" w:type="dxa"/>
          <w:right w:w="28" w:type="dxa"/>
        </w:tblCellMar>
      </w:tblPr>
      <w:tblGrid>
        <w:gridCol w:w="151"/>
        <w:gridCol w:w="134"/>
        <w:gridCol w:w="135"/>
        <w:gridCol w:w="109"/>
        <w:gridCol w:w="109"/>
        <w:gridCol w:w="109"/>
        <w:gridCol w:w="1432"/>
        <w:gridCol w:w="1432"/>
        <w:gridCol w:w="1441"/>
        <w:gridCol w:w="109"/>
        <w:gridCol w:w="109"/>
        <w:gridCol w:w="109"/>
        <w:gridCol w:w="478"/>
        <w:gridCol w:w="478"/>
        <w:gridCol w:w="678"/>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L. Neil Hunn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 Neil Hunn, 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jc w:val="both"/>
        <w:rPr/>
      </w:pPr>
      <w:r>
        <w:rPr/>
      </w:r>
    </w:p>
    <w:tbl>
      <w:tblPr>
        <w:tblW w:w="9204" w:type="dxa"/>
        <w:jc w:val="left"/>
        <w:tblInd w:w="0" w:type="dxa"/>
        <w:tblLayout w:type="fixed"/>
        <w:tblCellMar>
          <w:top w:w="28" w:type="dxa"/>
          <w:left w:w="28" w:type="dxa"/>
          <w:bottom w:w="28" w:type="dxa"/>
          <w:right w:w="28" w:type="dxa"/>
        </w:tblCellMar>
      </w:tblPr>
      <w:tblGrid>
        <w:gridCol w:w="1030"/>
        <w:gridCol w:w="905"/>
        <w:gridCol w:w="914"/>
        <w:gridCol w:w="109"/>
        <w:gridCol w:w="109"/>
        <w:gridCol w:w="109"/>
        <w:gridCol w:w="1463"/>
        <w:gridCol w:w="1463"/>
        <w:gridCol w:w="1468"/>
        <w:gridCol w:w="478"/>
        <w:gridCol w:w="478"/>
        <w:gridCol w:w="678"/>
      </w:tblGrid>
      <w:tr>
        <w:trPr/>
        <w:tc>
          <w:tcPr>
            <w:tcW w:w="103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L. NEIL HUNN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84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 Neil Hunn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JASON P. CONLEY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84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Jason P. Conley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BRANDON CROSS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Vice President and Corporate Controller</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84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Brandon Cross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AMY WOODS BRINKLEY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Chair of the Board of Directors</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84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Amy Woods Brinkley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SHELLYE L. ARCHAMBEAU</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84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Shellye L. Archambeau</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IRENE M. ESTEVES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84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Irene M. Esteves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ROBERT D. JOHNSON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84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Robert D. Johnson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THOMAS P. JOYCE,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84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Thomas P. Joyce,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JOHN F. MURPHY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84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John F. Murphy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LAURA G. THATCHER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84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Laura G. Thatcher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RICHARD F. WALLMAN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84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Richard F. Wallman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4805"/>
        <w:jc w:val="right"/>
        <w:rPr/>
      </w:pPr>
      <w:r>
        <w:rPr/>
      </w:r>
    </w:p>
    <w:p>
      <w:pPr>
        <w:pStyle w:val="TextBody"/>
        <w:bidi w:val="0"/>
        <w:spacing w:lineRule="auto" w:line="288" w:before="24" w:after="283"/>
        <w:jc w:val="center"/>
        <w:rPr>
          <w:rFonts w:ascii="Arial;sans-serif" w:hAnsi="Arial;sans-serif"/>
          <w:b/>
          <w:color w:val="000000"/>
          <w:sz w:val="20"/>
        </w:rPr>
      </w:pPr>
      <w:r>
        <w:rPr>
          <w:rFonts w:ascii="Arial;sans-serif" w:hAnsi="Arial;sans-serif"/>
          <w:b/>
          <w:color w:val="000000"/>
          <w:sz w:val="20"/>
        </w:rPr>
        <w:t>ROPER TECHNOLOGIES, INC.</w:t>
      </w:r>
    </w:p>
    <w:p>
      <w:pPr>
        <w:pStyle w:val="TextBody"/>
        <w:bidi w:val="0"/>
        <w:spacing w:lineRule="auto" w:line="288" w:before="24" w:after="264"/>
        <w:jc w:val="center"/>
        <w:rPr>
          <w:rFonts w:ascii="Arial;sans-serif" w:hAnsi="Arial;sans-serif"/>
          <w:b/>
          <w:color w:val="000000"/>
          <w:sz w:val="20"/>
          <w:u w:val="single"/>
        </w:rPr>
      </w:pPr>
      <w:r>
        <w:rPr>
          <w:rFonts w:ascii="Arial;sans-serif" w:hAnsi="Arial;sans-serif"/>
          <w:b/>
          <w:color w:val="000000"/>
          <w:sz w:val="20"/>
          <w:u w:val="single"/>
        </w:rPr>
        <w:t>NON-QUALIFIED RETIREMENT PLAN</w:t>
      </w:r>
    </w:p>
    <w:p>
      <w:pPr>
        <w:pStyle w:val="TextBody"/>
        <w:bidi w:val="0"/>
        <w:spacing w:lineRule="auto" w:line="288" w:before="24" w:after="3144"/>
        <w:jc w:val="center"/>
        <w:rPr>
          <w:rFonts w:ascii="Arial;sans-serif" w:hAnsi="Arial;sans-serif"/>
          <w:b w:val="false"/>
          <w:color w:val="000000"/>
          <w:sz w:val="20"/>
        </w:rPr>
      </w:pPr>
      <w:r>
        <w:rPr>
          <w:rFonts w:ascii="Arial;sans-serif" w:hAnsi="Arial;sans-serif"/>
          <w:b w:val="false"/>
          <w:color w:val="000000"/>
          <w:sz w:val="20"/>
        </w:rPr>
        <w:t>Amended and Restated Effective as of January 1, 2026</w:t>
      </w:r>
    </w:p>
    <w:p>
      <w:pPr>
        <w:pStyle w:val="TextBody"/>
        <w:bidi w:val="0"/>
        <w:spacing w:before="24" w:after="3144"/>
        <w:jc w:val="center"/>
        <w:rPr/>
      </w:pPr>
      <w:r>
        <w:rPr/>
      </w:r>
    </w:p>
    <w:p>
      <w:pPr>
        <w:pStyle w:val="TextBody"/>
        <w:bidi w:val="0"/>
        <w:spacing w:before="0" w:after="120"/>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02235"/>
                <wp:effectExtent l="0" t="0" r="0" b="0"/>
                <wp:wrapNone/>
                <wp:docPr id="72" name="Frame7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172.9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PAGE</w:t>
      </w:r>
    </w:p>
    <w:p>
      <w:pPr>
        <w:pStyle w:val="TextBody"/>
        <w:bidi w:val="0"/>
        <w:spacing w:before="0" w:after="0"/>
        <w:jc w:val="left"/>
        <w:rPr/>
      </w:pPr>
      <w:r>
        <w:rPr/>
      </w:r>
    </w:p>
    <w:p>
      <w:pPr>
        <w:pStyle w:val="TextBody"/>
        <w:bidi w:val="0"/>
        <w:spacing w:lineRule="auto" w:line="288" w:before="0" w:after="120"/>
        <w:ind w:left="0" w:right="0" w:hanging="1440"/>
        <w:jc w:val="left"/>
        <w:rPr>
          <w:rFonts w:ascii="Arial;sans-serif" w:hAnsi="Arial;sans-serif"/>
          <w:b w:val="false"/>
          <w:color w:val="000000"/>
          <w:sz w:val="20"/>
        </w:rPr>
      </w:pPr>
      <w:r>
        <w:rPr>
          <w:rFonts w:ascii="Arial;sans-serif" w:hAnsi="Arial;sans-serif"/>
          <w:b w:val="false"/>
          <w:color w:val="000000"/>
          <w:sz w:val="20"/>
        </w:rPr>
        <w:t>ARTICLE I ESTABLISHMENT AND PURPOSE    1</w:t>
      </w:r>
    </w:p>
    <w:p>
      <w:pPr>
        <w:pStyle w:val="TextBody"/>
        <w:bidi w:val="0"/>
        <w:spacing w:lineRule="auto" w:line="288" w:before="0" w:after="120"/>
        <w:ind w:left="0" w:right="0" w:hanging="1440"/>
        <w:jc w:val="left"/>
        <w:rPr>
          <w:rFonts w:ascii="Arial;sans-serif" w:hAnsi="Arial;sans-serif"/>
          <w:b w:val="false"/>
          <w:color w:val="000000"/>
          <w:sz w:val="20"/>
        </w:rPr>
      </w:pPr>
      <w:r>
        <w:rPr>
          <w:rFonts w:ascii="Arial;sans-serif" w:hAnsi="Arial;sans-serif"/>
          <w:b w:val="false"/>
          <w:color w:val="000000"/>
          <w:sz w:val="20"/>
        </w:rPr>
        <w:t>ARTICLE II DEFINITIONS    2</w:t>
      </w:r>
    </w:p>
    <w:p>
      <w:pPr>
        <w:pStyle w:val="TextBody"/>
        <w:bidi w:val="0"/>
        <w:spacing w:lineRule="auto" w:line="288" w:before="0" w:after="120"/>
        <w:ind w:left="0" w:right="0" w:hanging="1440"/>
        <w:jc w:val="left"/>
        <w:rPr>
          <w:rFonts w:ascii="Arial;sans-serif" w:hAnsi="Arial;sans-serif"/>
          <w:b w:val="false"/>
          <w:color w:val="000000"/>
          <w:sz w:val="20"/>
        </w:rPr>
      </w:pPr>
      <w:r>
        <w:rPr>
          <w:rFonts w:ascii="Arial;sans-serif" w:hAnsi="Arial;sans-serif"/>
          <w:b w:val="false"/>
          <w:color w:val="000000"/>
          <w:sz w:val="20"/>
        </w:rPr>
        <w:t>ARTICLE III ELIGIBILITY AND PARTICIPATION    8</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3.1 Eligibility and Participation    8</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3.2 Duration    8</w:t>
      </w:r>
    </w:p>
    <w:p>
      <w:pPr>
        <w:pStyle w:val="TextBody"/>
        <w:bidi w:val="0"/>
        <w:spacing w:lineRule="auto" w:line="288" w:before="0" w:after="120"/>
        <w:ind w:left="0" w:right="0" w:hanging="1440"/>
        <w:jc w:val="left"/>
        <w:rPr>
          <w:rFonts w:ascii="Arial;sans-serif" w:hAnsi="Arial;sans-serif"/>
          <w:b w:val="false"/>
          <w:color w:val="000000"/>
          <w:sz w:val="20"/>
        </w:rPr>
      </w:pPr>
      <w:r>
        <w:rPr>
          <w:rFonts w:ascii="Arial;sans-serif" w:hAnsi="Arial;sans-serif"/>
          <w:b w:val="false"/>
          <w:color w:val="000000"/>
          <w:sz w:val="20"/>
        </w:rPr>
        <w:t>ARTICLE IV DEFERRALS    9</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4.1 Deferral Elections    9</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4.2 Timing Requirements for Compensation Deferral Agreements    9</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4.3 Allocation of Deferrals and Company Contributions    11</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4.4 Deductions from Pay    11</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4.5 Vesting    11</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4.6 Cancellation of Deferrals    11</w:t>
      </w:r>
    </w:p>
    <w:p>
      <w:pPr>
        <w:pStyle w:val="TextBody"/>
        <w:bidi w:val="0"/>
        <w:spacing w:lineRule="auto" w:line="288" w:before="0" w:after="120"/>
        <w:ind w:left="0" w:right="0" w:hanging="1440"/>
        <w:jc w:val="left"/>
        <w:rPr>
          <w:rFonts w:ascii="Arial;sans-serif" w:hAnsi="Arial;sans-serif"/>
          <w:b w:val="false"/>
          <w:color w:val="000000"/>
          <w:sz w:val="20"/>
        </w:rPr>
      </w:pPr>
      <w:r>
        <w:rPr>
          <w:rFonts w:ascii="Arial;sans-serif" w:hAnsi="Arial;sans-serif"/>
          <w:b w:val="false"/>
          <w:color w:val="000000"/>
          <w:sz w:val="20"/>
        </w:rPr>
        <w:t>ARTICLE V COMPANY CONTRIBUTIONS    12</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5.1 Nonqualified Matching Contributions    12</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5.2 Discretionary Company Contributions    12</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5.3 Vesting    12</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5.4 Non-Employee Directors Not Eligible    12</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5.5 Timing of Company Contributions    12</w:t>
      </w:r>
    </w:p>
    <w:p>
      <w:pPr>
        <w:pStyle w:val="TextBody"/>
        <w:bidi w:val="0"/>
        <w:spacing w:lineRule="auto" w:line="288" w:before="0" w:after="120"/>
        <w:ind w:left="0" w:right="0" w:hanging="1440"/>
        <w:jc w:val="left"/>
        <w:rPr>
          <w:rFonts w:ascii="Arial;sans-serif" w:hAnsi="Arial;sans-serif"/>
          <w:b w:val="false"/>
          <w:color w:val="000000"/>
          <w:sz w:val="20"/>
        </w:rPr>
      </w:pPr>
      <w:r>
        <w:rPr>
          <w:rFonts w:ascii="Arial;sans-serif" w:hAnsi="Arial;sans-serif"/>
          <w:b w:val="false"/>
          <w:color w:val="000000"/>
          <w:sz w:val="20"/>
        </w:rPr>
        <w:t>ARTICLE VI BENEFITS    13</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6.1 Benefits    13</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6.2 Form of Payment    14</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6.3 Acceleration of or Delay in Payments    15</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6.4 Payments Treated as Made on the Designated Payment Date    15</w:t>
      </w:r>
    </w:p>
    <w:p>
      <w:pPr>
        <w:pStyle w:val="TextBody"/>
        <w:bidi w:val="0"/>
        <w:spacing w:lineRule="auto" w:line="288" w:before="0" w:after="120"/>
        <w:ind w:left="0" w:right="0" w:hanging="1440"/>
        <w:jc w:val="left"/>
        <w:rPr>
          <w:rFonts w:ascii="Arial;sans-serif" w:hAnsi="Arial;sans-serif"/>
          <w:b w:val="false"/>
          <w:color w:val="000000"/>
          <w:sz w:val="20"/>
        </w:rPr>
      </w:pPr>
      <w:r>
        <w:rPr>
          <w:rFonts w:ascii="Arial;sans-serif" w:hAnsi="Arial;sans-serif"/>
          <w:b w:val="false"/>
          <w:color w:val="000000"/>
          <w:sz w:val="20"/>
        </w:rPr>
        <w:t>ARTICLE VII MODIFICATIONS TO PAYMENT SCHEDULES    16</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7.1 Participant’s Right to Modify    16</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7.2 Time of Election    16</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7.3 Date of Payment under Modified Payment Schedule    16</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7.4 Effective Date of Modifications    16</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7.5 Effect on Accounts    16</w:t>
      </w:r>
    </w:p>
    <w:p>
      <w:pPr>
        <w:pStyle w:val="TextBody"/>
        <w:bidi w:val="0"/>
        <w:spacing w:lineRule="auto" w:line="288" w:before="0" w:after="120"/>
        <w:ind w:left="0" w:right="0" w:hanging="1440"/>
        <w:jc w:val="left"/>
        <w:rPr>
          <w:rFonts w:ascii="Arial;sans-serif" w:hAnsi="Arial;sans-serif"/>
          <w:b w:val="false"/>
          <w:color w:val="000000"/>
          <w:sz w:val="20"/>
        </w:rPr>
      </w:pPr>
      <w:r>
        <w:rPr>
          <w:rFonts w:ascii="Arial;sans-serif" w:hAnsi="Arial;sans-serif"/>
          <w:b w:val="false"/>
          <w:color w:val="000000"/>
          <w:sz w:val="20"/>
        </w:rPr>
        <w:t>ARTICLE VIII VALUATION OF ACCOUNT BALANCES; INVESTMENTS    17</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8.1 Valuation    17</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8.2 Earnings Credit    17</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8.3 Investment Options    17</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8.4 Investment Allocations    17</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8.5 Unallocated Deferrals and Accounts    17</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41935"/>
                <wp:effectExtent l="0" t="0" r="0" b="0"/>
                <wp:wrapNone/>
                <wp:docPr id="73" name="Frame72"/>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172.9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PAGE</w:t>
      </w:r>
    </w:p>
    <w:p>
      <w:pPr>
        <w:pStyle w:val="TextBody"/>
        <w:bidi w:val="0"/>
        <w:spacing w:lineRule="auto" w:line="288" w:before="0" w:after="120"/>
        <w:ind w:left="0" w:right="0" w:hanging="1440"/>
        <w:jc w:val="left"/>
        <w:rPr>
          <w:rFonts w:ascii="Arial;sans-serif" w:hAnsi="Arial;sans-serif"/>
          <w:b w:val="false"/>
          <w:color w:val="000000"/>
          <w:sz w:val="20"/>
        </w:rPr>
      </w:pPr>
      <w:r>
        <w:rPr>
          <w:rFonts w:ascii="Arial;sans-serif" w:hAnsi="Arial;sans-serif"/>
          <w:b w:val="false"/>
          <w:color w:val="000000"/>
          <w:sz w:val="20"/>
        </w:rPr>
        <w:t>ARTICLE IX ADMINISTRATION    18</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9.1 Plan Administration    18</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9.2 Administration Upon Change in Control    18</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9.3 Withholding    18</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9.4 Indemnification    18</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9.5 Delegation of Authority    19</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9.6 Binding Decisions or Actions    19</w:t>
      </w:r>
    </w:p>
    <w:p>
      <w:pPr>
        <w:pStyle w:val="TextBody"/>
        <w:bidi w:val="0"/>
        <w:spacing w:lineRule="auto" w:line="288" w:before="0" w:after="120"/>
        <w:ind w:left="0" w:right="0" w:hanging="1440"/>
        <w:jc w:val="left"/>
        <w:rPr>
          <w:rFonts w:ascii="Arial;sans-serif" w:hAnsi="Arial;sans-serif"/>
          <w:b w:val="false"/>
          <w:color w:val="000000"/>
          <w:sz w:val="20"/>
        </w:rPr>
      </w:pPr>
      <w:r>
        <w:rPr>
          <w:rFonts w:ascii="Arial;sans-serif" w:hAnsi="Arial;sans-serif"/>
          <w:b w:val="false"/>
          <w:color w:val="000000"/>
          <w:sz w:val="20"/>
        </w:rPr>
        <w:t>ARTICLE X AMENDMENT AND TERMINATION    20</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10.1 Amendment and Termination    20</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10.2 Amendments    20</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10.3 Termination    20</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10.4 Application of Code Section 409A    20</w:t>
      </w:r>
    </w:p>
    <w:p>
      <w:pPr>
        <w:pStyle w:val="TextBody"/>
        <w:bidi w:val="0"/>
        <w:spacing w:lineRule="auto" w:line="288" w:before="0" w:after="120"/>
        <w:ind w:left="0" w:right="0" w:hanging="1440"/>
        <w:jc w:val="left"/>
        <w:rPr>
          <w:rFonts w:ascii="Arial;sans-serif" w:hAnsi="Arial;sans-serif"/>
          <w:b w:val="false"/>
          <w:color w:val="000000"/>
          <w:sz w:val="20"/>
        </w:rPr>
      </w:pPr>
      <w:r>
        <w:rPr>
          <w:rFonts w:ascii="Arial;sans-serif" w:hAnsi="Arial;sans-serif"/>
          <w:b w:val="false"/>
          <w:color w:val="000000"/>
          <w:sz w:val="20"/>
        </w:rPr>
        <w:t>ARTICLE XI INFORMAL FUNDING    21</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11.1 General Assets    21</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11.2 Rabbi Trust    21</w:t>
      </w:r>
    </w:p>
    <w:p>
      <w:pPr>
        <w:pStyle w:val="TextBody"/>
        <w:bidi w:val="0"/>
        <w:spacing w:lineRule="auto" w:line="288" w:before="0" w:after="120"/>
        <w:ind w:left="0" w:right="0" w:hanging="1440"/>
        <w:jc w:val="left"/>
        <w:rPr>
          <w:rFonts w:ascii="Arial;sans-serif" w:hAnsi="Arial;sans-serif"/>
          <w:b w:val="false"/>
          <w:color w:val="000000"/>
          <w:sz w:val="20"/>
        </w:rPr>
      </w:pPr>
      <w:r>
        <w:rPr>
          <w:rFonts w:ascii="Arial;sans-serif" w:hAnsi="Arial;sans-serif"/>
          <w:b w:val="false"/>
          <w:color w:val="000000"/>
          <w:sz w:val="20"/>
        </w:rPr>
        <w:t>ARTICLE XII CLAIMS    22</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12.1 Filing a Claim    22</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12.2 Appeal of Denied Claims    23</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12.3 Legal Action – Attorneys’ Fees and Deadlines    24</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12.4 Discretion of Appeals Committee    24</w:t>
      </w:r>
    </w:p>
    <w:p>
      <w:pPr>
        <w:pStyle w:val="TextBody"/>
        <w:bidi w:val="0"/>
        <w:spacing w:lineRule="auto" w:line="288" w:before="0" w:after="120"/>
        <w:ind w:left="0" w:right="0" w:hanging="1440"/>
        <w:jc w:val="left"/>
        <w:rPr>
          <w:rFonts w:ascii="Arial;sans-serif" w:hAnsi="Arial;sans-serif"/>
          <w:b w:val="false"/>
          <w:color w:val="000000"/>
          <w:sz w:val="20"/>
        </w:rPr>
      </w:pPr>
      <w:r>
        <w:rPr>
          <w:rFonts w:ascii="Arial;sans-serif" w:hAnsi="Arial;sans-serif"/>
          <w:b w:val="false"/>
          <w:color w:val="000000"/>
          <w:sz w:val="20"/>
        </w:rPr>
        <w:t>ARTICLE XIII GENERAL PROVISIONS    25</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13.1 Anti-assignment Rule    25</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13.2 No Legal or Equitable Rights or Interest    25</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13.3 No Employment Contract    25</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13.4 Notice    25</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13.5 Headings    26</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13.6 Invalid or Unenforceable Provisions    26</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13.7 Lost Participants or Beneficiaries    26</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13.8 Facility of Payment to a Minor    26</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13.9 Governing Law    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17195"/>
                <wp:effectExtent l="0" t="0" r="0" b="0"/>
                <wp:wrapNone/>
                <wp:docPr id="74" name="Frame73"/>
                <a:graphic xmlns:a="http://schemas.openxmlformats.org/drawingml/2006/main">
                  <a:graphicData uri="http://schemas.microsoft.com/office/word/2010/wordprocessingShape">
                    <wps:wsp>
                      <wps:cNvSpPr txBox="1"/>
                      <wps:spPr>
                        <a:xfrm>
                          <a:off x="0" y="0"/>
                          <a:ext cx="6480175" cy="41719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ii</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ii</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jc w:val="center"/>
        <w:rPr/>
      </w:pPr>
      <w:r>
        <w:rPr>
          <w:rFonts w:ascii="Arial;sans-serif" w:hAnsi="Arial;sans-serif"/>
          <w:b w:val="false"/>
          <w:color w:val="FFFFFF"/>
          <w:sz w:val="2"/>
        </w:rPr>
        <w:t>I</w:t>
      </w:r>
      <w:r>
        <w:rPr>
          <w:rFonts w:ascii="Arial;sans-serif" w:hAnsi="Arial;sans-serif"/>
          <w:b/>
          <w:color w:val="000000"/>
          <w:sz w:val="20"/>
        </w:rPr>
        <w:t>ARTICLE I</w:t>
      </w:r>
      <w:r>
        <w:rPr>
          <w:rFonts w:ascii="Arial;sans-serif" w:hAnsi="Arial;sans-serif"/>
          <w:b/>
          <w:color w:val="000000"/>
          <w:sz w:val="20"/>
          <w:u w:val="single"/>
        </w:rPr>
        <w:br/>
        <w:t>ESTABLISHMENT AND PURPOSE</w:t>
      </w:r>
    </w:p>
    <w:p>
      <w:pPr>
        <w:pStyle w:val="TextBody"/>
        <w:bidi w:val="0"/>
        <w:spacing w:lineRule="auto" w:line="288" w:before="0" w:after="240"/>
        <w:jc w:val="both"/>
        <w:rPr/>
      </w:pPr>
      <w:r>
        <w:rPr>
          <w:rFonts w:ascii="Arial;sans-serif" w:hAnsi="Arial;sans-serif"/>
          <w:b w:val="false"/>
          <w:color w:val="000000"/>
          <w:sz w:val="20"/>
        </w:rPr>
        <w:t>Roper Technologies, Inc., formerly named Roper Industries, Inc., (the “</w:t>
      </w:r>
      <w:r>
        <w:rPr>
          <w:rFonts w:ascii="Arial;sans-serif" w:hAnsi="Arial;sans-serif"/>
          <w:b/>
          <w:color w:val="000000"/>
          <w:sz w:val="20"/>
        </w:rPr>
        <w:t>Company</w:t>
      </w:r>
      <w:r>
        <w:rPr>
          <w:color w:val="000000"/>
        </w:rPr>
        <w:t>”</w:t>
      </w:r>
      <w:r>
        <w:rPr>
          <w:rFonts w:ascii="Arial;sans-serif" w:hAnsi="Arial;sans-serif"/>
          <w:b w:val="false"/>
          <w:color w:val="000000"/>
          <w:sz w:val="20"/>
        </w:rPr>
        <w:t>) originally established the Roper Industries, Inc. Non-Qualified Retirement Plan, now named the Roper Technologies, Inc. Non-Qualified Retirement Plan (the “</w:t>
      </w:r>
      <w:r>
        <w:rPr>
          <w:rFonts w:ascii="Arial;sans-serif" w:hAnsi="Arial;sans-serif"/>
          <w:b/>
          <w:color w:val="000000"/>
          <w:sz w:val="20"/>
        </w:rPr>
        <w:t>Plan</w:t>
      </w:r>
      <w:r>
        <w:rPr>
          <w:color w:val="000000"/>
        </w:rPr>
        <w:t>”</w:t>
      </w:r>
      <w:r>
        <w:rPr>
          <w:rFonts w:ascii="Arial;sans-serif" w:hAnsi="Arial;sans-serif"/>
          <w:b w:val="false"/>
          <w:color w:val="000000"/>
          <w:sz w:val="20"/>
        </w:rPr>
        <w:t>) with an effective date of January 1, 1995, subsequently amended and restated the Plan effective as of March 1, 2002, and again effective as of January 1, 2009, and again effective as of January 1, 2013, and amended the Plan by a First Amendment effective as of April 25, 2015 replacing “Roper Industries, Inc.” with “Roper Technologies, Inc.” throughout. The Company again hereby amends and restates the Plan, effective as of January 1, 2026. This amended and restated Plan supersedes all previous versions of the Plan, and shall apply to all individuals eligible to participate in this Plan and to those individuals previously eligible to participate in the Plan who continue to have a Plan account balance.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purpose of the Plan is to attract and retain key employees and non-employee directors, and also provides each Eligible Employee with an opportunity to make up employee and employer contributions that were lost under an Applicable Savings Plan, as defined below, because of statutory, regulatory and plan limits. The Plan is intended to be and shall be interpreted and administered, for purposes of Title I of ERISA, as an unfunded defined contribution plan maintained for the purpose of providing deferred compensation to a select group of management or highly compensated Employees (commonly known as a “top-hat plan” under ERISA). As such, the Plan is not intended to meet the qualification requirements of Code Section 401(a). However, the Company intends for the Plan to meet the requirements of Code Section 409A. Accordingly, the Plan shall be operated and interpreted consistently with the requirements of Code Section 409A.</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an ERISA top-hat plan, the Plan constitutes an unsecured promise by a Participating Employer to pay benefits in the future. Participants in the Plan shall have the status of general unsecured creditors of the Company or the Adopting Employer, as applicable. Each Participating Employer shall be solely responsible for payment of the benefits of its employees and their beneficiaries. Any amounts set aside to defray the liabilities assumed by the Company or an Adopting Employer will remain the general assets of the Company or the Adopting Employer and shall remain subject to the claims of the Company’s or the Adopting Employer’s creditors until such amounts are distributed to the Participants.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12420"/>
                <wp:effectExtent l="0" t="0" r="0" b="0"/>
                <wp:wrapNone/>
                <wp:docPr id="75" name="Frame74"/>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1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1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jc w:val="center"/>
        <w:rPr/>
      </w:pPr>
      <w:r>
        <w:rPr>
          <w:rFonts w:ascii="Arial;sans-serif" w:hAnsi="Arial;sans-serif"/>
          <w:b w:val="false"/>
          <w:color w:val="FFFFFF"/>
          <w:sz w:val="2"/>
        </w:rPr>
        <w:t>II</w:t>
      </w:r>
      <w:r>
        <w:rPr>
          <w:rFonts w:ascii="Arial;sans-serif" w:hAnsi="Arial;sans-serif"/>
          <w:b/>
          <w:color w:val="000000"/>
          <w:sz w:val="20"/>
        </w:rPr>
        <w:t>ARTICLE II</w:t>
      </w:r>
      <w:r>
        <w:rPr>
          <w:rFonts w:ascii="Arial;sans-serif" w:hAnsi="Arial;sans-serif"/>
          <w:b/>
          <w:color w:val="000000"/>
          <w:sz w:val="20"/>
          <w:u w:val="single"/>
        </w:rPr>
        <w:br/>
        <w:t>DEFINITIONS</w:t>
      </w:r>
    </w:p>
    <w:p>
      <w:pPr>
        <w:pStyle w:val="TextBody"/>
        <w:bidi w:val="0"/>
        <w:spacing w:lineRule="auto" w:line="288" w:before="0" w:after="240"/>
        <w:ind w:left="0" w:right="0" w:hanging="720"/>
        <w:jc w:val="both"/>
        <w:rPr/>
      </w:pPr>
      <w:r>
        <w:rPr>
          <w:rFonts w:ascii="Arial;sans-serif" w:hAnsi="Arial;sans-serif"/>
          <w:b/>
          <w:color w:val="000000"/>
          <w:sz w:val="20"/>
        </w:rPr>
        <w:t>2.1</w:t>
      </w:r>
      <w:r>
        <w:rPr>
          <w:rFonts w:ascii="Arial;sans-serif" w:hAnsi="Arial;sans-serif"/>
          <w:b/>
          <w:color w:val="000000"/>
          <w:sz w:val="20"/>
          <w:u w:val="single"/>
        </w:rPr>
        <w:t>Account</w:t>
      </w:r>
      <w:r>
        <w:rPr>
          <w:color w:val="000000"/>
        </w:rPr>
        <w:t xml:space="preserve"> </w:t>
      </w:r>
      <w:r>
        <w:rPr>
          <w:rFonts w:ascii="Arial;sans-serif" w:hAnsi="Arial;sans-serif"/>
          <w:b w:val="false"/>
          <w:color w:val="000000"/>
          <w:sz w:val="20"/>
        </w:rPr>
        <w:t>means a bookkeeping account maintained by the Company to record the payment obligation of a Participating Employer to a Participant as determined under the terms of the Plan. The Company may maintain an Account to record the total obligation to a Participant and component Accounts to reflect amounts payable to a Participant at different times and in different forms. Reference to an Account means any such Account established by the Company, as the context requires. Notwithstanding anything herein to the contrary, all Accounts are intended to constitute unfunded obligations within the meaning of ERISA Sections 201(2), 301(a)(3) and 401(a)(1).</w:t>
      </w:r>
    </w:p>
    <w:p>
      <w:pPr>
        <w:pStyle w:val="TextBody"/>
        <w:bidi w:val="0"/>
        <w:spacing w:lineRule="auto" w:line="288" w:before="0" w:after="240"/>
        <w:ind w:left="0" w:right="0" w:hanging="720"/>
        <w:jc w:val="both"/>
        <w:rPr/>
      </w:pPr>
      <w:r>
        <w:rPr>
          <w:rFonts w:ascii="Arial;sans-serif" w:hAnsi="Arial;sans-serif"/>
          <w:b/>
          <w:color w:val="000000"/>
          <w:sz w:val="20"/>
        </w:rPr>
        <w:t>2.2</w:t>
      </w:r>
      <w:r>
        <w:rPr>
          <w:rFonts w:ascii="Arial;sans-serif" w:hAnsi="Arial;sans-serif"/>
          <w:b/>
          <w:color w:val="000000"/>
          <w:sz w:val="20"/>
          <w:u w:val="single"/>
        </w:rPr>
        <w:t>Account Balance</w:t>
      </w:r>
      <w:r>
        <w:rPr>
          <w:color w:val="000000"/>
        </w:rPr>
        <w:t xml:space="preserve"> </w:t>
      </w:r>
      <w:r>
        <w:rPr>
          <w:rFonts w:ascii="Arial;sans-serif" w:hAnsi="Arial;sans-serif"/>
          <w:b w:val="false"/>
          <w:color w:val="000000"/>
          <w:sz w:val="20"/>
        </w:rPr>
        <w:t>means, with respect to any Account, the total of all Deferrals, Company Contributions, Earnings, expenses, gains and losses credited to the Plan on behalf of such Participant.</w:t>
      </w:r>
    </w:p>
    <w:p>
      <w:pPr>
        <w:pStyle w:val="TextBody"/>
        <w:bidi w:val="0"/>
        <w:spacing w:lineRule="auto" w:line="288" w:before="0" w:after="240"/>
        <w:ind w:left="0" w:right="0" w:hanging="720"/>
        <w:jc w:val="both"/>
        <w:rPr/>
      </w:pPr>
      <w:r>
        <w:rPr>
          <w:rFonts w:ascii="Arial;sans-serif" w:hAnsi="Arial;sans-serif"/>
          <w:b/>
          <w:color w:val="000000"/>
          <w:sz w:val="20"/>
        </w:rPr>
        <w:t>2.3</w:t>
      </w:r>
      <w:r>
        <w:rPr>
          <w:rFonts w:ascii="Arial;sans-serif" w:hAnsi="Arial;sans-serif"/>
          <w:b/>
          <w:color w:val="000000"/>
          <w:sz w:val="20"/>
          <w:u w:val="single"/>
        </w:rPr>
        <w:t>Adopting Employer</w:t>
      </w:r>
      <w:r>
        <w:rPr>
          <w:color w:val="000000"/>
        </w:rPr>
        <w:t xml:space="preserve"> </w:t>
      </w:r>
      <w:r>
        <w:rPr>
          <w:rFonts w:ascii="Arial;sans-serif" w:hAnsi="Arial;sans-serif"/>
          <w:b w:val="false"/>
          <w:color w:val="000000"/>
          <w:sz w:val="20"/>
        </w:rPr>
        <w:t>means an Affiliate who, with the consent of the Company, has adopted the Plan for the benefit of its eligible employees.</w:t>
      </w:r>
    </w:p>
    <w:p>
      <w:pPr>
        <w:pStyle w:val="TextBody"/>
        <w:bidi w:val="0"/>
        <w:spacing w:lineRule="auto" w:line="288" w:before="0" w:after="240"/>
        <w:ind w:left="0" w:right="0" w:hanging="720"/>
        <w:jc w:val="both"/>
        <w:rPr/>
      </w:pPr>
      <w:r>
        <w:rPr>
          <w:rFonts w:ascii="Arial;sans-serif" w:hAnsi="Arial;sans-serif"/>
          <w:b/>
          <w:color w:val="000000"/>
          <w:sz w:val="20"/>
        </w:rPr>
        <w:t>2.4</w:t>
      </w:r>
      <w:r>
        <w:rPr>
          <w:rFonts w:ascii="Arial;sans-serif" w:hAnsi="Arial;sans-serif"/>
          <w:b/>
          <w:color w:val="000000"/>
          <w:sz w:val="20"/>
          <w:u w:val="single"/>
        </w:rPr>
        <w:t>Affiliate</w:t>
      </w:r>
      <w:r>
        <w:rPr>
          <w:color w:val="000000"/>
        </w:rPr>
        <w:t xml:space="preserve"> </w:t>
      </w:r>
      <w:r>
        <w:rPr>
          <w:rFonts w:ascii="Arial;sans-serif" w:hAnsi="Arial;sans-serif"/>
          <w:b w:val="false"/>
          <w:color w:val="000000"/>
          <w:sz w:val="20"/>
        </w:rPr>
        <w:t>means a corporation, trade or business that, together with the Company, is treated as a single employer under Code Section 414(b) or (c).</w:t>
      </w:r>
    </w:p>
    <w:p>
      <w:pPr>
        <w:pStyle w:val="TextBody"/>
        <w:bidi w:val="0"/>
        <w:spacing w:lineRule="auto" w:line="288" w:before="0" w:after="240"/>
        <w:ind w:left="0" w:right="0" w:hanging="720"/>
        <w:jc w:val="both"/>
        <w:rPr/>
      </w:pPr>
      <w:r>
        <w:rPr>
          <w:rFonts w:ascii="Arial;sans-serif" w:hAnsi="Arial;sans-serif"/>
          <w:b/>
          <w:color w:val="000000"/>
          <w:sz w:val="20"/>
        </w:rPr>
        <w:t>2.5</w:t>
      </w:r>
      <w:r>
        <w:rPr>
          <w:rFonts w:ascii="Arial;sans-serif" w:hAnsi="Arial;sans-serif"/>
          <w:b/>
          <w:color w:val="000000"/>
          <w:sz w:val="20"/>
          <w:u w:val="single"/>
        </w:rPr>
        <w:t>Applicable Savings Plan</w:t>
      </w:r>
      <w:r>
        <w:rPr>
          <w:color w:val="000000"/>
        </w:rPr>
        <w:t xml:space="preserve"> </w:t>
      </w:r>
      <w:r>
        <w:rPr>
          <w:rFonts w:ascii="Arial;sans-serif" w:hAnsi="Arial;sans-serif"/>
          <w:b w:val="false"/>
          <w:color w:val="000000"/>
          <w:sz w:val="20"/>
        </w:rPr>
        <w:t>means the tax-qualified defined contribution retirement plan with a cash or deferred arrangement feature (as defined under Code Section 401(k)) sponsored by the Participating Employer in which the Participant is eligible to participate.</w:t>
      </w:r>
    </w:p>
    <w:p>
      <w:pPr>
        <w:pStyle w:val="TextBody"/>
        <w:bidi w:val="0"/>
        <w:spacing w:lineRule="auto" w:line="288" w:before="0" w:after="240"/>
        <w:ind w:left="0" w:right="0" w:hanging="720"/>
        <w:jc w:val="both"/>
        <w:rPr/>
      </w:pPr>
      <w:r>
        <w:rPr>
          <w:rFonts w:ascii="Arial;sans-serif" w:hAnsi="Arial;sans-serif"/>
          <w:b/>
          <w:color w:val="000000"/>
          <w:sz w:val="20"/>
        </w:rPr>
        <w:t>2.6</w:t>
      </w:r>
      <w:r>
        <w:rPr>
          <w:rFonts w:ascii="Arial;sans-serif" w:hAnsi="Arial;sans-serif"/>
          <w:b/>
          <w:color w:val="000000"/>
          <w:sz w:val="20"/>
          <w:u w:val="single"/>
        </w:rPr>
        <w:t>Beneficiary</w:t>
      </w:r>
      <w:r>
        <w:rPr>
          <w:color w:val="000000"/>
        </w:rPr>
        <w:t xml:space="preserve"> </w:t>
      </w:r>
      <w:r>
        <w:rPr>
          <w:rFonts w:ascii="Arial;sans-serif" w:hAnsi="Arial;sans-serif"/>
          <w:b w:val="false"/>
          <w:color w:val="000000"/>
          <w:sz w:val="20"/>
        </w:rPr>
        <w:t>means a natural person, estate, or trust designated by a Participant to receive payments to which a Beneficiary is entitled in accordance with provisions of the Plan. The Participant’s spouse, if living, otherwise the Participant’s estate, shall be the Beneficiary if: (a) the Participant has failed to properly designate a Beneficiary, or (b) all designated Beneficiaries have predeceased the Participant. A former spouse shall have no interest under the Plan, as Beneficiary or otherwise, unless the Participant designates such person as a Beneficiary after dissolution of the marriage, except to the extent provided under the terms of a domestic relations order as described in Code Section 414(p)(1)(B).</w:t>
      </w:r>
    </w:p>
    <w:p>
      <w:pPr>
        <w:pStyle w:val="TextBody"/>
        <w:bidi w:val="0"/>
        <w:spacing w:lineRule="auto" w:line="288" w:before="0" w:after="240"/>
        <w:ind w:left="0" w:right="0" w:hanging="720"/>
        <w:jc w:val="both"/>
        <w:rPr/>
      </w:pPr>
      <w:r>
        <w:rPr>
          <w:rFonts w:ascii="Arial;sans-serif" w:hAnsi="Arial;sans-serif"/>
          <w:b/>
          <w:color w:val="000000"/>
          <w:sz w:val="20"/>
        </w:rPr>
        <w:t>2.7</w:t>
      </w:r>
      <w:r>
        <w:rPr>
          <w:rFonts w:ascii="Arial;sans-serif" w:hAnsi="Arial;sans-serif"/>
          <w:b/>
          <w:color w:val="000000"/>
          <w:sz w:val="20"/>
          <w:u w:val="single"/>
        </w:rPr>
        <w:t>Board</w:t>
      </w:r>
      <w:r>
        <w:rPr>
          <w:color w:val="000000"/>
        </w:rPr>
        <w:t xml:space="preserve"> </w:t>
      </w:r>
      <w:r>
        <w:rPr>
          <w:rFonts w:ascii="Arial;sans-serif" w:hAnsi="Arial;sans-serif"/>
          <w:b w:val="false"/>
          <w:color w:val="000000"/>
          <w:sz w:val="20"/>
        </w:rPr>
        <w:t>means the board of directors of the Company.</w:t>
      </w:r>
    </w:p>
    <w:p>
      <w:pPr>
        <w:pStyle w:val="TextBody"/>
        <w:bidi w:val="0"/>
        <w:spacing w:lineRule="auto" w:line="288" w:before="0" w:after="240"/>
        <w:ind w:left="0" w:right="0" w:hanging="720"/>
        <w:jc w:val="both"/>
        <w:rPr/>
      </w:pPr>
      <w:r>
        <w:rPr>
          <w:rFonts w:ascii="Arial;sans-serif" w:hAnsi="Arial;sans-serif"/>
          <w:b/>
          <w:color w:val="000000"/>
          <w:sz w:val="20"/>
        </w:rPr>
        <w:t>2.8</w:t>
      </w:r>
      <w:r>
        <w:rPr>
          <w:rFonts w:ascii="Arial;sans-serif" w:hAnsi="Arial;sans-serif"/>
          <w:b/>
          <w:color w:val="000000"/>
          <w:sz w:val="20"/>
          <w:u w:val="single"/>
        </w:rPr>
        <w:t>Business Day</w:t>
      </w:r>
      <w:r>
        <w:rPr>
          <w:color w:val="000000"/>
        </w:rPr>
        <w:t xml:space="preserve"> </w:t>
      </w:r>
      <w:r>
        <w:rPr>
          <w:rFonts w:ascii="Arial;sans-serif" w:hAnsi="Arial;sans-serif"/>
          <w:b w:val="false"/>
          <w:color w:val="000000"/>
          <w:sz w:val="20"/>
        </w:rPr>
        <w:t>means each day on which the New York Stock Exchange is open for business.</w:t>
      </w:r>
    </w:p>
    <w:p>
      <w:pPr>
        <w:pStyle w:val="TextBody"/>
        <w:bidi w:val="0"/>
        <w:spacing w:lineRule="auto" w:line="288" w:before="0" w:after="240"/>
        <w:ind w:left="0" w:right="0" w:hanging="720"/>
        <w:jc w:val="both"/>
        <w:rPr/>
      </w:pPr>
      <w:r>
        <w:rPr>
          <w:rFonts w:ascii="Arial;sans-serif" w:hAnsi="Arial;sans-serif"/>
          <w:b/>
          <w:color w:val="000000"/>
          <w:sz w:val="20"/>
        </w:rPr>
        <w:t>2.9</w:t>
      </w:r>
      <w:r>
        <w:rPr>
          <w:rFonts w:ascii="Arial;sans-serif" w:hAnsi="Arial;sans-serif"/>
          <w:b/>
          <w:color w:val="000000"/>
          <w:sz w:val="20"/>
          <w:u w:val="single"/>
        </w:rPr>
        <w:t>Change in Control</w:t>
      </w:r>
      <w:r>
        <w:rPr>
          <w:color w:val="000000"/>
        </w:rPr>
        <w:t xml:space="preserve"> </w:t>
      </w:r>
      <w:r>
        <w:rPr>
          <w:rFonts w:ascii="Arial;sans-serif" w:hAnsi="Arial;sans-serif"/>
          <w:b w:val="false"/>
          <w:color w:val="000000"/>
          <w:sz w:val="20"/>
        </w:rPr>
        <w:t>means, with respect to a Participating Employer that is organized as a corporation, the occurrence of any of the following (and shall be deemed to have occurred as of the date upon which any one of the following occurs): (a) a change in the ownership of the Participating Employer, (b) a change in the effective control of the Participating Employer, or (c) a change in the ownership of a substantial portion of the assets of the Participating Employer.</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For purposes of this Section, a change in the ownership of the Participating Employer occurs on the date on which any one person, or more than one person acting as a group, acquires ownership of stock of the Participating Employer that, together with stock held by such person or group constitutes more than fifty percent (50%) of the total fair market value or total voting power of the stock of the Participating Employer. A change in the effective control of the Participating Employer occurs on the date on which either (a) a person, or more than one person acting as a group, acquires ownership of stock of the Participating Employer possessing thirty percent (30%) or more of the total voting power of the stock of the Participating Employer, taking into account all such stock acquired during the twelve- (12-) month period ending on the date of the most recent </w:t>
      </w:r>
    </w:p>
    <w:p>
      <w:pPr>
        <w:pStyle w:val="TextBody"/>
        <w:bidi w:val="0"/>
        <w:spacing w:before="0" w:after="44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12420"/>
                <wp:effectExtent l="0" t="0" r="0" b="0"/>
                <wp:wrapNone/>
                <wp:docPr id="76" name="Frame75"/>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2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2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acquisition, or (b) a majority of the members of the Participating Employer’s Board of Directors is replaced during any twelve- (12-) month period by directors whose appointment or election is not endorsed by a majority of the members of such Board of Directors prior to the date of the appointment or election, but only if no other corporation is a majority shareholder of the Participating Employer. A change in the ownership of a substantial portion of assets occurs on the date on which any one person, or more than one person acting as a group, other than a person or group of persons that is related to the Participating Employer, acquires assets from the Participating Employer that have a total gross fair market value equal to or more than forty percent (40%) of the total gross fair market value of all of the assets of the Participating Employer immediately prior to such acquisition or acquisitions, taking into account all such assets acquired during the twelve- (12-) month period ending on the date of the most recent acquisition. An event constitutes a Change in Control with respect to a Participant only if the Participant performs services for the Participating Employer that has experienced the Change in Control, or the Participant’s relationship to the affected Participating Employer otherwise satisfies the requirements of Treasury Regulation Section 1.409A-3(i)(5)(ii).</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determination as to the occurrence of a Change in Control shall be based on objective facts and in accordance with the requirements of Code Section 409A.</w:t>
      </w:r>
    </w:p>
    <w:p>
      <w:pPr>
        <w:pStyle w:val="TextBody"/>
        <w:bidi w:val="0"/>
        <w:spacing w:lineRule="auto" w:line="288" w:before="0" w:after="240"/>
        <w:ind w:left="0" w:right="0" w:hanging="720"/>
        <w:jc w:val="both"/>
        <w:rPr/>
      </w:pPr>
      <w:r>
        <w:rPr>
          <w:rFonts w:ascii="Arial;sans-serif" w:hAnsi="Arial;sans-serif"/>
          <w:b/>
          <w:color w:val="000000"/>
          <w:sz w:val="20"/>
        </w:rPr>
        <w:t>2.10</w:t>
      </w:r>
      <w:r>
        <w:rPr>
          <w:rFonts w:ascii="Arial;sans-serif" w:hAnsi="Arial;sans-serif"/>
          <w:b/>
          <w:color w:val="000000"/>
          <w:sz w:val="20"/>
          <w:u w:val="single"/>
        </w:rPr>
        <w:t>Claimant</w:t>
      </w:r>
      <w:r>
        <w:rPr>
          <w:color w:val="000000"/>
        </w:rPr>
        <w:t xml:space="preserve"> </w:t>
      </w:r>
      <w:r>
        <w:rPr>
          <w:rFonts w:ascii="Arial;sans-serif" w:hAnsi="Arial;sans-serif"/>
          <w:b w:val="false"/>
          <w:color w:val="000000"/>
          <w:sz w:val="20"/>
        </w:rPr>
        <w:t>means a Participant or Beneficiary filing a claim under Article XII of this Plan.</w:t>
      </w:r>
    </w:p>
    <w:p>
      <w:pPr>
        <w:pStyle w:val="TextBody"/>
        <w:bidi w:val="0"/>
        <w:spacing w:lineRule="auto" w:line="288" w:before="0" w:after="240"/>
        <w:ind w:left="0" w:right="0" w:hanging="720"/>
        <w:jc w:val="both"/>
        <w:rPr/>
      </w:pPr>
      <w:r>
        <w:rPr>
          <w:rFonts w:ascii="Arial;sans-serif" w:hAnsi="Arial;sans-serif"/>
          <w:b/>
          <w:color w:val="000000"/>
          <w:sz w:val="20"/>
        </w:rPr>
        <w:t>2.11</w:t>
      </w:r>
      <w:r>
        <w:rPr>
          <w:rFonts w:ascii="Arial;sans-serif" w:hAnsi="Arial;sans-serif"/>
          <w:b/>
          <w:color w:val="000000"/>
          <w:sz w:val="20"/>
          <w:u w:val="single"/>
        </w:rPr>
        <w:t>Code</w:t>
      </w:r>
      <w:r>
        <w:rPr>
          <w:color w:val="000000"/>
        </w:rPr>
        <w:t xml:space="preserve"> </w:t>
      </w:r>
      <w:r>
        <w:rPr>
          <w:rFonts w:ascii="Arial;sans-serif" w:hAnsi="Arial;sans-serif"/>
          <w:b w:val="false"/>
          <w:color w:val="000000"/>
          <w:sz w:val="20"/>
        </w:rPr>
        <w:t>means the Internal Revenue Code of 1986, as amended from time to time.</w:t>
      </w:r>
    </w:p>
    <w:p>
      <w:pPr>
        <w:pStyle w:val="TextBody"/>
        <w:bidi w:val="0"/>
        <w:spacing w:lineRule="auto" w:line="288" w:before="0" w:after="240"/>
        <w:ind w:left="0" w:right="0" w:hanging="720"/>
        <w:jc w:val="both"/>
        <w:rPr/>
      </w:pPr>
      <w:r>
        <w:rPr>
          <w:rFonts w:ascii="Arial;sans-serif" w:hAnsi="Arial;sans-serif"/>
          <w:b/>
          <w:color w:val="000000"/>
          <w:sz w:val="20"/>
        </w:rPr>
        <w:t>2.12</w:t>
      </w:r>
      <w:r>
        <w:rPr>
          <w:rFonts w:ascii="Arial;sans-serif" w:hAnsi="Arial;sans-serif"/>
          <w:b/>
          <w:color w:val="000000"/>
          <w:sz w:val="20"/>
          <w:u w:val="single"/>
        </w:rPr>
        <w:t>Code Section 409A</w:t>
      </w:r>
      <w:r>
        <w:rPr>
          <w:color w:val="000000"/>
        </w:rPr>
        <w:t xml:space="preserve"> </w:t>
      </w:r>
      <w:r>
        <w:rPr>
          <w:rFonts w:ascii="Arial;sans-serif" w:hAnsi="Arial;sans-serif"/>
          <w:b w:val="false"/>
          <w:color w:val="000000"/>
          <w:sz w:val="20"/>
        </w:rPr>
        <w:t>means Section 409A of the Code, and regulations and other guidance issued by the Treasury Department and Internal Revenue Service thereunder. References to such Section or guidance in this Plan include references to such provisions as they may be modified.</w:t>
      </w:r>
    </w:p>
    <w:p>
      <w:pPr>
        <w:pStyle w:val="TextBody"/>
        <w:bidi w:val="0"/>
        <w:spacing w:lineRule="auto" w:line="288" w:before="0" w:after="240"/>
        <w:ind w:left="0" w:right="0" w:hanging="720"/>
        <w:jc w:val="both"/>
        <w:rPr/>
      </w:pPr>
      <w:r>
        <w:rPr>
          <w:rFonts w:ascii="Arial;sans-serif" w:hAnsi="Arial;sans-serif"/>
          <w:b/>
          <w:color w:val="000000"/>
          <w:sz w:val="20"/>
        </w:rPr>
        <w:t>2.13</w:t>
      </w:r>
      <w:r>
        <w:rPr>
          <w:rFonts w:ascii="Arial;sans-serif" w:hAnsi="Arial;sans-serif"/>
          <w:b/>
          <w:color w:val="000000"/>
          <w:sz w:val="20"/>
          <w:u w:val="single"/>
        </w:rPr>
        <w:t>Committee</w:t>
      </w:r>
      <w:r>
        <w:rPr>
          <w:color w:val="000000"/>
        </w:rPr>
        <w:t xml:space="preserve"> </w:t>
      </w:r>
      <w:r>
        <w:rPr>
          <w:rFonts w:ascii="Arial;sans-serif" w:hAnsi="Arial;sans-serif"/>
          <w:b w:val="false"/>
          <w:color w:val="000000"/>
          <w:sz w:val="20"/>
        </w:rPr>
        <w:t xml:space="preserve">means the Compensation Committee of the Board or other committee of one or more individuals appointed by the Board to administer the Plan. </w:t>
      </w:r>
    </w:p>
    <w:p>
      <w:pPr>
        <w:pStyle w:val="TextBody"/>
        <w:bidi w:val="0"/>
        <w:spacing w:lineRule="auto" w:line="288" w:before="0" w:after="240"/>
        <w:ind w:left="0" w:right="0" w:hanging="720"/>
        <w:jc w:val="both"/>
        <w:rPr/>
      </w:pPr>
      <w:r>
        <w:rPr>
          <w:rFonts w:ascii="Arial;sans-serif" w:hAnsi="Arial;sans-serif"/>
          <w:b/>
          <w:color w:val="000000"/>
          <w:sz w:val="20"/>
        </w:rPr>
        <w:t>2.14</w:t>
      </w:r>
      <w:r>
        <w:rPr>
          <w:rFonts w:ascii="Arial;sans-serif" w:hAnsi="Arial;sans-serif"/>
          <w:b/>
          <w:color w:val="000000"/>
          <w:sz w:val="20"/>
          <w:u w:val="single"/>
        </w:rPr>
        <w:t>Company</w:t>
      </w:r>
      <w:r>
        <w:rPr>
          <w:color w:val="000000"/>
        </w:rPr>
        <w:t xml:space="preserve"> </w:t>
      </w:r>
      <w:r>
        <w:rPr>
          <w:rFonts w:ascii="Arial;sans-serif" w:hAnsi="Arial;sans-serif"/>
          <w:b w:val="false"/>
          <w:color w:val="000000"/>
          <w:sz w:val="20"/>
        </w:rPr>
        <w:t>means Roper Technologies, Inc., formerly named Roper Industries, Inc.</w:t>
      </w:r>
    </w:p>
    <w:p>
      <w:pPr>
        <w:pStyle w:val="TextBody"/>
        <w:bidi w:val="0"/>
        <w:spacing w:lineRule="auto" w:line="288" w:before="0" w:after="240"/>
        <w:ind w:left="0" w:right="0" w:hanging="720"/>
        <w:jc w:val="both"/>
        <w:rPr/>
      </w:pPr>
      <w:r>
        <w:rPr>
          <w:rFonts w:ascii="Arial;sans-serif" w:hAnsi="Arial;sans-serif"/>
          <w:b/>
          <w:color w:val="000000"/>
          <w:sz w:val="20"/>
        </w:rPr>
        <w:t>2.15</w:t>
      </w:r>
      <w:r>
        <w:rPr>
          <w:rFonts w:ascii="Arial;sans-serif" w:hAnsi="Arial;sans-serif"/>
          <w:b/>
          <w:color w:val="000000"/>
          <w:sz w:val="20"/>
          <w:u w:val="single"/>
        </w:rPr>
        <w:t>Company Contribution</w:t>
      </w:r>
      <w:r>
        <w:rPr>
          <w:color w:val="000000"/>
        </w:rPr>
        <w:t xml:space="preserve"> </w:t>
      </w:r>
      <w:r>
        <w:rPr>
          <w:rFonts w:ascii="Arial;sans-serif" w:hAnsi="Arial;sans-serif"/>
          <w:b w:val="false"/>
          <w:color w:val="000000"/>
          <w:sz w:val="20"/>
        </w:rPr>
        <w:t>means a credit by a Participating Employer to a Participant’s Account(s) in accordance with the provisions of Article V of the Plan. Company Contributions are credited at the sole discretion of the Participating Employer and the fact that a Company Contribution is credited in one year shall not obligate the Participating Employer to continue to make such Company Contribution in subsequent years. Unless the context clearly indicates otherwise, a reference to Company Contribution shall include Earnings attributable to such contribution.</w:t>
      </w:r>
    </w:p>
    <w:p>
      <w:pPr>
        <w:pStyle w:val="TextBody"/>
        <w:bidi w:val="0"/>
        <w:spacing w:lineRule="auto" w:line="288" w:before="0" w:after="240"/>
        <w:ind w:left="0" w:right="0" w:hanging="720"/>
        <w:jc w:val="both"/>
        <w:rPr/>
      </w:pPr>
      <w:r>
        <w:rPr>
          <w:rFonts w:ascii="Arial;sans-serif" w:hAnsi="Arial;sans-serif"/>
          <w:b/>
          <w:color w:val="000000"/>
          <w:sz w:val="20"/>
        </w:rPr>
        <w:t>2.16</w:t>
      </w:r>
      <w:r>
        <w:rPr>
          <w:rFonts w:ascii="Arial;sans-serif" w:hAnsi="Arial;sans-serif"/>
          <w:b/>
          <w:color w:val="000000"/>
          <w:sz w:val="20"/>
          <w:u w:val="single"/>
        </w:rPr>
        <w:t>Compensation</w:t>
      </w:r>
      <w:r>
        <w:rPr>
          <w:color w:val="000000"/>
        </w:rPr>
        <w:t xml:space="preserve"> </w:t>
      </w:r>
      <w:r>
        <w:rPr>
          <w:rFonts w:ascii="Arial;sans-serif" w:hAnsi="Arial;sans-serif"/>
          <w:b w:val="false"/>
          <w:color w:val="000000"/>
          <w:sz w:val="20"/>
        </w:rPr>
        <w:t>means base salary, bonus, commission, and such other cash (if any) approved by the Committee as Compensation that may be deferred under this Plan. Compensation shall not include any compensation that has been previously deferred under this Plan or any other arrangement subject to Code Section 409A. With respect to any Non-Employee Director and notwithstanding the foregoing, Compensation shall mean the Total Annual Retainer, Meeting Fees, as defined in the Roper Technologies, Inc. Director Compensation Plan (as adopted June 14, 2021 and subsequently amended).</w:t>
      </w:r>
    </w:p>
    <w:p>
      <w:pPr>
        <w:pStyle w:val="TextBody"/>
        <w:bidi w:val="0"/>
        <w:spacing w:lineRule="auto" w:line="288" w:before="0" w:after="240"/>
        <w:ind w:left="0" w:right="0" w:hanging="720"/>
        <w:jc w:val="both"/>
        <w:rPr/>
      </w:pPr>
      <w:r>
        <w:rPr>
          <w:rFonts w:ascii="Arial;sans-serif" w:hAnsi="Arial;sans-serif"/>
          <w:b/>
          <w:color w:val="000000"/>
          <w:sz w:val="20"/>
        </w:rPr>
        <w:t>2.17</w:t>
      </w:r>
      <w:r>
        <w:rPr>
          <w:rFonts w:ascii="Arial;sans-serif" w:hAnsi="Arial;sans-serif"/>
          <w:b/>
          <w:color w:val="000000"/>
          <w:sz w:val="20"/>
          <w:u w:val="single"/>
        </w:rPr>
        <w:t>Compensation Deferral Agreement</w:t>
      </w:r>
      <w:r>
        <w:rPr>
          <w:color w:val="000000"/>
        </w:rPr>
        <w:t xml:space="preserve"> </w:t>
      </w:r>
      <w:r>
        <w:rPr>
          <w:rFonts w:ascii="Arial;sans-serif" w:hAnsi="Arial;sans-serif"/>
          <w:b w:val="false"/>
          <w:color w:val="000000"/>
          <w:sz w:val="20"/>
        </w:rPr>
        <w:t xml:space="preserve">means an agreement between a Participant and a Participating Employer that specifies (a) the amount of each component of Compensation that the Participant has elected to defer to the Plan in accordance with the provisions of Article IV, and (b) the Payment Schedule applicable to one or more Accounts. The Committee may permit different deferral amounts for each component of Compensation and may establish a minimum or maximum deferral amount for each such component. Unless otherwise specified by the </w:t>
      </w:r>
    </w:p>
    <w:p>
      <w:pPr>
        <w:pStyle w:val="TextBody"/>
        <w:bidi w:val="0"/>
        <w:spacing w:before="0" w:after="44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41935"/>
                <wp:effectExtent l="0" t="0" r="0" b="0"/>
                <wp:wrapNone/>
                <wp:docPr id="77" name="Frame76"/>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3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3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Committee in the Compensation Deferral Agreement, Participants may defer up to one hundred percent (100%) of their base salary and up to one hundred percent (100%) of other types of Compensation for a Plan Year. A Compensation Deferral Agreement may also specify the investment allocation described in Section 8.4. For Plan Years commencing with the Effective Date, Compensation Deferral Agreements will be effective for only one (1) Plan Year and will not continue in effect for each subsequent Plan Year.</w:t>
      </w:r>
    </w:p>
    <w:p>
      <w:pPr>
        <w:pStyle w:val="TextBody"/>
        <w:bidi w:val="0"/>
        <w:spacing w:lineRule="auto" w:line="288" w:before="0" w:after="240"/>
        <w:ind w:left="0" w:right="0" w:hanging="720"/>
        <w:jc w:val="both"/>
        <w:rPr/>
      </w:pPr>
      <w:r>
        <w:rPr>
          <w:rFonts w:ascii="Arial;sans-serif" w:hAnsi="Arial;sans-serif"/>
          <w:b/>
          <w:color w:val="000000"/>
          <w:sz w:val="20"/>
        </w:rPr>
        <w:t>2.18</w:t>
      </w:r>
      <w:r>
        <w:rPr>
          <w:rFonts w:ascii="Arial;sans-serif" w:hAnsi="Arial;sans-serif"/>
          <w:b/>
          <w:color w:val="000000"/>
          <w:sz w:val="20"/>
          <w:u w:val="single"/>
        </w:rPr>
        <w:t>Death Benefit</w:t>
      </w:r>
      <w:r>
        <w:rPr>
          <w:color w:val="000000"/>
        </w:rPr>
        <w:t xml:space="preserve"> </w:t>
      </w:r>
      <w:r>
        <w:rPr>
          <w:rFonts w:ascii="Arial;sans-serif" w:hAnsi="Arial;sans-serif"/>
          <w:b w:val="false"/>
          <w:color w:val="000000"/>
          <w:sz w:val="20"/>
        </w:rPr>
        <w:t>means the benefit payable under the Plan to a Participant’s Beneficiary(ies) upon the Participant’s death as provided in Section 6.1 of the Plan.</w:t>
      </w:r>
    </w:p>
    <w:p>
      <w:pPr>
        <w:pStyle w:val="TextBody"/>
        <w:bidi w:val="0"/>
        <w:spacing w:lineRule="auto" w:line="288" w:before="0" w:after="240"/>
        <w:ind w:left="0" w:right="0" w:hanging="720"/>
        <w:jc w:val="both"/>
        <w:rPr/>
      </w:pPr>
      <w:r>
        <w:rPr>
          <w:rFonts w:ascii="Arial;sans-serif" w:hAnsi="Arial;sans-serif"/>
          <w:b/>
          <w:color w:val="000000"/>
          <w:sz w:val="20"/>
        </w:rPr>
        <w:t>2.19</w:t>
      </w:r>
      <w:r>
        <w:rPr>
          <w:rFonts w:ascii="Arial;sans-serif" w:hAnsi="Arial;sans-serif"/>
          <w:b/>
          <w:color w:val="000000"/>
          <w:sz w:val="20"/>
          <w:u w:val="single"/>
        </w:rPr>
        <w:t>Deferral</w:t>
      </w:r>
      <w:r>
        <w:rPr>
          <w:color w:val="000000"/>
        </w:rPr>
        <w:t xml:space="preserve"> </w:t>
      </w:r>
      <w:r>
        <w:rPr>
          <w:rFonts w:ascii="Arial;sans-serif" w:hAnsi="Arial;sans-serif"/>
          <w:b w:val="false"/>
          <w:color w:val="000000"/>
          <w:sz w:val="20"/>
        </w:rPr>
        <w:t>means a credit to a Participant’s Account(s) that records that portion of the Participant’s Compensation that the Participant has elected to defer to the Plan pursuant to a Compensation Deferral agreement in accordance with the provisions of Article IV. Unless the context of the Plan clearly indicates otherwise, a reference to Deferrals includes Earnings attributable to such Deferrals.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Deferrals shall be calculated with respect to the gross cash Compensation payable to the Participant prior to any deductions or withholdings, but shall be reduced by the Committee as necessary so that it does not exceed one hundred percent (100%) of the cash Compensation of the Participant remaining after deduction of all required income and employment taxes, other employee benefit deductions, and other deductions required by law. Changes to payroll withholdings that affect the amount of Compensation being deferred to the Plan shall be allowed only to the extent permissible under Code Section 409A.</w:t>
      </w:r>
    </w:p>
    <w:p>
      <w:pPr>
        <w:pStyle w:val="TextBody"/>
        <w:bidi w:val="0"/>
        <w:spacing w:lineRule="auto" w:line="288" w:before="0" w:after="240"/>
        <w:ind w:left="0" w:right="0" w:hanging="720"/>
        <w:jc w:val="both"/>
        <w:rPr/>
      </w:pPr>
      <w:r>
        <w:rPr>
          <w:rFonts w:ascii="Arial;sans-serif" w:hAnsi="Arial;sans-serif"/>
          <w:b/>
          <w:color w:val="000000"/>
          <w:sz w:val="20"/>
        </w:rPr>
        <w:t>2.20</w:t>
      </w:r>
      <w:r>
        <w:rPr>
          <w:rFonts w:ascii="Arial;sans-serif" w:hAnsi="Arial;sans-serif"/>
          <w:b/>
          <w:color w:val="000000"/>
          <w:sz w:val="20"/>
          <w:u w:val="single"/>
        </w:rPr>
        <w:t>Disability Benefit</w:t>
      </w:r>
      <w:r>
        <w:rPr>
          <w:color w:val="000000"/>
        </w:rPr>
        <w:t xml:space="preserve"> </w:t>
      </w:r>
      <w:r>
        <w:rPr>
          <w:rFonts w:ascii="Arial;sans-serif" w:hAnsi="Arial;sans-serif"/>
          <w:b w:val="false"/>
          <w:color w:val="000000"/>
          <w:sz w:val="20"/>
        </w:rPr>
        <w:t>means the benefit payable under the Plan to a Participant in the event such Participant is determined to be Disabled. For the avoidance of doubt, Non-Employee Directors are not eligible for Disability Benefits under the Plan.</w:t>
      </w:r>
    </w:p>
    <w:p>
      <w:pPr>
        <w:pStyle w:val="TextBody"/>
        <w:bidi w:val="0"/>
        <w:spacing w:lineRule="auto" w:line="288" w:before="0" w:after="240"/>
        <w:ind w:left="0" w:right="0" w:hanging="720"/>
        <w:jc w:val="both"/>
        <w:rPr/>
      </w:pPr>
      <w:r>
        <w:rPr>
          <w:rFonts w:ascii="Arial;sans-serif" w:hAnsi="Arial;sans-serif"/>
          <w:b/>
          <w:color w:val="000000"/>
          <w:sz w:val="20"/>
        </w:rPr>
        <w:t>2.21</w:t>
      </w:r>
      <w:r>
        <w:rPr>
          <w:rFonts w:ascii="Arial;sans-serif" w:hAnsi="Arial;sans-serif"/>
          <w:b/>
          <w:color w:val="000000"/>
          <w:sz w:val="20"/>
          <w:u w:val="single"/>
        </w:rPr>
        <w:t>Disabled and Disability</w:t>
      </w:r>
      <w:r>
        <w:rPr>
          <w:color w:val="000000"/>
        </w:rPr>
        <w:t xml:space="preserve"> </w:t>
      </w:r>
      <w:r>
        <w:rPr>
          <w:rFonts w:ascii="Arial;sans-serif" w:hAnsi="Arial;sans-serif"/>
          <w:b w:val="false"/>
          <w:color w:val="000000"/>
          <w:sz w:val="20"/>
        </w:rPr>
        <w:t>means that a Participant is, by reason of any medically-determinable physical or mental impairment which can be expected to result in death or can be expected to last for a continuous period of not less than twelve months, (a) unable to engage in any substantial gainful activity, or (b) receiving income replacement benefits for a period of not less than three months under an accident and health plan covering employees of the Participant’s employer. The Committee shall determine whether a Participant is Disabled in accordance with Code Section 409A; provided, however, that a Participant shall be deemed to be Disabled if determined to be totally disabled by the Social Security Administration or the Railroad Retirement Board.</w:t>
      </w:r>
    </w:p>
    <w:p>
      <w:pPr>
        <w:pStyle w:val="TextBody"/>
        <w:bidi w:val="0"/>
        <w:spacing w:lineRule="auto" w:line="288" w:before="0" w:after="240"/>
        <w:ind w:left="0" w:right="0" w:hanging="720"/>
        <w:jc w:val="both"/>
        <w:rPr/>
      </w:pPr>
      <w:r>
        <w:rPr>
          <w:rFonts w:ascii="Arial;sans-serif" w:hAnsi="Arial;sans-serif"/>
          <w:b/>
          <w:color w:val="000000"/>
          <w:sz w:val="20"/>
        </w:rPr>
        <w:t>2.22</w:t>
      </w:r>
      <w:r>
        <w:rPr>
          <w:rFonts w:ascii="Arial;sans-serif" w:hAnsi="Arial;sans-serif"/>
          <w:b/>
          <w:color w:val="000000"/>
          <w:sz w:val="20"/>
          <w:u w:val="single"/>
        </w:rPr>
        <w:t>Earnings</w:t>
      </w:r>
      <w:r>
        <w:rPr>
          <w:color w:val="000000"/>
        </w:rPr>
        <w:t xml:space="preserve"> </w:t>
      </w:r>
      <w:r>
        <w:rPr>
          <w:rFonts w:ascii="Arial;sans-serif" w:hAnsi="Arial;sans-serif"/>
          <w:b w:val="false"/>
          <w:color w:val="000000"/>
          <w:sz w:val="20"/>
        </w:rPr>
        <w:t>means an adjustment to the value of an Account in accordance with Article VIII.</w:t>
      </w:r>
    </w:p>
    <w:p>
      <w:pPr>
        <w:pStyle w:val="TextBody"/>
        <w:bidi w:val="0"/>
        <w:spacing w:lineRule="auto" w:line="288" w:before="0" w:after="240"/>
        <w:ind w:left="0" w:right="0" w:hanging="720"/>
        <w:jc w:val="both"/>
        <w:rPr/>
      </w:pPr>
      <w:r>
        <w:rPr>
          <w:rFonts w:ascii="Arial;sans-serif" w:hAnsi="Arial;sans-serif"/>
          <w:b/>
          <w:color w:val="000000"/>
          <w:sz w:val="20"/>
        </w:rPr>
        <w:t>2.23</w:t>
      </w:r>
      <w:r>
        <w:rPr>
          <w:rFonts w:ascii="Arial;sans-serif" w:hAnsi="Arial;sans-serif"/>
          <w:b/>
          <w:color w:val="000000"/>
          <w:sz w:val="20"/>
          <w:u w:val="single"/>
        </w:rPr>
        <w:t>Effective Date</w:t>
      </w:r>
      <w:r>
        <w:rPr>
          <w:color w:val="000000"/>
        </w:rPr>
        <w:t xml:space="preserve"> </w:t>
      </w:r>
      <w:r>
        <w:rPr>
          <w:rFonts w:ascii="Arial;sans-serif" w:hAnsi="Arial;sans-serif"/>
          <w:b w:val="false"/>
          <w:color w:val="000000"/>
          <w:sz w:val="20"/>
        </w:rPr>
        <w:t xml:space="preserve">means January 1, 2026, which is the effective date of this amended and restated Plan document. </w:t>
      </w:r>
    </w:p>
    <w:p>
      <w:pPr>
        <w:pStyle w:val="TextBody"/>
        <w:bidi w:val="0"/>
        <w:spacing w:lineRule="auto" w:line="288" w:before="0" w:after="240"/>
        <w:ind w:left="0" w:right="0" w:hanging="720"/>
        <w:jc w:val="both"/>
        <w:rPr/>
      </w:pPr>
      <w:r>
        <w:rPr>
          <w:rFonts w:ascii="Arial;sans-serif" w:hAnsi="Arial;sans-serif"/>
          <w:b/>
          <w:color w:val="000000"/>
          <w:sz w:val="20"/>
        </w:rPr>
        <w:t>2.24</w:t>
      </w:r>
      <w:r>
        <w:rPr>
          <w:rFonts w:ascii="Arial;sans-serif" w:hAnsi="Arial;sans-serif"/>
          <w:b/>
          <w:color w:val="000000"/>
          <w:sz w:val="20"/>
          <w:u w:val="single"/>
        </w:rPr>
        <w:t>Eligible Employee</w:t>
      </w:r>
      <w:r>
        <w:rPr>
          <w:color w:val="000000"/>
        </w:rPr>
        <w:t xml:space="preserve"> </w:t>
      </w:r>
      <w:r>
        <w:rPr>
          <w:rFonts w:ascii="Arial;sans-serif" w:hAnsi="Arial;sans-serif"/>
          <w:b w:val="false"/>
          <w:color w:val="000000"/>
          <w:sz w:val="20"/>
        </w:rPr>
        <w:t xml:space="preserve">means an Employee of a Participating Employer that the Committee determines is eligible to participate in the Plan. Notwithstanding the foregoing or anything to the contrary herein, only Employees who are members of a “select group of management or highly compensated employees”, within the meaning of ERISA Sections 201(2), 301(a)(3), and 401(a)(1), may be designated as eligible to participate in this Plan. For purposes of this Section, the Committee shall have sole and absolute discretion to determine whether an Employee is an Eligible Employee and all such determinations shall be final and binding on all individuals. </w:t>
      </w:r>
    </w:p>
    <w:p>
      <w:pPr>
        <w:pStyle w:val="TextBody"/>
        <w:bidi w:val="0"/>
        <w:spacing w:lineRule="auto" w:line="288" w:before="0" w:after="240"/>
        <w:ind w:left="0" w:right="0" w:hanging="720"/>
        <w:jc w:val="both"/>
        <w:rPr/>
      </w:pPr>
      <w:r>
        <w:rPr>
          <w:rFonts w:ascii="Arial;sans-serif" w:hAnsi="Arial;sans-serif"/>
          <w:b/>
          <w:color w:val="000000"/>
          <w:sz w:val="20"/>
        </w:rPr>
        <w:t>2.25</w:t>
      </w:r>
      <w:r>
        <w:rPr>
          <w:rFonts w:ascii="Arial;sans-serif" w:hAnsi="Arial;sans-serif"/>
          <w:b/>
          <w:color w:val="000000"/>
          <w:sz w:val="20"/>
          <w:u w:val="single"/>
        </w:rPr>
        <w:t>Employee</w:t>
      </w:r>
      <w:r>
        <w:rPr>
          <w:color w:val="000000"/>
        </w:rPr>
        <w:t xml:space="preserve"> </w:t>
      </w:r>
      <w:r>
        <w:rPr>
          <w:rFonts w:ascii="Arial;sans-serif" w:hAnsi="Arial;sans-serif"/>
          <w:b w:val="false"/>
          <w:color w:val="000000"/>
          <w:sz w:val="20"/>
        </w:rPr>
        <w:t>means a common-law employee of an Employer.</w:t>
      </w:r>
    </w:p>
    <w:p>
      <w:pPr>
        <w:pStyle w:val="TextBody"/>
        <w:bidi w:val="0"/>
        <w:spacing w:lineRule="auto" w:line="288" w:before="0" w:after="240"/>
        <w:ind w:left="0" w:right="0" w:hanging="720"/>
        <w:jc w:val="both"/>
        <w:rPr/>
      </w:pPr>
      <w:r>
        <w:rPr>
          <w:rFonts w:ascii="Arial;sans-serif" w:hAnsi="Arial;sans-serif"/>
          <w:b/>
          <w:color w:val="000000"/>
          <w:sz w:val="20"/>
        </w:rPr>
        <w:t>2.26</w:t>
      </w:r>
      <w:r>
        <w:rPr>
          <w:rFonts w:ascii="Arial;sans-serif" w:hAnsi="Arial;sans-serif"/>
          <w:b/>
          <w:color w:val="000000"/>
          <w:sz w:val="20"/>
          <w:u w:val="single"/>
        </w:rPr>
        <w:t>Employer</w:t>
      </w:r>
      <w:r>
        <w:rPr>
          <w:color w:val="000000"/>
        </w:rPr>
        <w:t xml:space="preserve"> </w:t>
      </w:r>
      <w:r>
        <w:rPr>
          <w:rFonts w:ascii="Arial;sans-serif" w:hAnsi="Arial;sans-serif"/>
          <w:b w:val="false"/>
          <w:color w:val="000000"/>
          <w:sz w:val="20"/>
        </w:rPr>
        <w:t>means, with respect to Employees it employs, the Company and each Affiliate.</w:t>
      </w:r>
    </w:p>
    <w:p>
      <w:pPr>
        <w:pStyle w:val="TextBody"/>
        <w:bidi w:val="0"/>
        <w:spacing w:before="0" w:after="44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41935"/>
                <wp:effectExtent l="0" t="0" r="0" b="0"/>
                <wp:wrapNone/>
                <wp:docPr id="78" name="Frame77"/>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4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4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ind w:left="0" w:right="0" w:hanging="720"/>
        <w:jc w:val="both"/>
        <w:rPr/>
      </w:pPr>
      <w:r>
        <w:rPr>
          <w:rFonts w:ascii="Arial;sans-serif" w:hAnsi="Arial;sans-serif"/>
          <w:b/>
          <w:color w:val="000000"/>
          <w:sz w:val="20"/>
        </w:rPr>
        <w:t>2.27</w:t>
      </w:r>
      <w:r>
        <w:rPr>
          <w:rFonts w:ascii="Arial;sans-serif" w:hAnsi="Arial;sans-serif"/>
          <w:b/>
          <w:color w:val="000000"/>
          <w:sz w:val="20"/>
          <w:u w:val="single"/>
        </w:rPr>
        <w:t>ERISA</w:t>
      </w:r>
      <w:r>
        <w:rPr>
          <w:color w:val="000000"/>
        </w:rPr>
        <w:t xml:space="preserve"> </w:t>
      </w:r>
      <w:r>
        <w:rPr>
          <w:rFonts w:ascii="Arial;sans-serif" w:hAnsi="Arial;sans-serif"/>
          <w:b w:val="false"/>
          <w:color w:val="000000"/>
          <w:sz w:val="20"/>
        </w:rPr>
        <w:t>means the Employee Retirement Income Security Act of 1974, as amended from time to time.</w:t>
      </w:r>
    </w:p>
    <w:p>
      <w:pPr>
        <w:pStyle w:val="TextBody"/>
        <w:bidi w:val="0"/>
        <w:spacing w:lineRule="auto" w:line="288" w:before="0" w:after="240"/>
        <w:ind w:left="0" w:right="0" w:hanging="720"/>
        <w:jc w:val="both"/>
        <w:rPr/>
      </w:pPr>
      <w:r>
        <w:rPr>
          <w:rFonts w:ascii="Arial;sans-serif" w:hAnsi="Arial;sans-serif"/>
          <w:b/>
          <w:color w:val="000000"/>
          <w:sz w:val="20"/>
        </w:rPr>
        <w:t>2.28</w:t>
      </w:r>
      <w:r>
        <w:rPr>
          <w:rFonts w:ascii="Arial;sans-serif" w:hAnsi="Arial;sans-serif"/>
          <w:b/>
          <w:color w:val="000000"/>
          <w:sz w:val="20"/>
          <w:u w:val="single"/>
        </w:rPr>
        <w:t>Fiscal Year Compensation</w:t>
      </w:r>
      <w:r>
        <w:rPr>
          <w:color w:val="000000"/>
        </w:rPr>
        <w:t xml:space="preserve"> </w:t>
      </w:r>
      <w:r>
        <w:rPr>
          <w:rFonts w:ascii="Arial;sans-serif" w:hAnsi="Arial;sans-serif"/>
          <w:b w:val="false"/>
          <w:color w:val="000000"/>
          <w:sz w:val="20"/>
        </w:rPr>
        <w:t>means Compensation earned during one or more consecutive fiscal years of a Participating Employer, all of which is paid after the last day of such fiscal year or years.</w:t>
      </w:r>
    </w:p>
    <w:p>
      <w:pPr>
        <w:pStyle w:val="TextBody"/>
        <w:bidi w:val="0"/>
        <w:spacing w:lineRule="auto" w:line="288" w:before="0" w:after="240"/>
        <w:ind w:left="0" w:right="0" w:hanging="720"/>
        <w:jc w:val="both"/>
        <w:rPr/>
      </w:pPr>
      <w:r>
        <w:rPr>
          <w:rFonts w:ascii="Arial;sans-serif" w:hAnsi="Arial;sans-serif"/>
          <w:b/>
          <w:color w:val="000000"/>
          <w:sz w:val="20"/>
        </w:rPr>
        <w:t>2.29</w:t>
      </w:r>
      <w:r>
        <w:rPr>
          <w:rFonts w:ascii="Arial;sans-serif" w:hAnsi="Arial;sans-serif"/>
          <w:b/>
          <w:color w:val="000000"/>
          <w:sz w:val="20"/>
          <w:u w:val="single"/>
        </w:rPr>
        <w:t>Non-Employee Director</w:t>
      </w:r>
      <w:r>
        <w:rPr>
          <w:color w:val="000000"/>
        </w:rPr>
        <w:t xml:space="preserve"> </w:t>
      </w:r>
      <w:r>
        <w:rPr>
          <w:rFonts w:ascii="Arial;sans-serif" w:hAnsi="Arial;sans-serif"/>
          <w:b w:val="false"/>
          <w:color w:val="000000"/>
          <w:sz w:val="20"/>
        </w:rPr>
        <w:t>means a member of the Board who is not an Employee.</w:t>
      </w:r>
    </w:p>
    <w:p>
      <w:pPr>
        <w:pStyle w:val="TextBody"/>
        <w:bidi w:val="0"/>
        <w:spacing w:lineRule="auto" w:line="288" w:before="0" w:after="240"/>
        <w:ind w:left="0" w:right="0" w:hanging="720"/>
        <w:jc w:val="both"/>
        <w:rPr/>
      </w:pPr>
      <w:r>
        <w:rPr>
          <w:rFonts w:ascii="Arial;sans-serif" w:hAnsi="Arial;sans-serif"/>
          <w:b/>
          <w:color w:val="000000"/>
          <w:sz w:val="20"/>
        </w:rPr>
        <w:t>2.30</w:t>
      </w:r>
      <w:r>
        <w:rPr>
          <w:rFonts w:ascii="Arial;sans-serif" w:hAnsi="Arial;sans-serif"/>
          <w:b/>
          <w:color w:val="000000"/>
          <w:sz w:val="20"/>
          <w:u w:val="single"/>
        </w:rPr>
        <w:t>Participant</w:t>
      </w:r>
      <w:r>
        <w:rPr>
          <w:color w:val="000000"/>
        </w:rPr>
        <w:t xml:space="preserve"> </w:t>
      </w:r>
      <w:r>
        <w:rPr>
          <w:rFonts w:ascii="Arial;sans-serif" w:hAnsi="Arial;sans-serif"/>
          <w:b w:val="false"/>
          <w:color w:val="000000"/>
          <w:sz w:val="20"/>
        </w:rPr>
        <w:t>means an Eligible Employee who has received notification of his or her eligibility to defer Compensation under the Plan under Section 3.1, a Non</w:t>
        <w:softHyphen/>
        <w:t xml:space="preserve"> Employee Director and any other person with an Account Balance greater than zero, regardless of whether such individual continues to be an Eligible Employee or a Non</w:t>
        <w:softHyphen/>
        <w:t xml:space="preserve"> Employee Director. A Participant’s continued participation in the Plan shall be governed by Section 3.2 of the Plan.</w:t>
      </w:r>
    </w:p>
    <w:p>
      <w:pPr>
        <w:pStyle w:val="TextBody"/>
        <w:bidi w:val="0"/>
        <w:spacing w:lineRule="auto" w:line="288" w:before="0" w:after="240"/>
        <w:ind w:left="0" w:right="0" w:hanging="720"/>
        <w:jc w:val="both"/>
        <w:rPr/>
      </w:pPr>
      <w:r>
        <w:rPr>
          <w:rFonts w:ascii="Arial;sans-serif" w:hAnsi="Arial;sans-serif"/>
          <w:b/>
          <w:color w:val="000000"/>
          <w:sz w:val="20"/>
        </w:rPr>
        <w:t>2.31</w:t>
      </w:r>
      <w:r>
        <w:rPr>
          <w:rFonts w:ascii="Arial;sans-serif" w:hAnsi="Arial;sans-serif"/>
          <w:b/>
          <w:color w:val="000000"/>
          <w:sz w:val="20"/>
          <w:u w:val="single"/>
        </w:rPr>
        <w:t>Participating Employer</w:t>
      </w:r>
      <w:r>
        <w:rPr>
          <w:color w:val="000000"/>
        </w:rPr>
        <w:t xml:space="preserve"> </w:t>
      </w:r>
      <w:r>
        <w:rPr>
          <w:rFonts w:ascii="Arial;sans-serif" w:hAnsi="Arial;sans-serif"/>
          <w:b w:val="false"/>
          <w:color w:val="000000"/>
          <w:sz w:val="20"/>
        </w:rPr>
        <w:t>means the Company and each Adopting Employer.</w:t>
      </w:r>
    </w:p>
    <w:p>
      <w:pPr>
        <w:pStyle w:val="TextBody"/>
        <w:bidi w:val="0"/>
        <w:spacing w:lineRule="auto" w:line="288" w:before="0" w:after="240"/>
        <w:ind w:left="0" w:right="0" w:hanging="720"/>
        <w:jc w:val="both"/>
        <w:rPr/>
      </w:pPr>
      <w:r>
        <w:rPr>
          <w:rFonts w:ascii="Arial;sans-serif" w:hAnsi="Arial;sans-serif"/>
          <w:b/>
          <w:color w:val="000000"/>
          <w:sz w:val="20"/>
        </w:rPr>
        <w:t>2.32</w:t>
      </w:r>
      <w:r>
        <w:rPr>
          <w:rFonts w:ascii="Arial;sans-serif" w:hAnsi="Arial;sans-serif"/>
          <w:b/>
          <w:color w:val="000000"/>
          <w:sz w:val="20"/>
          <w:u w:val="single"/>
        </w:rPr>
        <w:t>Payment Schedule</w:t>
      </w:r>
      <w:r>
        <w:rPr>
          <w:color w:val="000000"/>
        </w:rPr>
        <w:t xml:space="preserve"> </w:t>
      </w:r>
      <w:r>
        <w:rPr>
          <w:rFonts w:ascii="Arial;sans-serif" w:hAnsi="Arial;sans-serif"/>
          <w:b w:val="false"/>
          <w:color w:val="000000"/>
          <w:sz w:val="20"/>
        </w:rPr>
        <w:t>means the date as of which payment of an Account under the Plan will commence and the form in which payment of such Account will be made.</w:t>
      </w:r>
    </w:p>
    <w:p>
      <w:pPr>
        <w:pStyle w:val="TextBody"/>
        <w:bidi w:val="0"/>
        <w:spacing w:lineRule="auto" w:line="288" w:before="0" w:after="240"/>
        <w:ind w:left="0" w:right="0" w:hanging="720"/>
        <w:jc w:val="both"/>
        <w:rPr/>
      </w:pPr>
      <w:r>
        <w:rPr>
          <w:rFonts w:ascii="Arial;sans-serif" w:hAnsi="Arial;sans-serif"/>
          <w:b/>
          <w:color w:val="000000"/>
          <w:sz w:val="20"/>
        </w:rPr>
        <w:t>2.33</w:t>
      </w:r>
      <w:r>
        <w:rPr>
          <w:rFonts w:ascii="Arial;sans-serif" w:hAnsi="Arial;sans-serif"/>
          <w:b/>
          <w:color w:val="000000"/>
          <w:sz w:val="20"/>
          <w:u w:val="single"/>
        </w:rPr>
        <w:t>Performance-Based Compensation</w:t>
      </w:r>
      <w:r>
        <w:rPr>
          <w:color w:val="000000"/>
        </w:rPr>
        <w:t xml:space="preserve"> </w:t>
      </w:r>
      <w:r>
        <w:rPr>
          <w:rFonts w:ascii="Arial;sans-serif" w:hAnsi="Arial;sans-serif"/>
          <w:b w:val="false"/>
          <w:color w:val="000000"/>
          <w:sz w:val="20"/>
        </w:rPr>
        <w:t>means Compensation where the amount of, or entitlement to, the Compensation is contingent on the satisfaction of pre-established organizational or individual performance criteria relating to a performance period of at least twelve (12) consecutive months. Organizational or individual performance criteria are considered pre-established if established in writing by not later than ninety (90) days after the commencement of the period of service to which the criteria relate, provided that the outcome is substantially uncertain at the time the criteria are established. The determination of whether Compensation qualifies as Performance-Based Compensation will be made in accordance with Treasury Regulation Section 1.409A-1(e) and subsequent guidance.</w:t>
      </w:r>
    </w:p>
    <w:p>
      <w:pPr>
        <w:pStyle w:val="TextBody"/>
        <w:bidi w:val="0"/>
        <w:spacing w:lineRule="auto" w:line="288" w:before="0" w:after="240"/>
        <w:ind w:left="0" w:right="0" w:hanging="720"/>
        <w:jc w:val="both"/>
        <w:rPr/>
      </w:pPr>
      <w:r>
        <w:rPr>
          <w:rFonts w:ascii="Arial;sans-serif" w:hAnsi="Arial;sans-serif"/>
          <w:b/>
          <w:color w:val="000000"/>
          <w:sz w:val="20"/>
        </w:rPr>
        <w:t>2.34</w:t>
      </w:r>
      <w:r>
        <w:rPr>
          <w:rFonts w:ascii="Arial;sans-serif" w:hAnsi="Arial;sans-serif"/>
          <w:b/>
          <w:color w:val="000000"/>
          <w:sz w:val="20"/>
          <w:u w:val="single"/>
        </w:rPr>
        <w:t>Plan</w:t>
      </w:r>
      <w:r>
        <w:rPr>
          <w:color w:val="000000"/>
        </w:rPr>
        <w:t xml:space="preserve"> </w:t>
      </w:r>
      <w:r>
        <w:rPr>
          <w:rFonts w:ascii="Arial;sans-serif" w:hAnsi="Arial;sans-serif"/>
          <w:b w:val="false"/>
          <w:color w:val="000000"/>
          <w:sz w:val="20"/>
        </w:rPr>
        <w:t xml:space="preserve">means this “Roper Technologies, Inc. Non-Qualified Retirement Plan” as amended and restated herein and as may be further amended from time to time hereafter. </w:t>
      </w:r>
    </w:p>
    <w:p>
      <w:pPr>
        <w:pStyle w:val="TextBody"/>
        <w:bidi w:val="0"/>
        <w:spacing w:lineRule="auto" w:line="288" w:before="0" w:after="240"/>
        <w:ind w:left="0" w:right="0" w:hanging="720"/>
        <w:jc w:val="both"/>
        <w:rPr/>
      </w:pPr>
      <w:r>
        <w:rPr>
          <w:rFonts w:ascii="Arial;sans-serif" w:hAnsi="Arial;sans-serif"/>
          <w:b/>
          <w:color w:val="000000"/>
          <w:sz w:val="20"/>
        </w:rPr>
        <w:t>2.35</w:t>
      </w:r>
      <w:r>
        <w:rPr>
          <w:rFonts w:ascii="Arial;sans-serif" w:hAnsi="Arial;sans-serif"/>
          <w:b/>
          <w:color w:val="000000"/>
          <w:sz w:val="20"/>
          <w:u w:val="single"/>
        </w:rPr>
        <w:t>Plan Year</w:t>
      </w:r>
      <w:r>
        <w:rPr>
          <w:color w:val="000000"/>
        </w:rPr>
        <w:t xml:space="preserve"> </w:t>
      </w:r>
      <w:r>
        <w:rPr>
          <w:rFonts w:ascii="Arial;sans-serif" w:hAnsi="Arial;sans-serif"/>
          <w:b w:val="false"/>
          <w:color w:val="000000"/>
          <w:sz w:val="20"/>
        </w:rPr>
        <w:t>means the twelve (12) consecutive month period that begins on each January 1 and ends on each December 31.</w:t>
      </w:r>
    </w:p>
    <w:p>
      <w:pPr>
        <w:pStyle w:val="TextBody"/>
        <w:bidi w:val="0"/>
        <w:spacing w:lineRule="auto" w:line="288" w:before="0" w:after="240"/>
        <w:ind w:left="0" w:right="0" w:hanging="720"/>
        <w:jc w:val="both"/>
        <w:rPr/>
      </w:pPr>
      <w:r>
        <w:rPr>
          <w:rFonts w:ascii="Arial;sans-serif" w:hAnsi="Arial;sans-serif"/>
          <w:b/>
          <w:color w:val="000000"/>
          <w:sz w:val="20"/>
        </w:rPr>
        <w:t>2.36</w:t>
      </w:r>
      <w:r>
        <w:rPr>
          <w:rFonts w:ascii="Arial;sans-serif" w:hAnsi="Arial;sans-serif"/>
          <w:b/>
          <w:color w:val="000000"/>
          <w:sz w:val="20"/>
          <w:u w:val="single"/>
        </w:rPr>
        <w:t>Retirement</w:t>
      </w:r>
      <w:r>
        <w:rPr>
          <w:color w:val="000000"/>
        </w:rPr>
        <w:t xml:space="preserve"> </w:t>
      </w:r>
      <w:r>
        <w:rPr>
          <w:rFonts w:ascii="Arial;sans-serif" w:hAnsi="Arial;sans-serif"/>
          <w:b w:val="false"/>
          <w:color w:val="000000"/>
          <w:sz w:val="20"/>
        </w:rPr>
        <w:t>means for Participants other than Non-Employee Directors (a) for Plan Years commencing prior to the Effective Date, Separation from Service after attainment of any age where the combination of the Participant’s age and number of Years of Service equals or exceeds 65, and (b) for Plan Years commencing on and after the Effective date, Separation from Service for any reason. For Participants who are Non-Employee Directors, Retirement means Separation from Service for any reason.</w:t>
      </w:r>
    </w:p>
    <w:p>
      <w:pPr>
        <w:pStyle w:val="TextBody"/>
        <w:bidi w:val="0"/>
        <w:spacing w:lineRule="auto" w:line="288" w:before="0" w:after="240"/>
        <w:ind w:left="0" w:right="0" w:hanging="720"/>
        <w:jc w:val="both"/>
        <w:rPr/>
      </w:pPr>
      <w:r>
        <w:rPr>
          <w:rFonts w:ascii="Arial;sans-serif" w:hAnsi="Arial;sans-serif"/>
          <w:b/>
          <w:color w:val="000000"/>
          <w:sz w:val="20"/>
        </w:rPr>
        <w:t>2.37</w:t>
      </w:r>
      <w:r>
        <w:rPr>
          <w:rFonts w:ascii="Arial;sans-serif" w:hAnsi="Arial;sans-serif"/>
          <w:b/>
          <w:color w:val="000000"/>
          <w:sz w:val="20"/>
          <w:u w:val="single"/>
        </w:rPr>
        <w:t>Retirement Benefit</w:t>
      </w:r>
      <w:r>
        <w:rPr>
          <w:color w:val="000000"/>
        </w:rPr>
        <w:t xml:space="preserve"> </w:t>
      </w:r>
      <w:r>
        <w:rPr>
          <w:rFonts w:ascii="Arial;sans-serif" w:hAnsi="Arial;sans-serif"/>
          <w:b w:val="false"/>
          <w:color w:val="000000"/>
          <w:sz w:val="20"/>
        </w:rPr>
        <w:t>means the benefit payable to a Participant under the Plan following the Retirement of the Participant.</w:t>
      </w:r>
    </w:p>
    <w:p>
      <w:pPr>
        <w:pStyle w:val="TextBody"/>
        <w:bidi w:val="0"/>
        <w:spacing w:lineRule="auto" w:line="288" w:before="0" w:after="240"/>
        <w:ind w:left="0" w:right="0" w:hanging="720"/>
        <w:jc w:val="both"/>
        <w:rPr/>
      </w:pPr>
      <w:r>
        <w:rPr>
          <w:rFonts w:ascii="Arial;sans-serif" w:hAnsi="Arial;sans-serif"/>
          <w:b/>
          <w:color w:val="000000"/>
          <w:sz w:val="20"/>
        </w:rPr>
        <w:t>2.38</w:t>
      </w:r>
      <w:r>
        <w:rPr>
          <w:rFonts w:ascii="Arial;sans-serif" w:hAnsi="Arial;sans-serif"/>
          <w:b/>
          <w:color w:val="000000"/>
          <w:sz w:val="20"/>
          <w:u w:val="single"/>
        </w:rPr>
        <w:t>Retirement / Termination Account</w:t>
      </w:r>
      <w:r>
        <w:rPr>
          <w:color w:val="000000"/>
        </w:rPr>
        <w:t xml:space="preserve"> </w:t>
      </w:r>
      <w:r>
        <w:rPr>
          <w:rFonts w:ascii="Arial;sans-serif" w:hAnsi="Arial;sans-serif"/>
          <w:b w:val="false"/>
          <w:color w:val="000000"/>
          <w:sz w:val="20"/>
        </w:rPr>
        <w:t>means an Account established by the Committee to record the amounts payable to a Participant that have not been allocated to a Specified Date Account for Plan Years commencing prior to the Effective Date. For Plan Years commencing on or after the Effective Date, a separate distribution election will be made each Plan Year.</w:t>
      </w:r>
    </w:p>
    <w:p>
      <w:pPr>
        <w:pStyle w:val="TextBody"/>
        <w:bidi w:val="0"/>
        <w:spacing w:lineRule="auto" w:line="288" w:before="0" w:after="240"/>
        <w:ind w:left="0" w:right="0" w:hanging="720"/>
        <w:jc w:val="both"/>
        <w:rPr/>
      </w:pPr>
      <w:r>
        <w:rPr>
          <w:rFonts w:ascii="Arial;sans-serif" w:hAnsi="Arial;sans-serif"/>
          <w:b/>
          <w:color w:val="000000"/>
          <w:sz w:val="20"/>
        </w:rPr>
        <w:t>2.39</w:t>
      </w:r>
      <w:r>
        <w:rPr>
          <w:rFonts w:ascii="Arial;sans-serif" w:hAnsi="Arial;sans-serif"/>
          <w:b/>
          <w:color w:val="000000"/>
          <w:sz w:val="20"/>
          <w:u w:val="single"/>
        </w:rPr>
        <w:t>Separation from Service</w:t>
      </w:r>
      <w:r>
        <w:rPr>
          <w:color w:val="000000"/>
        </w:rPr>
        <w:t xml:space="preserve"> </w:t>
      </w:r>
      <w:r>
        <w:rPr>
          <w:rFonts w:ascii="Arial;sans-serif" w:hAnsi="Arial;sans-serif"/>
          <w:b w:val="false"/>
          <w:color w:val="000000"/>
          <w:sz w:val="20"/>
        </w:rPr>
        <w:t xml:space="preserve">means a termination of employment with an Employer within the meaning provided in Treasury Regulation Section 1.409A-1(h), provided, that the Participant will be deemed to have a Separation from Service if services provided to Employer is at a level that is </w:t>
      </w:r>
    </w:p>
    <w:p>
      <w:pPr>
        <w:pStyle w:val="TextBody"/>
        <w:bidi w:val="0"/>
        <w:spacing w:before="0" w:after="44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41935"/>
                <wp:effectExtent l="0" t="0" r="0" b="0"/>
                <wp:wrapNone/>
                <wp:docPr id="79" name="Frame78"/>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5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5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twenty percent (20%) or less of the average level of service performed by the Participant in the 36-month period, or lesser period if applicable under Treasury Regulation Section 1.409A-1(h), immediately preceding the Separation from Service.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Notwithstanding the foregoing, an Employee who is absent from work due to military leave, sick leave, or other bona fide leave of absence shall incur a Separation from Service on the first date immediately following the later of (a) the six- (6-) month anniversary of the commencement of the leave, or (b) the expiration of the Employee’s right, if any, to reemployment under statute or contract. Notwithstanding the preceding, however, an Employee who is absent from work due to a physical or mental impairment that is expected to result in death or last for a continuous period of at least six months and that prevents the Employee from performing the duties of his position of employment or a similar position shall incur a Separation from Service on the first date immediately following the twenty-nine-(29-) month anniversary of the commencement of the leave.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purposes of determining whether a Separation from Service has occurred, the Employer means the Employer as defined under this Article, except that for purposes of determining whether another organization is an Affiliate of the Company, common ownership of at least fifty percent (50%) shall be determinative.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Non-Employee Director is deemed to have incurred a Separation from Service upon the ceasing of all services as a Director constituting a “separation from service” (as that term is defined at Treas. Reg. § 1.409A-1(h)) from the Company and any of its Affiliates.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Committee specifically reserves the right to determine whether a sale or other disposition of substantial assets to an unrelated party constitutes a Separation from Service with respect to a Participant providing services to the seller immediately prior to the transaction and providing services to the buyer after the transaction. Such determination shall be made in accordance with the requirements of Code Section 409A.</w:t>
      </w:r>
    </w:p>
    <w:p>
      <w:pPr>
        <w:pStyle w:val="TextBody"/>
        <w:bidi w:val="0"/>
        <w:spacing w:lineRule="auto" w:line="288" w:before="0" w:after="240"/>
        <w:ind w:left="0" w:right="0" w:hanging="720"/>
        <w:jc w:val="both"/>
        <w:rPr/>
      </w:pPr>
      <w:r>
        <w:rPr>
          <w:rFonts w:ascii="Arial;sans-serif" w:hAnsi="Arial;sans-serif"/>
          <w:b/>
          <w:color w:val="000000"/>
          <w:sz w:val="20"/>
        </w:rPr>
        <w:t>2.40</w:t>
      </w:r>
      <w:r>
        <w:rPr>
          <w:rFonts w:ascii="Arial;sans-serif" w:hAnsi="Arial;sans-serif"/>
          <w:b/>
          <w:color w:val="000000"/>
          <w:sz w:val="20"/>
          <w:u w:val="single"/>
        </w:rPr>
        <w:t>Specified Date Account</w:t>
      </w:r>
      <w:r>
        <w:rPr>
          <w:color w:val="000000"/>
        </w:rPr>
        <w:t xml:space="preserve"> </w:t>
      </w:r>
      <w:r>
        <w:rPr>
          <w:rFonts w:ascii="Arial;sans-serif" w:hAnsi="Arial;sans-serif"/>
          <w:b w:val="false"/>
          <w:color w:val="000000"/>
          <w:sz w:val="20"/>
        </w:rPr>
        <w:t>means an Account established pursuant to Section 4.3 that will be paid (or that will commence to be paid) at a future date as specified in the Participant’s Compensation Deferral Agreement prior to the Effective Date, unless otherwise determined by the Committee, a Participant may maintain no more than five (5) Specified Date Accounts. A Specified Date Account may be identified in enrollment materials as an in-service account. For Plan Years commencing on/after the effective date, a separate distribution election will be made each Plan Year.</w:t>
      </w:r>
    </w:p>
    <w:p>
      <w:pPr>
        <w:pStyle w:val="TextBody"/>
        <w:bidi w:val="0"/>
        <w:spacing w:lineRule="auto" w:line="288" w:before="0" w:after="240"/>
        <w:ind w:left="0" w:right="0" w:hanging="720"/>
        <w:jc w:val="both"/>
        <w:rPr/>
      </w:pPr>
      <w:r>
        <w:rPr>
          <w:rFonts w:ascii="Arial;sans-serif" w:hAnsi="Arial;sans-serif"/>
          <w:b/>
          <w:color w:val="000000"/>
          <w:sz w:val="20"/>
        </w:rPr>
        <w:t>2.41</w:t>
      </w:r>
      <w:r>
        <w:rPr>
          <w:rFonts w:ascii="Arial;sans-serif" w:hAnsi="Arial;sans-serif"/>
          <w:b/>
          <w:color w:val="000000"/>
          <w:sz w:val="20"/>
          <w:u w:val="single"/>
        </w:rPr>
        <w:t>Specified Date</w:t>
      </w:r>
      <w:r>
        <w:rPr>
          <w:color w:val="000000"/>
        </w:rPr>
        <w:t xml:space="preserve"> </w:t>
      </w:r>
      <w:r>
        <w:rPr>
          <w:rFonts w:ascii="Arial;sans-serif" w:hAnsi="Arial;sans-serif"/>
          <w:b w:val="false"/>
          <w:color w:val="000000"/>
          <w:sz w:val="20"/>
        </w:rPr>
        <w:t>means a payment date specified in a Compensation Deferral Agreement.</w:t>
      </w:r>
    </w:p>
    <w:p>
      <w:pPr>
        <w:pStyle w:val="TextBody"/>
        <w:bidi w:val="0"/>
        <w:spacing w:lineRule="auto" w:line="288" w:before="0" w:after="240"/>
        <w:ind w:left="0" w:right="0" w:hanging="720"/>
        <w:jc w:val="both"/>
        <w:rPr/>
      </w:pPr>
      <w:r>
        <w:rPr>
          <w:rFonts w:ascii="Arial;sans-serif" w:hAnsi="Arial;sans-serif"/>
          <w:b/>
          <w:color w:val="000000"/>
          <w:sz w:val="20"/>
        </w:rPr>
        <w:t>2.42</w:t>
      </w:r>
      <w:r>
        <w:rPr>
          <w:rFonts w:ascii="Arial;sans-serif" w:hAnsi="Arial;sans-serif"/>
          <w:b/>
          <w:color w:val="000000"/>
          <w:sz w:val="20"/>
          <w:u w:val="single"/>
        </w:rPr>
        <w:t>Specified Date Benefit</w:t>
      </w:r>
      <w:r>
        <w:rPr>
          <w:color w:val="000000"/>
        </w:rPr>
        <w:t xml:space="preserve"> </w:t>
      </w:r>
      <w:r>
        <w:rPr>
          <w:rFonts w:ascii="Arial;sans-serif" w:hAnsi="Arial;sans-serif"/>
          <w:b w:val="false"/>
          <w:color w:val="000000"/>
          <w:sz w:val="20"/>
        </w:rPr>
        <w:t>means the benefit payable to a Participant under the Plan in accordance with Section 6.1(c).</w:t>
      </w:r>
    </w:p>
    <w:p>
      <w:pPr>
        <w:pStyle w:val="TextBody"/>
        <w:bidi w:val="0"/>
        <w:spacing w:lineRule="auto" w:line="288" w:before="0" w:after="240"/>
        <w:ind w:left="0" w:right="0" w:hanging="720"/>
        <w:jc w:val="both"/>
        <w:rPr/>
      </w:pPr>
      <w:r>
        <w:rPr>
          <w:rFonts w:ascii="Arial;sans-serif" w:hAnsi="Arial;sans-serif"/>
          <w:b/>
          <w:color w:val="000000"/>
          <w:sz w:val="20"/>
        </w:rPr>
        <w:t>2.43</w:t>
      </w:r>
      <w:r>
        <w:rPr>
          <w:rFonts w:ascii="Arial;sans-serif" w:hAnsi="Arial;sans-serif"/>
          <w:b/>
          <w:color w:val="000000"/>
          <w:sz w:val="20"/>
          <w:u w:val="single"/>
        </w:rPr>
        <w:t>Specified Employee</w:t>
      </w:r>
      <w:r>
        <w:rPr>
          <w:color w:val="000000"/>
        </w:rPr>
        <w:t xml:space="preserve"> </w:t>
      </w:r>
      <w:r>
        <w:rPr>
          <w:rFonts w:ascii="Arial;sans-serif" w:hAnsi="Arial;sans-serif"/>
          <w:b w:val="false"/>
          <w:color w:val="000000"/>
          <w:sz w:val="20"/>
        </w:rPr>
        <w:t>means the same as such term is defined under Code Section 409A,provided, however, that, as permitted in the final Section 409A Treasury Regulations, the Company’s Specified Employees and its application of the six- (6-) month delay rule of Code Section 409A(a)(2)(B)(i) shall be determined in accordance with rules adopted by the Board or a committee thereof, which shall be applied consistently with respect to all nonqualified deferred compensation arrangements of the Company, including this Plan.</w:t>
      </w:r>
    </w:p>
    <w:p>
      <w:pPr>
        <w:pStyle w:val="TextBody"/>
        <w:bidi w:val="0"/>
        <w:spacing w:lineRule="auto" w:line="288" w:before="0" w:after="240"/>
        <w:ind w:left="0" w:right="0" w:hanging="720"/>
        <w:jc w:val="both"/>
        <w:rPr/>
      </w:pPr>
      <w:r>
        <w:rPr>
          <w:rFonts w:ascii="Arial;sans-serif" w:hAnsi="Arial;sans-serif"/>
          <w:b/>
          <w:color w:val="000000"/>
          <w:sz w:val="20"/>
        </w:rPr>
        <w:t>2.44</w:t>
      </w:r>
      <w:r>
        <w:rPr>
          <w:rFonts w:ascii="Arial;sans-serif" w:hAnsi="Arial;sans-serif"/>
          <w:b/>
          <w:color w:val="000000"/>
          <w:sz w:val="20"/>
          <w:u w:val="single"/>
        </w:rPr>
        <w:t>Substantial Risk of Forfeiture</w:t>
      </w:r>
      <w:r>
        <w:rPr>
          <w:color w:val="000000"/>
        </w:rPr>
        <w:t xml:space="preserve"> </w:t>
      </w:r>
      <w:r>
        <w:rPr>
          <w:rFonts w:ascii="Arial;sans-serif" w:hAnsi="Arial;sans-serif"/>
          <w:b w:val="false"/>
          <w:color w:val="000000"/>
          <w:sz w:val="20"/>
        </w:rPr>
        <w:t>shall have the meaning specified in Treasury Regulation Section 1.409A-1(d).</w:t>
      </w:r>
    </w:p>
    <w:p>
      <w:pPr>
        <w:pStyle w:val="TextBody"/>
        <w:bidi w:val="0"/>
        <w:spacing w:lineRule="auto" w:line="288" w:before="0" w:after="240"/>
        <w:ind w:left="0" w:right="0" w:hanging="720"/>
        <w:jc w:val="both"/>
        <w:rPr/>
      </w:pPr>
      <w:r>
        <w:rPr>
          <w:rFonts w:ascii="Arial;sans-serif" w:hAnsi="Arial;sans-serif"/>
          <w:b/>
          <w:color w:val="000000"/>
          <w:sz w:val="20"/>
        </w:rPr>
        <w:t>2.45</w:t>
      </w:r>
      <w:r>
        <w:rPr>
          <w:rFonts w:ascii="Arial;sans-serif" w:hAnsi="Arial;sans-serif"/>
          <w:b/>
          <w:color w:val="000000"/>
          <w:sz w:val="20"/>
          <w:u w:val="single"/>
        </w:rPr>
        <w:t>Termination</w:t>
      </w:r>
      <w:r>
        <w:rPr>
          <w:color w:val="000000"/>
        </w:rPr>
        <w:t xml:space="preserve"> </w:t>
      </w:r>
      <w:r>
        <w:rPr>
          <w:rFonts w:ascii="Arial;sans-serif" w:hAnsi="Arial;sans-serif"/>
          <w:b w:val="false"/>
          <w:color w:val="000000"/>
          <w:sz w:val="20"/>
        </w:rPr>
        <w:t>means, on and after the Effective Date, a Separation from Service.</w:t>
      </w:r>
    </w:p>
    <w:p>
      <w:pPr>
        <w:pStyle w:val="TextBody"/>
        <w:bidi w:val="0"/>
        <w:spacing w:before="0" w:after="44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41935"/>
                <wp:effectExtent l="0" t="0" r="0" b="0"/>
                <wp:wrapNone/>
                <wp:docPr id="80" name="Frame79"/>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6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6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ind w:left="0" w:right="0" w:hanging="720"/>
        <w:jc w:val="both"/>
        <w:rPr/>
      </w:pPr>
      <w:r>
        <w:rPr>
          <w:rFonts w:ascii="Arial;sans-serif" w:hAnsi="Arial;sans-serif"/>
          <w:b/>
          <w:color w:val="000000"/>
          <w:sz w:val="20"/>
        </w:rPr>
        <w:t>2.46</w:t>
      </w:r>
      <w:r>
        <w:rPr>
          <w:rFonts w:ascii="Arial;sans-serif" w:hAnsi="Arial;sans-serif"/>
          <w:b/>
          <w:color w:val="000000"/>
          <w:sz w:val="20"/>
          <w:u w:val="single"/>
        </w:rPr>
        <w:t>Termination Benefit</w:t>
      </w:r>
      <w:r>
        <w:rPr>
          <w:color w:val="000000"/>
        </w:rPr>
        <w:t xml:space="preserve"> </w:t>
      </w:r>
      <w:r>
        <w:rPr>
          <w:rFonts w:ascii="Arial;sans-serif" w:hAnsi="Arial;sans-serif"/>
          <w:b w:val="false"/>
          <w:color w:val="000000"/>
          <w:sz w:val="20"/>
        </w:rPr>
        <w:t>means the benefit payable to a Participant under the Plan following the Participant’s Separation from Service prior to Retirement for Plan Years prior to the Effective Date. For the avoidance of doubt, Non-Employee Directors are not eligible for Termination Benefits under the Plan, because Retirement for Non-Employee Directors means Separation from Service for any reason.</w:t>
      </w:r>
    </w:p>
    <w:p>
      <w:pPr>
        <w:pStyle w:val="TextBody"/>
        <w:bidi w:val="0"/>
        <w:spacing w:lineRule="auto" w:line="288" w:before="0" w:after="240"/>
        <w:ind w:left="0" w:right="0" w:hanging="720"/>
        <w:jc w:val="both"/>
        <w:rPr/>
      </w:pPr>
      <w:r>
        <w:rPr>
          <w:rFonts w:ascii="Arial;sans-serif" w:hAnsi="Arial;sans-serif"/>
          <w:b/>
          <w:color w:val="000000"/>
          <w:sz w:val="20"/>
        </w:rPr>
        <w:t>2.47</w:t>
      </w:r>
      <w:r>
        <w:rPr>
          <w:rFonts w:ascii="Arial;sans-serif" w:hAnsi="Arial;sans-serif"/>
          <w:b/>
          <w:color w:val="000000"/>
          <w:sz w:val="20"/>
          <w:u w:val="single"/>
        </w:rPr>
        <w:t>Unforeseeable Emergency</w:t>
      </w:r>
      <w:r>
        <w:rPr>
          <w:color w:val="000000"/>
        </w:rPr>
        <w:t xml:space="preserve"> </w:t>
      </w:r>
      <w:r>
        <w:rPr>
          <w:rFonts w:ascii="Arial;sans-serif" w:hAnsi="Arial;sans-serif"/>
          <w:b w:val="false"/>
          <w:color w:val="000000"/>
          <w:sz w:val="20"/>
        </w:rPr>
        <w:t>means a severe financial hardship to the Participant resulting from (a) an illness or accident of the Participant, the Participant’s spouse, the Participant’s dependent (as defined in Code Section 152(a)), or a Beneficiary; (b) loss of the Participant’s property due to casualty (including the need to rebuild a home following damage to a home not otherwise covered by insurance, for example, as a result of a natural disaster); or (c) other similar extraordinary and unforeseeable circumstances arising as a result of events beyond the control of the Participant. The types of events which may qualify as an Unforeseeable Emergency may be limited by the Committee.</w:t>
      </w:r>
    </w:p>
    <w:p>
      <w:pPr>
        <w:pStyle w:val="TextBody"/>
        <w:bidi w:val="0"/>
        <w:spacing w:lineRule="auto" w:line="288" w:before="0" w:after="240"/>
        <w:ind w:left="0" w:right="0" w:hanging="720"/>
        <w:jc w:val="both"/>
        <w:rPr/>
      </w:pPr>
      <w:r>
        <w:rPr>
          <w:rFonts w:ascii="Arial;sans-serif" w:hAnsi="Arial;sans-serif"/>
          <w:b/>
          <w:color w:val="000000"/>
          <w:sz w:val="20"/>
        </w:rPr>
        <w:t>2.48</w:t>
      </w:r>
      <w:r>
        <w:rPr>
          <w:rFonts w:ascii="Arial;sans-serif" w:hAnsi="Arial;sans-serif"/>
          <w:b/>
          <w:color w:val="000000"/>
          <w:sz w:val="20"/>
          <w:u w:val="single"/>
        </w:rPr>
        <w:t>Valuation Date</w:t>
      </w:r>
      <w:r>
        <w:rPr>
          <w:color w:val="000000"/>
        </w:rPr>
        <w:t xml:space="preserve"> </w:t>
      </w:r>
      <w:r>
        <w:rPr>
          <w:rFonts w:ascii="Arial;sans-serif" w:hAnsi="Arial;sans-serif"/>
          <w:b w:val="false"/>
          <w:color w:val="000000"/>
          <w:sz w:val="20"/>
        </w:rPr>
        <w:t>means each Business Day.</w:t>
      </w:r>
    </w:p>
    <w:p>
      <w:pPr>
        <w:pStyle w:val="TextBody"/>
        <w:bidi w:val="0"/>
        <w:spacing w:lineRule="auto" w:line="288" w:before="0" w:after="240"/>
        <w:ind w:left="0" w:right="0" w:hanging="720"/>
        <w:jc w:val="both"/>
        <w:rPr/>
      </w:pPr>
      <w:r>
        <w:rPr>
          <w:rFonts w:ascii="Arial;sans-serif" w:hAnsi="Arial;sans-serif"/>
          <w:b/>
          <w:color w:val="000000"/>
          <w:sz w:val="20"/>
        </w:rPr>
        <w:t>2.49</w:t>
      </w:r>
      <w:r>
        <w:rPr>
          <w:rFonts w:ascii="Arial;sans-serif" w:hAnsi="Arial;sans-serif"/>
          <w:b/>
          <w:color w:val="000000"/>
          <w:sz w:val="20"/>
          <w:u w:val="single"/>
        </w:rPr>
        <w:t>Year of Service</w:t>
      </w:r>
      <w:r>
        <w:rPr>
          <w:color w:val="000000"/>
        </w:rPr>
        <w:t xml:space="preserve"> </w:t>
      </w:r>
      <w:r>
        <w:rPr>
          <w:rFonts w:ascii="Arial;sans-serif" w:hAnsi="Arial;sans-serif"/>
          <w:b w:val="false"/>
          <w:color w:val="000000"/>
          <w:sz w:val="20"/>
        </w:rPr>
        <w:t>means each twelve (12) consecutive month period of continuous service with the Employer or each twelve (12) consecutive month period of continuous service as a Non</w:t>
        <w:softHyphen/>
        <w:t>Employee Director of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41935"/>
                <wp:effectExtent l="0" t="0" r="0" b="0"/>
                <wp:wrapNone/>
                <wp:docPr id="81" name="Frame80"/>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7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7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jc w:val="center"/>
        <w:rPr/>
      </w:pPr>
      <w:r>
        <w:rPr>
          <w:rFonts w:ascii="Arial;sans-serif" w:hAnsi="Arial;sans-serif"/>
          <w:b w:val="false"/>
          <w:color w:val="FFFFFF"/>
          <w:sz w:val="2"/>
        </w:rPr>
        <w:t>III</w:t>
      </w:r>
      <w:r>
        <w:rPr>
          <w:rFonts w:ascii="Arial;sans-serif" w:hAnsi="Arial;sans-serif"/>
          <w:b/>
          <w:color w:val="000000"/>
          <w:sz w:val="20"/>
        </w:rPr>
        <w:t>ARTICLE III</w:t>
      </w:r>
      <w:r>
        <w:rPr>
          <w:rFonts w:ascii="Arial;sans-serif" w:hAnsi="Arial;sans-serif"/>
          <w:b/>
          <w:color w:val="000000"/>
          <w:sz w:val="20"/>
          <w:u w:val="single"/>
        </w:rPr>
        <w:br/>
        <w:t>ELIGIBILITY AND PARTICIPATION</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3.1Eligibility and Participation</w:t>
      </w:r>
    </w:p>
    <w:p>
      <w:pPr>
        <w:pStyle w:val="TextBody"/>
        <w:bidi w:val="0"/>
        <w:spacing w:lineRule="auto" w:line="288" w:before="0" w:after="240"/>
        <w:ind w:left="0" w:right="0" w:hanging="720"/>
        <w:jc w:val="both"/>
        <w:rPr/>
      </w:pPr>
      <w:r>
        <w:rPr>
          <w:rFonts w:ascii="Arial;sans-serif" w:hAnsi="Arial;sans-serif"/>
          <w:b w:val="false"/>
          <w:color w:val="000000"/>
          <w:sz w:val="20"/>
        </w:rPr>
        <w:t>(a)</w:t>
      </w:r>
      <w:r>
        <w:rPr>
          <w:rFonts w:ascii="Arial;sans-serif" w:hAnsi="Arial;sans-serif"/>
          <w:b w:val="false"/>
          <w:color w:val="000000"/>
          <w:sz w:val="20"/>
          <w:u w:val="single"/>
        </w:rPr>
        <w:t>Eligible Employees</w:t>
      </w:r>
      <w:r>
        <w:rPr>
          <w:rFonts w:ascii="Arial;sans-serif" w:hAnsi="Arial;sans-serif"/>
          <w:b w:val="false"/>
          <w:color w:val="000000"/>
          <w:sz w:val="20"/>
        </w:rPr>
        <w:t>. An Eligible Employee becomes a Participant upon the earlier to occur of (1) a credit of Company Contributions under Article V, or (2) notification of eligibility to participate.</w:t>
      </w:r>
    </w:p>
    <w:p>
      <w:pPr>
        <w:pStyle w:val="TextBody"/>
        <w:bidi w:val="0"/>
        <w:spacing w:lineRule="auto" w:line="288" w:before="0" w:after="240"/>
        <w:ind w:left="0" w:right="0" w:hanging="720"/>
        <w:jc w:val="both"/>
        <w:rPr/>
      </w:pPr>
      <w:r>
        <w:rPr>
          <w:rFonts w:ascii="Arial;sans-serif" w:hAnsi="Arial;sans-serif"/>
          <w:b w:val="false"/>
          <w:color w:val="000000"/>
          <w:sz w:val="20"/>
        </w:rPr>
        <w:t>(b)</w:t>
      </w:r>
      <w:r>
        <w:rPr>
          <w:rFonts w:ascii="Arial;sans-serif" w:hAnsi="Arial;sans-serif"/>
          <w:b w:val="false"/>
          <w:color w:val="000000"/>
          <w:sz w:val="20"/>
          <w:u w:val="single"/>
        </w:rPr>
        <w:t>Non-Employee Directors</w:t>
      </w:r>
      <w:r>
        <w:rPr>
          <w:rFonts w:ascii="Arial;sans-serif" w:hAnsi="Arial;sans-serif"/>
          <w:b w:val="false"/>
          <w:color w:val="000000"/>
          <w:sz w:val="20"/>
        </w:rPr>
        <w:t>. A Non-Employee Director becomes a Participant upon notification of eligibility to participate.</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3.2Duration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Participant shall be eligible to defer Compensation and, where applicable, receive allocations of Company Contributions, subject to the terms of the Plan, for as long as such Participant remains an Eligible Employee or a Non-Employee Director. A Participant who is no longer an Eligible Employee or a Non-Employee Director may not defer Compensation under the Plan but may otherwise exercise all of the rights of a Participant under the Plan with respect to his or her Account(s). For as long as a Participant has an Account Balance, he or she shall remain a Participant and he or she may continue to make investment allocation elections as provided in Section 8.4. An individual shall cease being a Participant in the Plan when all benefits under the Plan to which he or she is entitled have been paid.</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12420"/>
                <wp:effectExtent l="0" t="0" r="0" b="0"/>
                <wp:wrapNone/>
                <wp:docPr id="82" name="Frame81"/>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8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8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jc w:val="center"/>
        <w:rPr/>
      </w:pPr>
      <w:r>
        <w:rPr>
          <w:rFonts w:ascii="Arial;sans-serif" w:hAnsi="Arial;sans-serif"/>
          <w:b w:val="false"/>
          <w:color w:val="FFFFFF"/>
          <w:sz w:val="2"/>
        </w:rPr>
        <w:t>IV</w:t>
      </w:r>
      <w:r>
        <w:rPr>
          <w:rFonts w:ascii="Arial;sans-serif" w:hAnsi="Arial;sans-serif"/>
          <w:b/>
          <w:color w:val="000000"/>
          <w:sz w:val="20"/>
        </w:rPr>
        <w:t>ARTICLE IV</w:t>
      </w:r>
      <w:r>
        <w:rPr>
          <w:rFonts w:ascii="Arial;sans-serif" w:hAnsi="Arial;sans-serif"/>
          <w:b/>
          <w:color w:val="000000"/>
          <w:sz w:val="20"/>
          <w:u w:val="single"/>
        </w:rPr>
        <w:br/>
        <w:t>DEFERRALS</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4.1Deferral Elections</w:t>
      </w:r>
    </w:p>
    <w:p>
      <w:pPr>
        <w:pStyle w:val="TextBody"/>
        <w:bidi w:val="0"/>
        <w:spacing w:lineRule="auto" w:line="288" w:before="0" w:after="240"/>
        <w:ind w:left="0" w:right="0" w:hanging="720"/>
        <w:jc w:val="both"/>
        <w:rPr/>
      </w:pPr>
      <w:r>
        <w:rPr>
          <w:rFonts w:ascii="Arial;sans-serif" w:hAnsi="Arial;sans-serif"/>
          <w:b w:val="false"/>
          <w:color w:val="000000"/>
          <w:sz w:val="20"/>
        </w:rPr>
        <w:t>(a)</w:t>
      </w:r>
      <w:r>
        <w:rPr>
          <w:rFonts w:ascii="Arial;sans-serif" w:hAnsi="Arial;sans-serif"/>
          <w:b w:val="false"/>
          <w:color w:val="000000"/>
          <w:sz w:val="20"/>
          <w:u w:val="single"/>
        </w:rPr>
        <w:t>Compensation Deferral Agreement, Generally</w:t>
      </w:r>
      <w:r>
        <w:rPr>
          <w:rFonts w:ascii="Arial;sans-serif" w:hAnsi="Arial;sans-serif"/>
          <w:b w:val="false"/>
          <w:color w:val="000000"/>
          <w:sz w:val="20"/>
        </w:rPr>
        <w:t>. A Participant may elect to defer Compensation by submitting a Compensation Deferral Agreement during the enrollment periods established by the Committee and in the manner specified by the Committee, but in any event, in accordance with Section 4.2. A Compensation Deferral Agreement that is not timely filed with respect to a service period or component of Compensation shall be considered void and shall have no effect with respect to such service period or Compensation. The Committee may modify any Compensation Deferral Agreement prior to the date the election becomes irrevocable under the rules of Section 4.2.</w:t>
      </w:r>
    </w:p>
    <w:p>
      <w:pPr>
        <w:pStyle w:val="TextBody"/>
        <w:bidi w:val="0"/>
        <w:spacing w:lineRule="auto" w:line="288" w:before="0" w:after="240"/>
        <w:ind w:left="0" w:right="0" w:hanging="720"/>
        <w:jc w:val="both"/>
        <w:rPr/>
      </w:pPr>
      <w:r>
        <w:rPr>
          <w:rFonts w:ascii="Arial;sans-serif" w:hAnsi="Arial;sans-serif"/>
          <w:b w:val="false"/>
          <w:color w:val="000000"/>
          <w:sz w:val="20"/>
        </w:rPr>
        <w:t>(b)</w:t>
      </w:r>
      <w:r>
        <w:rPr>
          <w:rFonts w:ascii="Arial;sans-serif" w:hAnsi="Arial;sans-serif"/>
          <w:b w:val="false"/>
          <w:color w:val="000000"/>
          <w:sz w:val="20"/>
          <w:u w:val="single"/>
        </w:rPr>
        <w:t>Compensation Deferral Agreements, Amounts and Accounts</w:t>
      </w:r>
      <w:r>
        <w:rPr>
          <w:rFonts w:ascii="Arial;sans-serif" w:hAnsi="Arial;sans-serif"/>
          <w:b w:val="false"/>
          <w:color w:val="000000"/>
          <w:sz w:val="20"/>
        </w:rPr>
        <w:t>. The Participant shall specify on his or her Compensation Deferral Agreement the amount of Deferrals and allocate Deferrals and associated Company Contributions each Plan Year. If no designation is made or if a designation is invalid (for example, because it fails to defer Compensation for at least one (1) year or, if longer, for the minimum deferral period specified by the Committee), Deferrals (or that portion of Deferrals allocated invalidly) shall be deemed to have elected Termination as the distribution event in the form of a lump sum. A Participant may also specify in his or her Compensation Deferral Agreement the Payment Schedule applicable to his or her Plan Accounts. If the Payment Schedule is not specified in a Compensation Deferral Agreement, the Payment Schedule shall be the Payment Schedule specified in Section 6.2.</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4.2Timing Requirements for Compensation Deferral Agreements</w:t>
      </w:r>
    </w:p>
    <w:p>
      <w:pPr>
        <w:pStyle w:val="TextBody"/>
        <w:bidi w:val="0"/>
        <w:spacing w:lineRule="auto" w:line="288" w:before="0" w:after="240"/>
        <w:ind w:left="0" w:right="0" w:hanging="720"/>
        <w:jc w:val="both"/>
        <w:rPr/>
      </w:pPr>
      <w:r>
        <w:rPr>
          <w:rFonts w:ascii="Arial;sans-serif" w:hAnsi="Arial;sans-serif"/>
          <w:b w:val="false"/>
          <w:color w:val="000000"/>
          <w:sz w:val="20"/>
        </w:rPr>
        <w:t>(a)</w:t>
      </w:r>
      <w:r>
        <w:rPr>
          <w:rFonts w:ascii="Arial;sans-serif" w:hAnsi="Arial;sans-serif"/>
          <w:b w:val="false"/>
          <w:color w:val="000000"/>
          <w:sz w:val="20"/>
          <w:u w:val="single"/>
        </w:rPr>
        <w:t>First Year of Eligibility</w:t>
      </w:r>
      <w:r>
        <w:rPr>
          <w:rFonts w:ascii="Arial;sans-serif" w:hAnsi="Arial;sans-serif"/>
          <w:b w:val="false"/>
          <w:color w:val="000000"/>
          <w:sz w:val="20"/>
        </w:rPr>
        <w:t>. In the case of the first year in which an Eligible Employee or a Non-Employee Director becomes eligible to participate in the Plan, he or she may submit a Compensation Deferral Agreement at the times set forth in Section 4.1(a). The determination of whether an Eligible Employee may file a Compensation Deferral Agreement under this subsection shall be determined in accordance with the rules of Code Section 409A, including the provisions of Treasury Regulation Section 1.409A-2(a)(7).</w:t>
      </w:r>
    </w:p>
    <w:p>
      <w:pPr>
        <w:pStyle w:val="TextBody"/>
        <w:bidi w:val="0"/>
        <w:spacing w:lineRule="auto" w:line="288" w:before="0" w:after="240"/>
        <w:ind w:left="0" w:right="0" w:hanging="720"/>
        <w:jc w:val="both"/>
        <w:rPr/>
      </w:pPr>
      <w:r>
        <w:rPr>
          <w:rFonts w:ascii="Arial;sans-serif" w:hAnsi="Arial;sans-serif"/>
          <w:b w:val="false"/>
          <w:color w:val="000000"/>
          <w:sz w:val="20"/>
        </w:rPr>
        <w:t>(b)</w:t>
      </w:r>
      <w:r>
        <w:rPr>
          <w:rFonts w:ascii="Arial;sans-serif" w:hAnsi="Arial;sans-serif"/>
          <w:b w:val="false"/>
          <w:color w:val="000000"/>
          <w:sz w:val="20"/>
          <w:u w:val="single"/>
        </w:rPr>
        <w:t>Prior Year Election</w:t>
      </w:r>
      <w:r>
        <w:rPr>
          <w:rFonts w:ascii="Arial;sans-serif" w:hAnsi="Arial;sans-serif"/>
          <w:b w:val="false"/>
          <w:color w:val="000000"/>
          <w:sz w:val="20"/>
        </w:rPr>
        <w:t>. Except as otherwise provided under this Section, Participants may defer Compensation by filing a Compensation Deferral Agreement no later than December 31 of the year prior to the year in which the Compensation to be deferred is earned. A Compensation Deferral Agreement described in this subsection shall become irrevocable with respect to such Compensation as of January 1 of the year in which such Compensation is earned.</w:t>
      </w:r>
    </w:p>
    <w:p>
      <w:pPr>
        <w:pStyle w:val="TextBody"/>
        <w:bidi w:val="0"/>
        <w:spacing w:lineRule="auto" w:line="288" w:before="0" w:after="240"/>
        <w:ind w:left="0" w:right="0" w:hanging="720"/>
        <w:jc w:val="both"/>
        <w:rPr/>
      </w:pPr>
      <w:r>
        <w:rPr>
          <w:rFonts w:ascii="Arial;sans-serif" w:hAnsi="Arial;sans-serif"/>
          <w:b w:val="false"/>
          <w:color w:val="000000"/>
          <w:sz w:val="20"/>
        </w:rPr>
        <w:t>(c)</w:t>
      </w:r>
      <w:r>
        <w:rPr>
          <w:rFonts w:ascii="Arial;sans-serif" w:hAnsi="Arial;sans-serif"/>
          <w:b w:val="false"/>
          <w:color w:val="000000"/>
          <w:sz w:val="20"/>
          <w:u w:val="single"/>
        </w:rPr>
        <w:t>Performance-Based Compensation</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Participants may file a Compensation Deferral Agreement with respect to Performance-Based Compensation no later than the date that is six (6) months before the end of the performance period, provided that:</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(1)the Participant performs services continuously from the later of the beginning of the performance period or the date the criteria are established through the date the Compensation Deferral Agreement is submitted; and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(2)the Compensation is not readily ascertainable as of the date the Compensation Deferral Agreement is filed.</w:t>
      </w:r>
    </w:p>
    <w:p>
      <w:pPr>
        <w:pStyle w:val="TextBody"/>
        <w:bidi w:val="0"/>
        <w:spacing w:before="0" w:after="44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12420"/>
                <wp:effectExtent l="0" t="0" r="0" b="0"/>
                <wp:wrapNone/>
                <wp:docPr id="83" name="Frame82"/>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9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9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Compensation Deferral Agreement becomes irrevocable with respect to Performance-Based Compensation as of the day immediately following the latest date for filing such election. Any election to defer Performance-Based Compensation that is made in accordance with this subsection and that becomes payable as a result of the Participant’s death or disability (as defined in Treasury Regulation Section 1.409A-1(e)) or upon a Change in Control (as defined in Treasury Regulation Section 1.409A-3(i)(5)) prior to the satisfaction of the performance criteria, will be void.</w:t>
      </w:r>
    </w:p>
    <w:p>
      <w:pPr>
        <w:pStyle w:val="TextBody"/>
        <w:bidi w:val="0"/>
        <w:spacing w:lineRule="auto" w:line="288" w:before="0" w:after="240"/>
        <w:ind w:left="0" w:right="0" w:hanging="720"/>
        <w:jc w:val="both"/>
        <w:rPr/>
      </w:pPr>
      <w:r>
        <w:rPr>
          <w:rFonts w:ascii="Arial;sans-serif" w:hAnsi="Arial;sans-serif"/>
          <w:b w:val="false"/>
          <w:color w:val="000000"/>
          <w:sz w:val="20"/>
        </w:rPr>
        <w:t>(d)</w:t>
      </w:r>
      <w:r>
        <w:rPr>
          <w:rFonts w:ascii="Arial;sans-serif" w:hAnsi="Arial;sans-serif"/>
          <w:b w:val="false"/>
          <w:color w:val="000000"/>
          <w:sz w:val="20"/>
          <w:u w:val="single"/>
        </w:rPr>
        <w:t>Sales Commissions</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Sales commissions (as defined in Treasury Regulation Section 1.409A-2(a)(12)(i)) are considered to be earned in the taxable year of the Participant in which the sale occurs. The Compensation Deferral Agreement must be filed before the last day of the year preceding the year in which the sales commissions are earned and becomes irrevocable after that date.</w:t>
      </w:r>
    </w:p>
    <w:p>
      <w:pPr>
        <w:pStyle w:val="TextBody"/>
        <w:bidi w:val="0"/>
        <w:spacing w:lineRule="auto" w:line="288" w:before="0" w:after="240"/>
        <w:ind w:left="0" w:right="0" w:hanging="720"/>
        <w:jc w:val="both"/>
        <w:rPr/>
      </w:pPr>
      <w:r>
        <w:rPr>
          <w:rFonts w:ascii="Arial;sans-serif" w:hAnsi="Arial;sans-serif"/>
          <w:b w:val="false"/>
          <w:color w:val="000000"/>
          <w:sz w:val="20"/>
        </w:rPr>
        <w:t>(e)</w:t>
      </w:r>
      <w:r>
        <w:rPr>
          <w:rFonts w:ascii="Arial;sans-serif" w:hAnsi="Arial;sans-serif"/>
          <w:b w:val="false"/>
          <w:color w:val="000000"/>
          <w:sz w:val="20"/>
          <w:u w:val="single"/>
        </w:rPr>
        <w:t>Investment Commissions</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Investment commissions (as defined in Treasury Regulation Section 1.409A-2(a)(12)(ii)) are considered to be earned in the twelve-(12-) month period immediately preceding the date assets are valued for purposes of calculating the commission. Investment Commissions must be deferred under the timing rules set forth in this Section 4.2.</w:t>
      </w:r>
    </w:p>
    <w:p>
      <w:pPr>
        <w:pStyle w:val="TextBody"/>
        <w:bidi w:val="0"/>
        <w:spacing w:lineRule="auto" w:line="288" w:before="0" w:after="240"/>
        <w:ind w:left="0" w:right="0" w:hanging="720"/>
        <w:jc w:val="both"/>
        <w:rPr/>
      </w:pPr>
      <w:r>
        <w:rPr>
          <w:rFonts w:ascii="Arial;sans-serif" w:hAnsi="Arial;sans-serif"/>
          <w:b w:val="false"/>
          <w:color w:val="000000"/>
          <w:sz w:val="20"/>
        </w:rPr>
        <w:t>(f)</w:t>
      </w:r>
      <w:r>
        <w:rPr>
          <w:rFonts w:ascii="Arial;sans-serif" w:hAnsi="Arial;sans-serif"/>
          <w:b w:val="false"/>
          <w:color w:val="000000"/>
          <w:sz w:val="20"/>
          <w:u w:val="single"/>
        </w:rPr>
        <w:t>Fiscal Year Compensation</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A Participant may defer Fiscal Year Compensation by filing a Compensation Deferral Agreement prior to the first day of the fiscal year or years in which such Fiscal Year Compensation is earned. The Compensation Deferral Agreement described in this subsection becomes irrevocable on the first day of the fiscal year or years to which it applies.</w:t>
      </w:r>
    </w:p>
    <w:p>
      <w:pPr>
        <w:pStyle w:val="TextBody"/>
        <w:bidi w:val="0"/>
        <w:spacing w:lineRule="auto" w:line="288" w:before="0" w:after="240"/>
        <w:ind w:left="0" w:right="0" w:hanging="720"/>
        <w:jc w:val="both"/>
        <w:rPr/>
      </w:pPr>
      <w:r>
        <w:rPr>
          <w:rFonts w:ascii="Arial;sans-serif" w:hAnsi="Arial;sans-serif"/>
          <w:b w:val="false"/>
          <w:color w:val="000000"/>
          <w:sz w:val="20"/>
        </w:rPr>
        <w:t>(g)</w:t>
      </w:r>
      <w:r>
        <w:rPr>
          <w:rFonts w:ascii="Arial;sans-serif" w:hAnsi="Arial;sans-serif"/>
          <w:b w:val="false"/>
          <w:color w:val="000000"/>
          <w:sz w:val="20"/>
          <w:u w:val="single"/>
        </w:rPr>
        <w:t>Short-Term Deferrals</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Compensation that meets the definition of a “short-term deferral” described in Treas. Reg. Section 1.409A-1(b)(4) may be deferred in accordance with the rules of Article VII, applied as if the date the Substantial Risk of Forfeiture lapses is the date payments were originally scheduled to commence, provided, however, that the provisions of Section 7.3 shall not apply to payments attributable to a Change in Control (as defined in Treasury Regulation Section 1.409A-3(i)(5)).</w:t>
      </w:r>
    </w:p>
    <w:p>
      <w:pPr>
        <w:pStyle w:val="TextBody"/>
        <w:bidi w:val="0"/>
        <w:spacing w:lineRule="auto" w:line="288" w:before="0" w:after="240"/>
        <w:ind w:left="0" w:right="0" w:hanging="720"/>
        <w:jc w:val="both"/>
        <w:rPr/>
      </w:pPr>
      <w:r>
        <w:rPr>
          <w:rFonts w:ascii="Arial;sans-serif" w:hAnsi="Arial;sans-serif"/>
          <w:b w:val="false"/>
          <w:color w:val="000000"/>
          <w:sz w:val="20"/>
        </w:rPr>
        <w:t>(h)</w:t>
      </w:r>
      <w:r>
        <w:rPr>
          <w:rFonts w:ascii="Arial;sans-serif" w:hAnsi="Arial;sans-serif"/>
          <w:b w:val="false"/>
          <w:color w:val="000000"/>
          <w:sz w:val="20"/>
          <w:u w:val="single"/>
        </w:rPr>
        <w:t>Certain Forfeitable Rights</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With respect to a legally binding right to a payment in a subsequent year that is subject to a forfeiture condition requiring the Participant’s continued services for a period of at least twelve (12) months from the date the Participant obtains the legally binding right, an election to defer such Compensation may be made on or before the thirtieth (30</w:t>
      </w:r>
      <w:r>
        <w:rPr>
          <w:rFonts w:ascii="Arial;sans-serif" w:hAnsi="Arial;sans-serif"/>
          <w:b w:val="false"/>
          <w:color w:val="000000"/>
          <w:sz w:val="13"/>
        </w:rPr>
        <w:t>th</w:t>
      </w:r>
      <w:r>
        <w:rPr>
          <w:rFonts w:ascii="Arial;sans-serif" w:hAnsi="Arial;sans-serif"/>
          <w:b w:val="false"/>
          <w:color w:val="000000"/>
          <w:sz w:val="20"/>
        </w:rPr>
        <w:t>) day after the Participant obtains the legally binding right to the Compensation, provided that the election is made at least twelve (12) months in advance of the earliest date at which the forfeiture condition could lapse. The Compensation Deferral Agreement described in this subsection becomes irrevocable after such thirtieth (30</w:t>
      </w:r>
      <w:r>
        <w:rPr>
          <w:rFonts w:ascii="Arial;sans-serif" w:hAnsi="Arial;sans-serif"/>
          <w:b w:val="false"/>
          <w:color w:val="000000"/>
          <w:sz w:val="13"/>
        </w:rPr>
        <w:t>th</w:t>
      </w:r>
      <w:r>
        <w:rPr>
          <w:rFonts w:ascii="Arial;sans-serif" w:hAnsi="Arial;sans-serif"/>
          <w:b w:val="false"/>
          <w:color w:val="000000"/>
          <w:sz w:val="20"/>
        </w:rPr>
        <w:t>) day. If the forfeiture condition applicable to the payment lapses before the end of the required service period as a result of the Participant’s death or disability (as defined in Treasury Regulation Section 1.409A-3(i)(4)) or upon a Change in Control (as defined in Treasury Regulation Section 1.409A-3(i)(5)), the Compensation Deferral Agreement will be void unless it would be considered timely under another rule described in this Section.</w:t>
      </w:r>
    </w:p>
    <w:p>
      <w:pPr>
        <w:pStyle w:val="TextBody"/>
        <w:bidi w:val="0"/>
        <w:spacing w:lineRule="auto" w:line="288" w:before="0" w:after="240"/>
        <w:ind w:left="0" w:right="0" w:hanging="720"/>
        <w:jc w:val="both"/>
        <w:rPr/>
      </w:pPr>
      <w:r>
        <w:rPr>
          <w:rFonts w:ascii="Arial;sans-serif" w:hAnsi="Arial;sans-serif"/>
          <w:b w:val="false"/>
          <w:color w:val="000000"/>
          <w:sz w:val="20"/>
        </w:rPr>
        <w:t>(i)</w:t>
      </w:r>
      <w:r>
        <w:rPr>
          <w:rFonts w:ascii="Arial;sans-serif" w:hAnsi="Arial;sans-serif"/>
          <w:b w:val="false"/>
          <w:color w:val="000000"/>
          <w:sz w:val="20"/>
          <w:u w:val="single"/>
        </w:rPr>
        <w:t>Elimination of “Evergreen” Deferral Elections; Deferral Elections for Plan Years Commencing on and after Effective Date</w:t>
      </w:r>
      <w:r>
        <w:rPr>
          <w:rFonts w:ascii="Arial;sans-serif" w:hAnsi="Arial;sans-serif"/>
          <w:b w:val="false"/>
          <w:i/>
          <w:color w:val="000000"/>
          <w:sz w:val="20"/>
        </w:rPr>
        <w:t xml:space="preserve">. </w:t>
      </w:r>
      <w:r>
        <w:rPr>
          <w:rFonts w:ascii="Arial;sans-serif" w:hAnsi="Arial;sans-serif"/>
          <w:b w:val="false"/>
          <w:color w:val="000000"/>
          <w:sz w:val="20"/>
        </w:rPr>
        <w:t xml:space="preserve">Prior to the Plan Year commencing on the Effective Date, the Committee, in its discretion, may provide in the Compensation Deferral Agreement that such Compensation Deferral Agreement will continue in effect for each subsequent year or performance period. Such “evergreen” Compensation Deferral Agreements will become effective with respect to an item of Compensation on the date </w:t>
      </w:r>
    </w:p>
    <w:p>
      <w:pPr>
        <w:pStyle w:val="TextBody"/>
        <w:bidi w:val="0"/>
        <w:spacing w:before="0" w:after="44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41935"/>
                <wp:effectExtent l="0" t="0" r="0" b="0"/>
                <wp:wrapNone/>
                <wp:docPr id="84" name="Frame83"/>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10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10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such election becomes irrevocable under this Section 4.2. An “evergreen” Compensation Deferral Agreement may be terminated or modified prospectively with respect to Compensation for which such election remains revocable under this Section 4.2. A Participant whose Compensation Deferral Agreement is cancelled in accordance with Section 4.6 will be required to file a new Compensation Deferral Agreement under this Article IV in order to recommence Deferrals under the Plan. Effective for Plan Years commencing on and after the Effective Date, “evergreen” Deferrals and Compensation Deferral Agreements are not permitted. </w:t>
      </w:r>
    </w:p>
    <w:p>
      <w:pPr>
        <w:pStyle w:val="TextBody"/>
        <w:bidi w:val="0"/>
        <w:spacing w:lineRule="auto" w:line="288" w:before="0" w:after="240"/>
        <w:ind w:left="0" w:right="0" w:hanging="720"/>
        <w:jc w:val="both"/>
        <w:rPr/>
      </w:pPr>
      <w:r>
        <w:rPr>
          <w:rFonts w:ascii="Arial;sans-serif" w:hAnsi="Arial;sans-serif"/>
          <w:b/>
          <w:color w:val="000000"/>
          <w:sz w:val="20"/>
        </w:rPr>
        <w:t>4.3Allocation of Deferrals and Company Contributions</w:t>
      </w:r>
      <w:r>
        <w:rPr>
          <w:color w:val="000000"/>
        </w:rPr>
        <w:t xml:space="preserve">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Prior to the Effective Date, a Compensation Deferral Agreement may allocate Deferrals and Company Contributions to one or more Specified Date Accounts and/or to the Retirement / Termination Account. On and after the Effective Date, Deferrals and Company Contributions are allocated each Plan Year.. The minimum deferral period for Specified Date elections will be the second (2nd) Plan Year following the year Compensation subject to the Compensation Deferral Agreement is earned.</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4.4Deductions from Pay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Committee has the authority to determine the payroll practices under which any component of Compensation subject to a Compensation Deferral Agreement will be deducted from a Participant’s Compensation.</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4.5Vesting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Participant Deferrals shall be one hundred percent (100%) vested at all times.</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4.6Cancellation of Deferrals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Committee shall cancel a Participant’s Deferrals (a) for the balance of the Plan Year in which an Unforeseeable Emergency payment is made, (b) if the Participant receives a hardship distribution under the Employer’s qualified 401(k) plan, through the end of the Plan Year in which the six-month anniversary of the hardship distribution falls, and (c) during periods in which the Participant is unable to perform the duties of his or her position or any substantially similar position due to a mental or physical impairment that can be expected to result in death or last for a continuous period of at least six (6) months.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41935"/>
                <wp:effectExtent l="0" t="0" r="0" b="0"/>
                <wp:wrapNone/>
                <wp:docPr id="85" name="Frame84"/>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11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11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jc w:val="center"/>
        <w:rPr/>
      </w:pPr>
      <w:r>
        <w:rPr>
          <w:rFonts w:ascii="Arial;sans-serif" w:hAnsi="Arial;sans-serif"/>
          <w:b w:val="false"/>
          <w:color w:val="FFFFFF"/>
          <w:sz w:val="2"/>
        </w:rPr>
        <w:t>V</w:t>
      </w:r>
      <w:r>
        <w:rPr>
          <w:rFonts w:ascii="Arial;sans-serif" w:hAnsi="Arial;sans-serif"/>
          <w:b/>
          <w:color w:val="000000"/>
          <w:sz w:val="20"/>
        </w:rPr>
        <w:t>ARTICLE V</w:t>
      </w:r>
      <w:r>
        <w:rPr>
          <w:rFonts w:ascii="Arial;sans-serif" w:hAnsi="Arial;sans-serif"/>
          <w:b/>
          <w:color w:val="000000"/>
          <w:sz w:val="20"/>
          <w:u w:val="single"/>
        </w:rPr>
        <w:br/>
        <w:t>COMPANY CONTRIBUTIONS</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5.1Nonqualified Matching Contributions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Each Participating Employer shall credit a Company Matching Contribution to the Account of a Participant in an amount equal to (a) minus (b), where (a) and (b) are as follows: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(a)the Participant’s Compensation multiplied by the matching contribution rate and by similar contribution rates determined under the Applicable Savings Plan in which he or she is a participant; and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(b)the total matching contributions and similar contributions made by the Participating Employer to the Applicable Savings Plan on behalf of the Participant.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purposes of this Plan, the matching contribution rate, as well as the similar contribution rates, referenced in subsection (a) of this Section means the maximum percentage of compensation that the Participating Employer may contribute as such a contribution under the Applicable Savings Plan.</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5.2Discretionary Company Contributions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Participating Employer may, from time to time in its sole and absolute discretion, credit Company Contributions to any Participant in any amount determined by the Participating Employer. Such contributions will be credited to a Participant as a lump sum at Separation from Service.</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5.3Vesting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Company Contributions described in Section 5.1, and the Earnings thereon, shall be one hundred percent (100%) vested. Company Contributions described in Section 5.2, above, (if any) and the Earnings thereon, shall vest in accordance with the vesting scheduled established by the Committee at the time that the Company Contribution is made. All Company Contributions shall become one hundred percent (100%) vested upon the occurrence of the earliest of: (a) the death of the Participant while actively employed, (b) the Disability of the Participant while actively employed, (c) Retirement of the Participant, or (d) a Change in Control. The Participating Employer may, at any time, in its sole discretion, increase a Participant’s vested interest in a Company Contribution. The portion of a Participant’s Accounts that remains unvested upon his or her Separation from Service after the application of the terms of this Section shall be forfeited.</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5.4Non-Employee Directors Not Eligible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the avoidance of doubt, Non-Employee Directors are not eligible for Company Contributions under the Plan.</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5.5Timing of Company Contributions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Notwithstanding anything herein to the contrary, each Participating Employer, in its sole discretion, may make any Company Contribution as of each payroll period or as of each other date as the Participating Employer may determine from time to time.</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12420"/>
                <wp:effectExtent l="0" t="0" r="0" b="0"/>
                <wp:wrapNone/>
                <wp:docPr id="86" name="Frame85"/>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12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12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jc w:val="center"/>
        <w:rPr/>
      </w:pPr>
      <w:r>
        <w:rPr>
          <w:rFonts w:ascii="Arial;sans-serif" w:hAnsi="Arial;sans-serif"/>
          <w:b w:val="false"/>
          <w:color w:val="FFFFFF"/>
          <w:sz w:val="2"/>
        </w:rPr>
        <w:t>VI</w:t>
      </w:r>
      <w:r>
        <w:rPr>
          <w:rFonts w:ascii="Arial;sans-serif" w:hAnsi="Arial;sans-serif"/>
          <w:b/>
          <w:color w:val="000000"/>
          <w:sz w:val="20"/>
        </w:rPr>
        <w:t>ARTICLE VI</w:t>
      </w:r>
      <w:r>
        <w:rPr>
          <w:rFonts w:ascii="Arial;sans-serif" w:hAnsi="Arial;sans-serif"/>
          <w:b/>
          <w:color w:val="000000"/>
          <w:sz w:val="20"/>
          <w:u w:val="single"/>
        </w:rPr>
        <w:br/>
        <w:t>BENEFITS</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6.1Benefits</w:t>
      </w:r>
    </w:p>
    <w:p>
      <w:pPr>
        <w:pStyle w:val="TextBody"/>
        <w:bidi w:val="0"/>
        <w:spacing w:lineRule="auto" w:line="288" w:before="0" w:after="240"/>
        <w:ind w:left="0" w:right="0" w:hanging="720"/>
        <w:jc w:val="both"/>
        <w:rPr/>
      </w:pPr>
      <w:r>
        <w:rPr>
          <w:rFonts w:ascii="Arial;sans-serif" w:hAnsi="Arial;sans-serif"/>
          <w:b w:val="false"/>
          <w:color w:val="000000"/>
          <w:sz w:val="20"/>
        </w:rPr>
        <w:t>(a)</w:t>
      </w:r>
      <w:r>
        <w:rPr>
          <w:rFonts w:ascii="Arial;sans-serif" w:hAnsi="Arial;sans-serif"/>
          <w:b w:val="false"/>
          <w:color w:val="000000"/>
          <w:sz w:val="20"/>
          <w:u w:val="single"/>
        </w:rPr>
        <w:t>Retirement Benefit</w:t>
      </w:r>
      <w:r>
        <w:rPr>
          <w:rFonts w:ascii="Arial;sans-serif" w:hAnsi="Arial;sans-serif"/>
          <w:b w:val="false"/>
          <w:color w:val="000000"/>
          <w:sz w:val="20"/>
        </w:rPr>
        <w:t>. Prior to the Effective Date, a Participant shall be entitled to a Retirement Benefit upon his or her Retirement. The Retirement Benefit shall be equal to the vested portion of the Retirement / Termination Account, based on the value of that Account as of the end of the month in which his or her Retirement occurs. Subject to Section 6.4 hereof, the payment date for the Retirement Benefit will be the first (1</w:t>
      </w:r>
      <w:r>
        <w:rPr>
          <w:rFonts w:ascii="Arial;sans-serif" w:hAnsi="Arial;sans-serif"/>
          <w:b w:val="false"/>
          <w:color w:val="000000"/>
          <w:sz w:val="13"/>
        </w:rPr>
        <w:t>st</w:t>
      </w:r>
      <w:r>
        <w:rPr>
          <w:rFonts w:ascii="Arial;sans-serif" w:hAnsi="Arial;sans-serif"/>
          <w:b w:val="false"/>
          <w:color w:val="000000"/>
          <w:sz w:val="20"/>
        </w:rPr>
        <w:t>) day of the month following the month in which the Retirement occurs, provided, however, that with respect to a Participant who is a Specified Employee as of the date such Participant incurs a Separation from Service, the payment date will be the first (1</w:t>
      </w:r>
      <w:r>
        <w:rPr>
          <w:rFonts w:ascii="Arial;sans-serif" w:hAnsi="Arial;sans-serif"/>
          <w:b w:val="false"/>
          <w:color w:val="000000"/>
          <w:sz w:val="13"/>
        </w:rPr>
        <w:t>st</w:t>
      </w:r>
      <w:r>
        <w:rPr>
          <w:rFonts w:ascii="Arial;sans-serif" w:hAnsi="Arial;sans-serif"/>
          <w:b w:val="false"/>
          <w:color w:val="000000"/>
          <w:sz w:val="20"/>
        </w:rPr>
        <w:t>) day of the seventh (7</w:t>
      </w:r>
      <w:r>
        <w:rPr>
          <w:rFonts w:ascii="Arial;sans-serif" w:hAnsi="Arial;sans-serif"/>
          <w:b w:val="false"/>
          <w:color w:val="000000"/>
          <w:sz w:val="13"/>
        </w:rPr>
        <w:t>th</w:t>
      </w:r>
      <w:r>
        <w:rPr>
          <w:rFonts w:ascii="Arial;sans-serif" w:hAnsi="Arial;sans-serif"/>
          <w:b w:val="false"/>
          <w:color w:val="000000"/>
          <w:sz w:val="20"/>
        </w:rPr>
        <w:t>) month following the month in which such Separation from Service occurs. If the Retirement Benefit is to be paid in the form of installments, any subsequent installment payments to a Specified Employee will be paid on the anniversary of the date the first payment was made. For Plan Years commencing on or after the Effective Date, any Separation of Service will be considered a Termination.</w:t>
      </w:r>
    </w:p>
    <w:p>
      <w:pPr>
        <w:pStyle w:val="TextBody"/>
        <w:bidi w:val="0"/>
        <w:spacing w:lineRule="auto" w:line="288" w:before="0" w:after="240"/>
        <w:ind w:left="0" w:right="0" w:hanging="720"/>
        <w:jc w:val="both"/>
        <w:rPr/>
      </w:pPr>
      <w:r>
        <w:rPr>
          <w:rFonts w:ascii="Arial;sans-serif" w:hAnsi="Arial;sans-serif"/>
          <w:b w:val="false"/>
          <w:color w:val="000000"/>
          <w:sz w:val="20"/>
        </w:rPr>
        <w:t>(b)</w:t>
      </w:r>
      <w:r>
        <w:rPr>
          <w:rFonts w:ascii="Arial;sans-serif" w:hAnsi="Arial;sans-serif"/>
          <w:b w:val="false"/>
          <w:color w:val="000000"/>
          <w:sz w:val="20"/>
          <w:u w:val="single"/>
        </w:rPr>
        <w:t>Termination Benefit</w:t>
      </w:r>
      <w:r>
        <w:rPr>
          <w:rFonts w:ascii="Arial;sans-serif" w:hAnsi="Arial;sans-serif"/>
          <w:b w:val="false"/>
          <w:color w:val="000000"/>
          <w:sz w:val="20"/>
        </w:rPr>
        <w:t>. Prior to the Effective Date, upon the Participant’s Separation from Service for reasons other than death or Retirement, he or she shall be entitled to a Termination Benefit. The Termination Benefit shall be equal to the vested portion of the Retirement / Termination Account, based on the value of that Account as of the end of the month in which Separation from Service occurs. Subject to Section 6.4 hereof, the payment date for the Termination Benefit will be the first (1</w:t>
      </w:r>
      <w:r>
        <w:rPr>
          <w:rFonts w:ascii="Arial;sans-serif" w:hAnsi="Arial;sans-serif"/>
          <w:b w:val="false"/>
          <w:color w:val="000000"/>
          <w:sz w:val="13"/>
        </w:rPr>
        <w:t>st</w:t>
      </w:r>
      <w:r>
        <w:rPr>
          <w:rFonts w:ascii="Arial;sans-serif" w:hAnsi="Arial;sans-serif"/>
          <w:b w:val="false"/>
          <w:color w:val="000000"/>
          <w:sz w:val="20"/>
        </w:rPr>
        <w:t>) day of the month following the month in which Separation from Service occurs, provided, however, that with respect to a Participant who is a Specified Employee as of the date such Participant incurs a Separation from Service, payment will be made on the first (1</w:t>
      </w:r>
      <w:r>
        <w:rPr>
          <w:rFonts w:ascii="Arial;sans-serif" w:hAnsi="Arial;sans-serif"/>
          <w:b w:val="false"/>
          <w:color w:val="000000"/>
          <w:sz w:val="13"/>
        </w:rPr>
        <w:t>st</w:t>
      </w:r>
      <w:r>
        <w:rPr>
          <w:rFonts w:ascii="Arial;sans-serif" w:hAnsi="Arial;sans-serif"/>
          <w:b w:val="false"/>
          <w:color w:val="000000"/>
          <w:sz w:val="20"/>
        </w:rPr>
        <w:t>) day of the seventh (7</w:t>
      </w:r>
      <w:r>
        <w:rPr>
          <w:rFonts w:ascii="Arial;sans-serif" w:hAnsi="Arial;sans-serif"/>
          <w:b w:val="false"/>
          <w:color w:val="000000"/>
          <w:sz w:val="13"/>
        </w:rPr>
        <w:t>th</w:t>
      </w:r>
      <w:r>
        <w:rPr>
          <w:rFonts w:ascii="Arial;sans-serif" w:hAnsi="Arial;sans-serif"/>
          <w:b w:val="false"/>
          <w:color w:val="000000"/>
          <w:sz w:val="20"/>
        </w:rPr>
        <w:t>) month following the month in which such Separation from Service occurs. For Plan Years commencing on or after the Effective Date, any Separation from Service will be considered a Termination.</w:t>
      </w:r>
    </w:p>
    <w:p>
      <w:pPr>
        <w:pStyle w:val="TextBody"/>
        <w:bidi w:val="0"/>
        <w:spacing w:lineRule="auto" w:line="288" w:before="0" w:after="240"/>
        <w:ind w:left="0" w:right="0" w:hanging="720"/>
        <w:jc w:val="both"/>
        <w:rPr/>
      </w:pPr>
      <w:r>
        <w:rPr>
          <w:rFonts w:ascii="Arial;sans-serif" w:hAnsi="Arial;sans-serif"/>
          <w:b w:val="false"/>
          <w:color w:val="000000"/>
          <w:sz w:val="20"/>
        </w:rPr>
        <w:t>(c)</w:t>
      </w:r>
      <w:r>
        <w:rPr>
          <w:rFonts w:ascii="Arial;sans-serif" w:hAnsi="Arial;sans-serif"/>
          <w:b w:val="false"/>
          <w:color w:val="000000"/>
          <w:sz w:val="20"/>
          <w:u w:val="single"/>
        </w:rPr>
        <w:t>Specified Date Benefit</w:t>
      </w:r>
      <w:r>
        <w:rPr>
          <w:rFonts w:ascii="Arial;sans-serif" w:hAnsi="Arial;sans-serif"/>
          <w:b w:val="false"/>
          <w:color w:val="000000"/>
          <w:sz w:val="20"/>
        </w:rPr>
        <w:t>. Prior to the Effective Date, if the Participant has established one or more Specified Date Accounts, he or she shall be entitled to a Specified Date Benefit with respect to each such Specified Date Account. The Specified Date Benefit shall be equal to the vested portion of the Specified Date Account, based on the value of that Account as of the end of the month designated by the Participant at the time the Account was established, regardless of whether the Participant remains actively employed at the time of distribution of the Specified Date Benefit. Subject to Section 6.4 hereof, the payment date for the Specified Date Benefit will be the first (1</w:t>
      </w:r>
      <w:r>
        <w:rPr>
          <w:rFonts w:ascii="Arial;sans-serif" w:hAnsi="Arial;sans-serif"/>
          <w:b w:val="false"/>
          <w:color w:val="000000"/>
          <w:sz w:val="13"/>
        </w:rPr>
        <w:t>st</w:t>
      </w:r>
      <w:r>
        <w:rPr>
          <w:rFonts w:ascii="Arial;sans-serif" w:hAnsi="Arial;sans-serif"/>
          <w:b w:val="false"/>
          <w:color w:val="000000"/>
          <w:sz w:val="20"/>
        </w:rPr>
        <w:t>) day of the month following the designated month. For Plan Years commencing on or after the Effective Date the Participant may select an optional Specified Date election. If the Participant terminates prior to commencement of the Specified Date their Termination election will apply.</w:t>
      </w:r>
    </w:p>
    <w:p>
      <w:pPr>
        <w:pStyle w:val="TextBody"/>
        <w:bidi w:val="0"/>
        <w:spacing w:lineRule="auto" w:line="288" w:before="0" w:after="240"/>
        <w:ind w:left="0" w:right="0" w:hanging="720"/>
        <w:jc w:val="both"/>
        <w:rPr/>
      </w:pPr>
      <w:r>
        <w:rPr>
          <w:rFonts w:ascii="Arial;sans-serif" w:hAnsi="Arial;sans-serif"/>
          <w:b w:val="false"/>
          <w:color w:val="000000"/>
          <w:sz w:val="20"/>
        </w:rPr>
        <w:t>(d)</w:t>
      </w:r>
      <w:r>
        <w:rPr>
          <w:rFonts w:ascii="Arial;sans-serif" w:hAnsi="Arial;sans-serif"/>
          <w:b w:val="false"/>
          <w:color w:val="000000"/>
          <w:sz w:val="20"/>
          <w:u w:val="single"/>
        </w:rPr>
        <w:t>Death Benefit</w:t>
      </w:r>
      <w:r>
        <w:rPr>
          <w:rFonts w:ascii="Arial;sans-serif" w:hAnsi="Arial;sans-serif"/>
          <w:b w:val="false"/>
          <w:color w:val="000000"/>
          <w:sz w:val="20"/>
        </w:rPr>
        <w:t>. In the event of the Participant’s death, his or her designated Beneficiary(ies) shall be entitled to a Death Benefit. The Death Benefit shall be equal to the vested portion of the Accounts. Subject to Section 6.4 hereof, the payment date for the Death Benefit will be the first (1</w:t>
      </w:r>
      <w:r>
        <w:rPr>
          <w:rFonts w:ascii="Arial;sans-serif" w:hAnsi="Arial;sans-serif"/>
          <w:b w:val="false"/>
          <w:color w:val="000000"/>
          <w:sz w:val="13"/>
        </w:rPr>
        <w:t>st</w:t>
      </w:r>
      <w:r>
        <w:rPr>
          <w:rFonts w:ascii="Arial;sans-serif" w:hAnsi="Arial;sans-serif"/>
          <w:b w:val="false"/>
          <w:color w:val="000000"/>
          <w:sz w:val="20"/>
        </w:rPr>
        <w:t>) day of the month following the month in which death of the Participant is recorded, or as soon as is administratively feasible thereafter.</w:t>
      </w:r>
    </w:p>
    <w:p>
      <w:pPr>
        <w:pStyle w:val="TextBody"/>
        <w:bidi w:val="0"/>
        <w:spacing w:lineRule="auto" w:line="288" w:before="0" w:after="240"/>
        <w:ind w:left="0" w:right="0" w:hanging="720"/>
        <w:jc w:val="both"/>
        <w:rPr/>
      </w:pPr>
      <w:r>
        <w:rPr>
          <w:rFonts w:ascii="Arial;sans-serif" w:hAnsi="Arial;sans-serif"/>
          <w:b w:val="false"/>
          <w:color w:val="000000"/>
          <w:sz w:val="20"/>
        </w:rPr>
        <w:t>(e)</w:t>
      </w:r>
      <w:r>
        <w:rPr>
          <w:rFonts w:ascii="Arial;sans-serif" w:hAnsi="Arial;sans-serif"/>
          <w:b w:val="false"/>
          <w:color w:val="000000"/>
          <w:sz w:val="20"/>
          <w:u w:val="single"/>
        </w:rPr>
        <w:t>Disability Benefit</w:t>
      </w:r>
      <w:r>
        <w:rPr>
          <w:rFonts w:ascii="Arial;sans-serif" w:hAnsi="Arial;sans-serif"/>
          <w:b w:val="false"/>
          <w:color w:val="000000"/>
          <w:sz w:val="20"/>
        </w:rPr>
        <w:t xml:space="preserve">. Upon a determination by the Committee that a Participant is Disabled, he or she shall be entitled to a Disability Benefit. The Disability Benefit shall be equal to the vested portion of the Accounts. The Disability Benefit shall be based on the value of </w:t>
      </w:r>
    </w:p>
    <w:p>
      <w:pPr>
        <w:pStyle w:val="TextBody"/>
        <w:bidi w:val="0"/>
        <w:spacing w:before="0" w:after="44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12420"/>
                <wp:effectExtent l="0" t="0" r="0" b="0"/>
                <wp:wrapNone/>
                <wp:docPr id="87" name="Frame86"/>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13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13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jc w:val="both"/>
        <w:rPr/>
      </w:pPr>
      <w:r>
        <w:rPr>
          <w:rFonts w:ascii="Arial;sans-serif" w:hAnsi="Arial;sans-serif"/>
          <w:b w:val="false"/>
          <w:color w:val="000000"/>
          <w:sz w:val="20"/>
        </w:rPr>
        <w:t>the Accounts as of the last day of the month in which Disability occurs. Subject to Section 6.4 hereof, the payment date for the Disability Benefit will be the first (1</w:t>
      </w:r>
      <w:r>
        <w:rPr>
          <w:rFonts w:ascii="Arial;sans-serif" w:hAnsi="Arial;sans-serif"/>
          <w:b w:val="false"/>
          <w:color w:val="000000"/>
          <w:sz w:val="13"/>
        </w:rPr>
        <w:t>st</w:t>
      </w:r>
      <w:r>
        <w:rPr>
          <w:rFonts w:ascii="Arial;sans-serif" w:hAnsi="Arial;sans-serif"/>
          <w:b w:val="false"/>
          <w:color w:val="000000"/>
          <w:sz w:val="20"/>
        </w:rPr>
        <w:t>) day of the month following the month during which the Participant was judged by the Committee to have incurred a Disability. For the avoidance of doubt, Non</w:t>
        <w:softHyphen/>
        <w:t>Employee Directors are not eligible for Disability Benefits under the Plan.</w:t>
      </w:r>
    </w:p>
    <w:p>
      <w:pPr>
        <w:pStyle w:val="TextBody"/>
        <w:bidi w:val="0"/>
        <w:spacing w:lineRule="auto" w:line="288" w:before="0" w:after="240"/>
        <w:ind w:left="0" w:right="0" w:hanging="720"/>
        <w:jc w:val="both"/>
        <w:rPr/>
      </w:pPr>
      <w:r>
        <w:rPr>
          <w:rFonts w:ascii="Arial;sans-serif" w:hAnsi="Arial;sans-serif"/>
          <w:b w:val="false"/>
          <w:color w:val="000000"/>
          <w:sz w:val="20"/>
        </w:rPr>
        <w:t>(f)</w:t>
      </w:r>
      <w:r>
        <w:rPr>
          <w:rFonts w:ascii="Arial;sans-serif" w:hAnsi="Arial;sans-serif"/>
          <w:b w:val="false"/>
          <w:color w:val="000000"/>
          <w:sz w:val="20"/>
          <w:u w:val="single"/>
        </w:rPr>
        <w:t>Unforeseeable Emergency Payments</w:t>
      </w:r>
      <w:r>
        <w:rPr>
          <w:rFonts w:ascii="Arial;sans-serif" w:hAnsi="Arial;sans-serif"/>
          <w:b w:val="false"/>
          <w:color w:val="000000"/>
          <w:sz w:val="20"/>
        </w:rPr>
        <w:t>. A Participant, other than a Non-Employee Director, who experiences an Unforeseeable Emergency may submit a written request to the Committee to receive payment of all or any portion of his or her vested Accounts. Whether a Participant or Beneficiary is faced with an Unforeseeable Emergency permitting an emergency payment shall be determined by the Committee based on the relevant facts and circumstances of each case, but, in any case, a distribution on account of Unforeseeable Emergency may not be made to the extent that such emergency is or may be reimbursed through insurance or otherwise, by liquidation of the Participant’s assets, to the extent the liquidation of such assets would not cause severe financial hardship, or by cessation of Deferrals under this Plan. An approval of a payment due to an Unforeseeable Emergency is subject to the discretion of the Committee. If an emergency payment is approved by the Committee, the amount of the payment shall not exceed the amount reasonably necessary to satisfy the need, taking into account the additional compensation that is available to the Participant as the result of cancellation of deferrals to the Plan, including amounts necessary to pay any taxes or penalties that the Participant reasonably anticipates will result from the payment.. Emergency payments shall be paid in a single lump sum within the ninety- (90-) day period following the date the payment is approved by the Committee.</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6.2Form of Payment</w:t>
      </w:r>
    </w:p>
    <w:p>
      <w:pPr>
        <w:pStyle w:val="TextBody"/>
        <w:bidi w:val="0"/>
        <w:spacing w:lineRule="auto" w:line="288" w:before="0" w:after="240"/>
        <w:ind w:left="0" w:right="0" w:hanging="720"/>
        <w:jc w:val="both"/>
        <w:rPr/>
      </w:pPr>
      <w:r>
        <w:rPr>
          <w:rFonts w:ascii="Arial;sans-serif" w:hAnsi="Arial;sans-serif"/>
          <w:b w:val="false"/>
          <w:color w:val="000000"/>
          <w:sz w:val="20"/>
        </w:rPr>
        <w:t>(a)</w:t>
      </w:r>
      <w:r>
        <w:rPr>
          <w:rFonts w:ascii="Arial;sans-serif" w:hAnsi="Arial;sans-serif"/>
          <w:b w:val="false"/>
          <w:color w:val="000000"/>
          <w:sz w:val="20"/>
          <w:u w:val="single"/>
        </w:rPr>
        <w:t>Retirement Benefit</w:t>
      </w:r>
      <w:r>
        <w:rPr>
          <w:rFonts w:ascii="Arial;sans-serif" w:hAnsi="Arial;sans-serif"/>
          <w:b w:val="false"/>
          <w:color w:val="000000"/>
          <w:sz w:val="20"/>
        </w:rPr>
        <w:t>. Prior to the Effective Date, a Participant who is entitled to receive a Retirement Benefit shall receive payment of such benefit in a single lump sum, unless the Participant elects on his or her initial Compensation Deferral Agreement to have such benefit paid in one of the following alternative forms of payment (1) substantially equal annual installments over a period of two to ten years, as elected by the Participant, or (2) a lump sum payment of a percentage of the balance in the Retirement / Termination Account, with the balance paid in substantially equal annual installments over a period of two (2) to ten (10) years, as elected by the Participant.</w:t>
      </w:r>
    </w:p>
    <w:p>
      <w:pPr>
        <w:pStyle w:val="TextBody"/>
        <w:bidi w:val="0"/>
        <w:spacing w:lineRule="auto" w:line="288" w:before="0" w:after="240"/>
        <w:ind w:left="0" w:right="0" w:hanging="720"/>
        <w:jc w:val="both"/>
        <w:rPr/>
      </w:pPr>
      <w:r>
        <w:rPr>
          <w:rFonts w:ascii="Arial;sans-serif" w:hAnsi="Arial;sans-serif"/>
          <w:b w:val="false"/>
          <w:color w:val="000000"/>
          <w:sz w:val="20"/>
        </w:rPr>
        <w:t>(b)</w:t>
      </w:r>
      <w:r>
        <w:rPr>
          <w:rFonts w:ascii="Arial;sans-serif" w:hAnsi="Arial;sans-serif"/>
          <w:b w:val="false"/>
          <w:color w:val="000000"/>
          <w:sz w:val="20"/>
          <w:u w:val="single"/>
        </w:rPr>
        <w:t>Termination Benefit</w:t>
      </w:r>
      <w:r>
        <w:rPr>
          <w:rFonts w:ascii="Arial;sans-serif" w:hAnsi="Arial;sans-serif"/>
          <w:b w:val="false"/>
          <w:color w:val="000000"/>
          <w:sz w:val="20"/>
        </w:rPr>
        <w:t xml:space="preserve">. A Participant who is entitled to receive a Termination Benefit shall receive payment of such benefit in a single lump sum, unless for Plan Years commencing on and after the Effective Date the Participant elects on his or her Compensation Deferral Agreement to have such benefit paid in substantially equal installments over a period of two (2) to ten (10) years. </w:t>
      </w:r>
    </w:p>
    <w:p>
      <w:pPr>
        <w:pStyle w:val="TextBody"/>
        <w:bidi w:val="0"/>
        <w:spacing w:lineRule="auto" w:line="288" w:before="0" w:after="240"/>
        <w:ind w:left="0" w:right="0" w:hanging="720"/>
        <w:jc w:val="both"/>
        <w:rPr/>
      </w:pPr>
      <w:r>
        <w:rPr>
          <w:rFonts w:ascii="Arial;sans-serif" w:hAnsi="Arial;sans-serif"/>
          <w:b w:val="false"/>
          <w:color w:val="000000"/>
          <w:sz w:val="20"/>
        </w:rPr>
        <w:t>(c)</w:t>
      </w:r>
      <w:r>
        <w:rPr>
          <w:rFonts w:ascii="Arial;sans-serif" w:hAnsi="Arial;sans-serif"/>
          <w:b w:val="false"/>
          <w:color w:val="000000"/>
          <w:sz w:val="20"/>
          <w:u w:val="single"/>
        </w:rPr>
        <w:t>Specified Date Benefit</w:t>
      </w:r>
      <w:r>
        <w:rPr>
          <w:rFonts w:ascii="Arial;sans-serif" w:hAnsi="Arial;sans-serif"/>
          <w:b w:val="false"/>
          <w:color w:val="000000"/>
          <w:sz w:val="20"/>
        </w:rPr>
        <w:t>. The Specified Date Benefit shall be paid in a single lump sum, unless the Participant elects on the Compensation Deferral Agreement with which the account was established to have the Specified Date Account paid in substantially equal annual installments over a period of two (2) to five (5) years, or effective for Plan Years commencing on and after the Effective Date, substantially equal annual installments over a period of two (2) to ten (10) years, as elected by the Participant.</w:t>
      </w:r>
    </w:p>
    <w:p>
      <w:pPr>
        <w:pStyle w:val="TextBody"/>
        <w:bidi w:val="0"/>
        <w:spacing w:lineRule="auto" w:line="288" w:before="0" w:after="240"/>
        <w:ind w:left="0" w:right="0" w:hanging="720"/>
        <w:jc w:val="both"/>
        <w:rPr/>
      </w:pPr>
      <w:r>
        <w:rPr>
          <w:rFonts w:ascii="Arial;sans-serif" w:hAnsi="Arial;sans-serif"/>
          <w:b w:val="false"/>
          <w:color w:val="000000"/>
          <w:sz w:val="20"/>
        </w:rPr>
        <w:t>(d)</w:t>
      </w:r>
      <w:r>
        <w:rPr>
          <w:rFonts w:ascii="Arial;sans-serif" w:hAnsi="Arial;sans-serif"/>
          <w:b w:val="false"/>
          <w:color w:val="000000"/>
          <w:sz w:val="20"/>
          <w:u w:val="single"/>
        </w:rPr>
        <w:t>Death Benefit</w:t>
      </w:r>
      <w:r>
        <w:rPr>
          <w:rFonts w:ascii="Arial;sans-serif" w:hAnsi="Arial;sans-serif"/>
          <w:b w:val="false"/>
          <w:color w:val="000000"/>
          <w:sz w:val="20"/>
        </w:rPr>
        <w:t>. A designated Beneficiary who is entitled to receive a Death Benefit shall receive payment of such benefit in a single lump sum.</w:t>
      </w:r>
    </w:p>
    <w:p>
      <w:pPr>
        <w:pStyle w:val="TextBody"/>
        <w:bidi w:val="0"/>
        <w:spacing w:lineRule="auto" w:line="288" w:before="0" w:after="240"/>
        <w:ind w:left="0" w:right="0" w:hanging="720"/>
        <w:jc w:val="both"/>
        <w:rPr/>
      </w:pPr>
      <w:r>
        <w:rPr>
          <w:rFonts w:ascii="Arial;sans-serif" w:hAnsi="Arial;sans-serif"/>
          <w:b w:val="false"/>
          <w:color w:val="000000"/>
          <w:sz w:val="20"/>
        </w:rPr>
        <w:t>(e)</w:t>
      </w:r>
      <w:r>
        <w:rPr>
          <w:rFonts w:ascii="Arial;sans-serif" w:hAnsi="Arial;sans-serif"/>
          <w:b w:val="false"/>
          <w:color w:val="000000"/>
          <w:sz w:val="20"/>
          <w:u w:val="single"/>
        </w:rPr>
        <w:t>Disability Benefit</w:t>
      </w:r>
      <w:r>
        <w:rPr>
          <w:rFonts w:ascii="Arial;sans-serif" w:hAnsi="Arial;sans-serif"/>
          <w:b w:val="false"/>
          <w:color w:val="000000"/>
          <w:sz w:val="20"/>
        </w:rPr>
        <w:t xml:space="preserve">. A Participant who is entitled to receive a Disability Benefit shall receive payment of such benefit in a single lump sum for Plan Years on/after the Effective Date. </w:t>
      </w:r>
    </w:p>
    <w:p>
      <w:pPr>
        <w:pStyle w:val="TextBody"/>
        <w:bidi w:val="0"/>
        <w:spacing w:before="0" w:after="44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41935"/>
                <wp:effectExtent l="0" t="0" r="0" b="0"/>
                <wp:wrapNone/>
                <wp:docPr id="88" name="Frame87"/>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14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14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For Plan Years prior to the Effective Date, a Participant is entitled to receive a Disability Benefit based on the Participant’s initial Compensation Deferral Agreement for his or her Retirement Benefit. </w:t>
      </w:r>
    </w:p>
    <w:p>
      <w:pPr>
        <w:pStyle w:val="TextBody"/>
        <w:bidi w:val="0"/>
        <w:spacing w:lineRule="auto" w:line="288" w:before="0" w:after="240"/>
        <w:ind w:left="0" w:right="0" w:hanging="720"/>
        <w:jc w:val="both"/>
        <w:rPr/>
      </w:pPr>
      <w:r>
        <w:rPr>
          <w:rFonts w:ascii="Arial;sans-serif" w:hAnsi="Arial;sans-serif"/>
          <w:b w:val="false"/>
          <w:color w:val="000000"/>
          <w:sz w:val="20"/>
        </w:rPr>
        <w:t>(f)</w:t>
      </w:r>
      <w:r>
        <w:rPr>
          <w:rFonts w:ascii="Arial;sans-serif" w:hAnsi="Arial;sans-serif"/>
          <w:b w:val="false"/>
          <w:color w:val="000000"/>
          <w:sz w:val="20"/>
          <w:u w:val="single"/>
        </w:rPr>
        <w:t>Small Account Balances</w:t>
      </w:r>
      <w:r>
        <w:rPr>
          <w:rFonts w:ascii="Arial;sans-serif" w:hAnsi="Arial;sans-serif"/>
          <w:b w:val="false"/>
          <w:color w:val="000000"/>
          <w:sz w:val="20"/>
        </w:rPr>
        <w:t>. The Committee may, in its sole discretion which shall be evidenced in writing no later than the date of payment, elect to pay the value of the Participant’s Accounts upon a Separation from Service in a single lump sum if the balance of such Accounts is not greater than the applicable dollar amount under Code Section 402(g)(1)(B), provided the payment represents the complete liquidation of the Participant’s interest in the Plan.</w:t>
      </w:r>
    </w:p>
    <w:p>
      <w:pPr>
        <w:pStyle w:val="TextBody"/>
        <w:bidi w:val="0"/>
        <w:spacing w:lineRule="auto" w:line="288" w:before="0" w:after="240"/>
        <w:ind w:left="0" w:right="0" w:hanging="720"/>
        <w:jc w:val="both"/>
        <w:rPr/>
      </w:pPr>
      <w:r>
        <w:rPr>
          <w:rFonts w:ascii="Arial;sans-serif" w:hAnsi="Arial;sans-serif"/>
          <w:b w:val="false"/>
          <w:color w:val="000000"/>
          <w:sz w:val="20"/>
        </w:rPr>
        <w:t>(g)</w:t>
      </w:r>
      <w:r>
        <w:rPr>
          <w:rFonts w:ascii="Arial;sans-serif" w:hAnsi="Arial;sans-serif"/>
          <w:b w:val="false"/>
          <w:color w:val="000000"/>
          <w:sz w:val="20"/>
          <w:u w:val="single"/>
        </w:rPr>
        <w:t>Rules Applicable to Installment Payments</w:t>
      </w:r>
      <w:r>
        <w:rPr>
          <w:rFonts w:ascii="Arial;sans-serif" w:hAnsi="Arial;sans-serif"/>
          <w:b w:val="false"/>
          <w:color w:val="000000"/>
          <w:sz w:val="20"/>
        </w:rPr>
        <w:t>. If a Payment Schedule specifies installment payments, annual payments will be made beginning as of the payment commencement date for such installments and shall continue on each anniversary thereof until the number of installment payments specified in the Payment Schedule has been paid. The amount of each installment payment shall be determined by dividing (1) by (2), where (1) equals the Account Balance as of the Valuation Date and (2) equals the remaining number of installment payments. For purposes of Article VII, installment payments will be treated as a single form of payment. For elections made prior to the Effective Date, if a lump sum equal to less than one hundred percent (100%) of the Retirement / Termination Account is paid, the payment commencement date for the installment form of payment will be the first (1</w:t>
      </w:r>
      <w:r>
        <w:rPr>
          <w:rFonts w:ascii="Arial;sans-serif" w:hAnsi="Arial;sans-serif"/>
          <w:b w:val="false"/>
          <w:color w:val="000000"/>
          <w:sz w:val="13"/>
        </w:rPr>
        <w:t>st</w:t>
      </w:r>
      <w:r>
        <w:rPr>
          <w:rFonts w:ascii="Arial;sans-serif" w:hAnsi="Arial;sans-serif"/>
          <w:b w:val="false"/>
          <w:color w:val="000000"/>
          <w:sz w:val="20"/>
        </w:rPr>
        <w:t>) anniversary of the payment of the lump sum.</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6.3Acceleration of or Delay in Payments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Committee, in its sole and absolute discretion, may elect to accelerate the time or form of payment of a benefit owed to the Participant hereunder, provided such acceleration is permitted under Treasury Regulation Section 1.409A-3(j)(4). The Committee may also, in its sole and absolute discretion, delay the time for payment of a benefit owed to the Participant hereunder, to the extent permitted under Treasury Regulation Section 1.409A-2(b)(7). If the Plan receives a domestic relations order (within the meaning of Code Section 414(p)(1)(B)) directing that all or a portion of a Participant’s Accounts be paid to an “alternate payee,” any amounts to be paid to the alternate payee(s) shall be paid in a single lump sum.</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6.4Payments Treated as Made on the Designated Payment Date</w:t>
      </w:r>
    </w:p>
    <w:p>
      <w:pPr>
        <w:pStyle w:val="TextBody"/>
        <w:bidi w:val="0"/>
        <w:spacing w:lineRule="auto" w:line="288" w:before="0" w:after="240"/>
        <w:jc w:val="both"/>
        <w:rPr/>
      </w:pPr>
      <w:r>
        <w:rPr>
          <w:rFonts w:ascii="Arial;sans-serif" w:hAnsi="Arial;sans-serif"/>
          <w:b w:val="false"/>
          <w:color w:val="000000"/>
          <w:sz w:val="20"/>
        </w:rPr>
        <w:t>Payments made on the payment date specified in the Plan, or on a later date within the same taxable year of the Participant or Beneficiary, or, if later, by the fifteenth (15th) day of the third (3</w:t>
      </w:r>
      <w:r>
        <w:rPr>
          <w:rFonts w:ascii="Arial;sans-serif" w:hAnsi="Arial;sans-serif"/>
          <w:b w:val="false"/>
          <w:color w:val="000000"/>
          <w:sz w:val="13"/>
        </w:rPr>
        <w:t>rd</w:t>
      </w:r>
      <w:r>
        <w:rPr>
          <w:rFonts w:ascii="Arial;sans-serif" w:hAnsi="Arial;sans-serif"/>
          <w:b w:val="false"/>
          <w:color w:val="000000"/>
          <w:sz w:val="20"/>
        </w:rPr>
        <w:t>) calendar month following the payment date specified in the Plan shall be treated as having been made on the payment date; provided, however, that the Participant or Beneficiary is not permitted, directly or indirectly, to designate the taxable year of the payment. In addition, payments made no earlier than thirty (30) days before the designated payment date will likewise be treated as having been made on the payment date so long as the Participant or Beneficiary is not permitted, directly or indirectly, to designate the taxable year of the payment. The foregoing shall be administered in compliance with the provisions of Treasury Regulation Section 1.409A-3(d), which Regulation may authorize other instances in which payments made after the payment date shall be treated as having been made on the payment date.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41935"/>
                <wp:effectExtent l="0" t="0" r="0" b="0"/>
                <wp:wrapNone/>
                <wp:docPr id="89" name="Frame88"/>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15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15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jc w:val="center"/>
        <w:rPr/>
      </w:pPr>
      <w:r>
        <w:rPr>
          <w:rFonts w:ascii="Arial;sans-serif" w:hAnsi="Arial;sans-serif"/>
          <w:b w:val="false"/>
          <w:color w:val="FFFFFF"/>
          <w:sz w:val="2"/>
        </w:rPr>
        <w:t>VII</w:t>
      </w:r>
      <w:r>
        <w:rPr>
          <w:rFonts w:ascii="Arial;sans-serif" w:hAnsi="Arial;sans-serif"/>
          <w:b/>
          <w:color w:val="000000"/>
          <w:sz w:val="20"/>
        </w:rPr>
        <w:t>ARTICLE VII</w:t>
      </w:r>
      <w:r>
        <w:rPr>
          <w:rFonts w:ascii="Arial;sans-serif" w:hAnsi="Arial;sans-serif"/>
          <w:b/>
          <w:color w:val="000000"/>
          <w:sz w:val="20"/>
          <w:u w:val="single"/>
        </w:rPr>
        <w:br/>
        <w:t>MODIFICATIONS TO PAYMENT SCHEDULES</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7.1Participant’s Right to Modify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Participant may modify any or all of the alternative Payment Schedules with respect to an Account, consistent with the permissible Payment Schedules available under the Plan, provided such modification complies with the requirements of this Article VII.</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7.2Time of Election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date on which a modification election is submitted to the Committee must be at least twelve (12) months prior to the date on which payment is scheduled to commence under the Payment Schedule in effect prior to the modification.</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7.3Date of Payment under Modified Payment Schedule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Except with respect to modifications that relate to the payment of a Death Benefit or a Disability Benefit, the date payments are to commence under the modified Payment Schedule must be no earlier than five (5) years after the date payment would have commenced under the original Payment Schedule. Under no circumstances may a modification election result in an acceleration of payments in violation of Code Section 409A.</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7.4Effective Date of Modifications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modification election submitted in accordance with this Article VII is irrevocable upon receipt by the Committee and becomes effective twelve (12) months after such date.</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7.5Effect on Accounts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An election to modify a Payment Schedule is specific to the Account or payment event to which it applies, and shall not be construed to affect the Payment Schedules of any other Accounts.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12420"/>
                <wp:effectExtent l="0" t="0" r="0" b="0"/>
                <wp:wrapNone/>
                <wp:docPr id="90" name="Frame89"/>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16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16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jc w:val="center"/>
        <w:rPr/>
      </w:pPr>
      <w:r>
        <w:rPr>
          <w:rFonts w:ascii="Arial;sans-serif" w:hAnsi="Arial;sans-serif"/>
          <w:b w:val="false"/>
          <w:color w:val="FFFFFF"/>
          <w:sz w:val="2"/>
        </w:rPr>
        <w:t>VIII</w:t>
      </w:r>
      <w:r>
        <w:rPr>
          <w:rFonts w:ascii="Arial;sans-serif" w:hAnsi="Arial;sans-serif"/>
          <w:b/>
          <w:color w:val="000000"/>
          <w:sz w:val="20"/>
        </w:rPr>
        <w:t>ARTICLE VIII</w:t>
      </w:r>
      <w:r>
        <w:rPr>
          <w:rFonts w:ascii="Arial;sans-serif" w:hAnsi="Arial;sans-serif"/>
          <w:b/>
          <w:color w:val="000000"/>
          <w:sz w:val="20"/>
          <w:u w:val="single"/>
        </w:rPr>
        <w:br/>
        <w:t>VALUATION OF ACCOUNT BALANCES; INVESTMENTS</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8.1Valuation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Deferrals shall be credited to appropriate Accounts on the date such Compensation would have been paid to the Participant absent the Compensation Deferral Agreement. Company Contributions shall be credited to the Retirement / Termination Account at the times determined by the Committee. Valuation of Accounts shall be performed under procedures approved by the Committee.</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8.2Earnings Credit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Each Account will be credited with Earnings on each Business Day, based upon the Participant’s investment allocation among a menu of investment options selected in advance by the Committee, in accordance with the provisions of this Article VIII.</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8.3Investment Options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Investment options will be determined by the Committee. The Committee, in its sole discretion, shall be permitted to add or remove investment options from the Plan menu from time to time, provided that any such additions or removals of investment options shall not be effective with respect to any period prior to the effective date of such change.</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8.4Investment Allocations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Participant’s investment allocation constitutes a deemed, not actual, investment among the investment options comprising the investment menu. At no time shall a Participant have any real or beneficial ownership in any investment option included in the investment menu, nor shall the Participating Employer or any trustee acting on its behalf have any obligation to purchase actual securities as a result of a Participant’s investment allocation. A Participant’s investment allocation shall be used solely for purposes of adjusting the value of a Participant’s Account Balances.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Participant shall specify an investment allocation for each of his Accounts in accordance with procedures established by the Committee. Except as otherwise provided by the Committee, the following provisions of this Section 8.4 shall apply to allocations under the Plan. Allocation among the investment options must be designated in increments of one percent (1%). The Participant’s investment allocation will become effective on the same Business Day or, in the case of investment allocations received after a time specified by the Committee, the next Business Day.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Participant may change an investment allocation on any Business Day, both with respect to future credits to the Plan and with respect to existing Account Balances, in accordance with procedures adopted by the Committee. Changes shall become effective on the same Business Day or, in the case of investment allocations received after a time specified by the Committee, the next Business Day, and shall be applied prospectively.</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8.5Unallocated Deferrals and Accounts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the Participant fails to make an investment allocation with respect to an Account, such Account shall be invested in an investment option, the primary objective of which is the preservation of capital, as determined by the Committee.</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12420"/>
                <wp:effectExtent l="0" t="0" r="0" b="0"/>
                <wp:wrapNone/>
                <wp:docPr id="91" name="Frame90"/>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17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17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jc w:val="center"/>
        <w:rPr/>
      </w:pPr>
      <w:r>
        <w:rPr>
          <w:rFonts w:ascii="Arial;sans-serif" w:hAnsi="Arial;sans-serif"/>
          <w:b w:val="false"/>
          <w:color w:val="FFFFFF"/>
          <w:sz w:val="2"/>
        </w:rPr>
        <w:t>IX</w:t>
      </w:r>
      <w:r>
        <w:rPr>
          <w:rFonts w:ascii="Arial;sans-serif" w:hAnsi="Arial;sans-serif"/>
          <w:b/>
          <w:color w:val="000000"/>
          <w:sz w:val="20"/>
        </w:rPr>
        <w:t>ARTICLE IX</w:t>
      </w:r>
      <w:r>
        <w:rPr>
          <w:rFonts w:ascii="Arial;sans-serif" w:hAnsi="Arial;sans-serif"/>
          <w:b/>
          <w:color w:val="000000"/>
          <w:sz w:val="20"/>
          <w:u w:val="single"/>
        </w:rPr>
        <w:br/>
        <w:t>ADMINISTRATION</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9.1Plan Administration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This Plan shall be administered by the Committee which shall have discretionary authority to make, amend, interpret and enforce all appropriate rules and regulations for the administration of this Plan and to utilize its discretion to decide or resolve any and all questions, including but not limited to eligibility for benefits and interpretations of this Plan and its terms, as may arise in connection with the Plan. Claims for benefits shall be filed with the Committee and resolved in accordance with the claims procedures in Article XII.</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9.2Administration Upon Change in Control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Upon a Change in Control of the Company (not of a Participating Employer), the Committee, as constituted immediately prior to such Change in Control, shall continue to act as the Committee. The individual who was the Chief Executive Officer of the Company (or if such person is unable or unwilling to act, the next highest ranking officer of the Company) prior to the Change in Control shall have the authority (but shall not be obligated) to appoint an independent third party to act as the Committee.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Upon such Change in Control, the Company may not remove the Committee, unless two-thirds (2/3rds) of the members of the Board and a majority of Participants and Beneficiaries with Account Balances consent to the removal and replacement Committee. Notwithstanding the foregoing, neither the Committee nor the officer described above shall have authority to direct investment of trust assets under any rabbi trust described in Section 11.2.</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Participating Employer shall, with respect to the Committee identified under this Section, (a) pay all reasonable expenses and fees of the Committee, (b) indemnify the Committee (including individuals serving as Committee) against any costs, expenses and liabilities including, without limitation, attorneys’ fees and expenses arising in connection with the performance of the Committee hereunder, except with respect to matters resulting from the Committee’s gross negligence or willful misconduct, and (c) supply full and timely information to the Committee on all matters related to the Plan, any rabbi trust, Participants, Beneficiaries and Accounts as the Committee may reasonably require.</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9.3Withholding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Participating Employer shall have the right to withhold from any payment due under the Plan (or with respect to any amounts credited to the Plan) any taxes required by law to be withheld in respect of such payment (or credit). Withholdings with respect to amounts credited to the Plan shall be deducted from Compensation that has not been deferred to the Plan.</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9.4Indemnification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Participating Employers shall indemnify and hold harmless each employee, officer, director, agent or organization, to whom or to which are delegated duties, responsibilities, and authority under the Plan or otherwise with respect to administration of the Plan, including, without limitation, the Committee and its agents, against all claims, liabilities, fines and penalties, and all expenses reasonably incurred by or imposed upon him or it (including but not limited to reasonable attorney fees) which arise as a result of his or its actions or failure to act in connection with the operation and administration of the Plan to the extent lawfully allowable and to the extent that such claim, liability, fine, penalty, or expense is not paid for by liability insurance purchased or paid for by the Participating Employer. Notwithstanding the foregoing, the Participating Employer </w:t>
      </w:r>
    </w:p>
    <w:p>
      <w:pPr>
        <w:pStyle w:val="TextBody"/>
        <w:bidi w:val="0"/>
        <w:spacing w:before="0" w:after="44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12420"/>
                <wp:effectExtent l="0" t="0" r="0" b="0"/>
                <wp:wrapNone/>
                <wp:docPr id="92" name="Frame91"/>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18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18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shall not indemnify any person or organization if his or its actions or failure to act are due to gross negligence or willful misconduct or for any such amount incurred through any settlement or compromise of any action unless the Participating Employer consents in writing to such settlement or compromise.</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9.5Delegation of Authority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the administration of this Plan, the Committee may, from time to time, employ agents and delegate to them such administrative duties as it sees fit, and may from time to time consult with legal counsel who shall be legal counsel to the Company.</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9.6Binding Decisions or Actions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decision or action of the Committee in respect of any question arising out of or in connection with the administration, interpretation and application of the Plan and the rules and regulations thereunder shall be final and conclusive and binding upon all persons having any interest in the Plan.</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41935"/>
                <wp:effectExtent l="0" t="0" r="0" b="0"/>
                <wp:wrapNone/>
                <wp:docPr id="93" name="Frame92"/>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19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19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jc w:val="center"/>
        <w:rPr/>
      </w:pPr>
      <w:r>
        <w:rPr>
          <w:rFonts w:ascii="Arial;sans-serif" w:hAnsi="Arial;sans-serif"/>
          <w:b w:val="false"/>
          <w:color w:val="FFFFFF"/>
          <w:sz w:val="2"/>
        </w:rPr>
        <w:t>X</w:t>
      </w:r>
      <w:r>
        <w:rPr>
          <w:rFonts w:ascii="Arial;sans-serif" w:hAnsi="Arial;sans-serif"/>
          <w:b/>
          <w:color w:val="000000"/>
          <w:sz w:val="20"/>
        </w:rPr>
        <w:t>ARTICLE X</w:t>
      </w:r>
      <w:r>
        <w:rPr>
          <w:rFonts w:ascii="Arial;sans-serif" w:hAnsi="Arial;sans-serif"/>
          <w:b/>
          <w:color w:val="000000"/>
          <w:sz w:val="20"/>
          <w:u w:val="single"/>
        </w:rPr>
        <w:br/>
        <w:t>AMENDMENT AND TERMINATION</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10.1Amendment and Termination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may at any time and from time to time amend the Plan or may terminate the Plan as provided in this Article X. Each Participating Employer may also terminate its participation in the Plan.</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10.2Amendments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by action taken by its Board or the Compensation Committee of the Board, may amend the Plan at any time and for any reason, provided that any such amendment shall not reduce the vested Account Balances of any Participant accrued as of the date of any such amendment or restatement (as if the Participant had incurred a voluntary Separation from Service on such date) or reduce any rights of a Participant under the Plan or other Plan features with respect to Deferrals made prior to the date of any such amendment or restatement without the consent of the Participant. The Board or the Compensation Committee of the Board may delegate to the Committee the authority to amend the Plan without the consent of the Board for the purpose of (a) conforming the Plan to the requirements of law, (b) facilitating the administration of the Plan, (c) clarifying provisions based on the Committee’s interpretation of the document, and (d) making such other amendments as the Board may authorize.</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10.3Termination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by action taken by its Board or the Compensation Committee of the Board may terminate the Plan and pay Participants and Beneficiaries their Account Balances in a single lump sum at any time, to the extent and in accordance with Treasury Regulation Section 1.409A-3(j)(4)(ix). If a Participating Employer terminates its participation in the Plan, the benefits of affected Employees shall be paid at the time provided in Article VI.</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10.4Application of Code Section 409A</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Plan is intended to constitute a plan of deferred compensation that meets the requirements for deferral of income taxation under Code Section 409A. The Committee, pursuant to its authority to interpret the Plan, is to interpret the Plan in a manner so as to comply with Code Section 409A.</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12420"/>
                <wp:effectExtent l="0" t="0" r="0" b="0"/>
                <wp:wrapNone/>
                <wp:docPr id="94" name="Frame93"/>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20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20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40" w:before="0" w:after="240"/>
        <w:jc w:val="center"/>
        <w:rPr/>
      </w:pPr>
      <w:r>
        <w:rPr>
          <w:rFonts w:ascii="Arial;sans-serif" w:hAnsi="Arial;sans-serif"/>
          <w:b w:val="false"/>
          <w:color w:val="FFFFFF"/>
          <w:sz w:val="2"/>
        </w:rPr>
        <w:t>XI</w:t>
      </w:r>
      <w:r>
        <w:rPr>
          <w:rFonts w:ascii="Arial;sans-serif" w:hAnsi="Arial;sans-serif"/>
          <w:b/>
          <w:color w:val="000000"/>
          <w:sz w:val="20"/>
        </w:rPr>
        <w:t>ARTICLE XI</w:t>
      </w:r>
      <w:r>
        <w:rPr>
          <w:rFonts w:ascii="Arial;sans-serif" w:hAnsi="Arial;sans-serif"/>
          <w:b/>
          <w:color w:val="000000"/>
          <w:sz w:val="20"/>
          <w:u w:val="single"/>
        </w:rPr>
        <w:br/>
        <w:t>INFORMAL FUNDING</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11.1General Assets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Obligations established under the terms of the Plan may be satisfied from the general funds of the Participating Employers, or a trust described in this Article XI. No Participant, spouse or Beneficiary shall have any right, title or interest whatever in assets of the Participating Employers. Nothing contained in this Plan, and no action taken pursuant to its provisions, shall create or be construed to create a trust of any kind, or a fiduciary relationship, between the Participating Employers and any Employee, spouse, or Beneficiary. To the extent that any person acquires a right to receive payments hereunder, such rights are no greater than the right of an unsecured general creditor of the Participating Employer.</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11.2Rabbi Trust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Participating Employer may, in its sole discretion, establish a grantor trust, commonly known as a rabbi trust, as a vehicle for accumulating assets to pay benefits under the Plan. Payments under the Plan may be paid from the general assets of the Participating Employer or from the assets of any such rabbi trust. Payment from any such source shall reduce the obligation owed to the Participant or Beneficiary under the Plan.</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12420"/>
                <wp:effectExtent l="0" t="0" r="0" b="0"/>
                <wp:wrapNone/>
                <wp:docPr id="95" name="Frame94"/>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21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21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jc w:val="center"/>
        <w:rPr/>
      </w:pPr>
      <w:r>
        <w:rPr>
          <w:rFonts w:ascii="Arial;sans-serif" w:hAnsi="Arial;sans-serif"/>
          <w:b w:val="false"/>
          <w:color w:val="FFFFFF"/>
          <w:sz w:val="2"/>
        </w:rPr>
        <w:t>XII</w:t>
      </w:r>
      <w:r>
        <w:rPr>
          <w:rFonts w:ascii="Arial;sans-serif" w:hAnsi="Arial;sans-serif"/>
          <w:b/>
          <w:color w:val="000000"/>
          <w:sz w:val="20"/>
        </w:rPr>
        <w:t>ARTICLE XII</w:t>
      </w:r>
      <w:r>
        <w:rPr>
          <w:rFonts w:ascii="Arial;sans-serif" w:hAnsi="Arial;sans-serif"/>
          <w:b/>
          <w:color w:val="000000"/>
          <w:sz w:val="20"/>
          <w:u w:val="single"/>
        </w:rPr>
        <w:br/>
        <w:t>CLAIMS</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12.1Filing a Claim</w:t>
      </w:r>
    </w:p>
    <w:p>
      <w:pPr>
        <w:pStyle w:val="TextBody"/>
        <w:bidi w:val="0"/>
        <w:spacing w:lineRule="auto" w:line="288" w:before="0" w:after="240"/>
        <w:jc w:val="both"/>
        <w:rPr/>
      </w:pPr>
      <w:r>
        <w:rPr>
          <w:rFonts w:ascii="Arial;sans-serif" w:hAnsi="Arial;sans-serif"/>
          <w:b w:val="false"/>
          <w:color w:val="000000"/>
          <w:sz w:val="20"/>
        </w:rPr>
        <w:t>Any controversy or claim arising out of or relating to the Plan shall be filed in writing with the Committee which shall make all determinations concerning such claim. Any claim filed with the Committee and any decision by the Committee denying such claim shall be in writing and shall be delivered to the Participant or Beneficiary filing the claim (the “</w:t>
      </w:r>
      <w:r>
        <w:rPr>
          <w:rFonts w:ascii="Arial;sans-serif" w:hAnsi="Arial;sans-serif"/>
          <w:b/>
          <w:color w:val="000000"/>
          <w:sz w:val="20"/>
        </w:rPr>
        <w:t>Claimant</w:t>
      </w:r>
      <w:r>
        <w:rPr>
          <w:color w:val="000000"/>
        </w:rPr>
        <w:t>”</w:t>
      </w:r>
      <w:r>
        <w:rPr>
          <w:rFonts w:ascii="Arial;sans-serif" w:hAnsi="Arial;sans-serif"/>
          <w:b w:val="false"/>
          <w:color w:val="000000"/>
          <w:sz w:val="20"/>
        </w:rPr>
        <w:t>).</w:t>
      </w:r>
    </w:p>
    <w:p>
      <w:pPr>
        <w:pStyle w:val="TextBody"/>
        <w:bidi w:val="0"/>
        <w:spacing w:lineRule="auto" w:line="288" w:before="0" w:after="240"/>
        <w:ind w:left="0" w:right="0" w:hanging="720"/>
        <w:jc w:val="both"/>
        <w:rPr/>
      </w:pPr>
      <w:r>
        <w:rPr>
          <w:rFonts w:ascii="Arial;sans-serif" w:hAnsi="Arial;sans-serif"/>
          <w:b w:val="false"/>
          <w:color w:val="000000"/>
          <w:sz w:val="20"/>
        </w:rPr>
        <w:t>(a)</w:t>
      </w:r>
      <w:r>
        <w:rPr>
          <w:rFonts w:ascii="Arial;sans-serif" w:hAnsi="Arial;sans-serif"/>
          <w:b w:val="false"/>
          <w:color w:val="000000"/>
          <w:sz w:val="20"/>
          <w:u w:val="single"/>
        </w:rPr>
        <w:t>In General</w:t>
      </w:r>
      <w:r>
        <w:rPr>
          <w:rFonts w:ascii="Arial;sans-serif" w:hAnsi="Arial;sans-serif"/>
          <w:b w:val="false"/>
          <w:color w:val="000000"/>
          <w:sz w:val="20"/>
        </w:rPr>
        <w:t>. Notice of a denial of benefits (other than Disability Benefits) will be provided within ninety (90) days of the Committee’s receipt of the Claimant’s claim for benefits. If the Committee determines that it needs additional time to review the claim, the Committee will provide the Claimant with a notice of the extension before the end of the initial ninety (90) day period. The extension will not be more than ninety (90) days from the end of the initial ninety (90) day period and the notice of extension will explain the special circumstances that require the extension and the date by which the Committee expects to make a decision.</w:t>
      </w:r>
    </w:p>
    <w:p>
      <w:pPr>
        <w:pStyle w:val="TextBody"/>
        <w:bidi w:val="0"/>
        <w:spacing w:lineRule="auto" w:line="288" w:before="0" w:after="240"/>
        <w:ind w:left="0" w:right="0" w:hanging="720"/>
        <w:jc w:val="both"/>
        <w:rPr/>
      </w:pPr>
      <w:r>
        <w:rPr>
          <w:rFonts w:ascii="Arial;sans-serif" w:hAnsi="Arial;sans-serif"/>
          <w:b w:val="false"/>
          <w:color w:val="000000"/>
          <w:sz w:val="20"/>
        </w:rPr>
        <w:t>(b)</w:t>
      </w:r>
      <w:r>
        <w:rPr>
          <w:rFonts w:ascii="Arial;sans-serif" w:hAnsi="Arial;sans-serif"/>
          <w:b w:val="false"/>
          <w:color w:val="000000"/>
          <w:sz w:val="20"/>
          <w:u w:val="single"/>
        </w:rPr>
        <w:t>Disability Benefits</w:t>
      </w:r>
      <w:r>
        <w:rPr>
          <w:rFonts w:ascii="Arial;sans-serif" w:hAnsi="Arial;sans-serif"/>
          <w:b w:val="false"/>
          <w:color w:val="000000"/>
          <w:sz w:val="20"/>
        </w:rPr>
        <w:t>. Notice of denial of Disability Benefits will be provided within forty-five (45) days of the Committee’s receipt of the Claimant’s claim for Disability Benefits. If the Committee determines that it needs additional time to review the Disabled claim, the Committee will provide the Claimant with a notice of the extension before the end of the initial forty-five (45) day period. If the Committee determines that a decision cannot be made within the first extension period due to matters beyond the control of the Committee, the time period for making a determination may be further extended for an additional thirty (30) days. If such an additional extension is necessary, the Committee shall notify the Claimant prior to the expiration of the initial thirty (30) day extension. Any notice of extension shall indicate the circumstances necessitating the extension of time, the date by which the Committee expects to furnish a notice of decision, the specific standards on which such entitlement to a benefit is based, the unresolved issues that prevent a decision on the claim and any additional information needed to resolve those issues. A Claimant will be provided a minimum of forty-five (45) days to submit any necessary additional information to the Committee. In the event that a thirty (30) day extension is necessary due to a Claimant’s failure to submit information necessary to decide a claim, the period for furnishing a notice of decision shall be tolled from the date on which the notice of the extension is sent to the Claimant until the earlier of the date the Claimant responds to the request for additional information or the response deadline.</w:t>
      </w:r>
    </w:p>
    <w:p>
      <w:pPr>
        <w:pStyle w:val="TextBody"/>
        <w:bidi w:val="0"/>
        <w:spacing w:lineRule="auto" w:line="288" w:before="0" w:after="240"/>
        <w:ind w:left="0" w:right="0" w:hanging="720"/>
        <w:jc w:val="both"/>
        <w:rPr/>
      </w:pPr>
      <w:r>
        <w:rPr>
          <w:rFonts w:ascii="Arial;sans-serif" w:hAnsi="Arial;sans-serif"/>
          <w:b w:val="false"/>
          <w:color w:val="000000"/>
          <w:sz w:val="20"/>
        </w:rPr>
        <w:t>(c)</w:t>
      </w:r>
      <w:r>
        <w:rPr>
          <w:rFonts w:ascii="Arial;sans-serif" w:hAnsi="Arial;sans-serif"/>
          <w:b w:val="false"/>
          <w:color w:val="000000"/>
          <w:sz w:val="20"/>
          <w:u w:val="single"/>
        </w:rPr>
        <w:t>Contents of Notice</w:t>
      </w:r>
      <w:r>
        <w:rPr>
          <w:rFonts w:ascii="Arial;sans-serif" w:hAnsi="Arial;sans-serif"/>
          <w:b w:val="false"/>
          <w:color w:val="000000"/>
          <w:sz w:val="20"/>
        </w:rPr>
        <w:t>. If a claim for benefits is completely or partially denied, notice of such denial shall be in writing and shall set forth the reasons for denial in plain language. The notice shall (1) cite the pertinent provisions of the Plan document and (2) explain, where appropriate, how the Claimant can perfect the claim, including a description of any additional material or information necessary to complete the claim and why such material or information is necessary. The claim denial also shall include an explanation of the claims review procedures and the time limits applicable to such procedures, including a statement of the Claimant’s right to bring a civil action under Section 502(a) of ERISA following an adverse decision on review. In the case of a complete or partial denial of a Disability benefit claim, the notice shall provide a statement that the Committee will provide to the Claimant, upon request and free of charge, a copy of any internal rule, guideline, protocol, or other similar criterion that was relied upon in making the decision.</w:t>
      </w:r>
    </w:p>
    <w:p>
      <w:pPr>
        <w:pStyle w:val="TextBody"/>
        <w:bidi w:val="0"/>
        <w:spacing w:before="0" w:after="44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12420"/>
                <wp:effectExtent l="0" t="0" r="0" b="0"/>
                <wp:wrapNone/>
                <wp:docPr id="96" name="Frame95"/>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22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22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12.2Appeal of Denied Claims</w:t>
      </w:r>
    </w:p>
    <w:p>
      <w:pPr>
        <w:pStyle w:val="TextBody"/>
        <w:bidi w:val="0"/>
        <w:spacing w:lineRule="auto" w:line="288" w:before="0" w:after="240"/>
        <w:jc w:val="both"/>
        <w:rPr/>
      </w:pPr>
      <w:r>
        <w:rPr>
          <w:rFonts w:ascii="Arial;sans-serif" w:hAnsi="Arial;sans-serif"/>
          <w:b w:val="false"/>
          <w:color w:val="000000"/>
          <w:sz w:val="20"/>
        </w:rPr>
        <w:t>A Claimant whose claim has been completely or partially denied shall be entitled to appeal the claim denial by filing a written appeal with a committee designated to hear such appeals (the “</w:t>
      </w:r>
      <w:r>
        <w:rPr>
          <w:rFonts w:ascii="Arial;sans-serif" w:hAnsi="Arial;sans-serif"/>
          <w:b/>
          <w:color w:val="000000"/>
          <w:sz w:val="20"/>
        </w:rPr>
        <w:t>Appeals Committee</w:t>
      </w:r>
      <w:r>
        <w:rPr>
          <w:color w:val="000000"/>
        </w:rPr>
        <w:t>”</w:t>
      </w:r>
      <w:r>
        <w:rPr>
          <w:rFonts w:ascii="Arial;sans-serif" w:hAnsi="Arial;sans-serif"/>
          <w:b w:val="false"/>
          <w:color w:val="000000"/>
          <w:sz w:val="20"/>
        </w:rPr>
        <w:t>). A Claimant who timely requests a review of the denied claim (or his or her authorized representative) may review, upon request and free of charge, copies of all documents, records and other information relevant to the denial and may submit written comments, documents, records and other information relevant to the claim to the Appeals Committee. All written comments, documents, records, and other information shall be considered relevant if the information (1) was relied upon in making a benefits determination, (2) was submitted, considered or generated in the course of making a benefits decision regardless of whether it was relied upon to make the decision, or (3) demonstrates compliance with administrative processes and safeguards established for making benefit decisions. The Appeals Committee may, in its sole discretion and if it deems appropriate or necessary, decide to hold a hearing with respect to the claim appeal.</w:t>
      </w:r>
    </w:p>
    <w:p>
      <w:pPr>
        <w:pStyle w:val="TextBody"/>
        <w:bidi w:val="0"/>
        <w:spacing w:lineRule="auto" w:line="288" w:before="0" w:after="240"/>
        <w:ind w:left="0" w:right="0" w:hanging="720"/>
        <w:jc w:val="both"/>
        <w:rPr/>
      </w:pPr>
      <w:r>
        <w:rPr>
          <w:rFonts w:ascii="Arial;sans-serif" w:hAnsi="Arial;sans-serif"/>
          <w:b w:val="false"/>
          <w:color w:val="000000"/>
          <w:sz w:val="20"/>
        </w:rPr>
        <w:t>(a)</w:t>
      </w:r>
      <w:r>
        <w:rPr>
          <w:rFonts w:ascii="Arial;sans-serif" w:hAnsi="Arial;sans-serif"/>
          <w:b w:val="false"/>
          <w:color w:val="000000"/>
          <w:sz w:val="20"/>
          <w:u w:val="single"/>
        </w:rPr>
        <w:t>In General</w:t>
      </w:r>
      <w:r>
        <w:rPr>
          <w:rFonts w:ascii="Arial;sans-serif" w:hAnsi="Arial;sans-serif"/>
          <w:b w:val="false"/>
          <w:color w:val="000000"/>
          <w:sz w:val="20"/>
        </w:rPr>
        <w:t>. Appeal of a denied benefits claim (other than a Disability Benefits claim) must be filed in writing with the Appeals Committee no later than sixty (60) days after receipt of the written notification of such claim denial. The Appeals Committee shall make its decision regarding the merits of the denied claim within sixty (60) days following receipt of the appeal (or within one hundred and twenty (120) days after such receipt, in a case where there are special circumstances requiring extension of time for reviewing the appealed claim). If an extension of time for reviewing the appeal is required because of special circumstances, written notice of the extension shall be furnished to the Claimant prior to the commencement of the extension. The notice will indicate the special circumstances requiring the extension of time and the date by which the Appeals Committee expects to render the determination on review. The review will take into account comments, documents, records and other information submitted by the Claimant relating to the claim without regard to whether such information was submitted or considered in the initial benefit determination.</w:t>
      </w:r>
    </w:p>
    <w:p>
      <w:pPr>
        <w:pStyle w:val="TextBody"/>
        <w:bidi w:val="0"/>
        <w:spacing w:lineRule="auto" w:line="288" w:before="0" w:after="240"/>
        <w:ind w:left="0" w:right="0" w:hanging="720"/>
        <w:jc w:val="both"/>
        <w:rPr/>
      </w:pPr>
      <w:r>
        <w:rPr>
          <w:rFonts w:ascii="Arial;sans-serif" w:hAnsi="Arial;sans-serif"/>
          <w:b w:val="false"/>
          <w:color w:val="000000"/>
          <w:sz w:val="20"/>
        </w:rPr>
        <w:t>(b)</w:t>
      </w:r>
      <w:r>
        <w:rPr>
          <w:rFonts w:ascii="Arial;sans-serif" w:hAnsi="Arial;sans-serif"/>
          <w:b w:val="false"/>
          <w:color w:val="000000"/>
          <w:sz w:val="20"/>
          <w:u w:val="single"/>
        </w:rPr>
        <w:t>Disability Benefits</w:t>
      </w:r>
      <w:r>
        <w:rPr>
          <w:rFonts w:ascii="Arial;sans-serif" w:hAnsi="Arial;sans-serif"/>
          <w:b w:val="false"/>
          <w:color w:val="000000"/>
          <w:sz w:val="20"/>
        </w:rPr>
        <w:t>. Appeal of a denied Disability Benefits claim must be filed in writing with the Appeals Committee no later than one hundred eighty (180) days after receipt of the written notification of such claim denial. The review shall be conducted by the Appeals Committee (exclusive of the person who made the initial adverse decision or such person’s subordinate). In reviewing the appeal, the Appeals Committee shall (1) not afford deference to the initial denial of the claim, (2) consult a medical professional who has appropriate training and experience in the field of medicine relating to the Claimant’s disability and who was neither consulted as part of the initial denial nor is the subordinate of such individual and (3) identify the medical or vocational experts whose advice was obtained with respect to the initial benefit denial, without regard to whether the advice was relied upon in making the decision. The Appeals Committee shall make its decision regarding the merits of the denied claim within forty-five (45) days following receipt of the appeal (or within ninety (90) days after such receipt, in a case where there are special circumstances requiring extension of time for reviewing the appealed claim). If an extension of time for reviewing the appeal is required because of special circumstances, written notice of the extension shall be furnished to the Claimant prior to the commencement of the extension. The notice will indicate the special circumstances requiring the extension of time and the date by which the Appeals Committee expects to render the determination on review. Following its review of any additional information submitted by the Claimant, the Appeals Committee shall render a decision on its review of the denied claim.</w:t>
      </w:r>
    </w:p>
    <w:p>
      <w:pPr>
        <w:pStyle w:val="TextBody"/>
        <w:bidi w:val="0"/>
        <w:spacing w:before="0" w:after="44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41935"/>
                <wp:effectExtent l="0" t="0" r="0" b="0"/>
                <wp:wrapNone/>
                <wp:docPr id="97" name="Frame96"/>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23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23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ind w:left="0" w:right="0" w:hanging="720"/>
        <w:jc w:val="both"/>
        <w:rPr/>
      </w:pPr>
      <w:r>
        <w:rPr>
          <w:rFonts w:ascii="Arial;sans-serif" w:hAnsi="Arial;sans-serif"/>
          <w:b w:val="false"/>
          <w:color w:val="000000"/>
          <w:sz w:val="20"/>
        </w:rPr>
        <w:t>(c)</w:t>
      </w:r>
      <w:r>
        <w:rPr>
          <w:rFonts w:ascii="Arial;sans-serif" w:hAnsi="Arial;sans-serif"/>
          <w:b w:val="false"/>
          <w:color w:val="000000"/>
          <w:sz w:val="20"/>
          <w:u w:val="single"/>
        </w:rPr>
        <w:t>Contents of Notice</w:t>
      </w:r>
      <w:r>
        <w:rPr>
          <w:rFonts w:ascii="Arial;sans-serif" w:hAnsi="Arial;sans-serif"/>
          <w:b w:val="false"/>
          <w:color w:val="000000"/>
          <w:sz w:val="20"/>
        </w:rPr>
        <w:t>. If a benefits claim is completely or partially denied on review, notice of such denial shall be in writing and shall set forth the reasons for denial in plain language.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decision on review shall set forth (1) the specific reason or reasons for the denial, (2) specific references to the pertinent Plan provisions on which the denial is based, (3) a statement that the Claimant is entitled to receive, upon request and free of charge, reasonable access to and copies of all documents, records, or other information relevant (as defined above) to the Claimant’s claim, and (4) a statement describing any voluntary appeal procedures offered by the plan and a statement of the Claimant’s right to bring an action under Section 502(a) of ERISA.</w:t>
      </w:r>
    </w:p>
    <w:p>
      <w:pPr>
        <w:pStyle w:val="TextBody"/>
        <w:bidi w:val="0"/>
        <w:spacing w:lineRule="auto" w:line="288" w:before="0" w:after="240"/>
        <w:ind w:left="0" w:right="0" w:hanging="720"/>
        <w:jc w:val="both"/>
        <w:rPr/>
      </w:pPr>
      <w:r>
        <w:rPr>
          <w:rFonts w:ascii="Arial;sans-serif" w:hAnsi="Arial;sans-serif"/>
          <w:b w:val="false"/>
          <w:color w:val="000000"/>
          <w:sz w:val="20"/>
        </w:rPr>
        <w:t>(d)</w:t>
      </w:r>
      <w:r>
        <w:rPr>
          <w:rFonts w:ascii="Arial;sans-serif" w:hAnsi="Arial;sans-serif"/>
          <w:b w:val="false"/>
          <w:color w:val="000000"/>
          <w:sz w:val="20"/>
          <w:u w:val="single"/>
        </w:rPr>
        <w:t>Contents of Disability Benefit Denial</w:t>
      </w:r>
      <w:r>
        <w:rPr>
          <w:rFonts w:ascii="Arial;sans-serif" w:hAnsi="Arial;sans-serif"/>
          <w:b w:val="false"/>
          <w:color w:val="000000"/>
          <w:sz w:val="20"/>
        </w:rPr>
        <w:t>. For the denial of a Disability Benefit, the notice will also include a statement that the Appeals Committee will provide, upon request and free of charge, (1) any internal rule, guideline, protocol or other similar criterion relied upon in making the decision, (2) any medical opinion relied upon to make the decision and (3) the required statement under Section 2560.503-1G)(5)(iii) of the Department of Labor regulations.</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12.3Legal Action – Attorneys’ Fees and Deadlines</w:t>
      </w:r>
    </w:p>
    <w:p>
      <w:pPr>
        <w:pStyle w:val="TextBody"/>
        <w:bidi w:val="0"/>
        <w:spacing w:lineRule="auto" w:line="288" w:before="0" w:after="240"/>
        <w:ind w:left="0" w:right="0" w:hanging="720"/>
        <w:jc w:val="both"/>
        <w:rPr/>
      </w:pPr>
      <w:r>
        <w:rPr>
          <w:rFonts w:ascii="Arial;sans-serif" w:hAnsi="Arial;sans-serif"/>
          <w:b w:val="false"/>
          <w:color w:val="000000"/>
          <w:sz w:val="20"/>
        </w:rPr>
        <w:t>(a)</w:t>
      </w:r>
      <w:r>
        <w:rPr>
          <w:rFonts w:ascii="Arial;sans-serif" w:hAnsi="Arial;sans-serif"/>
          <w:b w:val="false"/>
          <w:color w:val="000000"/>
          <w:sz w:val="20"/>
          <w:u w:val="single"/>
        </w:rPr>
        <w:t>Exhaustion / Plan-Based Statute of Limitations</w:t>
      </w:r>
      <w:r>
        <w:rPr>
          <w:rFonts w:ascii="Arial;sans-serif" w:hAnsi="Arial;sans-serif"/>
          <w:b w:val="false"/>
          <w:color w:val="000000"/>
          <w:sz w:val="20"/>
        </w:rPr>
        <w:t>. A Claimant may not bring any legal action, including commencement of any arbitration, relating to a claim for benefits under the Plan unless and until the Claimant has followed the claims procedures under the Plan and exhausted his or her administrative remedies under such claims procedures. In addition, a Participant (or Claimant) will forever lose his or her right to (a) file a lawsuit or claim under the Plan or related to the Plan if he or she does not file an initial claim for benefits under Section 12.1 within twelve (12) months of the earlier of the date his or her application for benefits was denied or the date on which he or she knew or should have known of such claim or (b) file a lawsuit after a final denial on appeal Section 12.2 if he or she does not file such lawsuit within twelve (12) months of receiving such final denial.</w:t>
      </w:r>
    </w:p>
    <w:p>
      <w:pPr>
        <w:pStyle w:val="TextBody"/>
        <w:bidi w:val="0"/>
        <w:spacing w:lineRule="auto" w:line="288" w:before="0" w:after="240"/>
        <w:ind w:left="0" w:right="0" w:hanging="720"/>
        <w:jc w:val="both"/>
        <w:rPr/>
      </w:pPr>
      <w:r>
        <w:rPr>
          <w:rFonts w:ascii="Arial;sans-serif" w:hAnsi="Arial;sans-serif"/>
          <w:b w:val="false"/>
          <w:color w:val="000000"/>
          <w:sz w:val="20"/>
        </w:rPr>
        <w:t>(b)</w:t>
      </w:r>
      <w:r>
        <w:rPr>
          <w:rFonts w:ascii="Arial;sans-serif" w:hAnsi="Arial;sans-serif"/>
          <w:b w:val="false"/>
          <w:color w:val="000000"/>
          <w:sz w:val="20"/>
          <w:u w:val="single"/>
        </w:rPr>
        <w:t>Attorneys’ Fees</w:t>
      </w:r>
      <w:r>
        <w:rPr>
          <w:rFonts w:ascii="Arial;sans-serif" w:hAnsi="Arial;sans-serif"/>
          <w:b w:val="false"/>
          <w:color w:val="000000"/>
          <w:sz w:val="20"/>
        </w:rPr>
        <w:t>. If a Participant or Beneficiary prevails in a legal proceeding brought under the Plan to enforce the rights of such Participant or any other similarly situated Participant or Beneficiary, in whole or in part, the Participating Employer shall reimburse such Participant or Beneficiary for all legal costs, expenses, attorneys’ fees and such other liabilities incurred as a result of such proceedings. If the legal proceeding is brought in connection with a Change in Control, or a “change in control” as defined in a rabbi trust described in Section 11.2, the Participant or Beneficiary may file a claim directly with the trustee for reimbursement of such costs, expenses and fees. For purposes of the preceding sentence, the amount of the claim shall be treated as if it were an addition to the Participant’s or Beneficiary’s Account.</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12.4Discretion of Appeals Committee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All interpretations, determinations and decisions of the Appeals Committee with respect to any claim shall be made in its sole discretion, and shall be final and conclusive.</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41935"/>
                <wp:effectExtent l="0" t="0" r="0" b="0"/>
                <wp:wrapNone/>
                <wp:docPr id="98" name="Frame97"/>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24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24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jc w:val="center"/>
        <w:rPr/>
      </w:pPr>
      <w:r>
        <w:rPr>
          <w:rFonts w:ascii="Arial;sans-serif" w:hAnsi="Arial;sans-serif"/>
          <w:b w:val="false"/>
          <w:color w:val="FFFFFF"/>
          <w:sz w:val="2"/>
        </w:rPr>
        <w:t>XIII</w:t>
      </w:r>
      <w:r>
        <w:rPr>
          <w:rFonts w:ascii="Arial;sans-serif" w:hAnsi="Arial;sans-serif"/>
          <w:b/>
          <w:color w:val="000000"/>
          <w:sz w:val="20"/>
          <w:u w:val="single"/>
        </w:rPr>
        <w:t>ARTICLE XIII</w:t>
        <w:br/>
        <w:t>GENERAL PROVISIONS</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13.1Anti-assignment Rule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No interest of any Participant, spouse or Beneficiary under this Plan and no benefit payable hereunder shall be assigned as security for a loan, and any such purported assignment shall be null, void and of no effect, nor shall any such interest or any such benefit be subject in any manner, either voluntarily or involuntarily, to anticipation, sale, transfer, assignment or encumbrance by or through any Participant, spouse or Beneficiary. Notwithstanding anything to the contrary herein, however, the Committee has the discretion to make payments to an alternate payee in accordance with the terms of a domestic relations order (as defined in Code Section 414(p)(1)(B)).</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may assign any or all of its liabilities under this Plan in connection with any restructuring, recapitalization, sale of assets or other similar transactions affecting a Participating Employer without the consent of the Participant.</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13.2No Legal or Equitable Rights or Interest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No Participant or other person shall have any legal or equitable rights or interest in this Plan that are not expressly granted in this Plan. Participation in this Plan does not give any person any right to be retained in the service of the Participating Employer. The right and power of a Participating Employer to dismiss or discharge an Employee is expressly reserved. The Participating Employers make no representations or warranties as to the tax consequences to a Participant or a Participant’s beneficiaries resulting from a deferral of income pursuant to the Plan.</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13.3No Employment Contract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Nothing contained herein shall be construed as constituting a contract or agreement between an Employee and a Participating Employer or a Non</w:t>
        <w:softHyphen/>
        <w:t xml:space="preserve"> Employee Director and the Company to the effect that the Employee will be employed by the Employer or continue as a Director of the Company for any specific time..</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13.4Notice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Any notice or filing required or permitted to be delivered to the Committee under this Plan shall be delivered in writing, in person, or through such electronic means as is established by the Committee. Notice shall be deemed given as of the date of delivery or, if delivery is made by mail, as of the date shown on the postmark on the receipt for registration or certification. Written transmission shall be sent by certified mail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ROPER TECHNOLOGIES,INC.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ATTN: VICE PRESIDENT OF HUMAN RESOURCES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6496 UNIVERSITY PARKWAY</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SARASOTA, FLORIDA 34240</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Any notice or filing required or permitted to be given to a Participant under this Plan shall be sufficient if in writing or hand-delivered, or sent by mail to the last known address of the Participant.</w:t>
      </w:r>
    </w:p>
    <w:p>
      <w:pPr>
        <w:pStyle w:val="TextBody"/>
        <w:bidi w:val="0"/>
        <w:spacing w:before="0" w:after="44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12420"/>
                <wp:effectExtent l="0" t="0" r="0" b="0"/>
                <wp:wrapNone/>
                <wp:docPr id="99" name="Frame98"/>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25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Page 25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13.5Headings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headings of Sections are included solely for convenience of reference, and if there is any conflict between such headings and the text of this Plan, the text shall control.</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13.6Invalid or Unenforceable Provisions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any provision of this Plan shall be held invalid or unenforceable, such invalidity or unenforceability shall not affect any other provisions hereof and the Committee may elect in its sole discretion to construe such invalid or unenforceable provisions in a manner that conforms to applicable law or as if such provisions, to the extent invalid or unenforceable, had not been included.</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13.7Lost Participants or Beneficiaries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Any Participant or Beneficiary who is entitled to a benefit from the Plan has the duty to keep the Committee advised of his or her current mailing address. If benefit payments are returned to the Plan or are not presented for payment after a reasonable amount of time, the Committee shall presume that the payee is missing. The Committee, after making such efforts as in its discretion it deems reasonable and appropriate to locate the payee, shall stop payment on any uncashed checks and may discontinue making future payments until contact with the payee is restored.</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13.8Facility of Payment to a Minor</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a distribution is to be made to a minor, or to a person who is otherwise incompetent, then the Committee may, in its discretion, make such distribution (i) to the legal guardian, or if none, to a parent of a minor payee with whom the payee maintains his or her residence, or (ii) to the conservator or committee or, if none, to the person having custody of an incompetent payee. Any such distribution shall fully discharge the Committee, the Company, and the Plan from further liability on account thereof.</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13.9Governing Law</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To the extent not preempted by ERISA, the laws of the State of Delaware shall govern the construction and administration of the Plan.</w:t>
      </w:r>
    </w:p>
    <w:p>
      <w:pPr>
        <w:pStyle w:val="TextBody"/>
        <w:bidi w:val="0"/>
        <w:spacing w:lineRule="auto" w:line="288" w:before="0" w:after="1200"/>
        <w:jc w:val="center"/>
        <w:rPr>
          <w:rFonts w:ascii="Arial;sans-serif" w:hAnsi="Arial;sans-serif"/>
          <w:b w:val="false"/>
          <w:color w:val="000000"/>
          <w:sz w:val="20"/>
        </w:rPr>
      </w:pPr>
      <w:r>
        <w:rPr>
          <w:rFonts w:ascii="Arial;sans-serif" w:hAnsi="Arial;sans-serif"/>
          <w:b w:val="false"/>
          <w:color w:val="000000"/>
          <w:sz w:val="20"/>
        </w:rPr>
        <w:t>(Signature Page Follows)</w:t>
      </w:r>
    </w:p>
    <w:p>
      <w:pPr>
        <w:pStyle w:val="TextBody"/>
        <w:bidi w:val="0"/>
        <w:spacing w:before="0" w:after="240"/>
        <w:jc w:val="left"/>
        <w:rPr/>
      </w:pPr>
      <w:r>
        <w:rPr/>
      </w:r>
    </w:p>
    <w:p>
      <w:pPr>
        <w:pStyle w:val="TextBody"/>
        <w:bidi w:val="0"/>
        <w:spacing w:before="0" w:after="44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41935"/>
                <wp:effectExtent l="0" t="0" r="0" b="0"/>
                <wp:wrapNone/>
                <wp:docPr id="100" name="Frame99"/>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26 of 27</w:t>
                            </w:r>
                            <w:r>
                              <w:br w:type="page"/>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26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1200"/>
        <w:ind w:left="0" w:right="0" w:firstLine="720"/>
        <w:jc w:val="both"/>
        <w:rPr>
          <w:rFonts w:ascii="Arial;sans-serif" w:hAnsi="Arial;sans-serif"/>
          <w:b w:val="false"/>
          <w:color w:val="000000"/>
          <w:sz w:val="20"/>
        </w:rPr>
      </w:pPr>
      <w:r>
        <w:rPr>
          <w:rFonts w:ascii="Arial;sans-serif" w:hAnsi="Arial;sans-serif"/>
          <w:b w:val="false"/>
          <w:color w:val="000000"/>
          <w:sz w:val="20"/>
        </w:rPr>
        <w:t>IN WITNESS WHEREOF, the undersigned executed this Plan as of the 3rd day of November, 2025, to be effective as of the Effective Date.</w:t>
      </w:r>
    </w:p>
    <w:p>
      <w:pPr>
        <w:pStyle w:val="TextBody"/>
        <w:bidi w:val="0"/>
        <w:spacing w:lineRule="auto" w:line="288" w:before="0" w:after="720"/>
        <w:jc w:val="left"/>
        <w:rPr>
          <w:rFonts w:ascii="Arial;sans-serif" w:hAnsi="Arial;sans-serif"/>
          <w:b w:val="false"/>
          <w:color w:val="000000"/>
          <w:sz w:val="20"/>
        </w:rPr>
      </w:pPr>
      <w:r>
        <w:rPr>
          <w:rFonts w:ascii="Arial;sans-serif" w:hAnsi="Arial;sans-serif"/>
          <w:b w:val="false"/>
          <w:color w:val="000000"/>
          <w:sz w:val="20"/>
        </w:rPr>
        <w:t>Roper Technologies, Inc.</w:t>
      </w:r>
    </w:p>
    <w:p>
      <w:pPr>
        <w:pStyle w:val="TextBody"/>
        <w:bidi w:val="0"/>
        <w:spacing w:lineRule="auto" w:line="288" w:before="0" w:after="720"/>
        <w:jc w:val="left"/>
        <w:rPr/>
      </w:pPr>
      <w:r>
        <w:rPr>
          <w:rFonts w:ascii="Arial;sans-serif" w:hAnsi="Arial;sans-serif"/>
          <w:b w:val="false"/>
          <w:color w:val="000000"/>
          <w:sz w:val="20"/>
        </w:rPr>
        <w:t xml:space="preserve">By: </w:t>
      </w:r>
      <w:r>
        <w:rPr>
          <w:rFonts w:ascii="Arial;sans-serif" w:hAnsi="Arial;sans-serif"/>
          <w:b w:val="false"/>
          <w:color w:val="000000"/>
          <w:sz w:val="20"/>
          <w:u w:val="single"/>
        </w:rPr>
        <w:t xml:space="preserve">/s/ John K. Stipancich </w:t>
      </w:r>
      <w:r>
        <w:rPr>
          <w:color w:val="000000"/>
        </w:rPr>
        <w:t>    </w:t>
      </w:r>
      <w:r>
        <w:rPr>
          <w:rFonts w:ascii="Arial;sans-serif" w:hAnsi="Arial;sans-serif"/>
          <w:b w:val="false"/>
          <w:color w:val="000000"/>
          <w:sz w:val="20"/>
        </w:rPr>
        <w:t>(Print Name) John K. Stipancich</w:t>
      </w:r>
    </w:p>
    <w:p>
      <w:pPr>
        <w:pStyle w:val="TextBody"/>
        <w:bidi w:val="0"/>
        <w:spacing w:lineRule="auto" w:line="288" w:before="0" w:after="720"/>
        <w:jc w:val="left"/>
        <w:rPr/>
      </w:pPr>
      <w:r>
        <w:rPr>
          <w:rFonts w:ascii="Arial;sans-serif" w:hAnsi="Arial;sans-serif"/>
          <w:b w:val="false"/>
          <w:color w:val="000000"/>
          <w:sz w:val="20"/>
        </w:rPr>
        <w:t xml:space="preserve">Its: </w:t>
      </w:r>
      <w:r>
        <w:rPr>
          <w:rFonts w:ascii="Arial;sans-serif" w:hAnsi="Arial;sans-serif"/>
          <w:b w:val="false"/>
          <w:color w:val="000000"/>
          <w:sz w:val="20"/>
          <w:u w:val="single"/>
        </w:rPr>
        <w:t xml:space="preserve">Executive Vice President, General Counsel and Corporate Secretary </w:t>
      </w:r>
    </w:p>
    <w:p>
      <w:pPr>
        <w:pStyle w:val="TextBody"/>
        <w:bidi w:val="0"/>
        <w:spacing w:lineRule="auto" w:line="288" w:before="0" w:after="720"/>
        <w:jc w:val="left"/>
        <w:rPr>
          <w:rFonts w:ascii="Arial;sans-serif" w:hAnsi="Arial;sans-serif"/>
          <w:b w:val="false"/>
          <w:color w:val="000000"/>
          <w:sz w:val="20"/>
        </w:rPr>
      </w:pPr>
      <w:r>
        <w:rPr>
          <w:rFonts w:ascii="Arial;sans-serif" w:hAnsi="Arial;sans-serif"/>
          <w:b w:val="false"/>
          <w:color w:val="000000"/>
          <w:sz w:val="20"/>
        </w:rPr>
        <w:t>(Title) Executive Vice President, General Counsel and Corporate Secretary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41935"/>
                <wp:effectExtent l="0" t="0" r="0" b="0"/>
                <wp:wrapNone/>
                <wp:docPr id="101" name="Frame100"/>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27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27 of 27</w:t>
                      </w:r>
                    </w:p>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1104882708\4\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Roper Technologies, Inc.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Transaction Compliance Program</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(updated and effective as of December 21, 2024, as further amended November 5, 2025)</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Roper Technologies, Inc., together with all of its direct and indirect majority-owned subsidiaries (collectively, the “Corporation”) has instituted the following compliance program (the “Compliance Program”), which applies to </w:t>
      </w:r>
      <w:r>
        <w:rPr>
          <w:rFonts w:ascii="Times New Roman;serif" w:hAnsi="Times New Roman;serif"/>
          <w:b w:val="false"/>
          <w:i/>
          <w:color w:val="000000"/>
          <w:sz w:val="22"/>
        </w:rPr>
        <w:t>all</w:t>
      </w:r>
      <w:r>
        <w:rPr>
          <w:color w:val="000000"/>
        </w:rPr>
        <w:t xml:space="preserve"> </w:t>
      </w:r>
      <w:r>
        <w:rPr>
          <w:rFonts w:ascii="Times New Roman;serif" w:hAnsi="Times New Roman;serif"/>
          <w:b w:val="false"/>
          <w:color w:val="000000"/>
          <w:sz w:val="22"/>
        </w:rPr>
        <w:t>of the Corporation’s (i) directors, officers and employees, and (ii) the Corporation’s contractors or consultants and other third parties conducting business with the Corporation and who may have access to material non-public information concerning the Corporation (collectively, “Insiders”). However, as set forth herein, some provisions apply only to certain Insiders. The purpose of this program is to protect the Corporation and assist Insiders in complying with the requirements of the federal securities laws relating to transactions in the Corporation’s securities. The consequences of violating any of these requirements may be very serious to both you and the Corporation, and may include both civil and criminal penalties. Failure to comply with the Compliance Program may also result in Corporation-imposed sanctions, including dismissal for cause, whether or not your failure to comply results in a violation of law. Your careful attention and adherence to the Compliance Program is expected and appreciated.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Please refer all questions about this Compliance Program to one of the Corporation’s Compliance Officers. The Corporation has designated each of the General Counsel and Corporate Secretary and the Deputy General Counsel as a Compliance Officer and the Chief Securities Counsel as the Filing Coordinator. If any Insider becomes aware of an apparent violation of any provision of the Compliance Program by any Insider, he/she must report the relevant facts to the Corporation’s Compliance Office. In that event, as is the case with any consultation with an attorney employed by the Corporation, Corporation attorneys act exclusively for the Corporation and not as attorneys for any Insiders in his/her individual capacity. </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I.    INSIDER TRADING AND “TIPPING”</w:t>
      </w:r>
    </w:p>
    <w:p>
      <w:pPr>
        <w:pStyle w:val="TextBody"/>
        <w:bidi w:val="0"/>
        <w:spacing w:lineRule="auto" w:line="288" w:before="0" w:after="240"/>
        <w:jc w:val="both"/>
        <w:rPr/>
      </w:pPr>
      <w:r>
        <w:rPr>
          <w:color w:val="000000"/>
        </w:rPr>
        <w:t>    </w:t>
      </w:r>
      <w:r>
        <w:rPr>
          <w:rFonts w:ascii="Times New Roman;serif" w:hAnsi="Times New Roman;serif"/>
          <w:b w:val="false"/>
          <w:color w:val="000000"/>
          <w:sz w:val="22"/>
          <w:u w:val="single"/>
        </w:rPr>
        <w:t>Corporation Securities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a general rule, Insiders who possess material non-public information about the Corporation, and persons who have received material non-public information from Insiders of the Corporation, may be subject to the “abstain or disclose” rule - that is, they may be required by the securities laws either (1) to refrain from both passing the Corporation information on to others (“tipping”) and from trading in or recommending the purchase or sale of Corporation securities or of options on (or any other derivatives relating to) those securities, or (2) to disclose such Corporation information to the investing public before trading in those securities. In virtually all cases, of course, it will be improper for the Insider to disclose any non-public information without the express prior permission of the original source of the information, such as senior Roper Technologies management. Thus, invariably a Corporation Insider with material non-public information cannot trade while in possession of that information or disclose the information to others who may trade. Impermissible tipping includes advising another person or entity to trade in Corporation securities when the Insider himself/herself is prohibited from trading. The Corporation is subject to the listing standards of the Nasdaq Global Select Market.</w:t>
      </w:r>
    </w:p>
    <w:p>
      <w:pPr>
        <w:pStyle w:val="TextBody"/>
        <w:bidi w:val="0"/>
        <w:spacing w:lineRule="auto" w:line="288" w:before="0" w:after="240"/>
        <w:ind w:left="0" w:right="0" w:firstLine="72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Securities of Other Companies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It is also generally impermissible to trade in securities of </w:t>
      </w:r>
      <w:r>
        <w:rPr>
          <w:rFonts w:ascii="Times New Roman;serif" w:hAnsi="Times New Roman;serif"/>
          <w:b w:val="false"/>
          <w:i/>
          <w:color w:val="000000"/>
          <w:sz w:val="22"/>
        </w:rPr>
        <w:t>any</w:t>
      </w:r>
      <w:r>
        <w:rPr>
          <w:color w:val="000000"/>
        </w:rPr>
        <w:t xml:space="preserve"> </w:t>
      </w:r>
      <w:r>
        <w:rPr>
          <w:rFonts w:ascii="Times New Roman;serif" w:hAnsi="Times New Roman;serif"/>
          <w:b w:val="false"/>
          <w:color w:val="000000"/>
          <w:sz w:val="22"/>
        </w:rPr>
        <w:t xml:space="preserve">Corporation when the information was initially disclosed, or would be used, in breach of a duty to maintain the information in confidence. </w:t>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67665"/>
                <wp:effectExtent l="0" t="0" r="0" b="0"/>
                <wp:wrapNone/>
                <wp:docPr id="102" name="Frame10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For example, such would be the case when non-public information obtained from one of the Corporation’s customers that is material to the value of a security issued by that other entity. This also applies to information about another Corporation that is obtained in confidence from the Corporation itself. This is sometimes referred to as “misappropriation,” another type of unlawful insider trading. While the origin and nature of the duty of confidence in this context present complex legal questions, any uncertainty should be resolved in favor of treating information as confidential where the information is material and non-public and the original source of the information has not given express permission to use the information to engage in a securities transaction. Each Insider must treat the material nonpublic information described in this paragraph with the same care required with respect to the Corporation’s material nonpublic information. </w:t>
      </w:r>
    </w:p>
    <w:p>
      <w:pPr>
        <w:pStyle w:val="TextBody"/>
        <w:bidi w:val="0"/>
        <w:spacing w:lineRule="auto" w:line="288" w:before="0" w:after="240"/>
        <w:ind w:left="0" w:right="0" w:firstLine="72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Duration of the Prohibition on Insider Trading</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prohibitions in the prior two paragraphs remain in effect until the information has been substantially disclosed to the public or is no longer material. Thus, an Insider who is aware of material non-public information regarding the Corporation cannot trade in Corporation securities until that specific information has become public or is no longer material. Violation of laws prohibiting insider trading can result in civil liability to third persons, civil penalties obtained by the government, fines and imprisonment.</w:t>
      </w:r>
    </w:p>
    <w:p>
      <w:pPr>
        <w:pStyle w:val="TextBody"/>
        <w:bidi w:val="0"/>
        <w:spacing w:lineRule="auto" w:line="288" w:before="0" w:after="240"/>
        <w:ind w:left="0" w:right="0" w:firstLine="72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Other Prohibitions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Insiders may not pledge Corporation securities, including purchase Corporation securities on margin; or hedge any position they may have in Corporation securities.</w:t>
      </w:r>
    </w:p>
    <w:p>
      <w:pPr>
        <w:pStyle w:val="TextBody"/>
        <w:bidi w:val="0"/>
        <w:spacing w:lineRule="auto" w:line="288" w:before="0" w:after="240"/>
        <w:jc w:val="both"/>
        <w:rPr/>
      </w:pPr>
      <w:r>
        <w:rPr>
          <w:color w:val="000000"/>
        </w:rPr>
        <w:t>    </w:t>
      </w:r>
      <w:r>
        <w:rPr>
          <w:rFonts w:ascii="Times New Roman;serif" w:hAnsi="Times New Roman;serif"/>
          <w:b w:val="false"/>
          <w:color w:val="000000"/>
          <w:sz w:val="22"/>
          <w:u w:val="single"/>
        </w:rPr>
        <w:t>Materiality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Generally, a fact is considered material if there is a substantial likelihood that a reasonable investor would consider it important in making an investment decision. Examples of types of information that may be material, depending on the facts of the particular situation, include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A proposal or agreement for a material, significant merger, acquisition or divestiture, or for the sale or purchase of significant assets.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Earnings and related financial performance information.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A proposal to issue or redeem securities or a development with respect to a pending issuance or redemption of securities.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A proposal or action regarding the Corporation’s dividend policy, including a stock dividend or stock split.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Liquidity problems, payment or covenant defaults or actions by creditors or suppliers relating to the Corporation’s credit standing.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Changes in debt ratings or analyst upgrades or downgrades of the Corporation or one of its securities.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A major cybersecurity breach and/or data privacy event.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Changes in executive-level management or directors.</w:t>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67665"/>
                <wp:effectExtent l="0" t="0" r="0" b="0"/>
                <wp:wrapNone/>
                <wp:docPr id="103" name="Frame10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given item of information must be evaluated in light of all the relevant circumstances in order to make a determination as to materiality. Except in obvious cases of trivial information, non-public information is presumed to be material unless the Corporation’s Compliance Officer or his/her delegate has advised otherwise in writing.</w:t>
      </w:r>
    </w:p>
    <w:p>
      <w:pPr>
        <w:pStyle w:val="TextBody"/>
        <w:bidi w:val="0"/>
        <w:spacing w:lineRule="auto" w:line="288" w:before="0" w:after="240"/>
        <w:jc w:val="both"/>
        <w:rPr/>
      </w:pPr>
      <w:r>
        <w:rPr>
          <w:color w:val="000000"/>
        </w:rPr>
        <w:t>    </w:t>
      </w:r>
      <w:r>
        <w:rPr>
          <w:rFonts w:ascii="Times New Roman;serif" w:hAnsi="Times New Roman;serif"/>
          <w:b w:val="false"/>
          <w:color w:val="000000"/>
          <w:sz w:val="22"/>
          <w:u w:val="single"/>
        </w:rPr>
        <w:t>Nonpublic Information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Nonpublic information is information that is not generally available to ordinary investors in the marketplace or in general circulation. In order to conclude that information is public, one must be able to point to some fact to show that the information is generally available, for example, its announcement in a press release, a filing with the Securities and Exchange Commission (“SEC”), or publication in a major news or other publication of general circulation, such as </w:t>
      </w:r>
      <w:r>
        <w:rPr>
          <w:rFonts w:ascii="Times New Roman;serif" w:hAnsi="Times New Roman;serif"/>
          <w:b w:val="false"/>
          <w:i/>
          <w:color w:val="000000"/>
          <w:sz w:val="22"/>
        </w:rPr>
        <w:t>The Wall Street Journal</w:t>
      </w:r>
      <w:r>
        <w:rPr>
          <w:rFonts w:ascii="Times New Roman;serif" w:hAnsi="Times New Roman;serif"/>
          <w:b w:val="false"/>
          <w:color w:val="000000"/>
          <w:sz w:val="22"/>
        </w:rPr>
        <w:t>. The appearance of information solely on a Corporation’s Web site may not be sufficient to conclude that it has become “public” for these purposes.</w:t>
      </w:r>
    </w:p>
    <w:p>
      <w:pPr>
        <w:pStyle w:val="TextBody"/>
        <w:bidi w:val="0"/>
        <w:spacing w:lineRule="auto" w:line="288" w:before="0" w:after="240"/>
        <w:ind w:left="0" w:right="0" w:firstLine="72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Company Transactions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time to time, the Corporation may engage in transactions in its own securities. It is the Company’s policy to comply with all applicable securities and state laws (including appropriate approvals by the Board of Directors or appropriate committee, if required) when engaging in transactions in the Corporation’s securities. We have implemented processes for the Corporation that we believe are reasonably designed to promote compliance with insider trading laws, rules, and regulations, and the Nasdaq Stock Market LLC listing standards.</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II.     SECURITIES TRANSACTIONS BY INSIDERS</w:t>
      </w:r>
    </w:p>
    <w:p>
      <w:pPr>
        <w:pStyle w:val="TextBody"/>
        <w:bidi w:val="0"/>
        <w:spacing w:lineRule="auto" w:line="288" w:before="0" w:after="240"/>
        <w:jc w:val="both"/>
        <w:rPr/>
      </w:pPr>
      <w:r>
        <w:rPr>
          <w:color w:val="000000"/>
        </w:rPr>
        <w:t>    </w:t>
      </w:r>
      <w:r>
        <w:rPr>
          <w:rFonts w:ascii="Times New Roman;serif" w:hAnsi="Times New Roman;serif"/>
          <w:b w:val="false"/>
          <w:color w:val="000000"/>
          <w:sz w:val="22"/>
          <w:u w:val="single"/>
        </w:rPr>
        <w:t>General Policy and Rules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All transactions in Insider Accounts are covered at all times by the prohibitions described in Part I of this Compliance Program. For the purposes of this Compliance Program, an “Insider Account” includes: (1) the Insider’s own account, (2) accounts of the Insider’s spouse, domestic partner, any children and any other relatives (including by marriage) living in the Insider’s home; (3) any account in which any person listed in (1) or (2) has a beneficial interest, such as an IRA; and (4) any account over which any person listed in (1) or (2) exercises control or investment influence. Limitations on the scope of the meaning of “Insider Account” in the circumstances of a particular Insider may be made </w:t>
      </w:r>
      <w:r>
        <w:rPr>
          <w:rFonts w:ascii="Times New Roman;serif" w:hAnsi="Times New Roman;serif"/>
          <w:b w:val="false"/>
          <w:i/>
          <w:color w:val="000000"/>
          <w:sz w:val="22"/>
        </w:rPr>
        <w:t>in writing</w:t>
      </w:r>
      <w:r>
        <w:rPr>
          <w:color w:val="000000"/>
        </w:rPr>
        <w:t xml:space="preserve"> </w:t>
      </w:r>
      <w:r>
        <w:rPr>
          <w:rFonts w:ascii="Times New Roman;serif" w:hAnsi="Times New Roman;serif"/>
          <w:b w:val="false"/>
          <w:color w:val="000000"/>
          <w:sz w:val="22"/>
        </w:rPr>
        <w:t>by the Compliance Officers upon the written request of an Insider.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Corporation discourages all Insiders from engaging in short–term speculative trading in Corporation securities. As set forth in this Compliance Program, certain Insiders are prohibited from purchasing or selling exchange-traded options on the Corporation’s securities. All Insiders are prohibited from engaging in excessive trading and trading that interferes with an employee’s job responsibilities. Insiders are expressly prohibited from engaging in frequent in and out trading in the securities of the Corporation in their Insider Accounts (defined below), including any account in the Corporation’s 401(k) Plan. </w:t>
      </w:r>
    </w:p>
    <w:p>
      <w:pPr>
        <w:pStyle w:val="TextBody"/>
        <w:bidi w:val="0"/>
        <w:spacing w:lineRule="auto" w:line="288" w:before="0" w:after="240"/>
        <w:jc w:val="both"/>
        <w:rPr/>
      </w:pPr>
      <w:r>
        <w:rPr>
          <w:color w:val="000000"/>
        </w:rPr>
        <w:t>    </w:t>
      </w:r>
      <w:r>
        <w:rPr>
          <w:rFonts w:ascii="Times New Roman;serif" w:hAnsi="Times New Roman;serif"/>
          <w:b w:val="false"/>
          <w:color w:val="000000"/>
          <w:sz w:val="22"/>
          <w:u w:val="single"/>
        </w:rPr>
        <w:t>Blackout Policy for Certain Insiders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This Policy prohibits trading in Corporation securities by officers, directors and certain employees, beginning at the close of business on the date that is twenty calendar days immediately prior to the end of the third month of each calendar quarter. This prohibition ends on the opening of trading </w:t>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67665"/>
                <wp:effectExtent l="0" t="0" r="0" b="0"/>
                <wp:wrapNone/>
                <wp:docPr id="104" name="Frame10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after one full trading day following such release. After the Blackout Period ends all Insiders remain subject to the “General Rules on Insider Trading and Tipping” set forth in Part I of this Compliance Program.</w:t>
      </w:r>
    </w:p>
    <w:p>
      <w:pPr>
        <w:pStyle w:val="TextBody"/>
        <w:bidi w:val="0"/>
        <w:spacing w:lineRule="auto" w:line="288" w:before="0" w:after="240"/>
        <w:ind w:left="0" w:right="0" w:firstLine="72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Who is covered by the Blackout Policy?</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 xml:space="preserve">Directors and officers of Roper Technologies, Inc. </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Corporate Vice-Presidents;</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Group Vice-Presidents;</w:t>
      </w:r>
    </w:p>
    <w:p>
      <w:pPr>
        <w:pStyle w:val="TextBody"/>
        <w:bidi w:val="0"/>
        <w:spacing w:lineRule="auto" w:line="288" w:before="0" w:after="240"/>
        <w:ind w:left="0" w:right="0" w:hanging="720"/>
        <w:jc w:val="both"/>
        <w:rPr/>
      </w:pPr>
      <w:r>
        <w:rPr>
          <w:color w:val="000000"/>
        </w:rPr>
        <w:t>•    </w:t>
      </w:r>
      <w:r>
        <w:rPr>
          <w:rFonts w:ascii="Times New Roman;serif" w:hAnsi="Times New Roman;serif"/>
          <w:b w:val="false"/>
          <w:color w:val="000000"/>
          <w:sz w:val="22"/>
        </w:rPr>
        <w:t>All employees considered to be employed by the Corporation’s headquarters, regardless of location of employment</w:t>
      </w:r>
      <w:r>
        <w:rPr>
          <w:rFonts w:ascii="Times New Roman;serif" w:hAnsi="Times New Roman;serif"/>
          <w:b w:val="false"/>
          <w:color w:val="000000"/>
          <w:sz w:val="14"/>
        </w:rPr>
        <w:t>1</w:t>
      </w:r>
      <w:r>
        <w:rPr>
          <w:rFonts w:ascii="Times New Roman;serif" w:hAnsi="Times New Roman;serif"/>
          <w:b w:val="false"/>
          <w:color w:val="000000"/>
          <w:sz w:val="22"/>
        </w:rPr>
        <w:t>; and</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Insider Accounts” (as defined above) of any of the persons listed above. It is the Insider’s responsibility to advise these other parties about the blackout requirement.</w:t>
      </w:r>
    </w:p>
    <w:p>
      <w:pPr>
        <w:pStyle w:val="TextBody"/>
        <w:bidi w:val="0"/>
        <w:spacing w:lineRule="auto" w:line="288" w:before="0" w:after="240"/>
        <w:ind w:left="0" w:right="0" w:firstLine="72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What transactions are PROHIBITED during a Blackout Period?</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Purchase or sale of Corporation securities and related derivative securities, including transactions in the open market or through a broker or under a securities purchase or sale plan (unless in accordance with pre-arranged written plans that comply with SEC Rule 10b5-1);</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Exercise of stock options where any Corporation stock, including any of the acquired stock, is sold in the market during the Blackout Period (unless in accordance with pre-arranged written plans that comply with SEC Rule 10b5-1);</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Gifts of Corporation securities;</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Transfer of existing balances into or out of Corporation stock under the 401(k) Plan; and</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Elections that increase or decrease the rate of deferral contributions to the Roper Technologies Stock Fund under the 401(k) Plan.</w:t>
      </w:r>
    </w:p>
    <w:p>
      <w:pPr>
        <w:pStyle w:val="TextBody"/>
        <w:bidi w:val="0"/>
        <w:spacing w:lineRule="auto" w:line="288" w:before="0" w:after="240"/>
        <w:ind w:left="0" w:right="0" w:firstLine="72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What transactions are PERMITTED during a Blackout Period?</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Exercise of stock options, including cashless exercises, provided that no Corporation stock is sold in the market in connection with the option exercise;</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Regular investment of deferral and matching contributions in the Roper Stock Fund under the 401(k) Plan;</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Regular reinvestment in the Corporation’s employee stock purchase plan;</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Automatic sale of stock to meet tax obligations upon vesting of an equity award;</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avoidance of doubt, this includes associates employed by Roper Operations Company II, LLC.</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67665"/>
                <wp:effectExtent l="0" t="0" r="0" b="0"/>
                <wp:wrapNone/>
                <wp:docPr id="105" name="Frame10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Transfer of Corporation securities that does not result in a change in beneficial ownership; and</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Transactions that comply with SEC Rule 10b5-1 pre-arranged written plans.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question whether a transaction is prohibited or permitted during a Blackout Period should be raised with the Compliance Officers. In addition to the standard end-of-quarter Blackout Periods, the Corporation may, from time to time, impose other, event-specific Blackout Periods by notifying those persons who are affected.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An Insider who is subject to a Blackout Period and who has an unexpected and urgent need to sell Corporation securities in order to generate cash may, in appropriate circumstances, be permitted by the Compliance Officers to sell Corporation securities during a Blackout Period (a “Hardship Exception”). Any such Hardship Exception must be requested </w:t>
      </w:r>
      <w:r>
        <w:rPr>
          <w:rFonts w:ascii="Times New Roman;serif" w:hAnsi="Times New Roman;serif"/>
          <w:b w:val="false"/>
          <w:i/>
          <w:color w:val="000000"/>
          <w:sz w:val="22"/>
        </w:rPr>
        <w:t xml:space="preserve">in writing </w:t>
      </w:r>
      <w:r>
        <w:rPr>
          <w:rFonts w:ascii="Times New Roman;serif" w:hAnsi="Times New Roman;serif"/>
          <w:b w:val="false"/>
          <w:color w:val="000000"/>
          <w:sz w:val="22"/>
        </w:rPr>
        <w:t>(such as e-mail)</w:t>
      </w:r>
      <w:r>
        <w:rPr>
          <w:color w:val="000000"/>
        </w:rPr>
        <w:t xml:space="preserve"> </w:t>
      </w:r>
      <w:r>
        <w:rPr>
          <w:rFonts w:ascii="Times New Roman;serif" w:hAnsi="Times New Roman;serif"/>
          <w:b w:val="false"/>
          <w:color w:val="000000"/>
          <w:sz w:val="22"/>
        </w:rPr>
        <w:t xml:space="preserve">at least two business days in advance of the proposed trade. Every approval of a Hardship Exception shall be </w:t>
      </w:r>
      <w:r>
        <w:rPr>
          <w:rFonts w:ascii="Times New Roman;serif" w:hAnsi="Times New Roman;serif"/>
          <w:b w:val="false"/>
          <w:i/>
          <w:color w:val="000000"/>
          <w:sz w:val="22"/>
        </w:rPr>
        <w:t>in writing</w:t>
      </w:r>
      <w:r>
        <w:rPr>
          <w:color w:val="000000"/>
        </w:rPr>
        <w:t xml:space="preserve"> </w:t>
      </w:r>
      <w:r>
        <w:rPr>
          <w:rFonts w:ascii="Times New Roman;serif" w:hAnsi="Times New Roman;serif"/>
          <w:b w:val="false"/>
          <w:color w:val="000000"/>
          <w:sz w:val="22"/>
        </w:rPr>
        <w:t>(such as e-mail). The approval shall specify the amount of securities that may be sold and the time period during which the sale(s) may occur. Under no circumstances shall a Hardship Exception be granted during an event-specific Blackout Period or to a director or executive officer.</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III.    RULE 10b5-1</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Insiders covered by the Blackout Policy who may wish to engage in transactions in Corporation securities that may occur during the Blackout or at some period when they may be aware of material non-public information regarding the Corporation or its securities and thus are prohibited from trading in those securities may pre-arrange such transactions in accordance with a plan that complies with SEC Rule 10b5-1. A Rule 10b5-1 plan must be entered into at a time when the Insider is not aware of any material non-public information about the Corporation or its securities. Once the plan is adopted, the Insider generally cannot exercise any influence over the amount, price or timing of any trade, which must either be specified under the plan or delegated to an independent third party. Any Rule 10b5-1 plan must be approved </w:t>
      </w:r>
      <w:r>
        <w:rPr>
          <w:rFonts w:ascii="Times New Roman;serif" w:hAnsi="Times New Roman;serif"/>
          <w:b w:val="false"/>
          <w:i/>
          <w:color w:val="000000"/>
          <w:sz w:val="22"/>
        </w:rPr>
        <w:t>in advance, in writing</w:t>
      </w:r>
      <w:r>
        <w:rPr>
          <w:rFonts w:ascii="Times New Roman;serif" w:hAnsi="Times New Roman;serif"/>
          <w:b w:val="false"/>
          <w:color w:val="000000"/>
          <w:sz w:val="22"/>
        </w:rPr>
        <w:t>, by one of the Compliance Officers and the Filing Coordinator or their respective delegates.</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IV.    TRANSACTIONS IN LISTED OPTIONS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All Insiders who are subject to the Blackout Period are prohibited from buying or selling publicly traded options, including puts and calls, on the Corporation’s securities </w:t>
      </w:r>
      <w:r>
        <w:rPr>
          <w:rFonts w:ascii="Times New Roman;serif" w:hAnsi="Times New Roman;serif"/>
          <w:b w:val="false"/>
          <w:i/>
          <w:color w:val="000000"/>
          <w:sz w:val="22"/>
        </w:rPr>
        <w:t>at any time</w:t>
      </w:r>
      <w:r>
        <w:rPr>
          <w:rFonts w:ascii="Times New Roman;serif" w:hAnsi="Times New Roman;serif"/>
          <w:b w:val="false"/>
          <w:color w:val="000000"/>
          <w:sz w:val="22"/>
        </w:rPr>
        <w:t>. This prohibition applies whether or not any such Insider is in possession of any material non-public information and whether or not a Blackout Period is in effect.</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V.    PRE-CLEARANCE POLICY</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Insiders subject to the Pre-Clearance Policy are prohibited from engaging in any transaction in Corporation securities without pre-clearance. In order to obtain pre-clearance, Insiders subject to this requirement must contact a Compliance Officer </w:t>
      </w:r>
      <w:r>
        <w:rPr>
          <w:rFonts w:ascii="Times New Roman;serif" w:hAnsi="Times New Roman;serif"/>
          <w:b w:val="false"/>
          <w:i/>
          <w:color w:val="000000"/>
          <w:sz w:val="22"/>
        </w:rPr>
        <w:t>in writing (such as e-mail)</w:t>
      </w:r>
      <w:r>
        <w:rPr>
          <w:color w:val="000000"/>
        </w:rPr>
        <w:t xml:space="preserve"> </w:t>
      </w:r>
      <w:r>
        <w:rPr>
          <w:rFonts w:ascii="Times New Roman;serif" w:hAnsi="Times New Roman;serif"/>
          <w:b w:val="false"/>
          <w:color w:val="000000"/>
          <w:sz w:val="22"/>
        </w:rPr>
        <w:t>as far in advance as reasonably practicable before engaging in any transaction in the Corporation’s securities. Transactions prohibited by the Blackout Policy may not be pre-cleared.</w:t>
      </w:r>
    </w:p>
    <w:p>
      <w:pPr>
        <w:pStyle w:val="TextBody"/>
        <w:bidi w:val="0"/>
        <w:spacing w:lineRule="auto" w:line="288" w:before="0" w:after="240"/>
        <w:ind w:left="0" w:right="0" w:firstLine="72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Who is covered by the Pre-clearance Policy?</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Directors and officers of Roper Technologies, Inc.;</w:t>
      </w: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67665"/>
                <wp:effectExtent l="0" t="0" r="0" b="0"/>
                <wp:wrapNone/>
                <wp:docPr id="106" name="Frame10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All corporate-level executives reporting directly to the Chief Executive Officer; and</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Insider Accounts” (as defined above) of any of the persons listed above. It is the Insider’s responsibility to advise these other parties about the pre-clearance requirement.</w:t>
      </w:r>
    </w:p>
    <w:p>
      <w:pPr>
        <w:pStyle w:val="TextBody"/>
        <w:bidi w:val="0"/>
        <w:spacing w:lineRule="auto" w:line="288" w:before="0" w:after="240"/>
        <w:ind w:left="0" w:right="0" w:firstLine="72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What transactions are PROHIBITED without prior clearance under the Pre-Clearance Policy?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transactions in Corporation securities and related derivative securities must be pre-cleared with a Compliance Officer. No transaction subject to the Pre-Clearance Policy may be effected without prior written (such as e-mail) approval by a Compliance Officer. The approval shall specify the amount of securities to be purchased, sold, or gifted and the period for which approval of the transactions is in effect. With the exception of a pre-clearance approval of transactions undertaken in accordance with a Rule 10b5-1 plan, any pre-clearance approval is automatically revoked by imposition of an event-specific Blackout Period. Pre-clearance is particularly important because it will enable the Compliance Officer to confirm that the transaction complies with the reporting requirements under Section 16(a), Rule 10b-5, Rule 144 and all other applicable provisions of the federal securities laws and does not expose a buyer or seller to short-swing profit recovery under Section 16(b) for directors and certain officers. However, each person is ultimately responsible for his or her compliance with the federal securities laws and, in particular, the avoidance of short-swing profits.</w:t>
      </w:r>
    </w:p>
    <w:p>
      <w:pPr>
        <w:pStyle w:val="TextBody"/>
        <w:bidi w:val="0"/>
        <w:spacing w:lineRule="auto" w:line="288" w:before="0" w:after="240"/>
        <w:ind w:left="0" w:right="0" w:hanging="720"/>
        <w:jc w:val="left"/>
        <w:rPr>
          <w:rFonts w:ascii="Times New Roman;serif" w:hAnsi="Times New Roman;serif"/>
          <w:b/>
          <w:color w:val="000000"/>
          <w:sz w:val="22"/>
        </w:rPr>
      </w:pPr>
      <w:r>
        <w:rPr>
          <w:rFonts w:ascii="Times New Roman;serif" w:hAnsi="Times New Roman;serif"/>
          <w:b/>
          <w:color w:val="000000"/>
          <w:sz w:val="22"/>
        </w:rPr>
        <w:t>VI.    ADDITIONAL RESTRICTIONS AND PROCEDURES APPLICABLE ONLY TO DIRECTORS AND EXECUTIVE OFFICERS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Compliance Officer will assist directors and executive officers in considering questions relating to their beneficial ownership of Corporation securities and their reporting obligations as well as possible liability associated with trading in such securities. The Filing Coordinator will be responsible for the preparation and filing of all Forms 3, 4 and 5 reports based on information furnished by directors and executive officers.</w:t>
      </w:r>
    </w:p>
    <w:p>
      <w:pPr>
        <w:pStyle w:val="TextBody"/>
        <w:bidi w:val="0"/>
        <w:spacing w:lineRule="auto" w:line="288" w:before="0" w:after="240"/>
        <w:ind w:left="0" w:right="0" w:firstLine="72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Completion and Filing of Forms 3, 4 and 5</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Filing Coordinator will prepare, sign and file with the SEC, pursuant to powers of attorney obtained from and on behalf of each director and executive officer of the Corporation, the following beneficial ownership reports:</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An initial report on Form 3 to disclose holdings of the Corporation’s equity securities as of the date he or she becomes an insider within 10 calendar days of attaining insider status;</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Subsequent reports on Form 4 to disclose any change in beneficial ownership of the Corporation’s equity securities within two business days after the execution date (not the settlement date) of a transaction; and</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Annual Reports on Form 5 to disclose any holding or transaction not previously disclosed (either because of a failure to file or an exemption from current reporting) by February 14 of each year. If an Insider is not required to file a Form 5 in a given year, the Filing Coordinator will prepare a statement for the Insider’s execution to the effect that the Insider has no obligation to file a Form 5.</w:t>
      </w: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67665"/>
                <wp:effectExtent l="0" t="0" r="0" b="0"/>
                <wp:wrapNone/>
                <wp:docPr id="107" name="Frame10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director and executive officer must provide the Filing Coordinator all relevant information with respect to any transaction to be undertaken in the Corporation’s securities (e.g., purchase, sale, or gift, the number of shares involved, the price, etc.). In some cases, the pertinent information may rest with the Insider’s broker or with family members, trusts, partnerships, corporations or other entities in which the Insider has a reportable beneficial or pecuniary interest. In all cases, however, </w:t>
      </w:r>
      <w:r>
        <w:rPr>
          <w:rFonts w:ascii="Times New Roman;serif" w:hAnsi="Times New Roman;serif"/>
          <w:b w:val="false"/>
          <w:i/>
          <w:color w:val="000000"/>
          <w:sz w:val="22"/>
        </w:rPr>
        <w:t>it is the Insider’s obligation</w:t>
      </w:r>
      <w:r>
        <w:rPr>
          <w:color w:val="000000"/>
        </w:rPr>
        <w:t xml:space="preserve"> </w:t>
      </w:r>
      <w:r>
        <w:rPr>
          <w:rFonts w:ascii="Times New Roman;serif" w:hAnsi="Times New Roman;serif"/>
          <w:b w:val="false"/>
          <w:color w:val="000000"/>
          <w:sz w:val="22"/>
        </w:rPr>
        <w:t>to collect the required information and forward it to the Filing Coordinator to ensure a complete, accurate and timely filing. Given the two business-day filing deadline, directors and executive officers will not have an opportunity to review the form prior to filing, but a copy of the filed form will be provided to them. Please review the copy of the filed form and let the Filing Coordinator know as soon as possible if there are any changes that could require the filing of an amendment.</w:t>
      </w:r>
    </w:p>
    <w:p>
      <w:pPr>
        <w:pStyle w:val="TextBody"/>
        <w:bidi w:val="0"/>
        <w:spacing w:lineRule="auto" w:line="288" w:before="0" w:after="240"/>
        <w:ind w:left="0" w:right="0" w:firstLine="72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Compliance with Rule 144</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sales of the Corporation’s securities by a director or executive officer of the Corporation shall be made in compliance with SEC Rule 144. Any director or executive officer contemplating the sale of the Corporation’s securities must first contact a Compliance Officer and instruct the Insider’s broker to do the same. The Filing Coordinator will assist the Insider or the Insider’s broker with the preparation and filing of any required Form 144. This includes coordination between the Compliance Officer and the seller’s broker in connection with sales pursuant to Rule 10b5-1 plans.</w:t>
      </w:r>
    </w:p>
    <w:p>
      <w:pPr>
        <w:pStyle w:val="TextBody"/>
        <w:bidi w:val="0"/>
        <w:spacing w:lineRule="auto" w:line="288" w:before="0" w:after="240"/>
        <w:ind w:left="0" w:right="0" w:firstLine="72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Prohibited Transactions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Directors and executive officers are prohibited from engaging in any “short selling” of the Corporation’s securities.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67665"/>
                <wp:effectExtent l="0" t="0" r="0" b="0"/>
                <wp:wrapNone/>
                <wp:docPr id="108" name="Frame10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21.1</w:t>
      </w:r>
    </w:p>
    <w:p>
      <w:pPr>
        <w:pStyle w:val="TextBody"/>
        <w:bidi w:val="0"/>
        <w:spacing w:before="0" w:after="0"/>
        <w:jc w:val="right"/>
        <w:rPr/>
      </w:pPr>
      <w:r>
        <w:rPr/>
      </w:r>
    </w:p>
    <w:p>
      <w:pPr>
        <w:pStyle w:val="TextBody"/>
        <w:bidi w:val="0"/>
        <w:spacing w:lineRule="auto" w:line="268" w:before="0" w:after="0"/>
        <w:jc w:val="center"/>
        <w:rPr/>
      </w:pPr>
      <w:r>
        <w:rPr>
          <w:rFonts w:ascii="Times New Roman;serif" w:hAnsi="Times New Roman;serif"/>
          <w:b/>
          <w:color w:val="000000"/>
          <w:sz w:val="22"/>
          <w:u w:val="single"/>
        </w:rPr>
        <w:t xml:space="preserve">Consolidated Subsidiaries of Roper Technologies, Inc. as of </w:t>
      </w:r>
      <w:r>
        <w:rPr>
          <w:rFonts w:ascii="Times New Roman;serif" w:hAnsi="Times New Roman;serif"/>
          <w:b/>
          <w:color w:val="000000"/>
          <w:sz w:val="20"/>
          <w:u w:val="single"/>
        </w:rPr>
        <w:t>December 31, 2025</w:t>
      </w:r>
    </w:p>
    <w:p>
      <w:pPr>
        <w:pStyle w:val="TextBody"/>
        <w:bidi w:val="0"/>
        <w:spacing w:before="0" w:after="0"/>
        <w:jc w:val="center"/>
        <w:rPr/>
      </w:pPr>
      <w:r>
        <w:rPr/>
      </w:r>
    </w:p>
    <w:tbl>
      <w:tblPr>
        <w:tblW w:w="7678" w:type="dxa"/>
        <w:jc w:val="right"/>
        <w:tblInd w:w="0" w:type="dxa"/>
        <w:tblLayout w:type="fixed"/>
        <w:tblCellMar>
          <w:top w:w="28" w:type="dxa"/>
          <w:left w:w="28" w:type="dxa"/>
          <w:bottom w:w="28" w:type="dxa"/>
          <w:right w:w="28" w:type="dxa"/>
        </w:tblCellMar>
      </w:tblPr>
      <w:tblGrid>
        <w:gridCol w:w="1396"/>
        <w:gridCol w:w="1227"/>
        <w:gridCol w:w="1231"/>
        <w:gridCol w:w="1119"/>
        <w:gridCol w:w="1119"/>
        <w:gridCol w:w="1586"/>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Jurisdiction of Incorporation/Organization</w:t>
            </w:r>
          </w:p>
        </w:tc>
      </w:tr>
      <w:tr>
        <w:trPr/>
        <w:tc>
          <w:tcPr>
            <w:tcW w:w="3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Aderant Canada Company</w:t>
            </w:r>
          </w:p>
        </w:tc>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Aderant Holdings, Inc.</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Aderant Legal (UK) Limited</w:t>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Aderant Legal Holdings (AUS) Pty Ltd </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Aderant Legal Holdings (NZ) ULC </w:t>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Aderant Legal Holdings, LLC</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Aderant North America, Inc.</w:t>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Aderant Parent Holdings, Inc.</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Aderant Services AM LLC</w:t>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Armenia</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AI-Measures LLC</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AlphaTrust LLC</w:t>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LegalNet India Private Limited</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ARCC FL Corp.</w:t>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Archisnapper BV</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Ascension Technology Corporation</w:t>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Assureweb Limited</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Atlantic Health Partners Associates, Inc.</w:t>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Atlantic Health Partners, Inc.</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 Support Limited</w:t>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Behavior Analysts, Inc.</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Behaviorsoft LLC</w:t>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Brickyard Intermediate, Inc.</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Brickyard Topco, Inc.</w:t>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Bronco Billing, LLC</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Cardsmith, LLC</w:t>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CBORD Holdings Corp.</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CBORD Holdings Corp II</w:t>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CentralReach Blocker I, Inc.</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CentralReach Blocker II, Inc.</w:t>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CentralReach Holdings, LLC</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CentralReach Ireland HoldCo Limited</w:t>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CentralReach Italy S.R.L.</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CentralReach Software Canada Inc.</w:t>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CentralReach, LLC</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Civco Holding, Inc.</w:t>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Civco Medical Instruments Co., Inc.</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Iowa</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Clinisys (India) Private Limited </w:t>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Clinisys Australia Pty Ltd</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Clinisys Austria GesmbH</w:t>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Austria</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Clinisys Deutschland GmbH</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Clinisys Diagnostic Solutions Ireland Limited</w:t>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Clinisys Europe Limited</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923" w:type="dxa"/>
        <w:jc w:val="right"/>
        <w:tblInd w:w="0" w:type="dxa"/>
        <w:tblLayout w:type="fixed"/>
        <w:tblCellMar>
          <w:top w:w="28" w:type="dxa"/>
          <w:left w:w="28" w:type="dxa"/>
          <w:bottom w:w="28" w:type="dxa"/>
          <w:right w:w="28" w:type="dxa"/>
        </w:tblCellMar>
      </w:tblPr>
      <w:tblGrid>
        <w:gridCol w:w="1595"/>
        <w:gridCol w:w="1402"/>
        <w:gridCol w:w="1412"/>
        <w:gridCol w:w="441"/>
        <w:gridCol w:w="441"/>
        <w:gridCol w:w="632"/>
      </w:tblGrid>
      <w:tr>
        <w:trPr/>
        <w:tc>
          <w:tcPr>
            <w:tcW w:w="159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Clinisys France Sarl</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Clinisys Information Systems (Europe) Limited</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Clinisys Information Systems (International) Limited</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Clinisys Nederland B.V.</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Clinisys NV</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Clinisys Schweiz AG</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Clinisys Solutions Limited</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Clinisys Spain S.L. </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Clinisys, Inc. </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ConstructConnect Canada ULC</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ConstructConnect, Inc.</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Dash I, Inc.</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 CNUS, Inc.</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 Freight Tech, LLC</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 Solutions, LLC</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Data Innovations Canada Ltd. </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Data Innovations Cooperatief U.A. </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Data Innovations Europe S.A. </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Innovations France SARL</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Innovations Latin America Ltda</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Innovations LLC</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DATSolutions Private Limited</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Dawning Technologies LLC</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DCMH Group Holdings, Inc.</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Deltek Ajera, LLC</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Deltek Australia Pty Ltd. </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Deltek Danmark A/S</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Denmark</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Deltek France SAS</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Deltek GB Limited</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Deltek GmbH</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Deltek Nederland B.V.</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Deltek Netherlands B.V.</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Deltek Norge AS</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Norway</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Deltek Philippines LLC</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Deltek Replicon Software (India) Private Limited</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Deltek Sverige AB</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Deltek Systems (Canada), Inc.</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Deltek, Inc. </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 Dutch Holdings LLC</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 Hong Kong Limited</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Dominion I, Inc.</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eSped.com Incorporated</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Excalibur Holdco LLC</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Fluid Metering, Inc.</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Forecast 5 Analytics, LLC</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Forecast 5 Holdings, LLC</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Foundry Visionmongers (Ireland) Limited</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209" w:type="dxa"/>
        <w:jc w:val="right"/>
        <w:tblInd w:w="0" w:type="dxa"/>
        <w:tblLayout w:type="fixed"/>
        <w:tblCellMar>
          <w:top w:w="28" w:type="dxa"/>
          <w:left w:w="28" w:type="dxa"/>
          <w:bottom w:w="28" w:type="dxa"/>
          <w:right w:w="28" w:type="dxa"/>
        </w:tblCellMar>
      </w:tblPr>
      <w:tblGrid>
        <w:gridCol w:w="1701"/>
        <w:gridCol w:w="1491"/>
        <w:gridCol w:w="1502"/>
        <w:gridCol w:w="443"/>
        <w:gridCol w:w="443"/>
        <w:gridCol w:w="629"/>
      </w:tblGrid>
      <w:tr>
        <w:trPr/>
        <w:tc>
          <w:tcPr>
            <w:tcW w:w="170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Frontline Parent Holding Company</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Frontline Technologies Canada LLC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Frontline Technologies Group LLC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Frontline Technologies Parent, LLC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GEM/CAP, LLC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Genesis Acquisition Co.</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GuideK12, LLC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Handshake Software, Inc.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Hansco Automatisering B.V.</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One Machines, LLC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Horizon Software International, LLC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HRsmart France SAS</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HRsmart Germany GmbH</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HRsmart International</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HRsmart International Holdings LLC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HRsmart Mexico S. de R.L. de C.V.</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HRsmart Talent Management Solutions Europe Limited </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HRsmart Ventures LLC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HRsmart, Inc. </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Innovative Product Achievements, LLC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Inovonics Corporation</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Intellitrans Limited</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Intellitrans Sweden AB</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IntelliTrans, LLC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iPipeline (TCP) Limited</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iPipeline Canada Inc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iPipeline Co., Ltd.</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iPipeline Holdings, Inc.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iPipeline Limited</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iPipeline, Inc.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iSqFt Holdings, Inc.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iSqFt Parent Corporation</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iSqFt Sub, Inc. </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iTradeNetwork, Inc.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Ladder Software Inc.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Link Logistics Holding LLC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Loadlink Technologies Corporation</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Health Care Associates, Inc.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 Professional Services, LLC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MHA Long Term Care Network, Inc.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MHA Long Term Care Services, Inc. </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Muni-Link, LLC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Navigator Group Purchasing, LLC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NDI Europe GmbH</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Neptune Technology 2000 Inc.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Neptune Technology Group Canada Co.</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Neptune Technology Group LLC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104" w:type="dxa"/>
        <w:jc w:val="right"/>
        <w:tblInd w:w="0" w:type="dxa"/>
        <w:tblLayout w:type="fixed"/>
        <w:tblCellMar>
          <w:top w:w="28" w:type="dxa"/>
          <w:left w:w="28" w:type="dxa"/>
          <w:bottom w:w="28" w:type="dxa"/>
          <w:right w:w="28" w:type="dxa"/>
        </w:tblCellMar>
      </w:tblPr>
      <w:tblGrid>
        <w:gridCol w:w="1661"/>
        <w:gridCol w:w="1462"/>
        <w:gridCol w:w="1466"/>
        <w:gridCol w:w="441"/>
        <w:gridCol w:w="441"/>
        <w:gridCol w:w="633"/>
      </w:tblGrid>
      <w:tr>
        <w:trPr/>
        <w:tc>
          <w:tcPr>
            <w:tcW w:w="1661"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Neptune Technology Group Mexico S. de R.L. de C.V. </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Neptune Technology Group Services Inc.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Northern Digital Inc.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NTG Holding Corp.</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Omega Legal Systems, Inc.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Orchard Software Corporation</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Outgo Inc.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Outgo SPV I LLC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PB Bidco Limited</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PB Midco Limited</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PGP UK Limited </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Scotland</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PowerPlan Canada ULC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PowerPlan Holdings, Inc. </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PowerPlan Intermediate Holdings, Inc. </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PowerPlan Operations ANZ Pty Ltd</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PowerPlan Operations UK Ltd</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PowerPlan, Inc. </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Procare Software, LLC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 AJ Merger Sub, Inc.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 Buffalo Holding LLC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Project Diamond Intermediate Holdings Corporation </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 River Acquisition Company, LP</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 River Holdings 1 ULC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 River Holdings 2 ULC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Project Torque Intermediate Holdings, Inc. </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Project Viking Holdings, Inc. </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Project Viking Intermediate, LLC </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 Vision Merger Sub II Inc.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Pulpit AI Corporation</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Quickcharge LLC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RCP Vega, Inc.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Replicon Australia Pty Ltd</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Replicon Europe Limited</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RF IDeas, Inc.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RIPIC Holdco Inc.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Roper Acquisitions Holdings Inc. </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Roper Administration LLC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Roper Asia Pte. Ltd. </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Roper Holdings Limited</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Roper Holdings Pte. Ltd.</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Roper Industries, Inc.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Roper International Holding, Inc.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Roper NL1 UK Limited</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Roper NL2 UK Limited</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Roper Operations Company I, LLC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Roper Operations Company II, LLC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Roper RC Limited</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670" w:type="dxa"/>
        <w:jc w:val="right"/>
        <w:tblInd w:w="0" w:type="dxa"/>
        <w:tblLayout w:type="fixed"/>
        <w:tblCellMar>
          <w:top w:w="28" w:type="dxa"/>
          <w:left w:w="28" w:type="dxa"/>
          <w:bottom w:w="28" w:type="dxa"/>
          <w:right w:w="28" w:type="dxa"/>
        </w:tblCellMar>
      </w:tblPr>
      <w:tblGrid>
        <w:gridCol w:w="1504"/>
        <w:gridCol w:w="1322"/>
        <w:gridCol w:w="1329"/>
        <w:gridCol w:w="444"/>
        <w:gridCol w:w="444"/>
        <w:gridCol w:w="627"/>
      </w:tblGrid>
      <w:tr>
        <w:trPr/>
        <w:tc>
          <w:tcPr>
            <w:tcW w:w="1504"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Roper T1 LLC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Roper T1000 Corp.</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Roper T2 LP</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Roper Tech. Middle East Ltd. FZCO</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Dubai (FZCO)</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Roper Technologies (Ireland) Limited</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Roper Technologies Bermuda Ltd.</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Bermuda</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Roper UK 2 Limited</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Roper UK, Ltd.</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Roper-Mex, L.P.</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Ropintassco Holdings, L.P.</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RTI Canada Holding ULC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Sanctuary Merger Sub I Inc.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Sanctuary Merger Sub II Inc.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SHP Group Holdings, Inc.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Softwriters Holdings, Inc. </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SoftWriters, Inc. </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Spectrum AI, LLC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Spectrum Therapy LLC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Strata Decision Technology India Private Limited</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Strata Decision Technology, LLC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Healthcare Programs Blocker 2, Inc.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Healthcare Programs Blocker LLC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Healthcare Programs Holdings, LLC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Healthcare Programs, L.L.C.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Subsplash Acquisition Co., Inc.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Subsplash TopCo, LLC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Subsplash Wallet, LLC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Subsplash, Inc.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TB XII-A Frontline Blocker, L.L.C.</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CBORD Group, LLC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Foundry USCo, Inc. </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Foundry Visionmongers Ltd. </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Thread Learning, Inc.</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Torque Acquisition Holdco, Inc. </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 Campus Canada Inc.</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 Campus India Private Limited</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 Campus Limited</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 Campus Payments, LLC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 Campus, LLC</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 Holdings Inc.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 Topco LLC</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Trucker Tools, LLC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Union Square Software Limited</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Union Square Software Pty</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Verathon Canada Holdings, Inc.</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Verathon Inc.</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08" w:type="dxa"/>
        <w:jc w:val="right"/>
        <w:tblInd w:w="0" w:type="dxa"/>
        <w:tblLayout w:type="fixed"/>
        <w:tblCellMar>
          <w:top w:w="28" w:type="dxa"/>
          <w:left w:w="28" w:type="dxa"/>
          <w:bottom w:w="28" w:type="dxa"/>
          <w:right w:w="28" w:type="dxa"/>
        </w:tblCellMar>
      </w:tblPr>
      <w:tblGrid>
        <w:gridCol w:w="1264"/>
        <w:gridCol w:w="1113"/>
        <w:gridCol w:w="1117"/>
        <w:gridCol w:w="442"/>
        <w:gridCol w:w="442"/>
        <w:gridCol w:w="630"/>
      </w:tblGrid>
      <w:tr>
        <w:trPr/>
        <w:tc>
          <w:tcPr>
            <w:tcW w:w="126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Verathon Medical (Australia) Pty Limited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Verathon Medical (Canada) ULC</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Verathon Medical (Europe) B.V.</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Verathon Medical (France) SARL</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Verathon Medical (Hong Kong) Limited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Verathon Medical (Japan) K.K.</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Verathon Medical (UK) Ltd.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Verathon Medical Germany GmbH</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Germany </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Vertafore Canada, Inc.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Vertafore India Private Limited</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Vertafore, Inc.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Virtual Pricing Director Limited</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WorkBook APAC Ltd.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Vietnam</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Workbook Software A/S</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Denmark</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23.1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Statements on Form S-3 (No. 333-282807) and Form S-8 (Nos. 333-211671, 333-135700, 333-35666, 333-35672, 333-36897, 333-105920, 333-182779, 333-257062) of Roper Technologies, Inc. of our report dated February 24, 2026 relating to the financial statements and the effectiveness of internal control over financial reporting, which appears in this Form 10-K.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Tampa, Florida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24,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L. Neil Hunn, certify that:</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Roper Technologies, Inc.;</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295" w:type="dxa"/>
        <w:jc w:val="left"/>
        <w:tblInd w:w="0" w:type="dxa"/>
        <w:tblLayout w:type="fixed"/>
        <w:tblCellMar>
          <w:top w:w="28" w:type="dxa"/>
          <w:left w:w="28" w:type="dxa"/>
          <w:bottom w:w="28" w:type="dxa"/>
          <w:right w:w="28" w:type="dxa"/>
        </w:tblCellMar>
      </w:tblPr>
      <w:tblGrid>
        <w:gridCol w:w="754"/>
        <w:gridCol w:w="664"/>
        <w:gridCol w:w="667"/>
        <w:gridCol w:w="939"/>
        <w:gridCol w:w="939"/>
        <w:gridCol w:w="133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 Neil Hunn</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 Neil Hunn</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Jason P. Conley, certify that:</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Roper Technologies, Inc.;</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524" w:type="dxa"/>
        <w:jc w:val="left"/>
        <w:tblInd w:w="0" w:type="dxa"/>
        <w:tblLayout w:type="fixed"/>
        <w:tblCellMar>
          <w:top w:w="28" w:type="dxa"/>
          <w:left w:w="28" w:type="dxa"/>
          <w:bottom w:w="28" w:type="dxa"/>
          <w:right w:w="28" w:type="dxa"/>
        </w:tblCellMar>
      </w:tblPr>
      <w:tblGrid>
        <w:gridCol w:w="754"/>
        <w:gridCol w:w="664"/>
        <w:gridCol w:w="667"/>
        <w:gridCol w:w="1300"/>
        <w:gridCol w:w="1300"/>
        <w:gridCol w:w="1839"/>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P. Conley</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P. Conley</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Roper Technologies, Inc. (the “Company”) on Form 10-K for the year ended December 31, 2025, as filed with the Securities and Exchange Commission on the date hereof (the “Report”), L. Neil Hunn, Chief Executive Officer of the Company, and Jason P. Conley, Chief Financial Officer of the Company, each hereby certifies, pursuant to 18 U.S.C. Section 1350, as adopted pursuant to Section 906 of the Sarbanes-Oxley Act of 2002, to the best of his knowledge that:</w:t>
      </w:r>
    </w:p>
    <w:p>
      <w:pPr>
        <w:pStyle w:val="TextBody"/>
        <w:bidi w:val="0"/>
        <w:spacing w:before="0" w:after="0"/>
        <w:jc w:val="left"/>
        <w:rPr/>
      </w:pPr>
      <w:r>
        <w:rPr/>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6525" w:type="dxa"/>
        <w:jc w:val="left"/>
        <w:tblInd w:w="0" w:type="dxa"/>
        <w:tblLayout w:type="fixed"/>
        <w:tblCellMar>
          <w:top w:w="28" w:type="dxa"/>
          <w:left w:w="28" w:type="dxa"/>
          <w:bottom w:w="28" w:type="dxa"/>
          <w:right w:w="28" w:type="dxa"/>
        </w:tblCellMar>
      </w:tblPr>
      <w:tblGrid>
        <w:gridCol w:w="754"/>
        <w:gridCol w:w="664"/>
        <w:gridCol w:w="667"/>
        <w:gridCol w:w="1299"/>
        <w:gridCol w:w="1299"/>
        <w:gridCol w:w="184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 Neil Hunn</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 Neil Hunn</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P. Conley</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P. Conley</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Annual Report on Form 10-K pursuant to Section 906 of the Sarbanes-Oxley Act of 2002 and shall not be deemed filed for purposes of Section 18 of the Exchange Act, or otherwise subject to the liability of that section. This certification shall not be deemed to be incorporated by reference into any filing under the Securities Act or the Exchange Act, except to the extent that Roper Technologies, Inc. specifically incorporates it by reference.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82835/000088283522000060/projecttree-equitypurchase.htm" TargetMode="External"/><Relationship Id="rId4" Type="http://schemas.openxmlformats.org/officeDocument/2006/relationships/hyperlink" Target="https://www.sec.gov/Archives/edgar/data/882835/000119312523166923/d489050dex31.htm" TargetMode="External"/><Relationship Id="rId5" Type="http://schemas.openxmlformats.org/officeDocument/2006/relationships/hyperlink" Target="https://www.sec.gov/Archives/edgar/data/882835/000119312524253130/d876994dex31.htm" TargetMode="External"/><Relationship Id="rId6" Type="http://schemas.openxmlformats.org/officeDocument/2006/relationships/hyperlink" Target="https://www.sec.gov/Archives/edgar/data/882835/000088283508000026/indenture.htm" TargetMode="External"/><Relationship Id="rId7" Type="http://schemas.openxmlformats.org/officeDocument/2006/relationships/hyperlink" Target="https://www.sec.gov/Archives/edgar/data/882835/000119312518333512/d659878dex41.htm" TargetMode="External"/><Relationship Id="rId8" Type="http://schemas.openxmlformats.org/officeDocument/2006/relationships/hyperlink" Target="https://www.sec.gov/Archives/edgar/data/882835/000119312515387542/d78767dex42.htm" TargetMode="External"/><Relationship Id="rId9" Type="http://schemas.openxmlformats.org/officeDocument/2006/relationships/hyperlink" Target="https://www.sec.gov/Archives/edgar/data/882835/000088283518000056/ex41-officerscertificateto.htm" TargetMode="External"/><Relationship Id="rId10" Type="http://schemas.openxmlformats.org/officeDocument/2006/relationships/hyperlink" Target="https://www.sec.gov/Archives/edgar/data/882835/000119312516797380/d276973dex41.htm" TargetMode="External"/><Relationship Id="rId11" Type="http://schemas.openxmlformats.org/officeDocument/2006/relationships/hyperlink" Target="https://www.sec.gov/Archives/edgar/data/882835/000119312519228796/d797461dex41.htm" TargetMode="External"/><Relationship Id="rId12" Type="http://schemas.openxmlformats.org/officeDocument/2006/relationships/hyperlink" Target="https://www.sec.gov/Archives/edgar/data/882835/000119312520174903/d852216dex41.htm" TargetMode="External"/><Relationship Id="rId13" Type="http://schemas.openxmlformats.org/officeDocument/2006/relationships/hyperlink" Target="https://www.sec.gov/Archives/edgar/data/882835/000119312520236871/d57270dex41.htm" TargetMode="External"/><Relationship Id="rId14" Type="http://schemas.openxmlformats.org/officeDocument/2006/relationships/hyperlink" Target="https://www.sec.gov/Archives/edgar/data/882835/000119312520236871/d57270dex41.htm" TargetMode="External"/><Relationship Id="rId15" Type="http://schemas.openxmlformats.org/officeDocument/2006/relationships/hyperlink" Target="https://www.sec.gov/Archives/edgar/data/882835/000119312524204321/d873532dex41.htm" TargetMode="External"/><Relationship Id="rId16" Type="http://schemas.openxmlformats.org/officeDocument/2006/relationships/hyperlink" Target="https://www.sec.gov/Archives/edgar/data/882835/000119312524204321/d873532dex41.htm" TargetMode="External"/><Relationship Id="rId17" Type="http://schemas.openxmlformats.org/officeDocument/2006/relationships/hyperlink" Target="https://www.sec.gov/Archives/edgar/data/882835/000119312524204321/d873532dex41.htm" TargetMode="External"/><Relationship Id="rId18" Type="http://schemas.openxmlformats.org/officeDocument/2006/relationships/hyperlink" Target="https://www.sec.gov/Archives/edgar/data/882835/000119312525178683/d88971dex41.htm" TargetMode="External"/><Relationship Id="rId19" Type="http://schemas.openxmlformats.org/officeDocument/2006/relationships/hyperlink" Target="https://www.sec.gov/Archives/edgar/data/882835/000119312525178683/d88971dex41.htm" TargetMode="External"/><Relationship Id="rId20" Type="http://schemas.openxmlformats.org/officeDocument/2006/relationships/hyperlink" Target="https://www.sec.gov/Archives/edgar/data/882835/000119312525178683/d88971dex41.htm" TargetMode="External"/><Relationship Id="rId21" Type="http://schemas.openxmlformats.org/officeDocument/2006/relationships/hyperlink" Target="https://www.sec.gov/Archives/edgar/data/882835/000088283525000008/descriptionoftheregistrant.htm" TargetMode="External"/><Relationship Id="rId22" Type="http://schemas.openxmlformats.org/officeDocument/2006/relationships/hyperlink" Target="https://www.sec.gov/Archives/edgar/data/882835/000088283525000008/descriptionoftheregistrant.htm" TargetMode="External"/><Relationship Id="rId23" Type="http://schemas.openxmlformats.org/officeDocument/2006/relationships/hyperlink" Target="https://www.sec.gov/Archives/edgar/data/0000882835/000088283524000037/esppamendedandrestatedeffj.htm" TargetMode="External"/><Relationship Id="rId24" Type="http://schemas.openxmlformats.org/officeDocument/2006/relationships/hyperlink" Target="https://www.sec.gov/Archives/edgar/data/882835/000119312522199694/d291205dex101.htm" TargetMode="External"/><Relationship Id="rId25" Type="http://schemas.openxmlformats.org/officeDocument/2006/relationships/hyperlink" Target="https://www.sec.gov/Archives/edgar/data/882835/000119312512194999/d335097ddef14a.htm" TargetMode="External"/><Relationship Id="rId26" Type="http://schemas.openxmlformats.org/officeDocument/2006/relationships/hyperlink" Target="https://www.sec.gov/Archives/edgar/data/882835/000119312506247846/dex105.htm" TargetMode="External"/><Relationship Id="rId27" Type="http://schemas.openxmlformats.org/officeDocument/2006/relationships/hyperlink" Target="https://www.sec.gov/Archives/edgar/data/882835/000088283517000006/ex10-17.htm" TargetMode="External"/><Relationship Id="rId28" Type="http://schemas.openxmlformats.org/officeDocument/2006/relationships/hyperlink" Target="https://www.sec.gov/Archives/edgar/data/882835/000088283518000067/a2018q3exhibit101formindem.htm" TargetMode="External"/><Relationship Id="rId29" Type="http://schemas.openxmlformats.org/officeDocument/2006/relationships/hyperlink" Target="https://www.sec.gov/Archives/edgar/data/882835/000088283518000067/a2018q3exhibit101formindem.htm" TargetMode="External"/><Relationship Id="rId30" Type="http://schemas.openxmlformats.org/officeDocument/2006/relationships/hyperlink" Target="https://www.sec.gov/Archives/edgar/data/882835/000088283518000067/a2018q3exhibit101formindem.htm" TargetMode="External"/><Relationship Id="rId31" Type="http://schemas.openxmlformats.org/officeDocument/2006/relationships/hyperlink" Target="https://www.sec.gov/Archives/edgar/data/882835/000088283518000067/a2018q3exhibit101formindem.htm" TargetMode="External"/><Relationship Id="rId32" Type="http://schemas.openxmlformats.org/officeDocument/2006/relationships/hyperlink" Target="https://www.sec.gov/Archives/edgar/data/882835/000088283518000067/a2018q3exhibit101formindem.htm" TargetMode="External"/><Relationship Id="rId33" Type="http://schemas.openxmlformats.org/officeDocument/2006/relationships/hyperlink" Target="https://www.sec.gov/Archives/edgar/data/882835/000119312516556402/d81578ddef14a.htm" TargetMode="External"/><Relationship Id="rId34" Type="http://schemas.openxmlformats.org/officeDocument/2006/relationships/hyperlink" Target="https://www.sec.gov/Archives/edgar/data/882835/000088283517000006/ex10-20.htm" TargetMode="External"/><Relationship Id="rId35" Type="http://schemas.openxmlformats.org/officeDocument/2006/relationships/hyperlink" Target="https://www.sec.gov/Archives/edgar/data/882835/000088283519000010/ex1016formstockoptionaward.htm" TargetMode="External"/><Relationship Id="rId36" Type="http://schemas.openxmlformats.org/officeDocument/2006/relationships/hyperlink" Target="https://www.sec.gov/Archives/edgar/data/882835/000088283518000011/a201710-kex1022.htm" TargetMode="External"/><Relationship Id="rId37" Type="http://schemas.openxmlformats.org/officeDocument/2006/relationships/hyperlink" Target="https://www.sec.gov/Archives/edgar/data/882835/000088283519000051/a8-k112619hunnperflett.htm" TargetMode="External"/><Relationship Id="rId38" Type="http://schemas.openxmlformats.org/officeDocument/2006/relationships/hyperlink" Target="https://www.sec.gov/Archives/edgar/data/882835/000119312521189824/d185876dex101.htm" TargetMode="External"/><Relationship Id="rId39" Type="http://schemas.openxmlformats.org/officeDocument/2006/relationships/hyperlink" Target="https://www.sec.gov/Archives/edgar/data/882835/000119312521189824/d185876dex102.htm" TargetMode="External"/><Relationship Id="rId40" Type="http://schemas.openxmlformats.org/officeDocument/2006/relationships/hyperlink" Target="https://www.sec.gov/Archives/edgar/data/882835/000119312521189824/d185876dex103.htm" TargetMode="External"/><Relationship Id="rId41" Type="http://schemas.openxmlformats.org/officeDocument/2006/relationships/hyperlink" Target="https://www.sec.gov/Archives/edgar/data/882835/000119312521189824/d185876dex103.htm" TargetMode="External"/><Relationship Id="rId42" Type="http://schemas.openxmlformats.org/officeDocument/2006/relationships/hyperlink" Target="https://www.sec.gov/Archives/edgar/data/882835/000119312521189824/d185876dex103.htm" TargetMode="External"/><Relationship Id="rId43" Type="http://schemas.openxmlformats.org/officeDocument/2006/relationships/hyperlink" Target="https://www.sec.gov/Archives/edgar/data/882835/000119312521189824/d185876dex104.htm" TargetMode="External"/><Relationship Id="rId44" Type="http://schemas.openxmlformats.org/officeDocument/2006/relationships/hyperlink" Target="https://www.sec.gov/Archives/edgar/data/882835/000088283524000008/a2023-formofroperpsuawarda.htm" TargetMode="External"/><Relationship Id="rId45" Type="http://schemas.openxmlformats.org/officeDocument/2006/relationships/hyperlink" Target="https://www.sec.gov/Archives/edgar/data/882835/000088283524000018/a2024formofroperrsuawardag.htm" TargetMode="External"/><Relationship Id="rId46" Type="http://schemas.openxmlformats.org/officeDocument/2006/relationships/hyperlink" Target="https://www.sec.gov/Archives/edgar/data/882835/000088283524000018/a2024formofroperexecutiveo.htm" TargetMode="External"/><Relationship Id="rId47" Type="http://schemas.openxmlformats.org/officeDocument/2006/relationships/hyperlink" Target="https://www.sec.gov/Archives/edgar/data/882835/000088283524000018/a2024formofroperseniormana.htm" TargetMode="External"/><Relationship Id="rId48" Type="http://schemas.openxmlformats.org/officeDocument/2006/relationships/hyperlink" Target="https://www.sec.gov/Archives/edgar/data/882835/000088283525000020/a2025formofroperstockoptio.htm" TargetMode="External"/><Relationship Id="rId49" Type="http://schemas.openxmlformats.org/officeDocument/2006/relationships/hyperlink" Target="https://www.sec.gov/Archives/edgar/data/882835/000088283525000020/a2025formofropertime-based.htm" TargetMode="External"/><Relationship Id="rId50" Type="http://schemas.openxmlformats.org/officeDocument/2006/relationships/hyperlink" Target="https://www.sec.gov/Archives/edgar/data/882835/000088283525000020/a2025formofropertime-based.htm" TargetMode="External"/><Relationship Id="rId51" Type="http://schemas.openxmlformats.org/officeDocument/2006/relationships/hyperlink" Target="https://www.sec.gov/Archives/edgar/data/882835/000088283525000020/a2025formofropertime-based.htm" TargetMode="External"/><Relationship Id="rId52" Type="http://schemas.openxmlformats.org/officeDocument/2006/relationships/hyperlink" Target="https://www.sec.gov/Archives/edgar/data/882835/000088283525000020/a2025formofroperexecutiveo.htm" TargetMode="External"/><Relationship Id="rId53" Type="http://schemas.openxmlformats.org/officeDocument/2006/relationships/hyperlink" Target="https://www.sec.gov/Archives/edgar/data/882835/000088283525000020/a2025formofroperseniormana.htm" TargetMode="External"/><Relationship Id="rId54" Type="http://schemas.openxmlformats.org/officeDocument/2006/relationships/hyperlink" Target="https://www.sec.gov/Archives/edgar/data/882835/000088283521000044/ropertechdircompplanjune20.htm" TargetMode="External"/><Relationship Id="rId55" Type="http://schemas.openxmlformats.org/officeDocument/2006/relationships/hyperlink" Target="https://www.sec.gov/Archives/edgar/data/0000882835/000088283521000044/ropertechdircompplanjune20.htm" TargetMode="External"/><Relationship Id="rId56" Type="http://schemas.openxmlformats.org/officeDocument/2006/relationships/hyperlink" Target="https://www.sec.gov/Archives/edgar/data/0000882835/000088283521000044/ropertechdircompplanjune20.htm" TargetMode="External"/><Relationship Id="rId57" Type="http://schemas.openxmlformats.org/officeDocument/2006/relationships/hyperlink" Target="https://www.sec.gov/Archives/edgar/data/0000882835/000088283521000044/ropertechdircompplanjune20.htm" TargetMode="External"/><Relationship Id="rId58" Type="http://schemas.openxmlformats.org/officeDocument/2006/relationships/hyperlink" Target="https://www.sec.gov/Archives/edgar/data/0000882835/000088283521000044/ropertechdircompplanjune20.htm" TargetMode="External"/><Relationship Id="rId59" Type="http://schemas.openxmlformats.org/officeDocument/2006/relationships/hyperlink" Target="https://www.sec.gov/Archives/edgar/data/0000882835/000088283521000044/ropertechdircompplanjune20.htm" TargetMode="External"/><Relationship Id="rId60" Type="http://schemas.openxmlformats.org/officeDocument/2006/relationships/hyperlink" Target="https://www.sec.gov/Archives/edgar/data/0000882835/000088283521000044/ropertechdircompplanjune20.htm" TargetMode="External"/><Relationship Id="rId61" Type="http://schemas.openxmlformats.org/officeDocument/2006/relationships/hyperlink" Target="https://www.sec.gov/Archives/edgar/data/882835/000088283525000036/firstamendmenttodirectorco.htm" TargetMode="External"/><Relationship Id="rId62" Type="http://schemas.openxmlformats.org/officeDocument/2006/relationships/hyperlink" Target="https://www.sec.gov/Archives/edgar/data/882835/000088283525000036/firstamendmenttodirectorco.htm" TargetMode="External"/><Relationship Id="rId63" Type="http://schemas.openxmlformats.org/officeDocument/2006/relationships/hyperlink" Target="https://www.sec.gov/Archives/edgar/data/882835/000088283525000036/firstamendmenttodirectorco.htm" TargetMode="External"/><Relationship Id="rId64" Type="http://schemas.openxmlformats.org/officeDocument/2006/relationships/hyperlink" Target="https://www.sec.gov/Archives/edgar/data/882835/000088283525000036/a2025ropernon-employeedire.htm" TargetMode="External"/><Relationship Id="rId65" Type="http://schemas.openxmlformats.org/officeDocument/2006/relationships/hyperlink" Target="https://www.sec.gov/Archives/edgar/data/882835/000088283525000045/secondamendmenttodirectorc.htm" TargetMode="External"/><Relationship Id="rId66" Type="http://schemas.openxmlformats.org/officeDocument/2006/relationships/hyperlink" Target="https://www.sec.gov/Archives/edgar/data/882835/000088283525000045/secondamendmenttodirectorc.htm" TargetMode="External"/><Relationship Id="rId67" Type="http://schemas.openxmlformats.org/officeDocument/2006/relationships/hyperlink" Target="https://www.sec.gov/Archives/edgar/data/882835/000088283525000045/secondamendmenttodirectorc.htm" TargetMode="External"/><Relationship Id="rId68" Type="http://schemas.openxmlformats.org/officeDocument/2006/relationships/hyperlink" Target="https://www.sec.gov/Archives/edgar/data/882835/000088283525000045/a2025non-employeedirectord.htm" TargetMode="External"/><Relationship Id="rId69" Type="http://schemas.openxmlformats.org/officeDocument/2006/relationships/hyperlink" Target="https://www.sec.gov/Archives/edgar/data/882835/000088283525000045/a2025non-employeedirectord.htm" TargetMode="External"/><Relationship Id="rId70" Type="http://schemas.openxmlformats.org/officeDocument/2006/relationships/hyperlink" Target="https://www.sec.gov/Archives/edgar/data/882835/000088283525000045/a2025non-employeedirectord.htm" TargetMode="External"/><Relationship Id="rId71" Type="http://schemas.openxmlformats.org/officeDocument/2006/relationships/hyperlink" Target="https://www.sec.gov/Archives/edgar/data/882835/000088283525000045/a2025non-employeedirectord.htm" TargetMode="External"/><Relationship Id="rId72" Type="http://schemas.openxmlformats.org/officeDocument/2006/relationships/hyperlink" Target="https://www.sec.gov/Archives/edgar/data/0000882835/000088283524000008/compensationclawbackpolicy.htm" TargetMode="External"/><Relationship Id="rId73" Type="http://schemas.openxmlformats.org/officeDocument/2006/relationships/fontTable" Target="fontTable.xml"/><Relationship Id="rId7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55</Pages>
  <Words>56311</Words>
  <Characters>319317</Characters>
  <CharactersWithSpaces>373178</CharactersWithSpaces>
  <Paragraphs>4742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