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4" w:lineRule="exact"/>
        <w:rPr>
          <w:sz w:val="24"/>
          <w:szCs w:val="24"/>
          <w:color w:val="auto"/>
        </w:rPr>
      </w:pPr>
    </w:p>
    <w:p>
      <w:pPr>
        <w:ind w:left="640" w:hanging="601"/>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quarterly period ended June 30, 2025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5" w:lineRule="exact"/>
        <w:rPr>
          <w:sz w:val="24"/>
          <w:szCs w:val="24"/>
          <w:color w:val="auto"/>
        </w:rPr>
      </w:pPr>
    </w:p>
    <w:p>
      <w:pPr>
        <w:ind w:left="640" w:hanging="58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90"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680" w:type="dxa"/>
            <w:vAlign w:val="bottom"/>
            <w:tcBorders>
              <w:bottom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8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Commission File Number: 1-12273</w:t>
            </w:r>
          </w:p>
        </w:tc>
        <w:tc>
          <w:tcPr>
            <w:tcW w:w="2640" w:type="dxa"/>
            <w:vAlign w:val="bottom"/>
          </w:tcPr>
          <w:p>
            <w:pPr>
              <w:spacing w:after="0"/>
              <w:rPr>
                <w:sz w:val="24"/>
                <w:szCs w:val="24"/>
                <w:color w:val="auto"/>
              </w:rPr>
            </w:pPr>
          </w:p>
        </w:tc>
      </w:tr>
      <w:tr>
        <w:trPr>
          <w:trHeight w:val="360"/>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ROPER TECHNOLOGIES, INC.</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95"/>
        </w:trPr>
        <w:tc>
          <w:tcPr>
            <w:tcW w:w="28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234"/>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6496 University Parkway</w:t>
            </w:r>
          </w:p>
        </w:tc>
        <w:tc>
          <w:tcPr>
            <w:tcW w:w="2640" w:type="dxa"/>
            <w:vAlign w:val="bottom"/>
          </w:tcPr>
          <w:p>
            <w:pPr>
              <w:spacing w:after="0"/>
              <w:rPr>
                <w:sz w:val="24"/>
                <w:szCs w:val="24"/>
                <w:color w:val="auto"/>
              </w:rPr>
            </w:pPr>
          </w:p>
        </w:tc>
      </w:tr>
      <w:tr>
        <w:trPr>
          <w:trHeight w:val="233"/>
        </w:trPr>
        <w:tc>
          <w:tcPr>
            <w:tcW w:w="28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Sarasota, Florida</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234"/>
        </w:trPr>
        <w:tc>
          <w:tcPr>
            <w:tcW w:w="61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264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ROP</w:t>
            </w:r>
          </w:p>
        </w:tc>
        <w:tc>
          <w:tcPr>
            <w:tcW w:w="18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ind w:left="2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p>
    <w:p>
      <w:pPr>
        <w:spacing w:after="0" w:line="171" w:lineRule="exact"/>
        <w:rPr>
          <w:sz w:val="24"/>
          <w:szCs w:val="24"/>
          <w:color w:val="auto"/>
        </w:rPr>
      </w:pPr>
    </w:p>
    <w:p>
      <w:pPr>
        <w:ind w:left="2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Smaller reporting company</w:t>
      </w:r>
    </w:p>
    <w:p>
      <w:pPr>
        <w:spacing w:after="0" w:line="171" w:lineRule="exact"/>
        <w:rPr>
          <w:sz w:val="24"/>
          <w:szCs w:val="24"/>
          <w:color w:val="auto"/>
        </w:rPr>
      </w:pPr>
    </w:p>
    <w:p>
      <w:pPr>
        <w:ind w:left="6620"/>
        <w:spacing w:after="0" w:line="207" w:lineRule="exact"/>
        <w:tabs>
          <w:tab w:leader="none" w:pos="6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5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9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as of July 25, 2025 was 107,613,824.</w:t>
      </w:r>
    </w:p>
    <w:p>
      <w:pPr>
        <w:sectPr>
          <w:pgSz w:w="11900" w:h="16838" w:orient="portrait"/>
          <w:cols w:equalWidth="0" w:num="1">
            <w:col w:w="11240"/>
          </w:cols>
          <w:pgMar w:left="320" w:top="995" w:right="339" w:bottom="1440" w:gutter="0" w:footer="0" w:header="0"/>
        </w:sect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840" w:type="dxa"/>
            <w:vAlign w:val="bottom"/>
          </w:tcPr>
          <w:p>
            <w:pPr>
              <w:spacing w:after="0"/>
              <w:rPr>
                <w:sz w:val="20"/>
                <w:szCs w:val="20"/>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 ON FORM 10-Q FOR THE QUARTERLY PERIOD ENDED JUNE 30, 2025</w:t>
            </w:r>
          </w:p>
        </w:tc>
        <w:tc>
          <w:tcPr>
            <w:tcW w:w="840" w:type="dxa"/>
            <w:vAlign w:val="bottom"/>
          </w:tcPr>
          <w:p>
            <w:pPr>
              <w:spacing w:after="0"/>
              <w:rPr>
                <w:sz w:val="24"/>
                <w:szCs w:val="24"/>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r>
      <w:tr>
        <w:trPr>
          <w:trHeight w:val="263"/>
        </w:trPr>
        <w:tc>
          <w:tcPr>
            <w:tcW w:w="880" w:type="dxa"/>
            <w:vAlign w:val="bottom"/>
          </w:tcPr>
          <w:p>
            <w:pPr>
              <w:spacing w:after="0"/>
              <w:rPr>
                <w:sz w:val="22"/>
                <w:szCs w:val="22"/>
                <w:color w:val="auto"/>
              </w:rPr>
            </w:pPr>
          </w:p>
        </w:tc>
        <w:tc>
          <w:tcPr>
            <w:tcW w:w="952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Pr>
          <w:p>
            <w:pPr>
              <w:spacing w:after="0"/>
              <w:rPr>
                <w:sz w:val="18"/>
                <w:szCs w:val="18"/>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40" w:type="dxa"/>
            <w:vAlign w:val="bottom"/>
          </w:tcPr>
          <w:p>
            <w:pPr>
              <w:spacing w:after="0"/>
              <w:rPr>
                <w:sz w:val="24"/>
                <w:szCs w:val="24"/>
                <w:color w:val="auto"/>
              </w:rPr>
            </w:pP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Earnings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40" w:type="dxa"/>
            <w:vAlign w:val="bottom"/>
          </w:tcPr>
          <w:p>
            <w:pPr>
              <w:spacing w:after="0"/>
              <w:rPr>
                <w:sz w:val="24"/>
                <w:szCs w:val="24"/>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7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76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w:t>
            </w: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2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2,374.3</w:t>
            </w:r>
          </w:p>
        </w:tc>
      </w:tr>
      <w:tr>
        <w:trPr>
          <w:trHeight w:val="216"/>
        </w:trPr>
        <w:tc>
          <w:tcPr>
            <w:tcW w:w="4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16"/>
        </w:trPr>
        <w:tc>
          <w:tcPr>
            <w:tcW w:w="49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(gain) loss,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r>
      <w:tr>
        <w:trPr>
          <w:trHeight w:val="216"/>
        </w:trPr>
        <w:tc>
          <w:tcPr>
            <w:tcW w:w="4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196"/>
        </w:trPr>
        <w:tc>
          <w:tcPr>
            <w:tcW w:w="7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4"/>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0"/>
        </w:trPr>
        <w:tc>
          <w:tcPr>
            <w:tcW w:w="49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4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5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4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719.1</w:t>
            </w:r>
          </w:p>
        </w:tc>
      </w:tr>
      <w:tr>
        <w:trPr>
          <w:trHeight w:val="270"/>
        </w:trPr>
        <w:tc>
          <w:tcPr>
            <w:tcW w:w="4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49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699.1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48"/>
        </w:trPr>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1,542.7</w:t>
            </w:r>
          </w:p>
        </w:tc>
      </w:tr>
      <w:tr>
        <w:trPr>
          <w:trHeight w:val="148"/>
        </w:trPr>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19,312.9</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9,059.6</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w:t>
            </w:r>
          </w:p>
        </w:tc>
      </w:tr>
      <w:tr>
        <w:trPr>
          <w:trHeight w:val="237"/>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31,334.7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48"/>
        </w:trPr>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1,737.4</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1,043.1</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w:t>
            </w:r>
          </w:p>
        </w:tc>
      </w:tr>
      <w:tr>
        <w:trPr>
          <w:trHeight w:val="148"/>
        </w:trPr>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6,579.9</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1,630.6</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12,467.1</w:t>
            </w:r>
          </w:p>
        </w:tc>
      </w:tr>
      <w:tr>
        <w:trPr>
          <w:trHeight w:val="151"/>
        </w:trPr>
        <w:tc>
          <w:tcPr>
            <w:tcW w:w="8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2"/>
        </w:trPr>
        <w:tc>
          <w:tcPr>
            <w:tcW w:w="8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16,034.9</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18,867.6</w:t>
            </w:r>
          </w:p>
        </w:tc>
      </w:tr>
      <w:tr>
        <w:trPr>
          <w:trHeight w:val="212"/>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31,334.7</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to cash flows from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investments (gain) loss,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businesses: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taxes paid for gain on disposal of equity investment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income taxes paid, excluding tax associated with gain on disposal of equity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r>
      <w:tr>
        <w:trPr>
          <w:trHeight w:val="213"/>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915.6</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(1,858.3)</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equity investment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(1,887.4)</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 of credit,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1,090.0</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to stockholders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stock-based compensation,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162"/>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162"/>
        </w:trPr>
        <w:tc>
          <w:tcPr>
            <w:tcW w:w="8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consideration for business acquisition</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2025</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16,276.9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consideration for business acquisition</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($0.825 per share)</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June 30, 2025</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16,565.9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19,633.9</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16,034.9</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 for business acquisition</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($1.65 per share)</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3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2025</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($0.75 per share)</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3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17,444.8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($1.50 per share)</w:t>
            </w:r>
          </w:p>
        </w:tc>
        <w:tc>
          <w:tcPr>
            <w:tcW w:w="4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0" w:type="dxa"/>
            <w:vAlign w:val="bottom"/>
          </w:tcPr>
          <w:p>
            <w:pPr>
              <w:spacing w:after="0"/>
              <w:rPr>
                <w:sz w:val="1"/>
                <w:szCs w:val="1"/>
                <w:color w:val="auto"/>
              </w:rPr>
            </w:pPr>
          </w:p>
        </w:tc>
      </w:tr>
      <w:tr>
        <w:trPr>
          <w:trHeight w:val="23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and share amounts are in millions, except per share data)</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three and six months ended June 30, 2025 and 2024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2024 financial position data included herein was derived from the audited consolidated financial statements included in the Company’s 2024 Annual Report on Form 10-K (“Annual Report”) filed on February 24, 2025 with the U.S. Securities and Exchange Commission (“SEC”) but does not include all annual disclosures required by U.S. generally accepted accounting principles (“GAAP”).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Roper’s management has made estimates and assumptions related to the reporting of assets and liabilities and the disclosure of contingent assets and liabilities to prepare these Condensed Consolidated Financial Statements in conformity with GAAP. Actual results could differ from those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2025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Improvements to Reportable Segment Disclosures” (ASU 2023-07), which expands reportable segment disclosure requirements, primarily through enhanced disclosures about significant segment expenses. This guidance is effective for annual periods beginning after December 15, 2023, and interim periods within fiscal years beginning after December 15, 2024. The Company adopted this update beginning with the year ended December 31,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 Disclosures” (ASU 2023-09), which expands income tax disclosure requirements, including disaggregation of rate reconciliation table categories, disaggregation of earnings before income taxes and income tax expense information, and disaggregation of income taxes paid information, among other changes. This guidance is effective for annual periods beginning after December 15, 2024. The impact of adopting this ASU will include expanded disclosures for income taxes paid and effective tax rate in the Company’s annual Notes to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Weighted Average Shares Outstanding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was calculated using net earnings and the weighted average number of shares of common stock outstanding during the respective period. Diluted earnings per share was calculated using net earnings and the weighted average number of shares of common stock and potential common stock outstanding during the respective period. Potentially dilutive common stock consisted of stock options and restricted stock awards based upon the average trading price of Roper’s common stock. The effects of potential common stock were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Weighted average shares outstanding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shares outstanding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potential common stock:</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 awards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200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454"/>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-633730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-333375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260"/>
          </w:cols>
          <w:pgMar w:left="320" w:top="891" w:right="339" w:bottom="1440" w:gutter="0" w:footer="0" w:header="0"/>
        </w:sectPr>
      </w:pP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there were 0.705 and 0.758 stock-based awards outstanding, respectively, that were not included in the determination of diluted earnings per share because to do so would have been antidilutive, as compared to 0.387 and 0.384 stock-based awards outstanding that would have been antidilutive in the respective comparable periods of 2024.</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Business Acquisitions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2025, Roper acquired CentralReach Holdings, LLC (“CentralReach”) for a purchase price of $1,850, net of cash acquired and certain liabilities assumed. The purchase price contemplates a net present value tax benefit of approximately $200 which is expected to be utilized over the subsequent 15 years. CentralReach is a leading provider of cloud-based software and artificial intelligence-enabled solutions enabling the workflow and administration of applied behavior analysis (ABA) therapy for autism spectrum disorder (ASD) and related disabilities care. The transaction was funded using borrowings under Roper’s unsecured revolving credit facility. The results of CentralReach are reported in the Application Software reportable segment.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$1,049.0 in goodwill, $48.0 assigned to trade names that are not subject to amortization, and $842.0 of other identifiable intangibles in connection with the CentralReach acquisition. The amortizable intangible assets include customer relationships of $776.0 (19 year useful life) and technology of $66.0 (6 year useful life). Net assets acquired also include approximately $89 of net deferred tax liabilities, primarily attributable to acquired intangible assets, partially offset by federal tax attributes. Approximately $590 of goodwill is expected to be deductible for income tax purposes.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Roper completed two bolt-on acquisitions (Muni-Link and Outgo) for purchase prices totaling $157.4, net of cash acquired and certain liabilities assumed.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Roper acquired substantially all of the assets of Muni-Link for a purchase price of $118.0, which contemplates a net present value tax benefit of approximately $20. Muni-Link is a leading provider of cloud-based utility management, billing, and customer communication software solutions for municipalities and other local governments. This acquisition has been integrated into our Neptune business and its results are reported in the Technology Enabled Products reportable segment.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Roper acquired Outgo Inc. (“Outgo”) for a purchase price of $39.4, net of cash acquired and certain liabilities assumed. The purchase price includes $7.3 of equity consideration in the form of common shares transferred from Roper’s treasury stock, measured at fair value. Outgo is a provider of cloud-based freight payment software and artificial intelligence-enabled factoring solutions that automate invoicing, underwriting, payments, and collections for commercial trucking. This acquisition has been integrated into our DAT business and its results are reported in the Network Software reportable segment.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$92.6 in goodwill and $56.5 of other identifiable intangibles in connection with these two bolt-on acquisitions. The amortizable intangible assets include customer relationships of $51.8 (17.0 year weighted average useful life) and technology of $4.7 (5.0 year weighted average useful life). Approximately $74 of goodwill is expected to be deductible for income tax purposes.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acquired businesses are included in Roper’s Condensed Consolidated Financial Statements from the date of each acquisition. Pro forma results of operations and the revenues and net earnings subsequent to each acquisition date have not been presented because the effects of the acquisitions, individually and in the aggregate, were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25, 2025, Roper acquired Subsplash TopCo, LLC (“Subsplash”) for a purchase price of approximately $800. Subsplash is a leading provider of artificial-intelligence enabled, cloud-based software providing digital engagement, church management, and integrated giving solutions for faith-based organizations. The results of Subsplash will be reported in the Network Software reportable segment beginning in the third quarter of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28, 2025, Roper acquired Brickyard Topco, Inc. (“Orchard Software”) for a purchase price of approximately $175. Orchard Software is a provider of laboratory information management systems for hospitals, reference labs, physician groups, and public health entities. This acquisition is being integrated into our Clinisys business and its results will be reported in the Application Software reportable segment beginning in the third quarter of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2025, Roper acquired Flexport Freight Tech LLC (“Convoy”) for a purchase price of approximately $250, which contemplates a net present value tax benefit of approximately $41. Convoy is a leading provider of automated load management and digital freight-matching technology, matching trusted brokers and carriers for commercial trucking. This acquisition is integrating into our DAT business and its results will be reported in the Network Software reportable segment beginning in the third quarter of 2025.</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Roper Technologies, Inc. 2021 Incentive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stock-based compensation expense, included as a component of “Selling, general and administrative expenses” (“SG&amp;A expenses”), is provided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6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49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recognized in net earnings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with previously recognized compensation reversed in the period in which the awards are forfeited.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During the six months ended June 30, 2025, 0.271 options were granted with a weighted-average fair value of $181.63 per option.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comparable period in 2024, 0.263 options were granted with a weighted-average fair value of $173.72 per option. All options were granted with an exercise price equal to the closing price of Roper’s common stock on the date of grant, as required by the Company’s stock-based compensation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records compensation expense for employee stock options based on the estimated fair value of the options on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Historical data is used to estimate the expected price volatility, the expected dividend yield, and the expected option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risk-free rate is based on the U.S. Treasury yield curve in effect at the time of grant for the expected life of the option.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estimate the fair value of options granted during the current and prior year periods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w:t>
      </w:r>
    </w:p>
    <w:p>
      <w:pPr>
        <w:spacing w:after="0" w:line="2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option exercises for the six months ended June 30, 2025 and 2024 was $91.0 and $88.1,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 During the six months ended June 30, 2025, the Company granted 0.403 shares of restricted stock awards with a weighted-average grant date fair value of $601.02 per share. During the comparable period in 2024, the Company granted 0.368 shares of restricted stock awards with a weighted-average grant date fair value of $555.12 per share. These awards were granted at the fair market value of the shares on the date of grant.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awards include 0.074 and 0.072 performance-based restricted stock awards granted to certain members of the Roper senior leadership team during the six months ended June 30, 2025 and 2024, respectively, with a weighted-average grant date fair value of $663.42 and $563.03 per share, respectively. Such awards include the ability to earn up to 200% of the number of restricted stock awards originally granted contingent upon Roper’s performance over a three-year period, subject to a market modifier based on the Company’s ranking of total shareholder return relative to the other companies within the Standard &amp; Poor’s 500 Stock Index.</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0.102 restricted stock award shares vested with a weighted-average grant date fair value of $479.88 per share and a weighted-average vest date fair value of $579.12 per share. During the comparable period in 2024, 0.105 restricted stock award shares vested with a weighted-average grant date fair value of $438.44 per share and a weighted-average vest date fair value of $555.71 per share.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Roper’s employee stock purchase plan (“ESPP”) allows employees in the U.S. and Canada to designate up to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earnings to purchase Roper’s common stock at a 10% discount on the lower of the closing price on the first and last day of each quarterly offering period. Common stock sold to employees pursuant to the ESPP may be either treasury stock, stock purchased on the open market, or newly issued shares.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participants of the ESPP purchased 0.026 and 0.021 shares, respectively, of Roper’s common stock for total consideration of $12.5 and $10.3, respectively. All of these shares were purchased from Roper’s treasury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1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value of goodwill by segment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260" w:type="dxa"/>
            <w:vAlign w:val="bottom"/>
          </w:tcPr>
          <w:p>
            <w:pPr>
              <w:spacing w:after="0"/>
              <w:rPr>
                <w:sz w:val="24"/>
                <w:szCs w:val="24"/>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340" w:type="dxa"/>
            <w:vAlign w:val="bottom"/>
          </w:tcPr>
          <w:p>
            <w:pPr>
              <w:spacing w:after="0"/>
              <w:rPr>
                <w:sz w:val="24"/>
                <w:szCs w:val="2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580" w:type="dxa"/>
            <w:vAlign w:val="bottom"/>
            <w:gridSpan w:val="3"/>
            <w:vMerge w:val="continue"/>
          </w:tcPr>
          <w:p>
            <w:pPr>
              <w:spacing w:after="0"/>
              <w:rPr>
                <w:sz w:val="21"/>
                <w:szCs w:val="21"/>
                <w:color w:val="auto"/>
              </w:rPr>
            </w:pP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Enabled Products</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relates to purchase accounting adjustments for completed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were comprised of:</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99"/>
        </w:trPr>
        <w:tc>
          <w:tcPr>
            <w:tcW w:w="44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00" w:type="dxa"/>
            <w:vAlign w:val="bottom"/>
          </w:tcPr>
          <w:p>
            <w:pPr>
              <w:spacing w:after="0"/>
              <w:rPr>
                <w:sz w:val="24"/>
                <w:szCs w:val="24"/>
                <w:color w:val="auto"/>
              </w:rPr>
            </w:pP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11,303.7</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7,846.7</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12,157.7</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8,355.7</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2025</w:t>
            </w: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of other intangible assets was $203.0 and $184.9 during the three months ended June 30, 2025 and 2024, respectively, and $397.5 and $363.3 during the six months ended June 30, 2025 and 2024,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carrying value of goodwill and other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2025. The Company will perform the annual analysis during the fourth quarter of 2025.</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 As of June 30, 2025 and December 31, 2024, the total estimated fair value of Roper’s fixed-rate senior notes was $7,189.6 and $7,005.2,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The fair values of the senior notes are based on the trading prices of each series of notes, which the Company has determined to be Level 2 in the FASB fair value hierarchy.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there were $1,400.0 and $125.0 of borrowings outstanding under our unsecured revolving credit facility, respectively. The carrying value of these borrowings approximates their estimated fair value.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Indicor Investment </w:t>
      </w:r>
      <w:r>
        <w:rPr>
          <w:rFonts w:ascii="Times New Roman" w:cs="Times New Roman" w:eastAsia="Times New Roman" w:hAnsi="Times New Roman"/>
          <w:sz w:val="18"/>
          <w:szCs w:val="18"/>
          <w:color w:val="auto"/>
        </w:rPr>
        <w:t>– As of June 30, 2025 and December 31, 2024, the Company held a 44.7% and 45.5% equity interest in Indicor Equity,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(“Indicor”), respectively.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investments (gain) loss, net” in our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our assumptions are considered reasonable and are consistent with the plans and estimates included in our Annual Report, there is significant judgment applied to determine fair value. Changes in estimates or the application of alternative assumptions could produce significantly different results. Our valuation methodology utilizes the market multiple approach consisting of comparable guideline public companies revenue and earnings multiples to estimate the fair value of this equity investment. The fair value of the investment reflects management’s estimate of assumptions that market participants would use in pricing the equity interest, which the Company has determined to be Level 3 in the FASB fair value hierarchy.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fair value for our equity investment in Indicor measured using Level 3 inputs: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5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4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80" w:type="dxa"/>
            <w:vAlign w:val="bottom"/>
            <w:tcBorders>
              <w:bottom w:val="single" w:sz="8" w:color="auto"/>
            </w:tcBorders>
          </w:tcPr>
          <w:p>
            <w:pPr>
              <w:spacing w:after="0"/>
              <w:rPr>
                <w:sz w:val="20"/>
                <w:szCs w:val="20"/>
                <w:color w:val="auto"/>
              </w:rPr>
            </w:pPr>
          </w:p>
        </w:tc>
      </w:tr>
      <w:tr>
        <w:trPr>
          <w:trHeight w:val="225"/>
        </w:trPr>
        <w:tc>
          <w:tcPr>
            <w:tcW w:w="49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dividend distributions from Indicor of $5.1 during the three and six months ended June 30, 2025 and $8.4 during the three and six months ended June 30, 2024, which are reported within “Equity investments (gain) loss, net” in our Condensed Consolidated Statements of Earnings. These dividend distributions were intended to offset certain cash taxes payable associated with Roper’s ownership stake and were contemplated in the determination of the fair value for the equity investment in Indicor.</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Roper’s subsidiary, PowerPlan, Inc. (“PowerPlan”), was a defendant in an action that was pending in the U.S. District Court for the Northern District of Georgia (Lucasys Inc. v. PowerPlan, Inc., Case 1:20-cv-02987-AT) in which the plaintiff, a firm started by former PowerPlan employees, alleged PowerPlan had engaged in, among other things, anticompetitive practices in violation of federal antitrust law which impacted the plaintiff’s ability to commercialize its software and services offerings. In January 2025, PowerPlan and the plaintiff agreed to settle the matter and such was fully concluded and cash settled in January 2025 for $24.0 on a pretax basis ($17.7 after taxes).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10.  Reportable Segments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by reportable 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00" w:type="dxa"/>
            <w:vAlign w:val="bottom"/>
            <w:gridSpan w:val="8"/>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20" w:type="dxa"/>
            <w:vAlign w:val="bottom"/>
            <w:gridSpan w:val="14"/>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8"/>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060" w:type="dxa"/>
            <w:vAlign w:val="bottom"/>
            <w:tcBorders>
              <w:right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00" w:type="dxa"/>
            <w:vAlign w:val="bottom"/>
          </w:tcPr>
          <w:p>
            <w:pPr>
              <w:spacing w:after="0"/>
              <w:rPr>
                <w:sz w:val="14"/>
                <w:szCs w:val="14"/>
                <w:color w:val="auto"/>
              </w:rPr>
            </w:pPr>
          </w:p>
        </w:tc>
        <w:tc>
          <w:tcPr>
            <w:tcW w:w="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20" w:type="dxa"/>
            <w:vAlign w:val="bottom"/>
          </w:tcPr>
          <w:p>
            <w:pPr>
              <w:spacing w:after="0"/>
              <w:rPr>
                <w:sz w:val="14"/>
                <w:szCs w:val="14"/>
                <w:color w:val="auto"/>
              </w:rPr>
            </w:pPr>
          </w:p>
        </w:tc>
        <w:tc>
          <w:tcPr>
            <w:tcW w:w="1160" w:type="dxa"/>
            <w:vAlign w:val="bottom"/>
            <w:gridSpan w:val="4"/>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96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060" w:type="dxa"/>
            <w:vAlign w:val="bottom"/>
            <w:tcBorders>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60" w:type="dxa"/>
            <w:vAlign w:val="bottom"/>
          </w:tcPr>
          <w:p>
            <w:pPr>
              <w:spacing w:after="0"/>
              <w:rPr>
                <w:sz w:val="21"/>
                <w:szCs w:val="21"/>
                <w:color w:val="auto"/>
              </w:rPr>
            </w:pPr>
          </w:p>
        </w:tc>
        <w:tc>
          <w:tcPr>
            <w:tcW w:w="90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00" w:type="dxa"/>
            <w:vAlign w:val="bottom"/>
          </w:tcPr>
          <w:p>
            <w:pPr>
              <w:spacing w:after="0"/>
              <w:rPr>
                <w:sz w:val="21"/>
                <w:szCs w:val="21"/>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1"/>
                <w:szCs w:val="21"/>
                <w:color w:val="auto"/>
              </w:rPr>
            </w:pP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60" w:type="dxa"/>
            <w:vAlign w:val="bottom"/>
          </w:tcPr>
          <w:p>
            <w:pPr>
              <w:spacing w:after="0"/>
              <w:rPr>
                <w:sz w:val="21"/>
                <w:szCs w:val="21"/>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other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8"/>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4"/>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8"/>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060" w:type="dxa"/>
            <w:vAlign w:val="bottom"/>
            <w:tcBorders>
              <w:right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00" w:type="dxa"/>
            <w:vAlign w:val="bottom"/>
          </w:tcPr>
          <w:p>
            <w:pPr>
              <w:spacing w:after="0"/>
              <w:rPr>
                <w:sz w:val="14"/>
                <w:szCs w:val="14"/>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20" w:type="dxa"/>
            <w:vAlign w:val="bottom"/>
          </w:tcPr>
          <w:p>
            <w:pPr>
              <w:spacing w:after="0"/>
              <w:rPr>
                <w:sz w:val="14"/>
                <w:szCs w:val="14"/>
                <w:color w:val="auto"/>
              </w:rPr>
            </w:pPr>
          </w:p>
        </w:tc>
        <w:tc>
          <w:tcPr>
            <w:tcW w:w="1160" w:type="dxa"/>
            <w:vAlign w:val="bottom"/>
            <w:gridSpan w:val="4"/>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96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060" w:type="dxa"/>
            <w:vAlign w:val="bottom"/>
            <w:tcBorders>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60" w:type="dxa"/>
            <w:vAlign w:val="bottom"/>
          </w:tcPr>
          <w:p>
            <w:pPr>
              <w:spacing w:after="0"/>
              <w:rPr>
                <w:sz w:val="20"/>
                <w:szCs w:val="20"/>
                <w:color w:val="auto"/>
              </w:rPr>
            </w:pPr>
          </w:p>
        </w:tc>
        <w:tc>
          <w:tcPr>
            <w:tcW w:w="90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0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0"/>
                <w:szCs w:val="20"/>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60" w:type="dxa"/>
            <w:vAlign w:val="bottom"/>
          </w:tcPr>
          <w:p>
            <w:pPr>
              <w:spacing w:after="0"/>
              <w:rPr>
                <w:sz w:val="20"/>
                <w:szCs w:val="20"/>
                <w:color w:val="auto"/>
              </w:rPr>
            </w:pPr>
          </w:p>
        </w:tc>
        <w:tc>
          <w:tcPr>
            <w:tcW w:w="8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other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8"/>
        <w:spacing w:after="0" w:line="263" w:lineRule="auto"/>
        <w:tabs>
          <w:tab w:leader="none" w:pos="9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operating profit is before unallocated corporate general and administrative expenses and enterprise-wide stock-based compensation. These expenses were $79.7 and $62.7 for the three months ended June 30, 2025 and 2024, respectively, and $151.0 and $124.2 for the six months ended June 30, 2025 and 2024, respectively, and are included within consolidated SG&amp;A expenses to arrive at “Income from operations” in our Condensed Consolidated Statements of Earnings. Items below “Income from operations” are not allocated to reportable segments.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selected asset information by reportable segment:</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00"/>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25,348.3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23,600.9</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Segments 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32,428.1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Disaggregated Revenue </w:t>
      </w:r>
      <w:r>
        <w:rPr>
          <w:rFonts w:ascii="Times New Roman" w:cs="Times New Roman" w:eastAsia="Times New Roman" w:hAnsi="Times New Roman"/>
          <w:sz w:val="18"/>
          <w:szCs w:val="18"/>
          <w:color w:val="auto"/>
        </w:rPr>
        <w:t>– We disaggregate our revenues by reportable segment into four categories: (i) recurring revenue comprised of Software-as-a-Service (“SaaS”), annual term licenses, and software maintenance;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8"/>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4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1"/>
                <w:szCs w:val="21"/>
                <w:color w:val="auto"/>
              </w:rPr>
            </w:pPr>
          </w:p>
        </w:tc>
        <w:tc>
          <w:tcPr>
            <w:tcW w:w="90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9"/>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156"/>
        </w:trPr>
        <w:tc>
          <w:tcPr>
            <w:tcW w:w="170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Software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8"/>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8"/>
            <w:vMerge w:val="restart"/>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8"/>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4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Technology</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9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20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1"/>
                <w:szCs w:val="21"/>
                <w:color w:val="auto"/>
              </w:rPr>
            </w:pPr>
          </w:p>
        </w:tc>
        <w:tc>
          <w:tcPr>
            <w:tcW w:w="90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1,936.5</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155"/>
        </w:trPr>
        <w:tc>
          <w:tcPr>
            <w:tcW w:w="170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Software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transaction price of firm orders for which work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excluding unexercised contract options. As of June 30, 2025, total remaining performance obligations were $4,581.0. We expect to recognize revenues of $2,961.3, or approximately 65% of our remaining performance obligations over the next 12 months (“Backlog”), with the remainder of the revenue to be recognized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340" w:type="dxa"/>
            <w:vAlign w:val="bottom"/>
          </w:tcPr>
          <w:p>
            <w:pPr>
              <w:spacing w:after="0"/>
              <w:rPr>
                <w:sz w:val="22"/>
                <w:szCs w:val="22"/>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2"/>
                <w:szCs w:val="22"/>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40" w:type="dxa"/>
            <w:vAlign w:val="bottom"/>
          </w:tcPr>
          <w:p>
            <w:pPr>
              <w:spacing w:after="0"/>
              <w:rPr>
                <w:sz w:val="22"/>
                <w:szCs w:val="22"/>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revenue – non-current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contract assets/(liabilities)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non-current portion of deferred revenue is included in “Other liabilities” in our Condensed Consolidated Balance Sheets.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our net contract assets/(liabilities) from December 31, 2024 to June 30, 2025 was primarily due to the timing of payments and invoicing related to SaaS and post-contract support (“PCS”) renewals, driven predominantly by the SaaS renewal cycle of our Frontline business which primarily occurs in the third quarter.</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the Company’s performance relating primarily to SaaS and PCS renewals. Revenue recognized that was included in the deferred revenue balance on December 31, 2024 and 2023 was $531.6 and $464.2 for the three months ended June 30, 2025 and 2024, respectively, and $1,306.0 and $1,158.1 for the six months ended June 30, 2025 and 2024, respectively. In order to determine revenues recognized in the period from contract liabilities, we allocate revenue to the individual deferred revenue balance outstanding at the beginning of the year until the revenue exceeds that balance.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and non-current portions of deferred commissions are included in “Prepaid expenses and other current assets” and “Other assets,” respectively, in our Condensed Consolidated Balance Sheets. At June 30, 2025 and December 31, 2024, we had $97.2 and $90.5 of total deferred commissions,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H.R. 1, the One Big Beautiful Bill Act (the “OBBBA”), which introduced tax reform provisions that amend, eliminate, or extend certain tax rules under the Inflation Reduction Act and the Tax Cuts and Jobs Act. Legislative changes include the repeal of the requirement to capitalize and amortize domestic research and development (“R&amp;D”) expenditures, providing the Company with a cash tax benefit. The Company continues to assess the broader impacts of the OBBBA.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for information regarding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Management’s Discussion and Analysis of Financial Condition and Results of Operations included in our Annual Report on Form 10-K for the year ended December 31, 2024 (“Annual Report”) as filed on February 24, 2025 with the U.S. Securities and Exchange Commission (“SEC”) and the Notes to Condensed Consolidated Financial Statements included elsewhere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making acquisitions, including receiving the necessary regulatory approvals (including clearance under the Hart-Scott-Rodino Act in the U.S. and similar antitrust regulations in foreign countries), and successfully integrating acquired businesses;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liabilities associated with future acquisitions;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data security breaches, network disruptions, and cybersecurity events, including any litigation arising therefrom;</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new data privacy laws and regulations,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our international sales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imposed by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litigation, and insurance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business with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government contracts;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labor, energy, raw materials, parts, and components, including as a result of inflation or potential supply chain constraints;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our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changing U.S. and foreign trade policies, including increased trade restrictions or tariffs (including repeal of the United States-Mexico-Canada Agreement);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costs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or change in, government regulations (including tax);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caused by armed conflicts (such as the war in Ukraine and the conflicts in the Middle East), terrorist attacks, health crises, or other unforeseen geopolitical events;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discussed in other reports we file with the SEC from time to time.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enabling continuous improvement in the operating performance of our businesses and by acquiring other businesses that offer high value-added software, services, technology-enabled products, and solutions that we believe are capable of realizing growth while maintaining high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six months ended June 30, 2025 to the items that we disclosed as our critical accounting policies and estimates in “Item 7.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new accounting pronouncements is included in Note 2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percentages are of net revenues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9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r>
      <w:tr>
        <w:trPr>
          <w:trHeight w:val="225"/>
        </w:trPr>
        <w:tc>
          <w:tcPr>
            <w:tcW w:w="4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1,827.0</w:t>
            </w: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735.0</w:t>
            </w:r>
          </w:p>
        </w:tc>
      </w:tr>
      <w:tr>
        <w:trPr>
          <w:trHeight w:val="229"/>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835.5</w:t>
            </w:r>
          </w:p>
        </w:tc>
      </w:tr>
      <w:tr>
        <w:trPr>
          <w:trHeight w:val="248"/>
        </w:trPr>
        <w:tc>
          <w:tcPr>
            <w:tcW w:w="4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3,397.5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r>
      <w:tr>
        <w:trPr>
          <w:trHeight w:val="203"/>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3"/>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03"/>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administrative expenses *</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investments gain (loss), net</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unallocated corporate general and administrative expenses and enterprise-wide stock-based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the Three Months Ended June 30, 2024</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June 30, 2025 were $1,943.6 as compared to $1,716.8 for the three months ended June 30, 2024, an increase of 13.2%. The components of revenue growth for the three months ended June 30, 2025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Technology Enabled</w:t>
            </w:r>
          </w:p>
        </w:tc>
        <w:tc>
          <w:tcPr>
            <w:tcW w:w="15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60" w:type="dxa"/>
            <w:vAlign w:val="bottom"/>
            <w:gridSpan w:val="2"/>
            <w:vMerge w:val="continue"/>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 of:</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Application Software segment, net revenues in the second quarter of 2025 grew 17.5% to $1,094.9 as compared to $931.8 in the second quarter of 2024, led by acquisition contribution from Transact and CentralReach. The growth of 6.5% in organic revenues was broad-based across the segment, led by our businesses serving the acute healthcare, property and casualty insurance, and legal markets. Gross margin remained consistent at 68.8% in both the second quarter of 2025 and 2024 due primarily to improved leverage on higher organic revenues, offset by a lower gross margin profile associated with the higher payments revenue mix at Transact. SG&amp;A expenses as a percentage of net revenues remained consistent at 41.9% in both the second quarter of 2025 and 2024 due primarily to operating leverage on higher organic revenues, offset by higher amortization of acquired intangibles from the acquisition of CentralReach. As a result, operating margin was 26.9% in both the second quarter of 2025 and 2024.</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Network Software segment, net revenues in the second quarter of 2025 grew 5.8% to $385.4 as compared to $364.2 in the second quarter of 2024. The growth of 4.7% in organic revenues was led by our network software businesses serving the construction, freight match, and alternate site healthcare markets, partially offset by a decline in our media and entertainment software business primarily related to end-market conditions. Gross margin decreased to 83.2% in the second quarter of 2025 as compared to 84.5% in the second quarter of 2024 due primarily to revenue mix. SG&amp;A expenses as a percentage of net revenues decreased to 39.3% in the second quarter of 2025 as compared to 40.8% in the second quarter of 2024 due primarily to operating leverage on higher organic revenues. As a result, operating margin was 43.9% in the second quarter of 2025 as compared to 43.7% in the first quarter of 2024.</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Technology Enabled Products segment, net revenues in the second quarter of 2025 grew 10.1% to $463.3 as compared to $420.8 in the second quarter of 2024. The growth of 9.1% in organic revenues was broad-based across the segment, led by our medical products businesses and our water meter technology business. Gross margin increased to 58.6% in the second quarter of 2025 as compared to 58.1% in the second quarter of 2024 due primarily to improved leverage on higher organic revenues and revenue mix. SG&amp;A expenses as a percentage of net revenues remained relatively consistent at 23.1% in the second quarter of 2025 as compared to 23.2% in the second quarter of 2024. The resulting operating margin was 35.4% in the second quarter of 2025 as compared to 34.9% in the second quarter of 2024.</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increased to $79.7, or 4.1% of net revenues, in the second quarter of 2025 as compared to $62.7, or 3.7% of net revenues, in the second quarter of 2024. The dollar increase was due primarily to higher compensation and acquisition-related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to $79.1 for the second quarter of 2025 as compared to $67.5 for the second quarter of 2024 due primarily to a higher weighted-average fixed-rate debt balance and interest rate, partially offset by a lower weighted-average revolving credit facility balance and interest rate.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investments activity, net, was a gain of $16.6 in the second quarter of 2025 due to an $11.5 increase in the fair value of our equity investment in Indicor and $5.1 of dividend distributions received from Indicor. Equity investments activity, net, was a loss of $0.8 in the second quarter of 2024 due primarily to a $9.3 decrease in the fair value of our equity investment in Indicor, offset by $8.4 of dividend distributions received from Indicor. Changes in the fair value of our Indicor investment are primarily due to fluctuations in the equity values of comparable guideline public companies.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as a percentage of pretax earnings increased to 22.0% for the second quarter of 2025 as compared to 20.7% for the second quarter of 2024, due primarily to the release of valuation allowances in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as revenue within the next 12 months as discussed in Note 11 of the Notes to Condensed Consolidated Financial Statements. Backlog increased 4.4% to $2,961.3 at June 30, 2025 as compared to $2,836.4 at June 30, 2024 due primarily to organic growth and acquisitions in our Application Software segment as well as organic growth in our Network Software segment, partially offset by a decrease in our Technology Enabled Products segment associated with the normalization of supply chain ordering patterns.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Backlog as of June 30,</w:t>
            </w:r>
          </w:p>
        </w:tc>
        <w:tc>
          <w:tcPr>
            <w:tcW w:w="134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Software</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Software</w:t>
            </w: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2,836.4</w:t>
            </w:r>
          </w:p>
        </w:tc>
      </w:tr>
      <w:tr>
        <w:trPr>
          <w:trHeight w:val="20"/>
        </w:trPr>
        <w:tc>
          <w:tcPr>
            <w:tcW w:w="6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the Six Months Ended June 30,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the six months ended June 30, 2025 were $3,826.4 as compared to $3,397.5 for the six months ended June 30, 2024, an increase of 12.6%.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revenue growth for the six months ended June 30, 2025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Technology Enabled</w:t>
            </w:r>
          </w:p>
        </w:tc>
        <w:tc>
          <w:tcPr>
            <w:tcW w:w="15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60" w:type="dxa"/>
            <w:vAlign w:val="bottom"/>
            <w:gridSpan w:val="2"/>
            <w:vMerge w:val="continue"/>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 of:</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Application Software segment, net revenues in the six months ended June 30, 2025 grew 18.4% to $2,163.1 as compared to $1,827.0 in the six months ended June 30, 2024, led by acquisition contribution from Transact, Procare, and CentralReach. The growth of 6.2% in organic revenues was broad-based across the segment, led by our businesses serving the acute healthcare, property and casualty insurance, and legal markets. Gross margin decreased to 68.1% in the six months ended June 30, 2025 as compared to 69.3% in the six months ended June 30, 2024 due primarily to a lower gross margin profile associated with the higher payments revenue mix at Transact and Procare, partially offset by operating leverage on higher organic revenues. SG&amp;A expenses as a percentage of net revenues decreased to 41.7% in the six months ended June 30, 2025 as compared to 42.5% in the six months ended June 30, 2024, due primarily to operating leverage on higher organic revenues and a lower SG&amp;A profile associated with the higher payments revenue mix at Transact and Procare. These benefits were partially offset by higher amortization of acquired intangibles from the acquisition of CentralReach. As a result, operating margin was 26.4% in the six months ended June 30, 2025 as compared to 26.9% in the six months ended June 30, 2024.</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Network Software segment, net revenues in the six months ended June 30, 2025 grew 3.6% to $761.3 as compared to $735.0 in the six months ended June 30, 2024. The growth of 2.7% in organic revenues was led by our network software businesses serving the construction and freight match markets. These increases were partially offset by a decline in our media and entertainment software business primarily related to end-market conditions. Gross margin decreased to 83.6% in the six months ended June 30, 2025 as compared to 84.9% in the six months ended June 30, 2024 due primarily to revenue mix. SG&amp;A expenses as a percentage of net revenues decreased to 39.5% in the six months ended June 30, 2025 as compared to 40.5% in the six months ended June 30, 2024 due primarily to operating leverage on higher organic revenues. As a result, operating margin was 44.1% in the six months ended June 30, 2025 as compared to 44.4%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In our Technology Enabled Products segment, net revenues in the six months ended June 30, 2025 grew 8.0% to $902.0 as compared to $835.5 in the six months ended June 30, 2024. The growth of 7.5% in organic revenues was led by our medical products businesses, highlighted by our precision measurement business, and growth in our water meter technology business. Gross margin increased to 58.6% in the six months ended June 30, 2025 as compared to 57.9% in the six months ended June 30, 2024 due primarily to improved leverage on higher organic revenues and revenue mix. SG&amp;A expenses as a percentage of net revenues decreased to 23.4% in the six months ended June 30, 2025 as compared to 24.0% in the six months ended June 30, 2024 due primarily to operating leverage on higher organic revenues. The resulting operating margin was 35.2% in the six months ended June 30, 2025 as compared to 33.9% in the six months ended June 30, 2024.</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increased to $151.0, or 3.9% of net revenues, in the six months ended June 30, 2025 as compared to $124.2, or 3.7% of net revenues, in the six months ended June 30, 2024. The dollar increase was due primarily to higher compensation expense, including higher stock-based compensation expense.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net, increased to $142.0 for the six months ended June 30, 2025 as compared to $120.7 for the six months ended June 30, 2024 due primarily to a higher weighted-average fixed-rate debt balance and interest rate, partially offset by a lower weighted-average revolving credit facility balance.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investments activity, net, was a loss of $27.8 in the six months ended June 30, 2025 due primarily to a $32.6 decrease in the fair value of our equity investment in Indicor, partially offset by $5.1 of dividend distributions received from Indicor. Equity investments activity, net, was a gain of $56.2 in the six months ended June 30, 2024 due primarily to a $55.1 increase in the fair value of our equity investment in Indicor. Changes in the fair value of our Indicor investment are primarily due to fluctuations in the equity values of comparable guideline public companies.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as a percentage of pretax earnings increased to 21.5% for the six months ended June 30, 2025 as compared to 20.9% for the six months ended June 30, 2024, due primarily to the release of valuation allowances in 2024, partially offset by increased stock-based compensation tax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cash flows for the six months ended June 30, 2025 and 2024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r>
      <w:tr>
        <w:trPr>
          <w:trHeight w:val="223"/>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140" w:type="dxa"/>
            <w:vAlign w:val="bottom"/>
          </w:tcPr>
          <w:p>
            <w:pPr>
              <w:spacing w:after="0"/>
              <w:rPr>
                <w:sz w:val="19"/>
                <w:szCs w:val="19"/>
                <w:color w:val="auto"/>
              </w:rPr>
            </w:pP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w:t>
            </w:r>
          </w:p>
        </w:tc>
      </w:tr>
      <w:tr>
        <w:trPr>
          <w:trHeight w:val="230"/>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r>
    </w:tbl>
    <w:p>
      <w:pPr>
        <w:spacing w:after="0" w:line="3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Operating activities – Net cash provided by operating activities increased by 2% to $932.8 in the six months ended June 30, 2025 as compared to $915.6 in the six months ended June 30, 2024 primarily due to higher net earnings net of non-cash expenses, and a benefit to cash income taxes paid of approximately $60 in the second quarter of 2025 in connection with the repeal of the requirement to capitalize and amortize domestic R&amp;D expenditures under Internal Revenue Code Section 174. These increases were partially offset by less cash provided by net working capital primarily related to changes in the balances of accounts receivable and accrued expenses, including the payment of $24.0 related to settled litigation, and $30.2 of cash taxes paid in 2025 associated with our sale of the equity investment in Certinia in 2024.</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 Cash used in investing activities during the six months ended June 30, 2025 was primarily for the acquisitions of CentralReach, Muni-Link, and Outgo. Cash used in investing activities during the six months ended June 30, 2024 was primarily for the acquisition of Procare.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 Cash provided by financing activities during the six months ended June 30, 2025 was primarily from net borrowings under our unsecured revolving credit facility to fund the acquisition of CentralReach, and net proceeds from stock-based compensation, partially offset by dividend payments. Cash provided by financing activities during the six months ended June 30, 2024 was primarily from net borrowings under our unsecured revolving credit facility to fund the acquisition of Procare, and net proceeds from stock-based compensation, partially offset by dividend payments.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debt consisted of the following:</w:t>
            </w: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500"/>
        </w:trPr>
        <w:tc>
          <w:tcPr>
            <w:tcW w:w="8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June 30, 2025</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senior notes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34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3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8,859.0</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deferred financing costs</w:t>
            </w: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on borrowings under the $3,500.0 unsecured revolving credit facility is calculated based upon various recognized indices plus a margin as defined in the credit agreement. At June 30, 2025, we had $1,400.0 of borrowings outstanding under our unsecured revolving credit facility and $7.0 of outstanding letters of credit. Subsequent to June 30, 2025, our acquisitions of Subsplash on July 25, 2025, Orchard Software on July 28, 2025, and Convoy on July 30, 2025 were funded using borrowings under our unsecured revolving credit facility.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our total cash and cash equivalents, amounts held at our foreign subsidiaries represented 71.2% or $172.5 at June 30, 2025 as compared to 69.5% or $130.8 at December 31, 2024. The increase in foreign cash was due primarily to the cash generated at our foreign subsidiaries during the six months ended June 30, 2025, partially offset by cash repatriation of $135.7. We intend to repatriate substantially all historical and future earnings.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existing cash balances, together with cash generated by our operations and amounts available under our credit facility, will be sufficient to fund our operating requirements for the foreseeable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related to our unsecured credit facility throughout the six months ended June 30, 2025.</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working capital (total current assets, excluding cash, less total current liabilities, excluding debt) was negative $1,152.8 at June 30, 2025 as compared to negative $1,434.6 at December 31, 2024. The change in net working capital was primarily driven by the reduction in deferred revenue predominantly due to the timing of SaaS renewals associated with Frontline, the timing of payments associated with incentive compensation, changes in tax-related balances, and the payment for settled litigation, partially offset by a decrease in accounts receivable. Total debt, net of deferred financing costs was $8,859.0 at June 30, 2025 as compared to $7,623.0 at December 31, 2024. Our leverage is presented in the following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8"/>
                <w:szCs w:val="18"/>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5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8,859.0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7,623.0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4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8,616.6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7,434.8</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19,633.9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18,867.6</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28,250.5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26,302.4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 Total net capital</w:t>
            </w:r>
          </w:p>
        </w:tc>
        <w:tc>
          <w:tcPr>
            <w:tcW w:w="4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$26.0 for the six months ended June 30, 2025 as compared to $15.9 for the six months ended June 30, 2024. Capitalized software expenditures were $26.8 for the six months ended June 30, 2025 as compared to $20.5 for the six months ended June 30, 2024. We expect the aggregate of capital expenditures and capitalized software expenditures for 2025 to be comparable to prior years as a percentage of net revenues.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enactment of the OBBBA on July 4, 2025 introduced various tax reform provisions, among which include the repeal of the requirement to capitalize and amortize domestic R&amp;D expenditures. Currently, the OBBBA is expected to provide a full year 2025 cash tax benefit of approximately $150, with a cash tax benefit of approximately $120 expected in 2026. We continue to assess the broader impacts of the OBBBA.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geopolitical and economic uncertainties, including inflation, tariffs and changes in trade policy, supply chain disruptions, and labor shortages, could adversely affect our business prospects. An armed conflict (such as the ongoing war in Ukraine, as well as the conflicts in the Middle East), significant terrorist attack, other global conflict, widespread cybersecurity event or information technology failure,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agreements, future cash flows from operations, future divestitures, the proceeds from the issuance of new debt or equity securities, or any combination of these methods, the terms and availability of which will be subject to market and economic conditions generally.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the impact of the aforementioned geopolitical and economic uncertainties, and the financial markets generally. None of these factors can be predicted with certainty.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in our Annual Report. There were no material changes during the six months ended June 30,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we have evaluated the effectiveness of the design and operation of our disclosure controls and procedures as of the end of the period covered by this Quarterly Report on Form 10-Q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Note 9 of the Notes to Condensed Consolidated Financial Statements included elsewhere in this Quarterly Report on Form 10-Q and is incorporated by reference herein.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risk factors can be found in “Management’s Discussion and Analysis of Financial Condition and Results of Operations – Information About Forward-Looking Statements,” in Part I, Item 2 of this Form 10-Q and in Part I, Item 1A of our 2024 Annual Report on Form 10-K. There have been no material changes during the six months ended June 30, 2025 to the risk factors reported in our 2024 Annual Report on Form 10-K.</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15, 2025, the Company transferred 12,930 shares of common stock from treasury stock as equity consideration in connection with our acquisition of Outgo. The transaction was exempt from registration under Section 4(a)(2) of the Securities Act of 1933, as amended.</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6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First Amendment to Roper Technologies, Inc. Director Compensation Plan, filed herewith.</w:t>
            </w:r>
          </w:p>
        </w:tc>
        <w:tc>
          <w:tcPr>
            <w:tcW w:w="620" w:type="dxa"/>
            <w:vAlign w:val="bottom"/>
          </w:tcPr>
          <w:p>
            <w:pPr>
              <w:spacing w:after="0"/>
              <w:rPr>
                <w:sz w:val="17"/>
                <w:szCs w:val="17"/>
                <w:color w:val="auto"/>
              </w:rPr>
            </w:pPr>
          </w:p>
        </w:tc>
      </w:tr>
      <w:tr>
        <w:trPr>
          <w:trHeight w:val="46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Non-Employee Director Unrestricted Stock Award Agreement, filed herewith.</w:t>
            </w:r>
          </w:p>
        </w:tc>
      </w:tr>
      <w:tr>
        <w:trPr>
          <w:trHeight w:val="46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6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Chief Executive Officer, filed herewith.</w:t>
            </w:r>
          </w:p>
        </w:tc>
        <w:tc>
          <w:tcPr>
            <w:tcW w:w="900" w:type="dxa"/>
            <w:vAlign w:val="bottom"/>
            <w:gridSpan w:val="2"/>
          </w:tcPr>
          <w:p>
            <w:pPr>
              <w:spacing w:after="0"/>
              <w:rPr>
                <w:sz w:val="24"/>
                <w:szCs w:val="24"/>
                <w:color w:val="auto"/>
              </w:rPr>
            </w:pPr>
          </w:p>
        </w:tc>
      </w:tr>
      <w:tr>
        <w:trPr>
          <w:trHeight w:val="42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61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 filed herewith.</w:t>
            </w:r>
          </w:p>
        </w:tc>
        <w:tc>
          <w:tcPr>
            <w:tcW w:w="40" w:type="dxa"/>
            <w:vAlign w:val="bottom"/>
            <w:tcBorders>
              <w:top w:val="single" w:sz="8" w:color="0000FF"/>
            </w:tcBorders>
          </w:tcPr>
          <w:p>
            <w:pPr>
              <w:spacing w:after="0"/>
              <w:rPr>
                <w:sz w:val="24"/>
                <w:szCs w:val="24"/>
                <w:color w:val="auto"/>
              </w:rPr>
            </w:pPr>
          </w:p>
        </w:tc>
        <w:tc>
          <w:tcPr>
            <w:tcW w:w="1000" w:type="dxa"/>
            <w:vAlign w:val="bottom"/>
            <w:gridSpan w:val="3"/>
          </w:tcPr>
          <w:p>
            <w:pPr>
              <w:spacing w:after="0"/>
              <w:rPr>
                <w:sz w:val="24"/>
                <w:szCs w:val="24"/>
                <w:color w:val="auto"/>
              </w:rPr>
            </w:pPr>
          </w:p>
        </w:tc>
      </w:tr>
      <w:tr>
        <w:trPr>
          <w:trHeight w:val="42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7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the Chief Executive and Chief Financial Officers, furnished herewith.</w:t>
            </w:r>
          </w:p>
        </w:tc>
      </w:tr>
      <w:tr>
        <w:trPr>
          <w:trHeight w:val="46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101.INS</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4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101.DEF</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4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101.PRE</w:t>
            </w:r>
          </w:p>
        </w:tc>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11" w:lineRule="exact"/>
        <w:rPr>
          <w:sz w:val="20"/>
          <w:szCs w:val="20"/>
          <w:color w:val="auto"/>
        </w:rPr>
      </w:pPr>
    </w:p>
    <w:p>
      <w:pPr>
        <w:ind w:left="1240" w:hanging="548"/>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56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07"/>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 Neil Hunn</w:t>
            </w:r>
          </w:p>
        </w:tc>
        <w:tc>
          <w:tcPr>
            <w:tcW w:w="5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August 1, 2025</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Neil Hunn</w:t>
            </w:r>
          </w:p>
        </w:tc>
        <w:tc>
          <w:tcPr>
            <w:tcW w:w="5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20"/>
                <w:szCs w:val="20"/>
                <w:color w:val="auto"/>
              </w:rPr>
            </w:pPr>
          </w:p>
        </w:tc>
      </w:tr>
      <w:tr>
        <w:trPr>
          <w:trHeight w:val="353"/>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Jason P. Conley</w:t>
            </w:r>
          </w:p>
        </w:tc>
        <w:tc>
          <w:tcPr>
            <w:tcW w:w="5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9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August 1, 2025</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P. Conley</w:t>
            </w:r>
          </w:p>
        </w:tc>
        <w:tc>
          <w:tcPr>
            <w:tcW w:w="5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80" w:type="dxa"/>
            <w:vAlign w:val="bottom"/>
          </w:tcPr>
          <w:p>
            <w:pPr>
              <w:spacing w:after="0"/>
              <w:rPr>
                <w:sz w:val="20"/>
                <w:szCs w:val="20"/>
                <w:color w:val="auto"/>
              </w:rPr>
            </w:pPr>
          </w:p>
        </w:tc>
      </w:tr>
      <w:tr>
        <w:trPr>
          <w:trHeight w:val="340"/>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Brandon Cross</w:t>
            </w:r>
          </w:p>
        </w:tc>
        <w:tc>
          <w:tcPr>
            <w:tcW w:w="5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19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August 1, 2025</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Brandon Cross</w:t>
            </w:r>
          </w:p>
        </w:tc>
        <w:tc>
          <w:tcPr>
            <w:tcW w:w="5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8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ROPER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 COMPENSATION PLAN (which was effective June 14, 2021)</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First Amendment to the Roper Technologies, Inc. Director Compensation Plan (the “Plan”) is made effective on June 9, 2025.</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Schedule I of the Plan shall be amended and restated as set forth below:</w:t>
      </w:r>
    </w:p>
    <w:p>
      <w:pPr>
        <w:spacing w:after="0" w:line="2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DIRECTOR COMPENSATION SCHEDULE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Base Annual Cash Retainer (all Directors): </w:t>
      </w:r>
      <w:r>
        <w:rPr>
          <w:rFonts w:ascii="Times New Roman" w:cs="Times New Roman" w:eastAsia="Times New Roman" w:hAnsi="Times New Roman"/>
          <w:sz w:val="20"/>
          <w:szCs w:val="20"/>
          <w:color w:val="auto"/>
        </w:rPr>
        <w:t>$60,000.</w:t>
      </w:r>
    </w:p>
    <w:p>
      <w:pPr>
        <w:spacing w:after="0" w:line="26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A Non-Employee Director may elect to accept all of her/his base annual cash retainer for the Plan Year in a Stock-Based Award by making an election within fifteen trading days following the release of second quarter earnings of the then current calendar year. The number of shares associated with the Stock-Based Award shall be calculated using the closing price of the Stock (rounded down to the nearest share) on the respective date of grant. Fifty percent of Stock-Based Award, valued at $30,000, shall be granted on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(or, if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is not a trading day, the closest trading day to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and the remaining fifty-percent of the Stock-Based Award, valued at $30,000, shall be granted on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(or, if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is not a trading day, the closest trading day to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Such Stock-Based Awards shall be vested at the time of the award.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Annual Cash Retainers: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 of Audit Committee: $5,000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 of Compensation Committee: $5,000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 of Nominating and Corporate Governance Committee: $5,000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Independent Chair of the Board: $125,000</w:t>
      </w:r>
    </w:p>
    <w:p>
      <w:pPr>
        <w:spacing w:after="0" w:line="2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 Non-Employee Director may elect to accept all of her/his supplemental annual cash retainer for the Plan Year in a Stock-Based Award by making an election within fifteen trading days following the release of second quarter earnings of the then current calendar year. The number of shares associated with the Stock-Based Award shall be calculated using the closing price of the Stock (rounded down to the nearest share) on the respective date of grant. Fifty percent of Stock-Based Award, valued at fifty-percent of the applicable retainer, shall be granted on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(or, if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is not a trading day, the closest trading day to September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and the remaining fifty-percent of the Stock-Based Award, valued at fifty-percent of the applicable retainer) shall be granted on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(or, if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is not a trading day, the closest trading day to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Such Stock-Based Awards shall be vested at the time of the award.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Meeting Fees: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fees for Board meetings or Committee meetings.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Award of Restricted Stock Units or Restricted Stock:</w:t>
      </w:r>
    </w:p>
    <w:p>
      <w:pPr>
        <w:spacing w:after="0" w:line="2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number of RSUs or Shares of Restricted Stock that equal an economic value of $385,000 measured by using the closing price for the Stock on the date of grant (rounded down to the nearest share).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All other terms and conditions of the Plan shall remain in full force and effect.</w:t>
      </w:r>
    </w:p>
    <w:p>
      <w:pPr>
        <w:spacing w:after="0" w:line="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/s/ John K. Stipancich</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John K. Stipancich</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Corporate Secretary</w:t>
      </w:r>
    </w:p>
    <w:p>
      <w:pPr>
        <w:sectPr>
          <w:pgSz w:w="11900" w:h="16838" w:orient="portrait"/>
          <w:cols w:equalWidth="0" w:num="1">
            <w:col w:w="11240"/>
          </w:cols>
          <w:pgMar w:left="320" w:top="10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Incentive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UNRESTRICTED STOCK AWARD AGREEMENT</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Pursuant to this Unrestricted Stock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Roper Technologies, Inc. 2021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Roper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pursuant to Article 10 of the Plan, an Award of Unrestricted Stock to the following identified Grantee in consideration of the Grantee’s service as a Non-Employee Director with the following specified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Non-Employee Director</w:t>
      </w:r>
      <w:r>
        <w:rPr>
          <w:rFonts w:ascii="Times New Roman" w:cs="Times New Roman" w:eastAsia="Times New Roman" w:hAnsi="Times New Roman"/>
          <w:sz w:val="22"/>
          <w:szCs w:val="22"/>
          <w:color w:val="auto"/>
        </w:rPr>
        <w:t>: 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Number of Shares of Unrestricted Stock</w:t>
      </w:r>
      <w:r>
        <w:rPr>
          <w:rFonts w:ascii="Times New Roman" w:cs="Times New Roman" w:eastAsia="Times New Roman" w:hAnsi="Times New Roman"/>
          <w:sz w:val="22"/>
          <w:szCs w:val="22"/>
          <w:color w:val="auto"/>
        </w:rPr>
        <w:t>: ________________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Shares are fully vested on the Grant Date.</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Capitalized terms used in this Award Agreement, unless otherwise defined, shall have the meanings set forth in the Plan.</w:t>
      </w:r>
    </w:p>
    <w:p>
      <w:pPr>
        <w:spacing w:after="0" w:line="268" w:lineRule="exact"/>
        <w:rPr>
          <w:sz w:val="20"/>
          <w:szCs w:val="20"/>
          <w:color w:val="auto"/>
        </w:rPr>
      </w:pPr>
    </w:p>
    <w:p>
      <w:pPr>
        <w:jc w:val="both"/>
        <w:ind w:firstLine="656"/>
        <w:spacing w:after="0" w:line="304"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of a Stockholder</w:t>
      </w:r>
      <w:r>
        <w:rPr>
          <w:rFonts w:ascii="Times New Roman" w:cs="Times New Roman" w:eastAsia="Times New Roman" w:hAnsi="Times New Roman"/>
          <w:sz w:val="22"/>
          <w:szCs w:val="22"/>
          <w:color w:val="auto"/>
        </w:rPr>
        <w:t>. As of the Grant Date, the grantee shall have all of the rights of a stockholder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 respect to the Shares (including voting rights and the right to receive dividends and other distributions). The Company may evidence the Grantee’s Shares by using a book entry account with the Company’s transfer agent.</w:t>
      </w:r>
    </w:p>
    <w:p>
      <w:pPr>
        <w:spacing w:after="0" w:line="159" w:lineRule="exact"/>
        <w:rPr>
          <w:rFonts w:ascii="Times New Roman" w:cs="Times New Roman" w:eastAsia="Times New Roman" w:hAnsi="Times New Roman"/>
          <w:sz w:val="22"/>
          <w:szCs w:val="22"/>
          <w:b w:val="1"/>
          <w:bCs w:val="1"/>
          <w:color w:val="auto"/>
        </w:rPr>
      </w:pPr>
    </w:p>
    <w:p>
      <w:pPr>
        <w:ind w:firstLine="656"/>
        <w:spacing w:after="0" w:line="313"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This Award Agreement does not give the Grantee a right to continued service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Non-Employee Director.</w:t>
      </w:r>
    </w:p>
    <w:p>
      <w:pPr>
        <w:spacing w:after="0" w:line="150" w:lineRule="exact"/>
        <w:rPr>
          <w:rFonts w:ascii="Times New Roman" w:cs="Times New Roman" w:eastAsia="Times New Roman" w:hAnsi="Times New Roman"/>
          <w:sz w:val="22"/>
          <w:szCs w:val="22"/>
          <w:b w:val="1"/>
          <w:bCs w:val="1"/>
          <w:color w:val="auto"/>
        </w:rPr>
      </w:pPr>
    </w:p>
    <w:p>
      <w:pPr>
        <w:jc w:val="both"/>
        <w:ind w:firstLine="656"/>
        <w:spacing w:after="0" w:line="304"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59" w:lineRule="exact"/>
        <w:rPr>
          <w:rFonts w:ascii="Times New Roman" w:cs="Times New Roman" w:eastAsia="Times New Roman" w:hAnsi="Times New Roman"/>
          <w:sz w:val="22"/>
          <w:szCs w:val="22"/>
          <w:b w:val="1"/>
          <w:bCs w:val="1"/>
          <w:color w:val="auto"/>
        </w:rPr>
      </w:pPr>
    </w:p>
    <w:p>
      <w:pPr>
        <w:ind w:firstLine="656"/>
        <w:spacing w:after="0" w:line="313"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terms of this Award Agreement shall be binding upon and inure to the benefit of the heirs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or distributees of the Grantee’s estate and any successor to the Company.</w:t>
      </w:r>
    </w:p>
    <w:p>
      <w:pPr>
        <w:sectPr>
          <w:pgSz w:w="11900" w:h="16838" w:orient="portrait"/>
          <w:cols w:equalWidth="0" w:num="1">
            <w:col w:w="11240"/>
          </w:cols>
          <w:pgMar w:left="320" w:top="1431" w:right="339" w:bottom="1440" w:gutter="0" w:footer="0" w:header="0"/>
        </w:sectPr>
      </w:pPr>
    </w:p>
    <w:bookmarkStart w:id="30" w:name="page31"/>
    <w:bookmarkEnd w:id="30"/>
    <w:p>
      <w:pPr>
        <w:ind w:firstLine="656"/>
        <w:spacing w:after="0" w:line="313" w:lineRule="auto"/>
        <w:tabs>
          <w:tab w:leader="none" w:pos="1296"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 without regard to its conflict of law principles.</w:t>
      </w:r>
    </w:p>
    <w:p>
      <w:pPr>
        <w:spacing w:after="0" w:line="15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p>
    <w:p>
      <w:pPr>
        <w:spacing w:after="0" w:line="61"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signature), the Grantee acknowledges receipt and acceptance of the Award, agrees to the terms of the Award, and indicates the Grantee’s intention to be bound by this Award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1104089598\1\</w:t>
      </w:r>
    </w:p>
    <w:p>
      <w:pPr>
        <w:sectPr>
          <w:pgSz w:w="11900" w:h="16838" w:orient="portrait"/>
          <w:cols w:equalWidth="0" w:num="1">
            <w:col w:w="11240"/>
          </w:cols>
          <w:pgMar w:left="320" w:top="143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Neil Hunn,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Conley, certify that:</w:t>
      </w:r>
    </w:p>
    <w:p>
      <w:pPr>
        <w:spacing w:after="0" w:line="252"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44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7"/>
          <w:szCs w:val="17"/>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2321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2150" cy="17145"/>
                    </a:xfrm>
                    <a:prstGeom prst="rect">
                      <a:avLst/>
                    </a:prstGeom>
                    <a:noFill/>
                  </pic:spPr>
                </pic:pic>
              </a:graphicData>
            </a:graphic>
          </wp:anchor>
        </w:drawing>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Roper Technologies, Inc. (the “Company”) on Form 10-Q for the period ended June 30, 2025,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spacing w:after="0" w:line="20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2025-08-01T16:15:58Z</dcterms:created>
  <dcterms:modified xsi:type="dcterms:W3CDTF">2025-08-01T16:15:58Z</dcterms:modified>
</cp:coreProperties>
</file>