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4" w:lineRule="exact"/>
        <w:rPr>
          <w:sz w:val="24"/>
          <w:szCs w:val="24"/>
          <w:color w:val="auto"/>
        </w:rPr>
      </w:pPr>
    </w:p>
    <w:p>
      <w:pPr>
        <w:ind w:left="660" w:hanging="61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0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quarterly period ended March 31, 2022.</w:t>
      </w:r>
    </w:p>
    <w:p>
      <w:pPr>
        <w:spacing w:after="0" w:line="50" w:lineRule="exact"/>
        <w:rPr>
          <w:sz w:val="24"/>
          <w:szCs w:val="24"/>
          <w:color w:val="auto"/>
        </w:rPr>
      </w:pPr>
    </w:p>
    <w:p>
      <w:pPr>
        <w:ind w:left="640" w:hanging="569"/>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77"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80" w:type="dxa"/>
            <w:vAlign w:val="bottom"/>
          </w:tcPr>
          <w:p>
            <w:pPr>
              <w:spacing w:after="0"/>
              <w:rPr>
                <w:sz w:val="17"/>
                <w:szCs w:val="17"/>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w:t>
            </w:r>
          </w:p>
        </w:tc>
        <w:tc>
          <w:tcPr>
            <w:tcW w:w="210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79"/>
        </w:trPr>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Commission File Number</w:t>
            </w:r>
          </w:p>
        </w:tc>
        <w:tc>
          <w:tcPr>
            <w:tcW w:w="328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1-12273</w:t>
            </w:r>
          </w:p>
        </w:tc>
      </w:tr>
      <w:tr>
        <w:trPr>
          <w:trHeight w:val="306"/>
        </w:trPr>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gridSpan w:val="3"/>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9"/>
              </w:rPr>
              <w:t>ROPER TECHNOLOGIES, INC.</w:t>
            </w:r>
          </w:p>
        </w:tc>
      </w:tr>
      <w:tr>
        <w:trPr>
          <w:trHeight w:val="234"/>
        </w:trPr>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6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8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234"/>
        </w:trPr>
        <w:tc>
          <w:tcPr>
            <w:tcW w:w="540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540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6901 Professional Parkway, Suite 200</w:t>
            </w:r>
          </w:p>
        </w:tc>
        <w:tc>
          <w:tcPr>
            <w:tcW w:w="3280" w:type="dxa"/>
            <w:vAlign w:val="bottom"/>
          </w:tcPr>
          <w:p>
            <w:pPr>
              <w:spacing w:after="0"/>
              <w:rPr>
                <w:sz w:val="24"/>
                <w:szCs w:val="24"/>
                <w:color w:val="auto"/>
              </w:rPr>
            </w:pPr>
          </w:p>
        </w:tc>
      </w:tr>
      <w:tr>
        <w:trPr>
          <w:trHeight w:val="233"/>
        </w:trPr>
        <w:tc>
          <w:tcPr>
            <w:tcW w:w="28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Sarasota, Florida</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234"/>
        </w:trPr>
        <w:tc>
          <w:tcPr>
            <w:tcW w:w="540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(941) 556-2601</w:t>
            </w:r>
          </w:p>
        </w:tc>
        <w:tc>
          <w:tcPr>
            <w:tcW w:w="328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60" w:type="dxa"/>
            <w:vAlign w:val="bottom"/>
            <w:gridSpan w:val="5"/>
          </w:tcPr>
          <w:p>
            <w:pPr>
              <w:jc w:val="center"/>
              <w:ind w:right="18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ROP</w:t>
            </w:r>
          </w:p>
        </w:tc>
        <w:tc>
          <w:tcPr>
            <w:tcW w:w="18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3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5" w:right="339" w:bottom="1440" w:gutter="0" w:footer="0" w:header="0"/>
        </w:sectPr>
      </w:pPr>
    </w:p>
    <w:p>
      <w:pPr>
        <w:spacing w:after="0" w:line="80"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153" w:lineRule="exact"/>
        <w:rPr>
          <w:sz w:val="24"/>
          <w:szCs w:val="24"/>
          <w:color w:val="auto"/>
        </w:rPr>
      </w:pPr>
    </w:p>
    <w:p>
      <w:pPr>
        <w:sectPr>
          <w:pgSz w:w="11900" w:h="16838" w:orient="portrait"/>
          <w:cols w:equalWidth="0" w:num="4">
            <w:col w:w="180" w:space="120"/>
            <w:col w:w="5600" w:space="720"/>
            <w:col w:w="160" w:space="180"/>
            <w:col w:w="4280"/>
          </w:cols>
          <w:pgMar w:left="320" w:top="995" w:right="339" w:bottom="1440" w:gutter="0" w:footer="0" w:header="0"/>
          <w:type w:val="continuous"/>
        </w:sect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54" w:lineRule="exact"/>
        <w:rPr>
          <w:sz w:val="24"/>
          <w:szCs w:val="24"/>
          <w:color w:val="auto"/>
        </w:rPr>
      </w:pPr>
    </w:p>
    <w:p>
      <w:pPr>
        <w:sectPr>
          <w:pgSz w:w="11900" w:h="16838" w:orient="portrait"/>
          <w:cols w:equalWidth="0" w:num="4">
            <w:col w:w="180" w:space="120"/>
            <w:col w:w="5600" w:space="720"/>
            <w:col w:w="160" w:space="180"/>
            <w:col w:w="4280"/>
          </w:cols>
          <w:pgMar w:left="320" w:top="995" w:right="339" w:bottom="1440" w:gutter="0" w:footer="0" w:header="0"/>
          <w:type w:val="continuous"/>
        </w:sectPr>
      </w:pPr>
    </w:p>
    <w:p>
      <w:pPr>
        <w:ind w:left="66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0" w:lineRule="exact"/>
        <w:rPr>
          <w:sz w:val="24"/>
          <w:szCs w:val="24"/>
          <w:color w:val="auto"/>
        </w:rPr>
      </w:pPr>
    </w:p>
    <w:p>
      <w:pPr>
        <w:sectPr>
          <w:pgSz w:w="11900" w:h="16838" w:orient="portrait"/>
          <w:cols w:equalWidth="0" w:num="2">
            <w:col w:w="6780" w:space="180"/>
            <w:col w:w="4280"/>
          </w:cols>
          <w:pgMar w:left="320" w:top="995" w:right="339" w:bottom="1440" w:gutter="0" w:footer="0" w:header="0"/>
          <w:type w:val="continuous"/>
        </w:sectPr>
      </w:pPr>
    </w:p>
    <w:p>
      <w:pPr>
        <w:spacing w:after="0" w:line="1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8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shares outstanding of the registrant’s common stock as of April 29, 2022 was 105,912,655.</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840" w:type="dxa"/>
            <w:vAlign w:val="bottom"/>
          </w:tcPr>
          <w:p>
            <w:pPr>
              <w:spacing w:after="0"/>
              <w:rPr>
                <w:sz w:val="20"/>
                <w:szCs w:val="20"/>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 ON FORM 10-Q FOR THE QUARTERLY PERIOD ENDED MARCH 31, 2022</w:t>
            </w:r>
          </w:p>
        </w:tc>
        <w:tc>
          <w:tcPr>
            <w:tcW w:w="840" w:type="dxa"/>
            <w:vAlign w:val="bottom"/>
          </w:tcPr>
          <w:p>
            <w:pPr>
              <w:spacing w:after="0"/>
              <w:rPr>
                <w:sz w:val="24"/>
                <w:szCs w:val="24"/>
                <w:color w:val="auto"/>
              </w:rPr>
            </w:pPr>
          </w:p>
        </w:tc>
      </w:tr>
      <w:tr>
        <w:trPr>
          <w:trHeight w:val="45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4"/>
                <w:szCs w:val="24"/>
                <w:color w:val="auto"/>
              </w:rPr>
            </w:pPr>
          </w:p>
        </w:tc>
      </w:tr>
      <w:tr>
        <w:trPr>
          <w:trHeight w:val="263"/>
        </w:trPr>
        <w:tc>
          <w:tcPr>
            <w:tcW w:w="880" w:type="dxa"/>
            <w:vAlign w:val="bottom"/>
          </w:tcPr>
          <w:p>
            <w:pPr>
              <w:spacing w:after="0"/>
              <w:rPr>
                <w:sz w:val="22"/>
                <w:szCs w:val="22"/>
                <w:color w:val="auto"/>
              </w:rPr>
            </w:pPr>
          </w:p>
        </w:tc>
        <w:tc>
          <w:tcPr>
            <w:tcW w:w="9520" w:type="dxa"/>
            <w:vAlign w:val="bottom"/>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40" w:type="dxa"/>
            <w:vAlign w:val="bottom"/>
          </w:tcPr>
          <w:p>
            <w:pPr>
              <w:spacing w:after="0"/>
              <w:rPr>
                <w:sz w:val="18"/>
                <w:szCs w:val="18"/>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40" w:type="dxa"/>
            <w:vAlign w:val="bottom"/>
          </w:tcPr>
          <w:p>
            <w:pPr>
              <w:spacing w:after="0"/>
              <w:rPr>
                <w:sz w:val="24"/>
                <w:szCs w:val="24"/>
                <w:color w:val="auto"/>
              </w:rPr>
            </w:pP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Earnings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40" w:type="dxa"/>
            <w:vAlign w:val="bottom"/>
          </w:tcPr>
          <w:p>
            <w:pPr>
              <w:spacing w:after="0"/>
              <w:rPr>
                <w:sz w:val="24"/>
                <w:szCs w:val="24"/>
                <w:color w:val="auto"/>
              </w:rPr>
            </w:pP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8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86"/>
        </w:trPr>
        <w:tc>
          <w:tcPr>
            <w:tcW w:w="880" w:type="dxa"/>
            <w:vAlign w:val="bottom"/>
          </w:tcPr>
          <w:p>
            <w:pPr>
              <w:spacing w:after="0"/>
              <w:rPr>
                <w:sz w:val="24"/>
                <w:szCs w:val="24"/>
                <w:color w:val="auto"/>
              </w:rPr>
            </w:pPr>
          </w:p>
        </w:tc>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 and Subsidiaries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73"/>
        </w:trPr>
        <w:tc>
          <w:tcPr>
            <w:tcW w:w="7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r>
      <w:tr>
        <w:trPr>
          <w:trHeight w:val="230"/>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70"/>
        </w:trPr>
        <w:tc>
          <w:tcPr>
            <w:tcW w:w="772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70"/>
        </w:trPr>
        <w:tc>
          <w:tcPr>
            <w:tcW w:w="7720" w:type="dxa"/>
            <w:vAlign w:val="bottom"/>
            <w:gridSpan w:val="2"/>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50"/>
        </w:trPr>
        <w:tc>
          <w:tcPr>
            <w:tcW w:w="7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70"/>
        </w:trPr>
        <w:tc>
          <w:tcPr>
            <w:tcW w:w="772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50"/>
        </w:trPr>
        <w:tc>
          <w:tcPr>
            <w:tcW w:w="7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70"/>
        </w:trPr>
        <w:tc>
          <w:tcPr>
            <w:tcW w:w="772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7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Gain on disposition of discontinued operations, net of tax</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7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5"/>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0"/>
        </w:trPr>
        <w:tc>
          <w:tcPr>
            <w:tcW w:w="77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 from continuing operations: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96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0"/>
        </w:trPr>
        <w:tc>
          <w:tcPr>
            <w:tcW w:w="772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 from discontinued operations: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96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30"/>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70"/>
        </w:trPr>
        <w:tc>
          <w:tcPr>
            <w:tcW w:w="772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96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0"/>
        </w:trPr>
        <w:tc>
          <w:tcPr>
            <w:tcW w:w="772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bl>
    <w:p>
      <w:pPr>
        <w:spacing w:after="0" w:line="3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Roper Technologies,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57"/>
        </w:trPr>
        <w:tc>
          <w:tcPr>
            <w:tcW w:w="7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57"/>
        </w:trPr>
        <w:tc>
          <w:tcPr>
            <w:tcW w:w="7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Roper Technologies,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4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48"/>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839.4</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w:t>
            </w:r>
          </w:p>
        </w:tc>
      </w:tr>
      <w:tr>
        <w:trPr>
          <w:trHeight w:val="20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4,485.6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2,421.1</w:t>
            </w:r>
          </w:p>
        </w:tc>
      </w:tr>
      <w:tr>
        <w:trPr>
          <w:trHeight w:val="151"/>
        </w:trPr>
        <w:tc>
          <w:tcPr>
            <w:tcW w:w="8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14,094.5</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6,588.5</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w:t>
            </w:r>
          </w:p>
        </w:tc>
      </w:tr>
      <w:tr>
        <w:trPr>
          <w:trHeight w:val="237"/>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23,713.9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48"/>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1,130.2</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799.2</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r>
      <w:tr>
        <w:trPr>
          <w:trHeight w:val="20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3,121.8</w:t>
            </w:r>
          </w:p>
        </w:tc>
      </w:tr>
      <w:tr>
        <w:trPr>
          <w:trHeight w:val="151"/>
        </w:trPr>
        <w:tc>
          <w:tcPr>
            <w:tcW w:w="8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7,122.6</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1,479.5</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426.2</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12,150.1</w:t>
            </w:r>
          </w:p>
        </w:tc>
      </w:tr>
      <w:tr>
        <w:trPr>
          <w:trHeight w:val="149"/>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48"/>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2,307.8</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9,455.6</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7"/>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11,563.8</w:t>
            </w:r>
          </w:p>
        </w:tc>
      </w:tr>
      <w:tr>
        <w:trPr>
          <w:trHeight w:val="131"/>
        </w:trPr>
        <w:tc>
          <w:tcPr>
            <w:tcW w:w="8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23,713.9</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Roper Technologies,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 from continuing operations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earnings from continuing operations to cash flows from operating activities: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of property, plant and equipment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assets, net of tax</w:t>
            </w:r>
          </w:p>
        </w:tc>
        <w:tc>
          <w:tcPr>
            <w:tcW w:w="9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 excluding tax associated with gain on sale of assets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businesses: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Unbilled receivables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income taxes paid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 from continuing operations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w:t>
            </w:r>
          </w:p>
        </w:tc>
      </w:tr>
      <w:tr>
        <w:trPr>
          <w:trHeight w:val="213"/>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 from discontinued operations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r>
      <w:tr>
        <w:trPr>
          <w:trHeight w:val="108"/>
        </w:trPr>
        <w:tc>
          <w:tcPr>
            <w:tcW w:w="8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software expenditures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9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1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(used in) provided by investing activities from continuing operations</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3"/>
        </w:trPr>
        <w:tc>
          <w:tcPr>
            <w:tcW w:w="8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disposition of discontinued operations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3,006.2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used in investing activities from 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7"/>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provided by investing activities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2,938.2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111"/>
        </w:trPr>
        <w:tc>
          <w:tcPr>
            <w:tcW w:w="8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 (payments) under revolving line of credit,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dividends to stockholders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stock-based compensation,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8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sales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flows used in financing activities from continuing operations</w:t>
            </w: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(544.8)</w:t>
            </w:r>
          </w:p>
        </w:tc>
      </w:tr>
      <w:tr>
        <w:trPr>
          <w:trHeight w:val="219"/>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flows used in financing activities from 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7"/>
        </w:trPr>
        <w:tc>
          <w:tcPr>
            <w:tcW w:w="8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w:t>
            </w:r>
          </w:p>
        </w:tc>
      </w:tr>
      <w:tr>
        <w:trPr>
          <w:trHeight w:val="219"/>
        </w:trPr>
        <w:tc>
          <w:tcPr>
            <w:tcW w:w="814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6"/>
                <w:szCs w:val="16"/>
                <w:color w:val="auto"/>
              </w:rPr>
              <w:t>(Continued)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Roper Technologies, Inc. and Subsidiaries</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 Continued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62"/>
        </w:trPr>
        <w:tc>
          <w:tcPr>
            <w:tcW w:w="8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2,886.0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162"/>
        </w:trPr>
        <w:tc>
          <w:tcPr>
            <w:tcW w:w="8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r>
      <w:tr>
        <w:trPr>
          <w:trHeight w:val="145"/>
        </w:trPr>
        <w:tc>
          <w:tcPr>
            <w:tcW w:w="8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3,237.5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Roper Technologies,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7"/>
                <w:szCs w:val="7"/>
                <w:color w:val="auto"/>
              </w:rPr>
            </w:pPr>
          </w:p>
        </w:tc>
        <w:tc>
          <w:tcPr>
            <w:tcW w:w="146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200" w:type="dxa"/>
            <w:vAlign w:val="bottom"/>
          </w:tcPr>
          <w:p>
            <w:pPr>
              <w:spacing w:after="0"/>
              <w:rPr>
                <w:sz w:val="7"/>
                <w:szCs w:val="7"/>
                <w:color w:val="auto"/>
              </w:rPr>
            </w:pPr>
          </w:p>
        </w:tc>
        <w:tc>
          <w:tcPr>
            <w:tcW w:w="110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140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2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7"/>
                <w:szCs w:val="7"/>
                <w:color w:val="auto"/>
              </w:rPr>
            </w:pPr>
          </w:p>
        </w:tc>
        <w:tc>
          <w:tcPr>
            <w:tcW w:w="146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7"/>
                <w:szCs w:val="7"/>
                <w:color w:val="auto"/>
              </w:rPr>
            </w:pPr>
          </w:p>
        </w:tc>
        <w:tc>
          <w:tcPr>
            <w:tcW w:w="1100" w:type="dxa"/>
            <w:vAlign w:val="bottom"/>
            <w:gridSpan w:val="2"/>
            <w:vMerge w:val="restart"/>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Pr>
          <w:p>
            <w:pPr>
              <w:spacing w:after="0"/>
              <w:rPr>
                <w:sz w:val="7"/>
                <w:szCs w:val="7"/>
                <w:color w:val="auto"/>
              </w:rPr>
            </w:pPr>
          </w:p>
        </w:tc>
        <w:tc>
          <w:tcPr>
            <w:tcW w:w="1120" w:type="dxa"/>
            <w:vAlign w:val="bottom"/>
            <w:vMerge w:val="restart"/>
          </w:tcPr>
          <w:p>
            <w:pPr>
              <w:jc w:val="right"/>
              <w:ind w:right="399"/>
              <w:spacing w:after="0" w:line="16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11,563.8</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2,020.5</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165"/>
        </w:trPr>
        <w:tc>
          <w:tcPr>
            <w:tcW w:w="3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settlement of share-based awards in</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connection with disposition of discontinued</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13,551.9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10,479.8</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sold</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($0.5625 per share)</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8,776.0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10,765.7</w:t>
            </w: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Roper Technologies,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and share amounts are in millions, except per share data</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three months ended March 31, 2022 and 2021 are unaudited. In the opinion of management, the accompanying unaudited Condensed Consolidated Financial Statements reflect all adjustments, which include only normal recurring adjustments, necessary to state fairly the financial position, results of operations, comprehensive income and cash flows of Roper Technologies, Inc. and its subsidiaries (“Roper,” the “Company,” “we,” “our” or “us”) for all periods presented. The December 31, 2021 financial position data included herein was derived from the audited consolidated financial statements included in the Company’s 2021 Annual Report on Form 10-K (“Annual Report”) filed on February 22, 2022 with the Securities and Exchange Commission (“SEC”) but does not include all disclosures required by U.S. generally accepted accounting principles (“GAAP”).</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Roper’s management has made estimates and assumptions relating to the reporting of assets and liabilities and the disclosure of contingent assets and liabilities to prepare these Condensed Consolidated Financial Statements in conformity with GAAP. Actual results could differ from those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the Company signed definitive agreements to divest our TransCore, Zetec and CIVCO Radiotherapy businesses. As of March 31, 2022, Roper has completed all three divestitures. The financial results for these businesses are presented as discontinued operations for all periods presented. Unless otherwise noted, discussion within these notes to the Condensed Consolidated Financial Statements relate to continuing operations. Refer to Note 5 for additional information on discontinued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2022 are not necessarily indicative of the results to be expected for the full year. You should read these unaudited Condensed Consolidated Financial Statements in conjunction with Roper’s audited consolidated financial statements and the notes thereto included in its Annual Report. Certain prior period amounts have been reclassified to conform to current period presentation.</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(“FASB”) establishes changes to accounting principles under GAAP in the form of accounting standards updates (“ASUs”) to the Accounting Standards Codification (“ASC”). The Company considers the applicability and impact of all ASUs. Any recent ASUs not listed were assessed and determined to be either not applicable or are expected to have an immaterial impact on the Company’s results of operations, financial position or cash flows.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Weighted Average Shares Outstanding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were calculated using net earnings and the weighted average number of shares of common stock outstanding during the respective period. Diluted earnings per share were calculated using net earnings and the weighted average number of shares of common stock and potential common stock outstanding during the respective period. Potentially dilutive common stock consisted of stock options based upon the trading price of Roper’s common stock. The effects of potential common stock were determined using the treasury stock method. Weighted average shares outstanding are shown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9" w:name="page10"/>
    <w:bookmarkEnd w:id="9"/>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shares outstanding</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Effect of potential common stock:</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 awards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shares outstanding</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454"/>
        </w:trPr>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-633730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-334010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1170" w:right="339" w:bottom="1440" w:gutter="0" w:footer="0" w:header="0"/>
        </w:sectPr>
      </w:pP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there were 0.840 outstanding stock options, respectively, that were not included in the determination of diluted earnings per share because doing so would have been antidilutive, as compared to 0.647 outstanding stock options that would have been antidilutive in the respective 2021 period.</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Business Acquisitions and Disposition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 2022, Roper acquired the outstanding membership interests of Horizon Lab Systems, LLC, a provider of laboratory information management systems in the toxicology, environmental, public health and agricultural markets for an aggregate purchase price of $49.8. This acquisition has been integrated into our Clinisys business and its results are reported in the Application Software reportable segment. The results of operations of the acquired business are included in Roper’s Condensed Consolidated Financial Statements since the date of acquisition. Pro forma results of operations and the revenue and net income subsequent to the acquisition date has not been presented because the effects of the acquisition were not material to our financial results.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$25.6 in goodwill and $23.3 of other identifiable intangibles in connection with this acquisition. The amortizable intangible assets include customer relationships of $20.9 (15.1 year weighted average useful life) and technology of $2.4 (5.3 year weighted average useful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2021, Roper completed the sale of a minority investment in Sedaru, Inc. for $27.1. The pretax gain on the sale was $27.1, which is reported in “Other income (expense), net” in the Condensed Consolidated Statement of Earnings.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Discontinued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the Company signed definitive agreements to divest our TransCore, Zetec and CIVCO Radiotherapy businesses as described below.</w:t>
      </w:r>
    </w:p>
    <w:p>
      <w:pPr>
        <w:spacing w:after="0" w:line="252" w:lineRule="exact"/>
        <w:rPr>
          <w:sz w:val="20"/>
          <w:szCs w:val="20"/>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2022, Roper closed on the divestiture of our TransCore business to an affiliate of Singapore Technologies Engineering Ltd., for approximately $2,680.0 in cash. The sale resulted in a pretax gain of $2,073.7 and income tax expense of $550.5, which are reported within “Gain on disposition of discontinued operations, net of tax” in the Condensed Consolidated Statements of Earnings. TransCore was previously included in the Network Software &amp; Systems reportable segment.</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5, 2022, Roper closed on the divestiture of our Zetec business to Eddyfi NDT Inc. for approximately $350.0 in cash. The sale resulted in a pretax gain of $255.3 and income tax expense of $60.9, which are reported within “Gain on disposition of discontinued operations, net of tax” in the Condensed Consolidated Statements of Earnings. Zetec was previously included in the Process Technologies reportable segment.</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2021, Roper closed the divestiture of our CIVCO Radiotherapy business to an affiliate of Blue Wolf Capital Partners LLC. CIVCO Radiotherapy business was previously included in the Measurement &amp; Analytical Solutions reportable segment.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concluded these disposal activities, in the aggregate, represented a strategic shift that will have a major effect on the Company’s operations and financial results. These divestitures significantly enhance our mix of high-margin, recurring revenue businesses and notably reduce our working capital requirements. Accordingly, the financial results of the TransCore, Zetec and CIVCO Radiotherapy businesses are presented in the Condensed Consolidated Financial Statements as discontinued operations for all periods presented. Current and non-current assets and liabilities of these businesses are presented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Condensed Consolidated Balance Sheet as assets and liabilities of discontinued operations classified as held for sale at December 31, 2021.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major classes of assets and liabilities related to the discontinued operations of the TransCore, Zetec and CIVCO Radiotherapy businesses, as reported in the Condensed Consolidated Balance Sheets at December 31, 2021:</w:t>
      </w:r>
    </w:p>
    <w:p>
      <w:pPr>
        <w:sectPr>
          <w:pgSz w:w="11900" w:h="16838" w:orient="portrait"/>
          <w:cols w:equalWidth="0" w:num="1">
            <w:col w:w="11240"/>
          </w:cols>
          <w:pgMar w:left="320" w:top="891"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Unbilled receivables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Current liabilities held for sale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4"/>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r>
      <w:tr>
        <w:trPr>
          <w:trHeight w:val="421"/>
        </w:trPr>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4"/>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r>
    </w:tbl>
    <w:p>
      <w:pPr>
        <w:spacing w:after="0" w:line="200" w:lineRule="exact"/>
        <w:rPr>
          <w:sz w:val="20"/>
          <w:szCs w:val="20"/>
          <w:color w:val="auto"/>
        </w:rPr>
      </w:pPr>
    </w:p>
    <w:p>
      <w:pPr>
        <w:sectPr>
          <w:pgSz w:w="11900" w:h="16838" w:orient="portrait"/>
          <w:cols w:equalWidth="0" w:num="2">
            <w:col w:w="8340" w:space="720"/>
            <w:col w:w="2180"/>
          </w:cols>
          <w:pgMar w:left="320" w:top="891"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classes of revenue and expenses constituting net income from discontinued operations attributable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TransCore, Zetec and CIVCO Radiotherapy businesses: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3"/>
        </w:trPr>
        <w:tc>
          <w:tcPr>
            <w:tcW w:w="77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152.5</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7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7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96"/>
        </w:trPr>
        <w:tc>
          <w:tcPr>
            <w:tcW w:w="7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30"/>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Earnings before income taxes </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7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96"/>
        </w:trPr>
        <w:tc>
          <w:tcPr>
            <w:tcW w:w="7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77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discontinued operations, net of tax</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8"/>
        <w:spacing w:after="0" w:line="270" w:lineRule="auto"/>
        <w:tabs>
          <w:tab w:leader="none" w:pos="165"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stock-based compensation expense of $0.9 and $1.3 for the three months ended March 31, 2022 and 2021, respectively. In connection with the sale of TransCore and Zetec, we recognized expense of $4.5 associated with accelerated vesting of share-based awards. The charges associated with accelerated vesting were recorded as a component of “Gain on disposition of discontinued operations, net of tax” within the Condensed Consolidated Statements of Earnings.</w:t>
      </w:r>
    </w:p>
    <w:p>
      <w:pPr>
        <w:spacing w:after="0" w:line="13" w:lineRule="exact"/>
        <w:rPr>
          <w:rFonts w:ascii="Times New Roman" w:cs="Times New Roman" w:eastAsia="Times New Roman" w:hAnsi="Times New Roman"/>
          <w:sz w:val="20"/>
          <w:szCs w:val="20"/>
          <w:color w:val="auto"/>
          <w:vertAlign w:val="superscript"/>
        </w:rPr>
      </w:pPr>
    </w:p>
    <w:p>
      <w:pPr>
        <w:ind w:firstLine="8"/>
        <w:spacing w:after="0" w:line="225" w:lineRule="auto"/>
        <w:tabs>
          <w:tab w:leader="none" w:pos="192"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During the three months ended March 31, 2022, there was no depreciation of property, plant and equipment or amortization of intangible assets given the asset classification as held for sale during the period. During the three months ended </w:t>
      </w:r>
      <w:r>
        <w:rPr>
          <w:rFonts w:ascii="Times New Roman" w:cs="Times New Roman" w:eastAsia="Times New Roman" w:hAnsi="Times New Roman"/>
          <w:sz w:val="17"/>
          <w:szCs w:val="17"/>
          <w:color w:val="auto"/>
        </w:rPr>
        <w:t>March 31,</w:t>
      </w:r>
      <w:r>
        <w:rPr>
          <w:rFonts w:ascii="Times New Roman" w:cs="Times New Roman" w:eastAsia="Times New Roman" w:hAnsi="Times New Roman"/>
          <w:sz w:val="16"/>
          <w:szCs w:val="16"/>
          <w:color w:val="auto"/>
        </w:rPr>
        <w:t xml:space="preserve"> 2021 depreciation and amortization was $1.9.</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Stock Based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Roper Technologies, Inc. 2021 Incentive Plan (“2021 Plan”) is a stock-based compensation plan used to grant incentive stock options, nonqualified stock options, restricted stock, stock appreciation rights or equivalent instruments to Roper’s employees, officers, directors and consultants.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stock-based compensation expense:</w:t>
            </w: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99"/>
        </w:trPr>
        <w:tc>
          <w:tcPr>
            <w:tcW w:w="7680" w:type="dxa"/>
            <w:vAlign w:val="bottom"/>
          </w:tcPr>
          <w:p>
            <w:pPr>
              <w:spacing w:after="0"/>
              <w:rPr>
                <w:sz w:val="24"/>
                <w:szCs w:val="24"/>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r>
      <w:tr>
        <w:trPr>
          <w:trHeight w:val="223"/>
        </w:trPr>
        <w:tc>
          <w:tcPr>
            <w:tcW w:w="76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recognized in net earnings from continuing operations</w:t>
            </w:r>
          </w:p>
        </w:tc>
        <w:tc>
          <w:tcPr>
            <w:tcW w:w="1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3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 </w:t>
      </w:r>
      <w:r>
        <w:rPr>
          <w:rFonts w:ascii="Times New Roman" w:cs="Times New Roman" w:eastAsia="Times New Roman" w:hAnsi="Times New Roman"/>
          <w:sz w:val="18"/>
          <w:szCs w:val="18"/>
          <w:color w:val="auto"/>
        </w:rPr>
        <w:t>In the three months ended March 31, 2022, 0.365 options were granted with a weighted average fair value of $115.83 per option.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2021, 0.498 options were granted with a weighted average fair value of $94.69 per option. All options were issued with an exercise price equal to the closing price of Roper’s common stock on the date of grant, as required by the 2021 Plan.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records compensation expense for employee stock options based on the estimated fair value of the options on the date of grant using the Black-Scholes option-pricing model. Historical data is used to estimate the expected price volatility, the expected dividend yield, the expected option life and the expected forfeiture rate. The risk-free rate is based on the U.S. Treasury yield curve in effect at the time of grant for the estimated life of the option.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estimate the fair value of options granted during current and prior year periods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option-pricing model:</w:t>
      </w:r>
    </w:p>
    <w:p>
      <w:pPr>
        <w:spacing w:after="0" w:line="27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option exercises for the three months ended March 31, 2022 and 2021 was $38.7 and $19.2, respectively.</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Stock Grants - </w:t>
      </w:r>
      <w:r>
        <w:rPr>
          <w:rFonts w:ascii="Times New Roman" w:cs="Times New Roman" w:eastAsia="Times New Roman" w:hAnsi="Times New Roman"/>
          <w:sz w:val="18"/>
          <w:szCs w:val="18"/>
          <w:color w:val="auto"/>
        </w:rPr>
        <w:t>During the three months ended March 31, 2022, the Company granted 0.219 shares with a weighted average grant date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$455.84 per restricted share. During the same period in 2021, the Company granted 0.207 shares with a weighted average grant date fair value of $404.14 per restricted share. All grants were issued at grant date fair value.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0.116 restricted shares vested with a weighted average grant date fair value of $329.75 per restricted share and a weighted average vest date fair value of $457.31 per restricted share.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Roper’s employee stock purchase plan (“ESPP”) allows employees in the U.S. and Canada to designate up to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earnings to purchase Roper’s common stock at a 10% discount on the lower of the closing price of the stock on the first and last day of each quarterly offering period. Common stock sold to employees pursuant to the ESPP may be either treasury stock, stock purchased on the open market, or newly issued shares.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participants in the ESPP purchased 0.013 and 0.013 shares of Roper’s common stock for total consideration of $5.5 and $4.7, respectively. All shares were purchased from Roper’s treasury shares.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inventory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131.5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carrying value of goodwill by segment was as follows: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80" w:type="dxa"/>
            <w:vAlign w:val="bottom"/>
          </w:tcPr>
          <w:p>
            <w:pPr>
              <w:spacing w:after="0"/>
              <w:rPr>
                <w:sz w:val="17"/>
                <w:szCs w:val="17"/>
                <w:color w:val="auto"/>
              </w:rPr>
            </w:pPr>
          </w:p>
        </w:tc>
        <w:tc>
          <w:tcPr>
            <w:tcW w:w="13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Network</w:t>
            </w:r>
          </w:p>
        </w:tc>
        <w:tc>
          <w:tcPr>
            <w:tcW w:w="40" w:type="dxa"/>
            <w:vAlign w:val="bottom"/>
          </w:tcPr>
          <w:p>
            <w:pPr>
              <w:spacing w:after="0"/>
              <w:rPr>
                <w:sz w:val="17"/>
                <w:szCs w:val="17"/>
                <w:color w:val="auto"/>
              </w:rPr>
            </w:pPr>
          </w:p>
        </w:tc>
        <w:tc>
          <w:tcPr>
            <w:tcW w:w="154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Measurement &amp;</w:t>
            </w:r>
          </w:p>
        </w:tc>
        <w:tc>
          <w:tcPr>
            <w:tcW w:w="120" w:type="dxa"/>
            <w:vAlign w:val="bottom"/>
          </w:tcPr>
          <w:p>
            <w:pPr>
              <w:spacing w:after="0"/>
              <w:rPr>
                <w:sz w:val="17"/>
                <w:szCs w:val="17"/>
                <w:color w:val="auto"/>
              </w:rPr>
            </w:pPr>
          </w:p>
        </w:tc>
        <w:tc>
          <w:tcPr>
            <w:tcW w:w="14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Process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Software &amp;</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Analytical</w:t>
            </w:r>
          </w:p>
        </w:tc>
        <w:tc>
          <w:tcPr>
            <w:tcW w:w="120" w:type="dxa"/>
            <w:vAlign w:val="bottom"/>
          </w:tcPr>
          <w:p>
            <w:pPr>
              <w:spacing w:after="0"/>
              <w:rPr>
                <w:sz w:val="15"/>
                <w:szCs w:val="15"/>
                <w:color w:val="auto"/>
              </w:rPr>
            </w:pPr>
          </w:p>
        </w:tc>
        <w:tc>
          <w:tcPr>
            <w:tcW w:w="14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8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20" w:type="dxa"/>
            <w:vAlign w:val="bottom"/>
          </w:tcPr>
          <w:p>
            <w:pPr>
              <w:spacing w:after="0"/>
              <w:rPr>
                <w:sz w:val="21"/>
                <w:szCs w:val="21"/>
                <w:color w:val="auto"/>
              </w:rPr>
            </w:pPr>
          </w:p>
        </w:tc>
        <w:tc>
          <w:tcPr>
            <w:tcW w:w="14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Technologies</w:t>
            </w:r>
          </w:p>
        </w:tc>
        <w:tc>
          <w:tcPr>
            <w:tcW w:w="1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14,094.5</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relates primarily to purchase accounting adjustments for acquisitions.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were comprised of:</w:t>
            </w: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340" w:type="dxa"/>
            <w:vAlign w:val="bottom"/>
          </w:tcPr>
          <w:p>
            <w:pPr>
              <w:spacing w:after="0"/>
              <w:rPr>
                <w:sz w:val="24"/>
                <w:szCs w:val="24"/>
                <w:color w:val="auto"/>
              </w:rPr>
            </w:pPr>
          </w:p>
        </w:tc>
        <w:tc>
          <w:tcPr>
            <w:tcW w:w="14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2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20" w:type="dxa"/>
            <w:vAlign w:val="bottom"/>
          </w:tcPr>
          <w:p>
            <w:pPr>
              <w:spacing w:after="0"/>
              <w:rPr>
                <w:sz w:val="20"/>
                <w:szCs w:val="20"/>
                <w:color w:val="auto"/>
              </w:rPr>
            </w:pPr>
          </w:p>
        </w:tc>
        <w:tc>
          <w:tcPr>
            <w:tcW w:w="1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4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7,532.0</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5,424.0</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7,527.0</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Unpatented technology</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2022</w:t>
            </w: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other intangible assets was $145.8 and $145.1 during the three months ended March 31, 2022 and 2021, respectively.</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carrying value of goodwill and indefinite-lived intangibles is required to be performed on an annual basis and on an interim basis if an event occurs or circumstances change that would more likely than not reduce the fair value of a reporting unit below its carrying value. There have been no events or changes in circumstances which indicate an interim impairment review is required in 2022. The Company will perform the annual analysis during the fourth quarter of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 and Debt</w:t>
            </w:r>
          </w:p>
        </w:tc>
        <w:tc>
          <w:tcPr>
            <w:tcW w:w="2000" w:type="dxa"/>
            <w:vAlign w:val="bottom"/>
          </w:tcPr>
          <w:p>
            <w:pPr>
              <w:spacing w:after="0"/>
              <w:rPr>
                <w:sz w:val="20"/>
                <w:szCs w:val="20"/>
                <w:color w:val="auto"/>
              </w:rPr>
            </w:pPr>
          </w:p>
        </w:tc>
      </w:tr>
      <w:tr>
        <w:trPr>
          <w:trHeight w:val="45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Roper’s debt at March 31, 2022 included $7,500 of fixed-rate senior notes with the following fair values:</w:t>
            </w:r>
          </w:p>
        </w:tc>
        <w:tc>
          <w:tcPr>
            <w:tcW w:w="2000" w:type="dxa"/>
            <w:vAlign w:val="bottom"/>
          </w:tcPr>
          <w:p>
            <w:pPr>
              <w:spacing w:after="0"/>
              <w:rPr>
                <w:sz w:val="24"/>
                <w:szCs w:val="24"/>
                <w:color w:val="auto"/>
              </w:rPr>
            </w:pPr>
          </w:p>
        </w:tc>
      </w:tr>
      <w:tr>
        <w:trPr>
          <w:trHeight w:val="270"/>
        </w:trPr>
        <w:tc>
          <w:tcPr>
            <w:tcW w:w="924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3.125% senior notes due 2022</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0.450% senior notes due 2022</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3.650% senior notes due 2023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2.350% senior notes due 2024</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3.850% senior notes due 2025</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1.000% senior notes due 2025</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3.800% senior notes due 2026</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1.400% senior notes due 2027</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 4.200% senior notes due 2028</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2.950% senior notes due 2029</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2.000% senior notes due 2030</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 1.750% senior notes due 2031</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senior notes are based on the trading prices of each series of notes, which the Company has determined to be Level 2 in the FASB fair value hierarchy.</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tab/>
        <w:t>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Roper, in the ordinary course of business, is party to various pending or threatened legal actions, including product liability, intellectual property,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Roper’s subsidiary, Vertafore, Inc., was named in three putative class actions, two in the U.S. District Court for the Southern District of Texas (Allen, et al. v. Vertafore, Inc., Case 4:20-cv-4139, filed December 4, 2020) and Masciotra, et al. v. Vertafore, Inc., (originally filed on December 8, 2020 as Case 1:20-cv-03603 in the U.S. District Court for the District of Colorado and subsequently transferred), and one in the U.S. District Court for the Northern District of Texas (Mulvey, et al. v. Vertafore, Inc., Case 3:21-cv-00213-E, filed January 31, 2021). In July 2021, the court granted Vertafore’s motion to dismiss the Allen Case. In March 2022, the U.S. Fifth Circuit Court of Appeals affirmed the lower court’s dismissal of the Allen case. In July 2021, the plaintiff in the Masciotra case voluntarily dismissed his action without prejudice. The Allen case and the Mulvey case each purport to represent approximately 27.7 million individuals who held Texas driver’s licenses prior to February 2019. In November 2020, Vertafore announced that as a result of human error, three data files were inadvertently stored in an unsecured external storage service that appears to have been accessed without authorization. The files, which included driver information for licenses issued before February 2019, contained Texas driver license numbers, as well as names, dates of birth, addresses and vehicle registration histories. The files did not contain any Social Security numbers or financial account information. These cases seek recovery under the Driver’s Privacy Protection Act, 18 U.S.C. § 2721. In addition, Roper was advised that the Texas Attorney General is investigating the data event.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Roper’s subsidiary, Verathon, Inc. (“Verathon”), is defending a patent infringement action pending in the United States District Court for the Western District of Washington (Berall v. Verathon, Inc., Case No. 2:2021mc00043). Plaintiff claims that video laryngoscopes and certain accessories sold by Verathon from approximately 2006 through 2016 infringe U.S. Patent 5,827,178 (the “‘178 Patent”). The complaint seeks an unspecified amount of damages, enhanced damages, attorneys’ fees, costs, and pre-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and post-judgment interest. Verathon contends that the products at issue do not infringe the ‘178 Patent and that the ‘178 Patent is invalid. Verathon is vigorously defending the matter.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Roper or our subsidiaries have been named defendants along with numerous industrial companies in asbestos-related litigation claims in certain U.S. states. To date, no significant resources have been required by Roper to respond to asbestos claims. In the first quarter of 2022, Roper completed a transaction in which it transferred the remainder of our exposure for asbestos claims to a third party. In connection with this transaction, Roper incurred a one-time charge of $4.1, which is recorded as a component of “Other income (expense), net” within the Condensed Consolidated Statements of Earnings.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Business Segments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by reportable segment:</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6"/>
        </w:trPr>
        <w:tc>
          <w:tcPr>
            <w:tcW w:w="7560" w:type="dxa"/>
            <w:vAlign w:val="bottom"/>
          </w:tcPr>
          <w:p>
            <w:pPr>
              <w:spacing w:after="0"/>
              <w:rPr>
                <w:sz w:val="24"/>
                <w:szCs w:val="24"/>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8"/>
        </w:trPr>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8"/>
        </w:trPr>
        <w:tc>
          <w:tcPr>
            <w:tcW w:w="7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97"/>
        </w:trPr>
        <w:tc>
          <w:tcPr>
            <w:tcW w:w="7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97"/>
        </w:trPr>
        <w:tc>
          <w:tcPr>
            <w:tcW w:w="7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2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96"/>
        </w:trPr>
        <w:tc>
          <w:tcPr>
            <w:tcW w:w="7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Long-lived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operating profit is before unallocated corporate general and administrative expenses. These expenses were $55.8 and $49.8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Revenues from Contracts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Disaggregated Revenue - </w:t>
      </w:r>
      <w:r>
        <w:rPr>
          <w:rFonts w:ascii="Times New Roman" w:cs="Times New Roman" w:eastAsia="Times New Roman" w:hAnsi="Times New Roman"/>
          <w:sz w:val="18"/>
          <w:szCs w:val="18"/>
          <w:color w:val="auto"/>
        </w:rPr>
        <w:t>We disaggregate our revenues into two categories: (i) software and related services; and (ii) engineered products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Software and related services revenues are primarily derived from our Application Software and Network Software &amp; Systems reportable segments. Engineered products and related services revenues are derived from all of our reportable segments except Application Software and comprise substantially all of the revenues generated in our Measurement &amp; Analytical Solutions and Process Technologies reportable segments. See details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related services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Engineered products and related services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 </w:t>
      </w:r>
      <w:r>
        <w:rPr>
          <w:rFonts w:ascii="Times New Roman" w:cs="Times New Roman" w:eastAsia="Times New Roman" w:hAnsi="Times New Roman"/>
          <w:sz w:val="18"/>
          <w:szCs w:val="18"/>
          <w:color w:val="auto"/>
        </w:rPr>
        <w:t>Remaining performance obligations represent the transaction price of firm orders for which work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and excludes unexercised contract options. As of March 31, 2022, the aggregate amount of the transaction price allocated to remaining performance obligations was $4,000.3. We expect to recognize revenue of $2,718.0, or approximately 68% of our remaining performance obligations over the next 12 months (“Backlog”), with the remainder to be recognized thereafter.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Account</w:t>
            </w:r>
          </w:p>
        </w:tc>
        <w:tc>
          <w:tcPr>
            <w:tcW w:w="300" w:type="dxa"/>
            <w:vAlign w:val="bottom"/>
          </w:tcPr>
          <w:p>
            <w:pPr>
              <w:spacing w:after="0"/>
              <w:rPr>
                <w:sz w:val="22"/>
                <w:szCs w:val="22"/>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40" w:type="dxa"/>
            <w:vAlign w:val="bottom"/>
          </w:tcPr>
          <w:p>
            <w:pPr>
              <w:spacing w:after="0"/>
              <w:rPr>
                <w:sz w:val="22"/>
                <w:szCs w:val="22"/>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40" w:type="dxa"/>
            <w:vAlign w:val="bottom"/>
          </w:tcPr>
          <w:p>
            <w:pPr>
              <w:spacing w:after="0"/>
              <w:rPr>
                <w:sz w:val="22"/>
                <w:szCs w:val="22"/>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revenue - non-current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contract assets/(liabilities)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non-current portion of deferred revenue is included in “Other liabilities” in our Condensed Consolidated Balance Sheets.</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our net contract assets/(liabilities) from December 31, 2021 to March 31, 2022 was due primarily to the timing of payments and invoicing relating to Software-as-a-Service (“SaaS”) and post contract support (“PCS”) renewals, partially offset by the increase in unbilled receivables due to the timing of invoicing primarily related to software milestone billings associated with multi-year term license renewals and software implementations.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project-based contracts where the input method of revenue recognition is utilized are billed as work progresses in accordance with the contract terms and conditions, either at periodic intervals or upon achievement of certain milestones. Often this results in unbilled receivables where billing occurs after revenue recognition. The Company records deferred revenue when cash payments are received or due in advance of the Company’s performance relating primarily to SaaS and PCS renewals. Revenue recognized from the deferred revenue balance on December 31, 2021 and 2020 was $495.7 and $450.9 for the three months ended March 31, 2022 and 2021, respectively.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determine revenues recognized in the period, we allocate revenue to the individual deferred revenue balance outstanding at the beginning of the year until the revenue exceeds that balance.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non-current portions of deferred commissions are included in “Other current assets” and “Other assets,” respectively, in our Condensed Consolidated Balance Sheets. At March 31, 2022 and December 31, 2021, we had $58.3 and $56.7 of deferred commissions,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Management’s Discussion and Analysis of Financial Condition and Results of Operations included in our Annual Report on form 10-K for the year ended December 31, 2021 (“Annual Report”) as filed on February 22, 2022 with the U.S. Securities and Exchange Commission (“SEC”) and the Notes to Condensed Consolidated Financial Statements included elsewhere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In addition, we, or our executive officers on our behalf, may from time to time make forward-looking statements in reports and other documents we file with the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 Such risks and uncertainties include any ongoing impacts of the COVID-19 pandemic on our business, operations, financial results and liquidity, which will depend on numerous evolving factors that we cannot accurately predict or assess, including: the duration and scope of the pandemic, new variants of the virus and the distribution and efficacy of vaccines; the impact of vaccine mandates on our workforce in certain jurisdictions; any negative impact on global and regional markets, economies and economic activity; actions governments, businesses and individuals take in response to the pandemic; the effects of the pandemic, including all of the foregoing, on our employees, customers, suppliers, and business partners, and how quickly economies and demand for our products and services recover following the pandemic.</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21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making acquisitions and successfully integrating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unforeseen liabilities associated with future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imposed by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mitigate cybersecurity threats, including any litigation arising therefrom;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new data privacy laws and regulations, including any litigation arising therefrom;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exports/imports and risks of changes to tariff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our international sales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and insurance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some of our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business with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government contracts;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labor, energy, raw materials, parts and components, including as a result of impacts from the current inflationary environment, ongoing supply chain constraints or outbreaks of COVID-19;</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costs and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our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or change in, government regulations (including tax);</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caused by armed conflicts (such as the war in Ukraine), terrorist attacks, health crises (such as the COVID-19 pandemic) or other unforeseen geopolitical events;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discussed in other reports we file with the SEC from time to time.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Roper is a diversified technology company. We operate market leading businesses that design and develop vertical software and application-specific products for a variety of defensible niche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pursue consistent and sustainable growth in revenue, earnings and cash flow by emphasizing continuous improvement in the operating performance of our businesses. In addition, we utilize a disciplined, analytical and process-driven approach to redeploy our excess free cash flow toward high-quality acquisitions.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the Company signed definitive agreements to divest our TransCore, Zetec and CIVCO Radiotherapy businesses. As of March 31, 2022, Roper has completed all three divestitures. The financial results of these businesses are classified as discontinued operations and certain prior period amounts have been reclassified to conform to current period presentation. Information regarding discontinued operations is included in Note 5 of the 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three months ended March 31, 2022 to the items that we disclosed as our critical accounting policies and estimates in “Item 7.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new accounting pronouncements is included in Note 2 of the Notes to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results of operations and financial condition will depend on future developments, which are highly uncertain and are difficult to predict, including, but not limited to, the duration and spread of the outbreak and its severity, the actions to contain the virus and its variants including the distribution, administration and efficacy of available vaccines, the impact of vaccine mandates on our workforce, and how quickly and to what extent normal economic and operating conditions can resume. As a result of the effects of the COVID-19 global pandemic our ability to obtain products or services from certain suppliers and to operate at certain locations have been and may continue to be impacted. If COVID-19 and its variants continue to spread, particularly in countries with low vaccination rates, certain countries may experience more severe and lasting impacts from the pandemic. To the extent we have operations and/or customers in these countries, we may experience adverse impacts on our businesses located in such countries.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percentages are of net revenues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sum due to rounding.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for the periods indicated.</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76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576.6</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314.2</w:t>
            </w: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369.6</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115.7</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1,526.6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1,376.1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margin:</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March 31, 2022 increased by 10.9% as compared to the three months ended March 31, 2021. The components of revenue growth for the three months ended March 31, 2022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Network Software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Measurement &amp;</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Process</w:t>
            </w:r>
          </w:p>
        </w:tc>
        <w:tc>
          <w:tcPr>
            <w:tcW w:w="15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&amp; Systems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Analytical Solutions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6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9"/>
              </w:rPr>
              <w:t>9.5 %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 of:</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Acquisitions/Divestitures</w:t>
            </w:r>
          </w:p>
        </w:tc>
        <w:tc>
          <w:tcPr>
            <w:tcW w:w="16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6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9"/>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Application Software segment, revenues were $631.5 in the three months ended March 31, 2022 as compared to $576.6 in the three months ended March 31, 2021. The growth of 9.1% in organic revenues was broad-based across the segment led by our businesses serving property and casualty insurance, government contracting, and acute healthcare markets. Gross margin increased to 69.3% in the three months ended March 31, 2022 as compared to 69.1% in the three months ended March 31, 2021 due primarily to operating leverage on higher organic revenues and revenue mix. SG&amp;A expenses decreased as a percentage of revenue to 41.8% in the three months ended March 31, 2022 as compared to 42.5% in the three months ended March 31, 2021 due to operating leverage on higher organic revenues. The resulting operating margin was 27.5% in the three months ended March 31, 2022 as compared to 26.7% in the three months ended March 31, 2021.</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Network Software &amp; Systems segment, revenues were $368.7 in the three months ended March 31, 2022 as compared to $314.2 in the three months ended March 31, 2021. The growth of 16.1% in organic revenues was broad-based across the segment led by our network software businesses serving the freight match, media and entertainment and life insurance markets. Gross margin increased to 82.0% in the three months ended March 31, 2022 as compared to 81.6% in the three months ended March 31, 2021 due primarily to revenue mix. SG&amp;A expenses decreased as a percentage of revenues at 42.6% in the three months ended March 31, 2022 as compared to 45.3% in the three months ended March 31, 2021 due primarily to operating leverage on higher organic sales combined with revenue mix. As a result, operating margin was 39.4% in the three months ended March 31, 2022 as compared to 36.3% in the three months ended March 31, 2021.</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Measurement &amp; Analytical Solutions segment, revenues were $392.4 in the three months ended March 31, 2022 as compared to $369.6 in the three months ended March 31, 2021. The growth of 7.3% in organic revenues was primarily due to our water meter technology business and industrial businesses. Gross margin decreased to 55.5% in the three months ended March 31, 2022 as compared to 59.0% in the three months ended March 31, 2021 due primarily to higher material, component and freight costs as our businesses navigate the widespread global supply chain challenges. SG&amp;A expenses as a percentage of revenues decreased to 25.9% in the three months ended March 31, 2022 as compared to 26.2% in the three months ended March 31, 2021 due primarily to revenue mix. The resulting operating margin was 29.5% in the three months ended March 31, 2022 as compared to 32.9% in the three months ended March 31, 2021.</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Process Technologies segment, revenues were $134.0 in the three months ended March 31, 2022 as compared to $115.7 in the three months ended March 31, 2021. The growth of 17.6% in organic revenues was broad-based across the segment led by a recovery in oil and gas markets. Gross margin decreased to 54.0% in the three months ended March 31, 2022 as compared to 54.2% in the three months ended March 31, 2021 due to primarily to revenue mix partially offset by higher operating leverage on organic revenues. SG&amp;A expenses as a percentage of revenues decreased to 22.8% in the three months ended March 31, 2022 as compared to 23.9% in the three months ended March 31, 2021 due to operating leverage on higher organic revenues. As a result, operating margin was 31.2% in the three months ended March 31, 2022 as compared to 30.3% in the three months ended March 31, 2021.</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expenses increased to $55.8, or 3.7% of revenues, in the three months ended March 31, 2022 as compared to $49.8, or 3.6% of revenues, in the three months ended March 31, 2021. The dollar increase was due primarily to higher compensation and professional services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decreased to $52.6 for the three months ended March 31, 2022 as compared to $60.6 for the three months ended March 31, 2021 due to lower weighted average debt balances associated with our credit facility and fixed debt.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net, of $1.9 for the three months ended March 31, 2022 was composed primarily of a one-time charge associated with a transaction to transfer the remainder of our exposure related to asbestos claims to a third party, partially offset by foreign exchange gains at our non-U.S. based subsidiaries. Other income, net, of $27.1 for the three months ended March 31, 2021 was composed primarily of a gain on sale of minority investment of $27.1.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as a percent of pretax earnings were 21.5% for the three months ended March 31, 2022 as compared to 20.9% for the three months ended March 31, 2021. The rate was impacted by the timing of a tax benefit associated with an internal restructuring plan that occurred in the first quarter of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is equal to our remaining performance obligations expected to be recognized within the next 12 months as discussed in Note 12 of the Notes to Condensed Consolidated Financial Statements. Backlog increased 28% to $2,718.0 at March 31, 2022 as compared to $2,131.6 at March 31, 2021. Organic growth in backlog was 27% and acquisitions contributed 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36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Backlog as of</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Network Software &amp; Systems</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Measurement &amp; Analytical Solutions</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Process Technologies</w:t>
            </w:r>
          </w:p>
        </w:tc>
        <w:tc>
          <w:tcPr>
            <w:tcW w:w="1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7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w:t>
            </w: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Selected cash flows for the three months ended March 31, 2022 and 2021 were as follows:</w:t>
            </w: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700" w:type="dxa"/>
            <w:vAlign w:val="bottom"/>
          </w:tcPr>
          <w:p>
            <w:pPr>
              <w:spacing w:after="0"/>
              <w:rPr>
                <w:sz w:val="24"/>
                <w:szCs w:val="24"/>
                <w:color w:val="auto"/>
              </w:rPr>
            </w:pPr>
          </w:p>
        </w:tc>
        <w:tc>
          <w:tcPr>
            <w:tcW w:w="378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by/(used in):</w:t>
            </w: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8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8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discontinued operations</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activities - Net cash provided by operating activities from continuing operations decreased by 10% to $473.8 in the three months ended March 31, 2022 as compared to $525.9 in the three months ended March 31, 2021, due primarily to less cash provided by working capital associated with higher incentive compensation payments in the first quarter of 2022 associated with 2021 performance and approximately $36 of accelerated cash receipts in the first quarter of 2021 generated from our UK-based laboratory software business. These decreases were partially offset by higher net income from continuing operations net of non-cash expenses.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 Cash used in investing activities from continuing operations during the three months ended March 31, 2022 is due to a business acquisition and capital expenditures. Cash provided by investing activities from continuing operations during the three months ended March 31, 2021 was due primarily to the proceeds from the sale of a minority investment, partially offset by capital expenditures.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 Cash used in financing activities from continuing operations for the three months ended March 31, 2022 was primarily due to repayments on our unsecured credit facility and dividend payments, partially offset by net proceeds from stock based compensation. Cash used in financing activities from continuing operations during the three months ended March 31, 2021 was primarily due to net repayments on our unsecured credit facility and dividend payments.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Discontinued operations - Cash provided by discontinued operations for the three months ended March 31, 2022 was primarily due to proceeds from the sale of TransCore and Zetec slightly offset by less cash provided by discontinued operations which was impacted by the timing of our divestiture activity. Cash provided by discontinued operations during the three months ended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March 31, 2021 was primarily due to net income net of non-cash expenses and cash provided by working capital primarily associated with the timing of payments related to accounts receivable.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 of foreign currency exchange rate changes on cash - Cash and cash equivalents decreased during the three months ended March 31, 2022 by $7.3 due primarily to the strengthening of the U.S. dollar against the functional currencies of our European and United Kingdom subsidiaries partially offset by weakening of the U.S. dollar against our Canadian subsidiaries. Cash and cash equivalents decreased during the three months ended March 31, 2021 by $2.4 due primarily to the strengthening of the U.S. dollar against the functional currencies of our European subsidiaries.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debt at March 31, 2022 consisted of the following:</w:t>
            </w: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9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3.125% senior notes due 2022</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0.450% senior notes due 2022</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3.650% senior notes due 2023</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2.350% senior notes due 2024</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3.850% senior notes due 2025</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1.000% senior notes due 2025</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3.800% senior notes due 2026</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1.400% senior notes due 2027</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 4.200% senior notes due 2028</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2.950% senior notes due 2029</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2.000% senior notes due 2030</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 1.750% senior notes due 2031</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credit facility</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finance costs</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finance costs</w:t>
            </w:r>
          </w:p>
        </w:tc>
        <w:tc>
          <w:tcPr>
            <w:tcW w:w="8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7,454.3</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2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finance costs</w:t>
            </w: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6,654.8</w:t>
            </w:r>
          </w:p>
        </w:tc>
      </w:tr>
      <w:tr>
        <w:trPr>
          <w:trHeight w:val="21"/>
        </w:trPr>
        <w:tc>
          <w:tcPr>
            <w:tcW w:w="9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on borrowings under our $3,000.0 unsecured credit facility is calculated based upon various recognized indices plus a margin as defined in the credit facility. At March 31, 2022, we had no outstanding borrowings under our unsecured credit facility and $20.3 of outstanding letters of credit.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at our foreign subsidiaries at March 31, 2022 increased to $394 as compared to $311 at December 31, 2021 due primarily to the cash generated at our foreign subsidiaries during the three months ended March 31, 2022, partially offset by the repatriation of $29 during the three months ended March 31, 2022. We intend to repatriate substantially all historical and future earnings.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existing cash balances, together with cash generated by our operations and amounts available under our credit facility, will be sufficient to fund our operating requirements for the foreseeable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related to our unsecured credit facility throughout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Net working capital (total current assets, excluding cash and current assets held for sale, less total current liabilities, excluding debt and current liabilities held for sale) decreased to negative $1,454.2 at March 31, 2022 as compared to negative $882.5 at December 31, 2021 primarily driven by an increase in income taxes payable associated with the divestitures of TransCore and Zetec and a reduction in accounts receivable, partially offset by a decrease in accrued compensation. Consistent negative net working capital demonstrates Roper’s continued evolution and focus on asset-light business models. Total debt was $7,454.3 at March 31, 2022 as compared to $7,921.8 at December 31, 2021, due primarily to the net repayments under our unsecured credit facility. Our leverage on a continuing operations basis is shown in the following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7"/>
                <w:szCs w:val="17"/>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5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7,454.3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7,921.8</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(3,237.5)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(351.5)</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7,570.3</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13,551.9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11,563.8</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capital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19,134.1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 total net capital</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were $7.1 for the three months ended March 31, 2022 as compared to $7.1 for the three months ended March 31, 2021. Capitalized software expenditures were $7.5 for the three months ended March 31, 2022 as compared to $7.2 for the three months ended March 31, 2021. We expect the aggregate of capital expenditures and capitalized software expenditures for the balance of the year to be comparable to prior years as a percentage of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geopolitical and economic uncertainties could adversely affect our business prospects. The COVID-19 pandemic has had, and may continue to have, an adverse impact on our business. An armed conflict (such as the war in Ukraine), significant terrorist attack, other global conflict, or public health crisis could cause changes in world economies that would adversely affect us. It is impossible to isolate each of these potential factor’s future effects on current economic conditions or any of our businesses. It is also impossible to predict with any reasonable degree of certainty what or when any additional events may occur that also would similarly disrupt the economy and have an adverse impact on our businesses.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active acquisition program; however,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lines, future cash flows from operations, announced divestitures, future divestitures, the proceeds from the issuance of new debt or equity securities or any combination of these methods, the terms and availability of which will be subject to market and economic conditions generally.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(and reduce the associated interest expense) will be affected by, among other things, the financing and operating requirements of any new acquisitions, the financial performance of our existing companies and the impact of the COVID-19 pandemic on our business prospects and the financial markets generally. None of these factors can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in our Annual Report. There were no material changes during the three months ended March 31, 2022.</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rules, we have evaluated the effectiveness of the design and operation of our disclosure controls and procedures as of the end of the period covered by this Quarterly Report on Form 10-Q (“Evaluation Date”). This evaluation was carried out under the supervision and with the participation of our management, including our principal executive officer and principal financial officer. Based on this evaluation as of the Evaluation Date, these officers have concluded that the design and operation of our disclosure controls and procedures are effective.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controls during the period covered by this Quarterly Report on Form 10-Q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can be found in Note 10 of the Notes to Condensed Consolidated Financial Statements included elsewhere in this Quarterly Report on Form 10-Q and is incorporated by reference herein.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regarding risk factors can be found in “Management’s Discussion and Analysis of Financial Condition and Results of Operations - Information About Forward-Looking Statements,” in Part 1 - Item 2 of this Form 10-Q and in Part 1 - Item 1A of our 2021 Annual Report on Form 10-K. We are providing the following information regarding changes that have occurred to the previously disclosed risk factors in our Form 10-K. Except for such additional information, there were no material changes during the three months ended March 31, 2022 to the risk factors reported in the 2021 Annual Report on Form 10-K.</w:t>
      </w:r>
    </w:p>
    <w:p>
      <w:pPr>
        <w:spacing w:after="0" w:line="19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could be adversely affected by disruptions in the global economy caused by the ongoing conflict between Russia and Ukraine.</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Furthermore, governments in the United States, United Kingdom and European Union have each imposed export controls on certain products and financial and economic sanctions on certain industry sectors and parties in Russia. We have historically had limited operations in Russia and a limited number of suppliers in Ukraine. Nevertheless, the Russia-Ukraine military conflict could have a negative impact on the global supply chain logistics or economy.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 In addition, the effects of the ongoing conflict could heighten many of our known risks described in section entitled “Risk Factors" in Part I, Item 1A in our Annual Report on Form 10-K for the fiscal year ended December 31, 2021 filed with the SEC on February 22,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73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16"/>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Chief Executive Officer, filed herewith.</w:t>
            </w:r>
          </w:p>
        </w:tc>
      </w:tr>
      <w:tr>
        <w:trPr>
          <w:trHeight w:val="426"/>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6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Chief Financial Officer, filed herewith.</w:t>
            </w:r>
          </w:p>
        </w:tc>
        <w:tc>
          <w:tcPr>
            <w:tcW w:w="4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r>
      <w:tr>
        <w:trPr>
          <w:trHeight w:val="426"/>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7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the Chief Executive and Chief Financial Officers, furnished herewith.</w:t>
            </w:r>
          </w:p>
        </w:tc>
      </w:tr>
      <w:tr>
        <w:trPr>
          <w:trHeight w:val="466"/>
        </w:trPr>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46"/>
        </w:trPr>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6"/>
        </w:trPr>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5"/>
        </w:trPr>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6"/>
        </w:trPr>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related exhibits and schedules are not being filed herewith. The Company agrees to furnish supplementally a copy of any such exhibits and schedules to the Securities and Exchange Commission upon request.</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56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3"/>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 Neil Hunn</w:t>
            </w:r>
          </w:p>
        </w:tc>
        <w:tc>
          <w:tcPr>
            <w:tcW w:w="5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4, 2022</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 Neil Hunn</w:t>
            </w:r>
          </w:p>
        </w:tc>
        <w:tc>
          <w:tcPr>
            <w:tcW w:w="5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spacing w:after="0"/>
              <w:rPr>
                <w:sz w:val="20"/>
                <w:szCs w:val="20"/>
                <w:color w:val="auto"/>
              </w:rPr>
            </w:pPr>
          </w:p>
        </w:tc>
      </w:tr>
      <w:tr>
        <w:trPr>
          <w:trHeight w:val="353"/>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C. Crisci</w:t>
            </w:r>
          </w:p>
        </w:tc>
        <w:tc>
          <w:tcPr>
            <w:tcW w:w="5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4, 2022</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C. Crisci</w:t>
            </w:r>
          </w:p>
        </w:tc>
        <w:tc>
          <w:tcPr>
            <w:tcW w:w="5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40" w:type="dxa"/>
            <w:vAlign w:val="bottom"/>
          </w:tcPr>
          <w:p>
            <w:pPr>
              <w:spacing w:after="0"/>
              <w:rPr>
                <w:sz w:val="20"/>
                <w:szCs w:val="20"/>
                <w:color w:val="auto"/>
              </w:rPr>
            </w:pPr>
          </w:p>
        </w:tc>
      </w:tr>
      <w:tr>
        <w:trPr>
          <w:trHeight w:val="340"/>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Jason Conley</w:t>
            </w:r>
          </w:p>
        </w:tc>
        <w:tc>
          <w:tcPr>
            <w:tcW w:w="5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18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May 4, 2022</w:t>
            </w:r>
          </w:p>
        </w:tc>
      </w:tr>
      <w:tr>
        <w:trPr>
          <w:trHeight w:val="23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Conley</w:t>
            </w:r>
          </w:p>
        </w:tc>
        <w:tc>
          <w:tcPr>
            <w:tcW w:w="5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Neil Hunn,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351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C. Crisci,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36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7"/>
          <w:szCs w:val="17"/>
          <w:color w:val="auto"/>
        </w:rPr>
        <w:t>/S/ Robert C.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Robert C. Crisci</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Roper Technologies, Inc. (the “Company”) on Form 10-Q for the period ended March 31, 2022, as filed with the Securities and Exchange Commission on the date hereof (the “Report”), L. Neil Hunn, Chief Executive Officer of the Company, and Robert C. Crisci, Chief Financial Officer of the Company, each hereby certifies, pursuant to 18 U.S.C. Section 1350, as adopted pursuant to Section 906 of the Sarbanes-Oxley Act of 2002, to the best of his knowledge that:</w:t>
      </w:r>
    </w:p>
    <w:p>
      <w:pPr>
        <w:spacing w:after="0" w:line="20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Robert C.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Robert C. Crisci</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2022-05-04T07:17:38Z</dcterms:created>
  <dcterms:modified xsi:type="dcterms:W3CDTF">2022-05-04T07:17:38Z</dcterms:modified>
</cp:coreProperties>
</file>