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9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50"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1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April 23, 2026</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ROPER TECHNOLOGIES, INC.</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Delaware</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137" w:lineRule="exact"/>
        <w:rPr>
          <w:sz w:val="24"/>
          <w:szCs w:val="24"/>
          <w:color w:val="auto"/>
        </w:rPr>
      </w:pPr>
    </w:p>
    <w:tbl>
      <w:tblPr>
        <w:tblLayout w:type="fixed"/>
        <w:tblInd w:w="20" w:type="dxa"/>
        <w:tblCellMar>
          <w:top w:w="0" w:type="dxa"/>
          <w:left w:w="0" w:type="dxa"/>
          <w:bottom w:w="0" w:type="dxa"/>
          <w:right w:w="0" w:type="dxa"/>
        </w:tblCellMar>
      </w:tblPr>
      <w:tr>
        <w:trPr>
          <w:trHeight w:val="238"/>
        </w:trPr>
        <w:tc>
          <w:tcPr>
            <w:tcW w:w="58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1-12273</w:t>
            </w:r>
          </w:p>
        </w:tc>
        <w:tc>
          <w:tcPr>
            <w:tcW w:w="5400" w:type="dxa"/>
            <w:vAlign w:val="bottom"/>
          </w:tcPr>
          <w:p>
            <w:pPr>
              <w:jc w:val="right"/>
              <w:ind w:right="2270"/>
              <w:spacing w:after="0"/>
              <w:rPr>
                <w:sz w:val="20"/>
                <w:szCs w:val="20"/>
                <w:color w:val="auto"/>
              </w:rPr>
            </w:pPr>
            <w:r>
              <w:rPr>
                <w:rFonts w:ascii="Times New Roman" w:cs="Times New Roman" w:eastAsia="Times New Roman" w:hAnsi="Times New Roman"/>
                <w:sz w:val="18"/>
                <w:szCs w:val="18"/>
                <w:b w:val="1"/>
                <w:bCs w:val="1"/>
                <w:color w:val="auto"/>
              </w:rPr>
              <w:t>51-0263969</w:t>
            </w:r>
          </w:p>
        </w:tc>
      </w:tr>
      <w:tr>
        <w:trPr>
          <w:trHeight w:val="102"/>
        </w:trPr>
        <w:tc>
          <w:tcPr>
            <w:tcW w:w="5800" w:type="dxa"/>
            <w:vAlign w:val="bottom"/>
            <w:tcBorders>
              <w:bottom w:val="single" w:sz="8" w:color="auto"/>
            </w:tcBorders>
          </w:tcPr>
          <w:p>
            <w:pPr>
              <w:spacing w:after="0"/>
              <w:rPr>
                <w:sz w:val="8"/>
                <w:szCs w:val="8"/>
                <w:color w:val="auto"/>
              </w:rPr>
            </w:pPr>
          </w:p>
        </w:tc>
        <w:tc>
          <w:tcPr>
            <w:tcW w:w="5400" w:type="dxa"/>
            <w:vAlign w:val="bottom"/>
            <w:tcBorders>
              <w:bottom w:val="single" w:sz="8" w:color="auto"/>
            </w:tcBorders>
          </w:tcPr>
          <w:p>
            <w:pPr>
              <w:spacing w:after="0"/>
              <w:rPr>
                <w:sz w:val="8"/>
                <w:szCs w:val="8"/>
                <w:color w:val="auto"/>
              </w:rPr>
            </w:pPr>
          </w:p>
        </w:tc>
      </w:tr>
      <w:tr>
        <w:trPr>
          <w:trHeight w:val="324"/>
        </w:trPr>
        <w:tc>
          <w:tcPr>
            <w:tcW w:w="58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(COMMISSION FILE NUMBER)</w:t>
            </w:r>
          </w:p>
        </w:tc>
        <w:tc>
          <w:tcPr>
            <w:tcW w:w="540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329"/>
        </w:trPr>
        <w:tc>
          <w:tcPr>
            <w:tcW w:w="580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6496 University Parkway</w:t>
            </w:r>
          </w:p>
        </w:tc>
        <w:tc>
          <w:tcPr>
            <w:tcW w:w="5400" w:type="dxa"/>
            <w:vAlign w:val="bottom"/>
          </w:tcPr>
          <w:p>
            <w:pPr>
              <w:spacing w:after="0"/>
              <w:rPr>
                <w:sz w:val="24"/>
                <w:szCs w:val="24"/>
                <w:color w:val="auto"/>
              </w:rPr>
            </w:pPr>
          </w:p>
        </w:tc>
      </w:tr>
      <w:tr>
        <w:trPr>
          <w:trHeight w:val="238"/>
        </w:trPr>
        <w:tc>
          <w:tcPr>
            <w:tcW w:w="5800" w:type="dxa"/>
            <w:vAlign w:val="bottom"/>
          </w:tcPr>
          <w:p>
            <w:pPr>
              <w:ind w:left="2060"/>
              <w:spacing w:after="0"/>
              <w:rPr>
                <w:sz w:val="20"/>
                <w:szCs w:val="20"/>
                <w:color w:val="auto"/>
              </w:rPr>
            </w:pPr>
            <w:r>
              <w:rPr>
                <w:rFonts w:ascii="Times New Roman" w:cs="Times New Roman" w:eastAsia="Times New Roman" w:hAnsi="Times New Roman"/>
                <w:sz w:val="18"/>
                <w:szCs w:val="18"/>
                <w:b w:val="1"/>
                <w:bCs w:val="1"/>
                <w:color w:val="auto"/>
              </w:rPr>
              <w:t>Sarasota, Florida</w:t>
            </w:r>
          </w:p>
        </w:tc>
        <w:tc>
          <w:tcPr>
            <w:tcW w:w="5400" w:type="dxa"/>
            <w:vAlign w:val="bottom"/>
          </w:tcPr>
          <w:p>
            <w:pPr>
              <w:jc w:val="right"/>
              <w:ind w:right="2470"/>
              <w:spacing w:after="0"/>
              <w:rPr>
                <w:sz w:val="20"/>
                <w:szCs w:val="20"/>
                <w:color w:val="auto"/>
              </w:rPr>
            </w:pPr>
            <w:r>
              <w:rPr>
                <w:rFonts w:ascii="Times New Roman" w:cs="Times New Roman" w:eastAsia="Times New Roman" w:hAnsi="Times New Roman"/>
                <w:sz w:val="18"/>
                <w:szCs w:val="18"/>
                <w:b w:val="1"/>
                <w:bCs w:val="1"/>
                <w:color w:val="auto"/>
              </w:rPr>
              <w:t>34240</w:t>
            </w:r>
          </w:p>
        </w:tc>
      </w:tr>
      <w:tr>
        <w:trPr>
          <w:trHeight w:val="101"/>
        </w:trPr>
        <w:tc>
          <w:tcPr>
            <w:tcW w:w="5800" w:type="dxa"/>
            <w:vAlign w:val="bottom"/>
            <w:tcBorders>
              <w:bottom w:val="single" w:sz="8" w:color="auto"/>
            </w:tcBorders>
          </w:tcPr>
          <w:p>
            <w:pPr>
              <w:spacing w:after="0"/>
              <w:rPr>
                <w:sz w:val="8"/>
                <w:szCs w:val="8"/>
                <w:color w:val="auto"/>
              </w:rPr>
            </w:pPr>
          </w:p>
        </w:tc>
        <w:tc>
          <w:tcPr>
            <w:tcW w:w="5400" w:type="dxa"/>
            <w:vAlign w:val="bottom"/>
            <w:tcBorders>
              <w:bottom w:val="single" w:sz="8" w:color="auto"/>
            </w:tcBorders>
          </w:tcPr>
          <w:p>
            <w:pPr>
              <w:spacing w:after="0"/>
              <w:rPr>
                <w:sz w:val="8"/>
                <w:szCs w:val="8"/>
                <w:color w:val="auto"/>
              </w:rPr>
            </w:pPr>
          </w:p>
        </w:tc>
      </w:tr>
      <w:tr>
        <w:trPr>
          <w:trHeight w:val="324"/>
        </w:trPr>
        <w:tc>
          <w:tcPr>
            <w:tcW w:w="58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540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w w:val="99"/>
              </w:rPr>
              <w:t>(ZIP CODE)</w:t>
            </w:r>
          </w:p>
        </w:tc>
      </w:tr>
    </w:tbl>
    <w:p>
      <w:pPr>
        <w:spacing w:after="0" w:line="3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(941) 556-2601</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52"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89"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50" w:lineRule="exact"/>
        <w:rPr>
          <w:sz w:val="24"/>
          <w:szCs w:val="24"/>
          <w:color w:val="auto"/>
        </w:rPr>
      </w:pPr>
    </w:p>
    <w:tbl>
      <w:tblPr>
        <w:tblLayout w:type="fixed"/>
        <w:tblInd w:w="20" w:type="dxa"/>
        <w:tblCellMar>
          <w:top w:w="0" w:type="dxa"/>
          <w:left w:w="0" w:type="dxa"/>
          <w:bottom w:w="0" w:type="dxa"/>
          <w:right w:w="0" w:type="dxa"/>
        </w:tblCellMar>
      </w:tblPr>
      <w:tr>
        <w:trPr>
          <w:trHeight w:val="238"/>
        </w:trPr>
        <w:tc>
          <w:tcPr>
            <w:tcW w:w="46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20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w:t>
            </w:r>
          </w:p>
        </w:tc>
        <w:tc>
          <w:tcPr>
            <w:tcW w:w="180" w:type="dxa"/>
            <w:vAlign w:val="bottom"/>
          </w:tcPr>
          <w:p>
            <w:pPr>
              <w:spacing w:after="0"/>
              <w:rPr>
                <w:sz w:val="19"/>
                <w:szCs w:val="19"/>
                <w:color w:val="auto"/>
              </w:rPr>
            </w:pPr>
          </w:p>
        </w:tc>
        <w:tc>
          <w:tcPr>
            <w:tcW w:w="1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ROP</w:t>
            </w:r>
          </w:p>
        </w:tc>
        <w:tc>
          <w:tcPr>
            <w:tcW w:w="180" w:type="dxa"/>
            <w:vAlign w:val="bottom"/>
          </w:tcPr>
          <w:p>
            <w:pPr>
              <w:spacing w:after="0"/>
              <w:rPr>
                <w:sz w:val="19"/>
                <w:szCs w:val="19"/>
                <w:color w:val="auto"/>
              </w:rPr>
            </w:pPr>
          </w:p>
        </w:tc>
        <w:tc>
          <w:tcPr>
            <w:tcW w:w="4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314"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4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93"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527050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7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On April 23, 2026, Roper Technologies, Inc. (the “Company”) issued a press release containing information about the Company’s results of operations for the quarter ended March 31, 2026. A copy of the press release is furnished as Exhibit 99.1.</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308"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99.1</w:t>
            </w:r>
          </w:p>
        </w:tc>
        <w:tc>
          <w:tcPr>
            <w:tcW w:w="378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Press Release of the Company dated April 23, 2026.</w:t>
            </w:r>
          </w:p>
        </w:tc>
        <w:tc>
          <w:tcPr>
            <w:tcW w:w="6520" w:type="dxa"/>
            <w:vAlign w:val="bottom"/>
          </w:tcPr>
          <w:p>
            <w:pPr>
              <w:spacing w:after="0"/>
              <w:rPr>
                <w:sz w:val="17"/>
                <w:szCs w:val="17"/>
                <w:color w:val="auto"/>
              </w:rPr>
            </w:pPr>
          </w:p>
        </w:tc>
      </w:tr>
      <w:tr>
        <w:trPr>
          <w:trHeight w:val="250"/>
        </w:trPr>
        <w:tc>
          <w:tcPr>
            <w:tcW w:w="9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104</w:t>
            </w:r>
          </w:p>
        </w:tc>
        <w:tc>
          <w:tcPr>
            <w:tcW w:w="10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330"/>
        </w:trPr>
        <w:tc>
          <w:tcPr>
            <w:tcW w:w="94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c>
          <w:tcPr>
            <w:tcW w:w="6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30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44"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b w:val="1"/>
          <w:bCs w:val="1"/>
          <w:color w:val="auto"/>
        </w:rPr>
        <w:t>Roper Technologies, Inc.</w:t>
      </w:r>
    </w:p>
    <w:p>
      <w:pPr>
        <w:spacing w:after="0" w:line="31"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(Registrant)</w:t>
      </w:r>
    </w:p>
    <w:p>
      <w:pPr>
        <w:spacing w:after="0" w:line="247" w:lineRule="exact"/>
        <w:rPr>
          <w:sz w:val="20"/>
          <w:szCs w:val="20"/>
          <w:color w:val="auto"/>
        </w:rPr>
      </w:pPr>
    </w:p>
    <w:p>
      <w:pPr>
        <w:ind w:left="1000"/>
        <w:spacing w:after="0"/>
        <w:tabs>
          <w:tab w:leader="none" w:pos="1560" w:val="left"/>
          <w:tab w:leader="none" w:pos="72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Jason P. Conley</w:t>
      </w:r>
      <w:r>
        <w:rPr>
          <w:sz w:val="20"/>
          <w:szCs w:val="20"/>
          <w:color w:val="auto"/>
        </w:rPr>
        <w:tab/>
      </w:r>
      <w:r>
        <w:rPr>
          <w:rFonts w:ascii="Times New Roman" w:cs="Times New Roman" w:eastAsia="Times New Roman" w:hAnsi="Times New Roman"/>
          <w:sz w:val="18"/>
          <w:szCs w:val="18"/>
          <w:color w:val="auto"/>
        </w:rPr>
        <w:t>Date:  April 23,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17145</wp:posOffset>
            </wp:positionV>
            <wp:extent cx="328295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82950" cy="17145"/>
                    </a:xfrm>
                    <a:prstGeom prst="rect">
                      <a:avLst/>
                    </a:prstGeom>
                    <a:noFill/>
                  </pic:spPr>
                </pic:pic>
              </a:graphicData>
            </a:graphic>
          </wp:anchor>
        </w:drawing>
      </w:r>
    </w:p>
    <w:p>
      <w:pPr>
        <w:spacing w:after="0" w:line="18"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color w:val="auto"/>
        </w:rPr>
        <w:t>Jason P. Conley</w:t>
      </w:r>
    </w:p>
    <w:p>
      <w:pPr>
        <w:ind w:left="15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240"/>
          </w:cols>
          <w:pgMar w:left="320" w:top="891"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757555</wp:posOffset>
            </wp:positionV>
            <wp:extent cx="1474470" cy="5918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474470" cy="591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Roper Technologies announces first quarter financial results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Increases full year DEPS guidance and expands share repurchase program</w:t>
      </w:r>
    </w:p>
    <w:p>
      <w:pPr>
        <w:spacing w:after="0" w:line="234" w:lineRule="exact"/>
        <w:rPr>
          <w:sz w:val="20"/>
          <w:szCs w:val="20"/>
          <w:color w:val="auto"/>
        </w:rPr>
      </w:pPr>
    </w:p>
    <w:p>
      <w:pPr>
        <w:ind w:right="20"/>
        <w:spacing w:after="0" w:line="318" w:lineRule="auto"/>
        <w:rPr>
          <w:sz w:val="20"/>
          <w:szCs w:val="20"/>
          <w:color w:val="auto"/>
        </w:rPr>
      </w:pPr>
      <w:r>
        <w:rPr>
          <w:rFonts w:ascii="Arial" w:cs="Arial" w:eastAsia="Arial" w:hAnsi="Arial"/>
          <w:sz w:val="18"/>
          <w:szCs w:val="18"/>
          <w:b w:val="1"/>
          <w:bCs w:val="1"/>
          <w:color w:val="auto"/>
        </w:rPr>
        <w:t xml:space="preserve">Sarasota, Florida, April 23, 2026 ... Roper Technologies, Inc. (Nasdaq: ROP) </w:t>
      </w:r>
      <w:r>
        <w:rPr>
          <w:rFonts w:ascii="Arial" w:cs="Arial" w:eastAsia="Arial" w:hAnsi="Arial"/>
          <w:sz w:val="18"/>
          <w:szCs w:val="18"/>
          <w:color w:val="auto"/>
        </w:rPr>
        <w:t>reported financial results for the first quarter ended March</w:t>
      </w:r>
      <w:r>
        <w:rPr>
          <w:rFonts w:ascii="Arial" w:cs="Arial" w:eastAsia="Arial" w:hAnsi="Arial"/>
          <w:sz w:val="18"/>
          <w:szCs w:val="18"/>
          <w:b w:val="1"/>
          <w:bCs w:val="1"/>
          <w:color w:val="auto"/>
        </w:rPr>
        <w:t xml:space="preserve"> </w:t>
      </w:r>
      <w:r>
        <w:rPr>
          <w:rFonts w:ascii="Arial" w:cs="Arial" w:eastAsia="Arial" w:hAnsi="Arial"/>
          <w:sz w:val="18"/>
          <w:szCs w:val="18"/>
          <w:color w:val="auto"/>
        </w:rPr>
        <w:t>31, 2026.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2026 highlights</w:t>
      </w:r>
    </w:p>
    <w:p>
      <w:pPr>
        <w:spacing w:after="0" w:line="266"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Revenue increased 11% to $2.10 billion; organic revenue was +6% and acquisition contribution was +5%</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GAAP net earnings increased 54% to $509 million; adjusted net earnings increased 4% to $539 million</w:t>
      </w:r>
    </w:p>
    <w:p>
      <w:pPr>
        <w:spacing w:after="0" w:line="3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Adjusted EBITDA increased 8% to $797 million</w:t>
      </w:r>
    </w:p>
    <w:p>
      <w:pPr>
        <w:spacing w:after="0" w:line="2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Operating cash flow increased 12% to $592 million; free cash flow increased 11% to $562 million</w:t>
      </w:r>
    </w:p>
    <w:p>
      <w:pPr>
        <w:spacing w:after="0" w:line="26"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Repurchased 4.3 million shares for $1.5 billion in Q1 (program to date: 6.0 million shares for $2.2 billion)</w:t>
      </w:r>
    </w:p>
    <w:p>
      <w:pPr>
        <w:spacing w:after="0" w:line="3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GAAP DEPS increased 59% to $4.87; adjusted DEPS increased 8% to $5.16</w:t>
      </w:r>
    </w:p>
    <w:p>
      <w:pPr>
        <w:spacing w:after="0" w:line="256" w:lineRule="exact"/>
        <w:rPr>
          <w:sz w:val="20"/>
          <w:szCs w:val="20"/>
          <w:color w:val="auto"/>
        </w:rPr>
      </w:pPr>
    </w:p>
    <w:p>
      <w:pPr>
        <w:jc w:val="both"/>
        <w:spacing w:after="0" w:line="283" w:lineRule="auto"/>
        <w:rPr>
          <w:sz w:val="20"/>
          <w:szCs w:val="20"/>
          <w:color w:val="auto"/>
        </w:rPr>
      </w:pPr>
      <w:r>
        <w:rPr>
          <w:rFonts w:ascii="Arial" w:cs="Arial" w:eastAsia="Arial" w:hAnsi="Arial"/>
          <w:sz w:val="18"/>
          <w:szCs w:val="18"/>
          <w:color w:val="auto"/>
        </w:rPr>
        <w:t>"First quarter results were strong across the board, with 6% organic revenue growth, 11% total revenue growth, and 11% free cash flow growth," said Neil Hunn, Roper Technologies' President and CEO. "On capital deployment, we have repurchased six million shares over the past six months, representing almost 6% of shares outstanding. Also, our Board has authorized an additional $3 billion of share repurchases, bringing remaining capacity to $3.8 billion."</w:t>
      </w:r>
    </w:p>
    <w:p>
      <w:pPr>
        <w:spacing w:after="0" w:line="212"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"During the quarter, our businesses continued shipping AI products, fueled by Roper's expanded AI capacity and accelerated speed of execution. Early market response validates what we have long believed: vertical market leaders with proprietary data and deep workflow density are best positioned to deliver AI solutions that customers actually value and utilize."</w:t>
      </w:r>
    </w:p>
    <w:p>
      <w:pPr>
        <w:spacing w:after="0" w:line="210" w:lineRule="exact"/>
        <w:rPr>
          <w:sz w:val="20"/>
          <w:szCs w:val="20"/>
          <w:color w:val="auto"/>
        </w:rPr>
      </w:pPr>
    </w:p>
    <w:p>
      <w:pPr>
        <w:jc w:val="both"/>
        <w:spacing w:after="0" w:line="284" w:lineRule="auto"/>
        <w:rPr>
          <w:sz w:val="20"/>
          <w:szCs w:val="20"/>
          <w:color w:val="auto"/>
        </w:rPr>
      </w:pPr>
      <w:r>
        <w:rPr>
          <w:rFonts w:ascii="Arial" w:cs="Arial" w:eastAsia="Arial" w:hAnsi="Arial"/>
          <w:sz w:val="18"/>
          <w:szCs w:val="18"/>
          <w:color w:val="auto"/>
        </w:rPr>
        <w:t>"We are raising our full year DEPS outlook on the strength of Q1, share repurchases to date, and resilient demand for our businesses' mission-critical solutions. With more than $5 billion of deployable capacity against attractive acquisitions and opportunistic buybacks, Roper is well positioned to compound long-term free cash flow per share for our shareholders," concluded Mr. Hunn.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Increasing 2026 guidance</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Roper now expects full year 2026 adjusted DEPS of $21.80 - $22.05, compared to previous guidance of $21.30 - $21.55.</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For the second quarter of 2026, the Company expects adjusted DEPS of $5.25 - $5.30.</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The Company’s guidance excludes the impact of unannounced future acquisitions or divestitures, as well as potential share repurchases.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Conference call to be held at 8:00 AM (ET) today</w:t>
      </w:r>
    </w:p>
    <w:p>
      <w:pPr>
        <w:spacing w:after="0" w:line="266" w:lineRule="exact"/>
        <w:rPr>
          <w:sz w:val="20"/>
          <w:szCs w:val="20"/>
          <w:color w:val="auto"/>
        </w:rPr>
      </w:pPr>
    </w:p>
    <w:p>
      <w:pPr>
        <w:jc w:val="both"/>
        <w:spacing w:after="0" w:line="283" w:lineRule="auto"/>
        <w:rPr>
          <w:sz w:val="20"/>
          <w:szCs w:val="20"/>
          <w:color w:val="auto"/>
        </w:rPr>
      </w:pPr>
      <w:r>
        <w:rPr>
          <w:rFonts w:ascii="Arial" w:cs="Arial" w:eastAsia="Arial" w:hAnsi="Arial"/>
          <w:sz w:val="18"/>
          <w:szCs w:val="18"/>
          <w:color w:val="auto"/>
        </w:rPr>
        <w:t>A conference call to discuss these results has been scheduled for 8:00 AM ET on Thursday, April 23, 2026. The call can be accessed via webcast or by dialing +1 800-836-8184 (US/Canada) or +1 646-357-8785, using conference call ID 23216. Webcast information and conference call materials will be made available in the Investors section of Roper’s website (</w:t>
      </w:r>
      <w:r>
        <w:rPr>
          <w:rFonts w:ascii="Arial" w:cs="Arial" w:eastAsia="Arial" w:hAnsi="Arial"/>
          <w:sz w:val="18"/>
          <w:szCs w:val="18"/>
          <w:u w:val="single" w:color="auto"/>
          <w:color w:val="0000FF"/>
        </w:rPr>
        <w:t>www.ropertech.com</w:t>
      </w:r>
      <w:r>
        <w:rPr>
          <w:rFonts w:ascii="Arial" w:cs="Arial" w:eastAsia="Arial" w:hAnsi="Arial"/>
          <w:sz w:val="18"/>
          <w:szCs w:val="18"/>
          <w:color w:val="auto"/>
        </w:rPr>
        <w:t xml:space="preserve">) prior to the start of the call. The webcast can also be accessed directly by using the following URL </w:t>
      </w:r>
      <w:r>
        <w:rPr>
          <w:rFonts w:ascii="Arial" w:cs="Arial" w:eastAsia="Arial" w:hAnsi="Arial"/>
          <w:sz w:val="18"/>
          <w:szCs w:val="18"/>
          <w:u w:val="single" w:color="auto"/>
          <w:color w:val="0000FF"/>
        </w:rPr>
        <w:t>https://event.webcast</w:t>
      </w:r>
      <w:r>
        <w:rPr>
          <w:rFonts w:ascii="Arial" w:cs="Arial" w:eastAsia="Arial" w:hAnsi="Arial"/>
          <w:sz w:val="18"/>
          <w:szCs w:val="18"/>
          <w:color w:val="auto"/>
        </w:rPr>
        <w:t>. Telephonic replays will be available for up to two weeks and can be accessed by dialing +1 646-517-4150 with access code 23216 #.</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non-GAAP financial information</w:t>
      </w:r>
    </w:p>
    <w:p>
      <w:pPr>
        <w:spacing w:after="0" w:line="266" w:lineRule="exact"/>
        <w:rPr>
          <w:sz w:val="20"/>
          <w:szCs w:val="20"/>
          <w:color w:val="auto"/>
        </w:rPr>
      </w:pPr>
    </w:p>
    <w:p>
      <w:pPr>
        <w:jc w:val="both"/>
        <w:spacing w:after="0" w:line="279" w:lineRule="auto"/>
        <w:rPr>
          <w:sz w:val="20"/>
          <w:szCs w:val="20"/>
          <w:color w:val="auto"/>
        </w:rPr>
      </w:pPr>
      <w:r>
        <w:rPr>
          <w:rFonts w:ascii="Arial" w:cs="Arial" w:eastAsia="Arial" w:hAnsi="Arial"/>
          <w:sz w:val="18"/>
          <w:szCs w:val="18"/>
          <w:i w:val="1"/>
          <w:iCs w:val="1"/>
          <w:color w:val="auto"/>
        </w:rPr>
        <w:t>The Company supplements its consolidated financial statements presented on a GAAP basis with certain non-GAAP financial information to provide investors with greater insight, increase transparency and allow for a more comprehensive understanding of the information used by management in its financial and operational decision-making. Reconciliation of non-GAAP measures to their most directly comparable GAAP measures are included in the accompanying financial schedules or tables. The non-GAAP financial measures disclosed by the Company should not be considered a substitute for, or superior to, financial measures prepared in accordance with GAAP, and the financial results prepared in accordance with GAAP and reconciliations from these results should be carefully evaluated.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Minority interest</w:t>
      </w:r>
    </w:p>
    <w:p>
      <w:pPr>
        <w:spacing w:after="0" w:line="279" w:lineRule="exact"/>
        <w:rPr>
          <w:sz w:val="20"/>
          <w:szCs w:val="20"/>
          <w:color w:val="auto"/>
        </w:rPr>
      </w:pPr>
    </w:p>
    <w:p>
      <w:pPr>
        <w:jc w:val="both"/>
        <w:spacing w:after="0" w:line="283" w:lineRule="auto"/>
        <w:rPr>
          <w:sz w:val="20"/>
          <w:szCs w:val="20"/>
          <w:color w:val="auto"/>
        </w:rPr>
      </w:pPr>
      <w:r>
        <w:rPr>
          <w:rFonts w:ascii="Arial" w:cs="Arial" w:eastAsia="Arial" w:hAnsi="Arial"/>
          <w:sz w:val="18"/>
          <w:szCs w:val="18"/>
          <w:i w:val="1"/>
          <w:iCs w:val="1"/>
          <w:color w:val="auto"/>
        </w:rPr>
        <w:t>Following the sale of a majority stake in its industrial businesses to CD&amp;R, Roper holds a minority interest in Indicor. The fair value of Roper’s equity investment in Indicor is updated on a quarterly basis and reported as "equity investment (gain) loss, net." Roper makes non-GAAP adjustments for the impacts associated with this investment.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187"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47"/>
        </w:trPr>
        <w:tc>
          <w:tcPr>
            <w:tcW w:w="6100" w:type="dxa"/>
            <w:vAlign w:val="bottom"/>
          </w:tcPr>
          <w:p>
            <w:pPr>
              <w:spacing w:after="0"/>
              <w:rPr>
                <w:sz w:val="20"/>
                <w:szCs w:val="20"/>
                <w:color w:val="auto"/>
              </w:rPr>
            </w:pPr>
            <w:r>
              <w:rPr>
                <w:rFonts w:ascii="Arial" w:cs="Arial" w:eastAsia="Arial" w:hAnsi="Arial"/>
                <w:sz w:val="18"/>
                <w:szCs w:val="18"/>
                <w:b w:val="1"/>
                <w:bCs w:val="1"/>
                <w:color w:val="auto"/>
              </w:rPr>
              <w:t>Table 1: Revenue and adjusted EBITDA reconciliation ($M)</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3"/>
            <w:vMerge w:val="restart"/>
          </w:tcPr>
          <w:p>
            <w:pPr>
              <w:ind w:left="60"/>
              <w:spacing w:after="0"/>
              <w:rPr>
                <w:sz w:val="20"/>
                <w:szCs w:val="20"/>
                <w:color w:val="auto"/>
              </w:rPr>
            </w:pPr>
            <w:r>
              <w:rPr>
                <w:rFonts w:ascii="Arial" w:cs="Arial" w:eastAsia="Arial" w:hAnsi="Arial"/>
                <w:sz w:val="18"/>
                <w:szCs w:val="18"/>
                <w:b w:val="1"/>
                <w:bCs w:val="1"/>
                <w:color w:val="auto"/>
              </w:rPr>
              <w:t>Q1 2025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80" w:type="dxa"/>
            <w:vAlign w:val="bottom"/>
            <w:gridSpan w:val="2"/>
            <w:vMerge w:val="restart"/>
          </w:tcPr>
          <w:p>
            <w:pPr>
              <w:jc w:val="right"/>
              <w:ind w:right="460"/>
              <w:spacing w:after="0"/>
              <w:rPr>
                <w:sz w:val="20"/>
                <w:szCs w:val="20"/>
                <w:color w:val="auto"/>
              </w:rPr>
            </w:pPr>
            <w:r>
              <w:rPr>
                <w:rFonts w:ascii="Arial" w:cs="Arial" w:eastAsia="Arial" w:hAnsi="Arial"/>
                <w:sz w:val="18"/>
                <w:szCs w:val="18"/>
                <w:b w:val="1"/>
                <w:bCs w:val="1"/>
                <w:color w:val="auto"/>
              </w:rPr>
              <w:t>Q1 2026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6100" w:type="dxa"/>
            <w:vAlign w:val="bottom"/>
            <w:vMerge w:val="restart"/>
          </w:tcPr>
          <w:p>
            <w:pPr>
              <w:spacing w:after="0"/>
              <w:rPr>
                <w:sz w:val="20"/>
                <w:szCs w:val="20"/>
                <w:color w:val="auto"/>
              </w:rPr>
            </w:pPr>
            <w:r>
              <w:rPr>
                <w:rFonts w:ascii="Arial" w:cs="Arial" w:eastAsia="Arial" w:hAnsi="Arial"/>
                <w:sz w:val="18"/>
                <w:szCs w:val="18"/>
                <w:color w:val="auto"/>
              </w:rPr>
              <w:t>GAAP revenue</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6100" w:type="dxa"/>
            <w:vAlign w:val="bottom"/>
            <w:vMerge w:val="continue"/>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1,883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2,095</w:t>
            </w:r>
          </w:p>
        </w:tc>
        <w:tc>
          <w:tcPr>
            <w:tcW w:w="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3"/>
        </w:trPr>
        <w:tc>
          <w:tcPr>
            <w:tcW w:w="6100" w:type="dxa"/>
            <w:vAlign w:val="bottom"/>
          </w:tcPr>
          <w:p>
            <w:pPr>
              <w:spacing w:after="0"/>
              <w:rPr>
                <w:sz w:val="20"/>
                <w:szCs w:val="20"/>
                <w:color w:val="auto"/>
              </w:rPr>
            </w:pPr>
            <w:r>
              <w:rPr>
                <w:rFonts w:ascii="Arial" w:cs="Arial" w:eastAsia="Arial" w:hAnsi="Arial"/>
                <w:sz w:val="18"/>
                <w:szCs w:val="18"/>
                <w:color w:val="auto"/>
              </w:rPr>
              <w:t>Components of revenue growth</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100" w:type="dxa"/>
            <w:vAlign w:val="bottom"/>
          </w:tcPr>
          <w:p>
            <w:pPr>
              <w:ind w:left="120"/>
              <w:spacing w:after="0"/>
              <w:rPr>
                <w:sz w:val="20"/>
                <w:szCs w:val="20"/>
                <w:color w:val="auto"/>
              </w:rPr>
            </w:pPr>
            <w:r>
              <w:rPr>
                <w:rFonts w:ascii="Arial" w:cs="Arial" w:eastAsia="Arial" w:hAnsi="Arial"/>
                <w:sz w:val="18"/>
                <w:szCs w:val="18"/>
                <w:color w:val="auto"/>
              </w:rPr>
              <w:t>Organic</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tcPr>
          <w:p>
            <w:pPr>
              <w:ind w:left="120"/>
              <w:spacing w:after="0"/>
              <w:rPr>
                <w:sz w:val="20"/>
                <w:szCs w:val="20"/>
                <w:color w:val="auto"/>
              </w:rPr>
            </w:pPr>
            <w:r>
              <w:rPr>
                <w:rFonts w:ascii="Arial" w:cs="Arial" w:eastAsia="Arial" w:hAnsi="Arial"/>
                <w:sz w:val="18"/>
                <w:szCs w:val="18"/>
                <w:color w:val="auto"/>
              </w:rPr>
              <w:t>Acquisitions</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100" w:type="dxa"/>
            <w:vAlign w:val="bottom"/>
          </w:tcPr>
          <w:p>
            <w:pPr>
              <w:ind w:left="120"/>
              <w:spacing w:after="0"/>
              <w:rPr>
                <w:sz w:val="20"/>
                <w:szCs w:val="20"/>
                <w:color w:val="auto"/>
              </w:rPr>
            </w:pPr>
            <w:r>
              <w:rPr>
                <w:rFonts w:ascii="Arial" w:cs="Arial" w:eastAsia="Arial" w:hAnsi="Arial"/>
                <w:sz w:val="18"/>
                <w:szCs w:val="18"/>
                <w:color w:val="auto"/>
              </w:rPr>
              <w:t>Foreign exchange</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100" w:type="dxa"/>
            <w:vAlign w:val="bottom"/>
          </w:tcPr>
          <w:p>
            <w:pPr>
              <w:spacing w:after="0"/>
              <w:rPr>
                <w:sz w:val="20"/>
                <w:szCs w:val="20"/>
                <w:color w:val="auto"/>
              </w:rPr>
            </w:pPr>
            <w:r>
              <w:rPr>
                <w:rFonts w:ascii="Arial" w:cs="Arial" w:eastAsia="Arial" w:hAnsi="Arial"/>
                <w:sz w:val="18"/>
                <w:szCs w:val="18"/>
                <w:color w:val="auto"/>
              </w:rPr>
              <w:t>Total revenue growth</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7"/>
        </w:trPr>
        <w:tc>
          <w:tcPr>
            <w:tcW w:w="6100" w:type="dxa"/>
            <w:vAlign w:val="bottom"/>
          </w:tcPr>
          <w:p>
            <w:pPr>
              <w:spacing w:after="0"/>
              <w:rPr>
                <w:sz w:val="20"/>
                <w:szCs w:val="20"/>
                <w:color w:val="auto"/>
              </w:rPr>
            </w:pPr>
            <w:r>
              <w:rPr>
                <w:rFonts w:ascii="Arial" w:cs="Arial" w:eastAsia="Arial" w:hAnsi="Arial"/>
                <w:sz w:val="18"/>
                <w:szCs w:val="18"/>
                <w:color w:val="auto"/>
              </w:rPr>
              <w:t>Adjusted EBITDA reconciliation</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GAAP net earnings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509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tcPr>
          <w:p>
            <w:pPr>
              <w:ind w:left="120"/>
              <w:spacing w:after="0"/>
              <w:rPr>
                <w:sz w:val="20"/>
                <w:szCs w:val="20"/>
                <w:color w:val="auto"/>
              </w:rPr>
            </w:pPr>
            <w:r>
              <w:rPr>
                <w:rFonts w:ascii="Arial" w:cs="Arial" w:eastAsia="Arial" w:hAnsi="Arial"/>
                <w:sz w:val="18"/>
                <w:szCs w:val="18"/>
                <w:color w:val="auto"/>
              </w:rPr>
              <w:t>Taxes</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126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tcPr>
          <w:p>
            <w:pPr>
              <w:ind w:left="1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99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tcPr>
          <w:p>
            <w:pPr>
              <w:ind w:left="120"/>
              <w:spacing w:after="0"/>
              <w:rPr>
                <w:sz w:val="20"/>
                <w:szCs w:val="20"/>
                <w:color w:val="auto"/>
              </w:rPr>
            </w:pPr>
            <w:r>
              <w:rPr>
                <w:rFonts w:ascii="Arial" w:cs="Arial" w:eastAsia="Arial" w:hAnsi="Arial"/>
                <w:sz w:val="18"/>
                <w:szCs w:val="18"/>
                <w:color w:val="auto"/>
              </w:rPr>
              <w:t>Depreciation</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100" w:type="dxa"/>
            <w:vAlign w:val="bottom"/>
          </w:tcPr>
          <w:p>
            <w:pPr>
              <w:ind w:left="120"/>
              <w:spacing w:after="0"/>
              <w:rPr>
                <w:sz w:val="20"/>
                <w:szCs w:val="20"/>
                <w:color w:val="auto"/>
              </w:rPr>
            </w:pPr>
            <w:r>
              <w:rPr>
                <w:rFonts w:ascii="Arial" w:cs="Arial" w:eastAsia="Arial" w:hAnsi="Arial"/>
                <w:sz w:val="18"/>
                <w:szCs w:val="18"/>
                <w:color w:val="auto"/>
              </w:rPr>
              <w:t>Amortization</w:t>
            </w:r>
          </w:p>
        </w:tc>
        <w:tc>
          <w:tcPr>
            <w:tcW w:w="2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220</w:t>
            </w:r>
          </w:p>
        </w:tc>
        <w:tc>
          <w:tcPr>
            <w:tcW w:w="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100" w:type="dxa"/>
            <w:vAlign w:val="bottom"/>
          </w:tcPr>
          <w:p>
            <w:pPr>
              <w:spacing w:after="0"/>
              <w:rPr>
                <w:sz w:val="20"/>
                <w:szCs w:val="20"/>
                <w:color w:val="auto"/>
              </w:rPr>
            </w:pPr>
            <w:r>
              <w:rPr>
                <w:rFonts w:ascii="Arial" w:cs="Arial" w:eastAsia="Arial" w:hAnsi="Arial"/>
                <w:sz w:val="18"/>
                <w:szCs w:val="18"/>
                <w:color w:val="auto"/>
              </w:rPr>
              <w:t>EBITDA</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694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965</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00" w:type="dxa"/>
            <w:vAlign w:val="bottom"/>
            <w:vMerge w:val="restart"/>
          </w:tcPr>
          <w:p>
            <w:pPr>
              <w:ind w:left="120"/>
              <w:spacing w:after="0"/>
              <w:rPr>
                <w:sz w:val="20"/>
                <w:szCs w:val="20"/>
                <w:color w:val="auto"/>
              </w:rPr>
            </w:pPr>
            <w:r>
              <w:rPr>
                <w:rFonts w:ascii="Arial" w:cs="Arial" w:eastAsia="Arial" w:hAnsi="Arial"/>
                <w:sz w:val="18"/>
                <w:szCs w:val="18"/>
                <w:color w:val="auto"/>
              </w:rPr>
              <w:t>Transaction-related expenses for completed acquisitions</w:t>
            </w: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6"/>
        </w:trPr>
        <w:tc>
          <w:tcPr>
            <w:tcW w:w="61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jc w:val="right"/>
              <w:ind w:right="15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jc w:val="right"/>
              <w:spacing w:after="0"/>
              <w:rPr>
                <w:sz w:val="20"/>
                <w:szCs w:val="20"/>
                <w:color w:val="auto"/>
              </w:rPr>
            </w:pPr>
            <w:r>
              <w:rPr>
                <w:rFonts w:ascii="Arial" w:cs="Arial" w:eastAsia="Arial" w:hAnsi="Arial"/>
                <w:sz w:val="12"/>
                <w:szCs w:val="12"/>
                <w:color w:val="auto"/>
                <w:w w:val="74"/>
              </w:rPr>
              <w:t>A</w:t>
            </w:r>
          </w:p>
        </w:tc>
        <w:tc>
          <w:tcPr>
            <w:tcW w:w="0" w:type="dxa"/>
            <w:vAlign w:val="bottom"/>
          </w:tcPr>
          <w:p>
            <w:pPr>
              <w:spacing w:after="0"/>
              <w:rPr>
                <w:sz w:val="1"/>
                <w:szCs w:val="1"/>
                <w:color w:val="auto"/>
              </w:rPr>
            </w:pPr>
          </w:p>
        </w:tc>
      </w:tr>
      <w:tr>
        <w:trPr>
          <w:trHeight w:val="149"/>
        </w:trPr>
        <w:tc>
          <w:tcPr>
            <w:tcW w:w="6100" w:type="dxa"/>
            <w:vAlign w:val="bottom"/>
            <w:vMerge w:val="restart"/>
          </w:tcPr>
          <w:p>
            <w:pPr>
              <w:ind w:left="120"/>
              <w:spacing w:after="0"/>
              <w:rPr>
                <w:sz w:val="20"/>
                <w:szCs w:val="20"/>
                <w:color w:val="auto"/>
              </w:rPr>
            </w:pPr>
            <w:r>
              <w:rPr>
                <w:rFonts w:ascii="Arial" w:cs="Arial" w:eastAsia="Arial" w:hAnsi="Arial"/>
                <w:sz w:val="18"/>
                <w:szCs w:val="18"/>
                <w:color w:val="auto"/>
              </w:rPr>
              <w:t>Financial impacts associated with minority investments</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vMerge w:val="restart"/>
          </w:tcPr>
          <w:p>
            <w:pPr>
              <w:jc w:val="right"/>
              <w:ind w:right="15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vMerge w:val="restart"/>
          </w:tcPr>
          <w:p>
            <w:pPr>
              <w:jc w:val="right"/>
              <w:ind w:right="70"/>
              <w:spacing w:after="0"/>
              <w:rPr>
                <w:sz w:val="20"/>
                <w:szCs w:val="20"/>
                <w:color w:val="auto"/>
              </w:rPr>
            </w:pPr>
            <w:r>
              <w:rPr>
                <w:rFonts w:ascii="Arial" w:cs="Arial" w:eastAsia="Arial" w:hAnsi="Arial"/>
                <w:sz w:val="18"/>
                <w:szCs w:val="18"/>
                <w:color w:val="auto"/>
              </w:rPr>
              <w:t>(167)</w:t>
            </w:r>
          </w:p>
        </w:tc>
        <w:tc>
          <w:tcPr>
            <w:tcW w:w="40" w:type="dxa"/>
            <w:vAlign w:val="bottom"/>
          </w:tcPr>
          <w:p>
            <w:pPr>
              <w:spacing w:after="0"/>
              <w:rPr>
                <w:sz w:val="12"/>
                <w:szCs w:val="12"/>
                <w:color w:val="auto"/>
              </w:rPr>
            </w:pPr>
          </w:p>
        </w:tc>
        <w:tc>
          <w:tcPr>
            <w:tcW w:w="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5"/>
        </w:trPr>
        <w:tc>
          <w:tcPr>
            <w:tcW w:w="6100" w:type="dxa"/>
            <w:vAlign w:val="bottom"/>
            <w:vMerge w:val="continue"/>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1200" w:type="dxa"/>
            <w:vAlign w:val="bottom"/>
            <w:tcBorders>
              <w:bottom w:val="single" w:sz="8" w:color="auto"/>
            </w:tcBorders>
            <w:vMerge w:val="continue"/>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240" w:type="dxa"/>
            <w:vAlign w:val="bottom"/>
            <w:tcBorders>
              <w:bottom w:val="single" w:sz="8" w:color="auto"/>
            </w:tcBorders>
            <w:vMerge w:val="continue"/>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6100" w:type="dxa"/>
            <w:vAlign w:val="bottom"/>
          </w:tcPr>
          <w:p>
            <w:pPr>
              <w:spacing w:after="0"/>
              <w:rPr>
                <w:sz w:val="20"/>
                <w:szCs w:val="20"/>
                <w:color w:val="auto"/>
              </w:rPr>
            </w:pPr>
            <w:r>
              <w:rPr>
                <w:rFonts w:ascii="Arial" w:cs="Arial" w:eastAsia="Arial" w:hAnsi="Arial"/>
                <w:sz w:val="18"/>
                <w:szCs w:val="18"/>
                <w:color w:val="auto"/>
              </w:rPr>
              <w:t>Adjusted EBITDA</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797</w:t>
            </w:r>
          </w:p>
        </w:tc>
        <w:tc>
          <w:tcPr>
            <w:tcW w:w="4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100" w:type="dxa"/>
            <w:vAlign w:val="bottom"/>
            <w:vMerge w:val="restart"/>
          </w:tcPr>
          <w:p>
            <w:pPr>
              <w:ind w:left="120"/>
              <w:spacing w:after="0"/>
              <w:rPr>
                <w:sz w:val="20"/>
                <w:szCs w:val="20"/>
                <w:color w:val="auto"/>
              </w:rPr>
            </w:pPr>
            <w:r>
              <w:rPr>
                <w:rFonts w:ascii="Arial" w:cs="Arial" w:eastAsia="Arial" w:hAnsi="Arial"/>
                <w:sz w:val="18"/>
                <w:szCs w:val="18"/>
                <w:color w:val="auto"/>
              </w:rPr>
              <w:t>Adjusted EBITDA margin</w:t>
            </w:r>
          </w:p>
        </w:tc>
        <w:tc>
          <w:tcPr>
            <w:tcW w:w="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2"/>
        </w:trPr>
        <w:tc>
          <w:tcPr>
            <w:tcW w:w="61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39.3 %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38.1 %</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7"/>
        </w:trPr>
        <w:tc>
          <w:tcPr>
            <w:tcW w:w="6100" w:type="dxa"/>
            <w:vAlign w:val="bottom"/>
          </w:tcPr>
          <w:p>
            <w:pPr>
              <w:spacing w:after="0"/>
              <w:rPr>
                <w:sz w:val="20"/>
                <w:szCs w:val="20"/>
                <w:color w:val="auto"/>
              </w:rPr>
            </w:pPr>
            <w:r>
              <w:rPr>
                <w:rFonts w:ascii="Arial" w:cs="Arial" w:eastAsia="Arial" w:hAnsi="Arial"/>
                <w:sz w:val="18"/>
                <w:szCs w:val="18"/>
                <w:b w:val="1"/>
                <w:bCs w:val="1"/>
                <w:color w:val="auto"/>
              </w:rPr>
              <w:t>Table 2: Adjusted net earnings reconciliation ($M)</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gridSpan w:val="3"/>
            <w:vMerge w:val="restart"/>
          </w:tcPr>
          <w:p>
            <w:pPr>
              <w:ind w:left="220"/>
              <w:spacing w:after="0"/>
              <w:rPr>
                <w:sz w:val="20"/>
                <w:szCs w:val="20"/>
                <w:color w:val="auto"/>
              </w:rPr>
            </w:pPr>
            <w:r>
              <w:rPr>
                <w:rFonts w:ascii="Arial" w:cs="Arial" w:eastAsia="Arial" w:hAnsi="Arial"/>
                <w:sz w:val="18"/>
                <w:szCs w:val="18"/>
                <w:b w:val="1"/>
                <w:bCs w:val="1"/>
                <w:color w:val="auto"/>
              </w:rPr>
              <w:t>Q1 2025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gridSpan w:val="2"/>
            <w:vMerge w:val="restart"/>
          </w:tcPr>
          <w:p>
            <w:pPr>
              <w:jc w:val="right"/>
              <w:ind w:right="440"/>
              <w:spacing w:after="0"/>
              <w:rPr>
                <w:sz w:val="20"/>
                <w:szCs w:val="20"/>
                <w:color w:val="auto"/>
              </w:rPr>
            </w:pPr>
            <w:r>
              <w:rPr>
                <w:rFonts w:ascii="Arial" w:cs="Arial" w:eastAsia="Arial" w:hAnsi="Arial"/>
                <w:sz w:val="18"/>
                <w:szCs w:val="18"/>
                <w:b w:val="1"/>
                <w:bCs w:val="1"/>
                <w:color w:val="auto"/>
              </w:rPr>
              <w:t>Q1 2026</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6100" w:type="dxa"/>
            <w:vAlign w:val="bottom"/>
            <w:vMerge w:val="restart"/>
          </w:tcPr>
          <w:p>
            <w:pPr>
              <w:spacing w:after="0"/>
              <w:rPr>
                <w:sz w:val="20"/>
                <w:szCs w:val="20"/>
                <w:color w:val="auto"/>
              </w:rPr>
            </w:pPr>
            <w:r>
              <w:rPr>
                <w:rFonts w:ascii="Arial" w:cs="Arial" w:eastAsia="Arial" w:hAnsi="Arial"/>
                <w:sz w:val="18"/>
                <w:szCs w:val="18"/>
                <w:color w:val="auto"/>
              </w:rPr>
              <w:t>GAAP net earnings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3"/>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1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331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509</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6100" w:type="dxa"/>
            <w:vAlign w:val="bottom"/>
          </w:tcPr>
          <w:p>
            <w:pPr>
              <w:ind w:left="120"/>
              <w:spacing w:after="0"/>
              <w:rPr>
                <w:sz w:val="20"/>
                <w:szCs w:val="20"/>
                <w:color w:val="auto"/>
              </w:rPr>
            </w:pPr>
            <w:r>
              <w:rPr>
                <w:rFonts w:ascii="Arial" w:cs="Arial" w:eastAsia="Arial" w:hAnsi="Arial"/>
                <w:sz w:val="18"/>
                <w:szCs w:val="18"/>
                <w:color w:val="auto"/>
              </w:rPr>
              <w:t>Transaction-related expenses for completed acquisitions</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00" w:type="dxa"/>
            <w:vAlign w:val="bottom"/>
          </w:tcPr>
          <w:p>
            <w:pPr>
              <w:ind w:left="120"/>
              <w:spacing w:after="0"/>
              <w:rPr>
                <w:sz w:val="20"/>
                <w:szCs w:val="20"/>
                <w:color w:val="auto"/>
              </w:rPr>
            </w:pPr>
            <w:r>
              <w:rPr>
                <w:rFonts w:ascii="Arial" w:cs="Arial" w:eastAsia="Arial" w:hAnsi="Arial"/>
                <w:sz w:val="18"/>
                <w:szCs w:val="18"/>
                <w:color w:val="auto"/>
              </w:rPr>
              <w:t>Financial impacts associated with minority investments</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3"/>
          </w:tcPr>
          <w:p>
            <w:pPr>
              <w:jc w:val="right"/>
              <w:spacing w:after="0" w:line="230" w:lineRule="exact"/>
              <w:rPr>
                <w:sz w:val="20"/>
                <w:szCs w:val="20"/>
                <w:color w:val="auto"/>
              </w:rPr>
            </w:pPr>
            <w:r>
              <w:rPr>
                <w:rFonts w:ascii="Arial" w:cs="Arial" w:eastAsia="Arial" w:hAnsi="Arial"/>
                <w:sz w:val="18"/>
                <w:szCs w:val="18"/>
                <w:color w:val="auto"/>
              </w:rPr>
              <w:t xml:space="preserve">(134) </w:t>
            </w:r>
            <w:r>
              <w:rPr>
                <w:rFonts w:ascii="Arial" w:cs="Arial" w:eastAsia="Arial" w:hAnsi="Arial"/>
                <w:sz w:val="23"/>
                <w:szCs w:val="23"/>
                <w:color w:val="auto"/>
                <w:vertAlign w:val="superscript"/>
              </w:rPr>
              <w:t>A</w:t>
            </w:r>
          </w:p>
        </w:tc>
        <w:tc>
          <w:tcPr>
            <w:tcW w:w="0" w:type="dxa"/>
            <w:vAlign w:val="bottom"/>
          </w:tcPr>
          <w:p>
            <w:pPr>
              <w:spacing w:after="0"/>
              <w:rPr>
                <w:sz w:val="1"/>
                <w:szCs w:val="1"/>
                <w:color w:val="auto"/>
              </w:rPr>
            </w:pPr>
          </w:p>
        </w:tc>
      </w:tr>
      <w:tr>
        <w:trPr>
          <w:trHeight w:val="237"/>
        </w:trPr>
        <w:tc>
          <w:tcPr>
            <w:tcW w:w="6100" w:type="dxa"/>
            <w:vAlign w:val="bottom"/>
          </w:tcPr>
          <w:p>
            <w:pPr>
              <w:ind w:left="120"/>
              <w:spacing w:after="0"/>
              <w:rPr>
                <w:sz w:val="20"/>
                <w:szCs w:val="20"/>
                <w:color w:val="auto"/>
              </w:rPr>
            </w:pPr>
            <w:r>
              <w:rPr>
                <w:rFonts w:ascii="Arial" w:cs="Arial" w:eastAsia="Arial" w:hAnsi="Arial"/>
                <w:sz w:val="18"/>
                <w:szCs w:val="18"/>
                <w:color w:val="auto"/>
              </w:rPr>
              <w:t>Amortization of acquisition-related intangible assets</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60" w:type="dxa"/>
            <w:vAlign w:val="bottom"/>
            <w:gridSpan w:val="3"/>
          </w:tcPr>
          <w:p>
            <w:pPr>
              <w:jc w:val="right"/>
              <w:spacing w:after="0" w:line="237" w:lineRule="exact"/>
              <w:rPr>
                <w:sz w:val="20"/>
                <w:szCs w:val="20"/>
                <w:color w:val="auto"/>
              </w:rPr>
            </w:pPr>
            <w:r>
              <w:rPr>
                <w:rFonts w:ascii="Arial" w:cs="Arial" w:eastAsia="Arial" w:hAnsi="Arial"/>
                <w:sz w:val="18"/>
                <w:szCs w:val="18"/>
                <w:color w:val="auto"/>
              </w:rPr>
              <w:t xml:space="preserve">164 </w:t>
            </w:r>
            <w:r>
              <w:rPr>
                <w:rFonts w:ascii="Arial" w:cs="Arial" w:eastAsia="Arial" w:hAnsi="Arial"/>
                <w:sz w:val="23"/>
                <w:szCs w:val="23"/>
                <w:color w:val="auto"/>
                <w:vertAlign w:val="superscript"/>
              </w:rPr>
              <w:t>B</w:t>
            </w:r>
          </w:p>
        </w:tc>
        <w:tc>
          <w:tcPr>
            <w:tcW w:w="0" w:type="dxa"/>
            <w:vAlign w:val="bottom"/>
          </w:tcPr>
          <w:p>
            <w:pPr>
              <w:spacing w:after="0"/>
              <w:rPr>
                <w:sz w:val="1"/>
                <w:szCs w:val="1"/>
                <w:color w:val="auto"/>
              </w:rPr>
            </w:pPr>
          </w:p>
        </w:tc>
      </w:tr>
      <w:tr>
        <w:trPr>
          <w:trHeight w:val="223"/>
        </w:trPr>
        <w:tc>
          <w:tcPr>
            <w:tcW w:w="6100" w:type="dxa"/>
            <w:vAlign w:val="bottom"/>
          </w:tcPr>
          <w:p>
            <w:pPr>
              <w:spacing w:after="0" w:line="223" w:lineRule="exact"/>
              <w:rPr>
                <w:sz w:val="20"/>
                <w:szCs w:val="20"/>
                <w:color w:val="auto"/>
              </w:rPr>
            </w:pPr>
            <w:r>
              <w:rPr>
                <w:rFonts w:ascii="Arial" w:cs="Arial" w:eastAsia="Arial" w:hAnsi="Arial"/>
                <w:sz w:val="18"/>
                <w:szCs w:val="18"/>
                <w:color w:val="auto"/>
              </w:rPr>
              <w:t xml:space="preserve">Adjusted net earnings </w:t>
            </w:r>
            <w:r>
              <w:rPr>
                <w:rFonts w:ascii="Arial" w:cs="Arial" w:eastAsia="Arial" w:hAnsi="Arial"/>
                <w:sz w:val="23"/>
                <w:szCs w:val="23"/>
                <w:color w:val="auto"/>
                <w:vertAlign w:val="superscript"/>
              </w:rPr>
              <w:t>C</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539</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V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17780</wp:posOffset>
            </wp:positionV>
            <wp:extent cx="9004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00430" cy="8255"/>
                    </a:xfrm>
                    <a:prstGeom prst="rect">
                      <a:avLst/>
                    </a:prstGeom>
                    <a:noFill/>
                  </pic:spPr>
                </pic:pic>
              </a:graphicData>
            </a:graphic>
          </wp:anchor>
        </w:drawing>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11 %</w:t>
      </w:r>
    </w:p>
    <w:p>
      <w:pPr>
        <w:spacing w:after="0" w:line="3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6 %</w:t>
      </w:r>
    </w:p>
    <w:p>
      <w:pPr>
        <w:spacing w:after="0" w:line="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5 %</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12065</wp:posOffset>
            </wp:positionV>
            <wp:extent cx="9004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00430" cy="8890"/>
                    </a:xfrm>
                    <a:prstGeom prst="rect">
                      <a:avLst/>
                    </a:prstGeom>
                    <a:noFill/>
                  </pic:spPr>
                </pic:pic>
              </a:graphicData>
            </a:graphic>
          </wp:anchor>
        </w:drawing>
      </w:r>
    </w:p>
    <w:p>
      <w:pPr>
        <w:spacing w:after="0" w:line="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635</wp:posOffset>
            </wp:positionV>
            <wp:extent cx="9004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90043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wp:posOffset>
            </wp:positionH>
            <wp:positionV relativeFrom="paragraph">
              <wp:posOffset>26035</wp:posOffset>
            </wp:positionV>
            <wp:extent cx="9004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0043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39 %</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8 %</w:t>
      </w:r>
    </w:p>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(120 bps)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17780</wp:posOffset>
            </wp:positionV>
            <wp:extent cx="9258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25830" cy="8890"/>
                    </a:xfrm>
                    <a:prstGeom prst="rect">
                      <a:avLst/>
                    </a:prstGeom>
                    <a:noFill/>
                  </pic:spPr>
                </pic:pic>
              </a:graphicData>
            </a:graphic>
          </wp:anchor>
        </w:drawing>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54 %</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4 %</w:t>
      </w:r>
    </w:p>
    <w:p>
      <w:pPr>
        <w:sectPr>
          <w:pgSz w:w="11900" w:h="16838" w:orient="portrait"/>
          <w:cols w:equalWidth="0" w:num="2">
            <w:col w:w="9600" w:space="700"/>
            <w:col w:w="860"/>
          </w:cols>
          <w:pgMar w:left="360" w:top="1214" w:right="37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47"/>
        </w:trPr>
        <w:tc>
          <w:tcPr>
            <w:tcW w:w="5380" w:type="dxa"/>
            <w:vAlign w:val="bottom"/>
          </w:tcPr>
          <w:p>
            <w:pPr>
              <w:spacing w:after="0"/>
              <w:rPr>
                <w:sz w:val="20"/>
                <w:szCs w:val="20"/>
                <w:color w:val="auto"/>
              </w:rPr>
            </w:pPr>
            <w:r>
              <w:rPr>
                <w:rFonts w:ascii="Arial" w:cs="Arial" w:eastAsia="Arial" w:hAnsi="Arial"/>
                <w:sz w:val="18"/>
                <w:szCs w:val="18"/>
                <w:b w:val="1"/>
                <w:bCs w:val="1"/>
                <w:color w:val="auto"/>
              </w:rPr>
              <w:t>Table 3: Adjusted DEPS reconciliation</w:t>
            </w: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40" w:type="dxa"/>
            <w:vAlign w:val="bottom"/>
            <w:gridSpan w:val="2"/>
            <w:vMerge w:val="restart"/>
          </w:tcPr>
          <w:p>
            <w:pPr>
              <w:jc w:val="right"/>
              <w:ind w:right="230"/>
              <w:spacing w:after="0"/>
              <w:rPr>
                <w:sz w:val="20"/>
                <w:szCs w:val="20"/>
                <w:color w:val="auto"/>
              </w:rPr>
            </w:pPr>
            <w:r>
              <w:rPr>
                <w:rFonts w:ascii="Arial" w:cs="Arial" w:eastAsia="Arial" w:hAnsi="Arial"/>
                <w:sz w:val="18"/>
                <w:szCs w:val="18"/>
                <w:b w:val="1"/>
                <w:bCs w:val="1"/>
                <w:color w:val="auto"/>
              </w:rPr>
              <w:t>Q1 2025</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4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Q1 2026</w:t>
            </w: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40" w:type="dxa"/>
            <w:vAlign w:val="bottom"/>
            <w:vMerge w:val="restart"/>
          </w:tcPr>
          <w:p>
            <w:pPr>
              <w:jc w:val="right"/>
              <w:ind w:right="470"/>
              <w:spacing w:after="0"/>
              <w:rPr>
                <w:sz w:val="20"/>
                <w:szCs w:val="20"/>
                <w:color w:val="auto"/>
              </w:rPr>
            </w:pPr>
            <w:r>
              <w:rPr>
                <w:rFonts w:ascii="Arial" w:cs="Arial" w:eastAsia="Arial" w:hAnsi="Arial"/>
                <w:sz w:val="18"/>
                <w:szCs w:val="18"/>
                <w:b w:val="1"/>
                <w:bCs w:val="1"/>
                <w:color w:val="auto"/>
              </w:rPr>
              <w:t>V %</w:t>
            </w:r>
          </w:p>
        </w:tc>
        <w:tc>
          <w:tcPr>
            <w:tcW w:w="0" w:type="dxa"/>
            <w:vAlign w:val="bottom"/>
          </w:tcPr>
          <w:p>
            <w:pPr>
              <w:spacing w:after="0"/>
              <w:rPr>
                <w:sz w:val="1"/>
                <w:szCs w:val="1"/>
                <w:color w:val="auto"/>
              </w:rPr>
            </w:pPr>
          </w:p>
        </w:tc>
      </w:tr>
      <w:tr>
        <w:trPr>
          <w:trHeight w:val="218"/>
        </w:trPr>
        <w:tc>
          <w:tcPr>
            <w:tcW w:w="5380" w:type="dxa"/>
            <w:vAlign w:val="bottom"/>
            <w:vMerge w:val="restart"/>
          </w:tcPr>
          <w:p>
            <w:pPr>
              <w:spacing w:after="0"/>
              <w:rPr>
                <w:sz w:val="20"/>
                <w:szCs w:val="20"/>
                <w:color w:val="auto"/>
              </w:rPr>
            </w:pPr>
            <w:r>
              <w:rPr>
                <w:rFonts w:ascii="Arial" w:cs="Arial" w:eastAsia="Arial" w:hAnsi="Arial"/>
                <w:sz w:val="18"/>
                <w:szCs w:val="18"/>
                <w:color w:val="auto"/>
              </w:rPr>
              <w:t>GAAP DEPS</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4"/>
            <w:vMerge w:val="continue"/>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3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Borders>
              <w:top w:val="single" w:sz="8" w:color="auto"/>
            </w:tcBorders>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3.06</w:t>
            </w:r>
          </w:p>
        </w:tc>
        <w:tc>
          <w:tcPr>
            <w:tcW w:w="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r>
        <w:trPr>
          <w:trHeight w:val="227"/>
        </w:trPr>
        <w:tc>
          <w:tcPr>
            <w:tcW w:w="5380" w:type="dxa"/>
            <w:vAlign w:val="bottom"/>
          </w:tcPr>
          <w:p>
            <w:pPr>
              <w:ind w:left="120"/>
              <w:spacing w:after="0"/>
              <w:rPr>
                <w:sz w:val="20"/>
                <w:szCs w:val="20"/>
                <w:color w:val="auto"/>
              </w:rPr>
            </w:pPr>
            <w:r>
              <w:rPr>
                <w:rFonts w:ascii="Arial" w:cs="Arial" w:eastAsia="Arial" w:hAnsi="Arial"/>
                <w:sz w:val="18"/>
                <w:szCs w:val="18"/>
                <w:color w:val="auto"/>
              </w:rPr>
              <w:t>Transaction-related expenses for completed acquisitions</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0.01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120"/>
              <w:spacing w:after="0"/>
              <w:rPr>
                <w:sz w:val="20"/>
                <w:szCs w:val="20"/>
                <w:color w:val="auto"/>
              </w:rPr>
            </w:pPr>
            <w:r>
              <w:rPr>
                <w:rFonts w:ascii="Arial" w:cs="Arial" w:eastAsia="Arial" w:hAnsi="Arial"/>
                <w:sz w:val="18"/>
                <w:szCs w:val="18"/>
                <w:color w:val="auto"/>
              </w:rPr>
              <w:t>Financial impacts associated with minority investments</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0.29</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3"/>
          </w:tcPr>
          <w:p>
            <w:pPr>
              <w:jc w:val="right"/>
              <w:ind w:right="160"/>
              <w:spacing w:after="0" w:line="230" w:lineRule="exact"/>
              <w:rPr>
                <w:sz w:val="20"/>
                <w:szCs w:val="20"/>
                <w:color w:val="auto"/>
              </w:rPr>
            </w:pPr>
            <w:r>
              <w:rPr>
                <w:rFonts w:ascii="Arial" w:cs="Arial" w:eastAsia="Arial" w:hAnsi="Arial"/>
                <w:sz w:val="18"/>
                <w:szCs w:val="18"/>
                <w:color w:val="auto"/>
              </w:rPr>
              <w:t xml:space="preserve">(1.28) </w:t>
            </w:r>
            <w:r>
              <w:rPr>
                <w:rFonts w:ascii="Arial" w:cs="Arial" w:eastAsia="Arial" w:hAnsi="Arial"/>
                <w:sz w:val="23"/>
                <w:szCs w:val="23"/>
                <w:color w:val="auto"/>
                <w:vertAlign w:val="superscript"/>
              </w:rPr>
              <w:t>A</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380" w:type="dxa"/>
            <w:vAlign w:val="bottom"/>
          </w:tcPr>
          <w:p>
            <w:pPr>
              <w:ind w:left="120"/>
              <w:spacing w:after="0"/>
              <w:rPr>
                <w:sz w:val="20"/>
                <w:szCs w:val="20"/>
                <w:color w:val="auto"/>
              </w:rPr>
            </w:pPr>
            <w:r>
              <w:rPr>
                <w:rFonts w:ascii="Arial" w:cs="Arial" w:eastAsia="Arial" w:hAnsi="Arial"/>
                <w:sz w:val="18"/>
                <w:szCs w:val="18"/>
                <w:color w:val="auto"/>
              </w:rPr>
              <w:t>Amortization of acquisition-related intangible assets</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1.42</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3"/>
          </w:tcPr>
          <w:p>
            <w:pPr>
              <w:jc w:val="right"/>
              <w:ind w:right="160"/>
              <w:spacing w:after="0" w:line="237" w:lineRule="exact"/>
              <w:rPr>
                <w:sz w:val="20"/>
                <w:szCs w:val="20"/>
                <w:color w:val="auto"/>
              </w:rPr>
            </w:pPr>
            <w:r>
              <w:rPr>
                <w:rFonts w:ascii="Arial" w:cs="Arial" w:eastAsia="Arial" w:hAnsi="Arial"/>
                <w:sz w:val="18"/>
                <w:szCs w:val="18"/>
                <w:color w:val="auto"/>
              </w:rPr>
              <w:t xml:space="preserve">1.57 </w:t>
            </w:r>
            <w:r>
              <w:rPr>
                <w:rFonts w:ascii="Arial" w:cs="Arial" w:eastAsia="Arial" w:hAnsi="Arial"/>
                <w:sz w:val="23"/>
                <w:szCs w:val="23"/>
                <w:color w:val="auto"/>
                <w:vertAlign w:val="superscript"/>
              </w:rPr>
              <w:t>B</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80" w:type="dxa"/>
            <w:vAlign w:val="bottom"/>
          </w:tcPr>
          <w:p>
            <w:pPr>
              <w:spacing w:after="0" w:line="223" w:lineRule="exact"/>
              <w:rPr>
                <w:sz w:val="20"/>
                <w:szCs w:val="20"/>
                <w:color w:val="auto"/>
              </w:rPr>
            </w:pPr>
            <w:r>
              <w:rPr>
                <w:rFonts w:ascii="Arial" w:cs="Arial" w:eastAsia="Arial" w:hAnsi="Arial"/>
                <w:sz w:val="18"/>
                <w:szCs w:val="18"/>
                <w:color w:val="auto"/>
              </w:rPr>
              <w:t xml:space="preserve">Adjusted DEPS </w:t>
            </w:r>
            <w:r>
              <w:rPr>
                <w:rFonts w:ascii="Arial" w:cs="Arial" w:eastAsia="Arial" w:hAnsi="Arial"/>
                <w:sz w:val="23"/>
                <w:szCs w:val="23"/>
                <w:color w:val="auto"/>
                <w:vertAlign w:val="superscript"/>
              </w:rPr>
              <w:t>C</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60" w:type="dxa"/>
            <w:vAlign w:val="bottom"/>
            <w:tcBorders>
              <w:top w:val="single" w:sz="8" w:color="auto"/>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4.78</w:t>
            </w:r>
          </w:p>
        </w:tc>
        <w:tc>
          <w:tcPr>
            <w:tcW w:w="6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5.16</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1"/>
        </w:trPr>
        <w:tc>
          <w:tcPr>
            <w:tcW w:w="5380" w:type="dxa"/>
            <w:vAlign w:val="bottom"/>
            <w:vMerge w:val="restart"/>
          </w:tcPr>
          <w:p>
            <w:pPr>
              <w:spacing w:after="0"/>
              <w:rPr>
                <w:sz w:val="20"/>
                <w:szCs w:val="20"/>
                <w:color w:val="auto"/>
              </w:rPr>
            </w:pPr>
            <w:r>
              <w:rPr>
                <w:rFonts w:ascii="Arial" w:cs="Arial" w:eastAsia="Arial" w:hAnsi="Arial"/>
                <w:sz w:val="18"/>
                <w:szCs w:val="18"/>
                <w:b w:val="1"/>
                <w:bCs w:val="1"/>
                <w:color w:val="auto"/>
              </w:rPr>
              <w:t>Table 4: Cash flow reconciliation ($M)</w:t>
            </w: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7"/>
        </w:trPr>
        <w:tc>
          <w:tcPr>
            <w:tcW w:w="53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gridSpan w:val="2"/>
            <w:vMerge w:val="restart"/>
          </w:tcPr>
          <w:p>
            <w:pPr>
              <w:jc w:val="right"/>
              <w:ind w:right="230"/>
              <w:spacing w:after="0"/>
              <w:rPr>
                <w:sz w:val="20"/>
                <w:szCs w:val="20"/>
                <w:color w:val="auto"/>
              </w:rPr>
            </w:pPr>
            <w:r>
              <w:rPr>
                <w:rFonts w:ascii="Arial" w:cs="Arial" w:eastAsia="Arial" w:hAnsi="Arial"/>
                <w:sz w:val="18"/>
                <w:szCs w:val="18"/>
                <w:b w:val="1"/>
                <w:bCs w:val="1"/>
                <w:color w:val="auto"/>
              </w:rPr>
              <w:t>Q1 2025</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4"/>
            <w:vMerge w:val="restart"/>
          </w:tcPr>
          <w:p>
            <w:pPr>
              <w:ind w:left="20"/>
              <w:spacing w:after="0"/>
              <w:rPr>
                <w:sz w:val="20"/>
                <w:szCs w:val="20"/>
                <w:color w:val="auto"/>
              </w:rPr>
            </w:pPr>
            <w:r>
              <w:rPr>
                <w:rFonts w:ascii="Arial" w:cs="Arial" w:eastAsia="Arial" w:hAnsi="Arial"/>
                <w:sz w:val="18"/>
                <w:szCs w:val="18"/>
                <w:b w:val="1"/>
                <w:bCs w:val="1"/>
                <w:color w:val="auto"/>
              </w:rPr>
              <w:t>Q1 2026</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vMerge w:val="restart"/>
          </w:tcPr>
          <w:p>
            <w:pPr>
              <w:jc w:val="right"/>
              <w:ind w:right="470"/>
              <w:spacing w:after="0"/>
              <w:rPr>
                <w:sz w:val="20"/>
                <w:szCs w:val="20"/>
                <w:color w:val="auto"/>
              </w:rPr>
            </w:pPr>
            <w:r>
              <w:rPr>
                <w:rFonts w:ascii="Arial" w:cs="Arial" w:eastAsia="Arial" w:hAnsi="Arial"/>
                <w:sz w:val="18"/>
                <w:szCs w:val="18"/>
                <w:b w:val="1"/>
                <w:bCs w:val="1"/>
                <w:color w:val="auto"/>
              </w:rPr>
              <w:t>V %</w:t>
            </w:r>
          </w:p>
        </w:tc>
        <w:tc>
          <w:tcPr>
            <w:tcW w:w="0" w:type="dxa"/>
            <w:vAlign w:val="bottom"/>
          </w:tcPr>
          <w:p>
            <w:pPr>
              <w:spacing w:after="0"/>
              <w:rPr>
                <w:sz w:val="1"/>
                <w:szCs w:val="1"/>
                <w:color w:val="auto"/>
              </w:rPr>
            </w:pPr>
          </w:p>
        </w:tc>
      </w:tr>
      <w:tr>
        <w:trPr>
          <w:trHeight w:val="218"/>
        </w:trPr>
        <w:tc>
          <w:tcPr>
            <w:tcW w:w="5380" w:type="dxa"/>
            <w:vAlign w:val="bottom"/>
            <w:vMerge w:val="restart"/>
          </w:tcPr>
          <w:p>
            <w:pPr>
              <w:spacing w:after="0"/>
              <w:rPr>
                <w:sz w:val="20"/>
                <w:szCs w:val="20"/>
                <w:color w:val="auto"/>
              </w:rPr>
            </w:pPr>
            <w:r>
              <w:rPr>
                <w:rFonts w:ascii="Arial" w:cs="Arial" w:eastAsia="Arial" w:hAnsi="Arial"/>
                <w:sz w:val="18"/>
                <w:szCs w:val="18"/>
                <w:color w:val="auto"/>
              </w:rPr>
              <w:t>Operating cash flow</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gridSpan w:val="4"/>
            <w:vMerge w:val="continue"/>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53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529</w:t>
            </w:r>
          </w:p>
        </w:tc>
        <w:tc>
          <w:tcPr>
            <w:tcW w:w="80" w:type="dxa"/>
            <w:vAlign w:val="bottom"/>
            <w:tcBorders>
              <w:top w:val="single" w:sz="8" w:color="auto"/>
            </w:tcBorders>
            <w:gridSpan w:val="2"/>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592</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30"/>
        </w:trPr>
        <w:tc>
          <w:tcPr>
            <w:tcW w:w="5380" w:type="dxa"/>
            <w:vAlign w:val="bottom"/>
          </w:tcPr>
          <w:p>
            <w:pPr>
              <w:ind w:left="120"/>
              <w:spacing w:after="0"/>
              <w:rPr>
                <w:sz w:val="20"/>
                <w:szCs w:val="20"/>
                <w:color w:val="auto"/>
              </w:rPr>
            </w:pPr>
            <w:r>
              <w:rPr>
                <w:rFonts w:ascii="Arial" w:cs="Arial" w:eastAsia="Arial" w:hAnsi="Arial"/>
                <w:sz w:val="18"/>
                <w:szCs w:val="18"/>
                <w:color w:val="auto"/>
              </w:rPr>
              <w:t>Capital expenditures</w:t>
            </w: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5380" w:type="dxa"/>
            <w:vAlign w:val="bottom"/>
          </w:tcPr>
          <w:p>
            <w:pPr>
              <w:ind w:left="120"/>
              <w:spacing w:after="0"/>
              <w:rPr>
                <w:sz w:val="20"/>
                <w:szCs w:val="20"/>
                <w:color w:val="auto"/>
              </w:rPr>
            </w:pPr>
            <w:r>
              <w:rPr>
                <w:rFonts w:ascii="Arial" w:cs="Arial" w:eastAsia="Arial" w:hAnsi="Arial"/>
                <w:sz w:val="18"/>
                <w:szCs w:val="18"/>
                <w:color w:val="auto"/>
              </w:rPr>
              <w:t>Capitalized software expenditures</w:t>
            </w:r>
          </w:p>
        </w:tc>
        <w:tc>
          <w:tcPr>
            <w:tcW w:w="2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(12)</w:t>
            </w:r>
          </w:p>
        </w:tc>
        <w:tc>
          <w:tcPr>
            <w:tcW w:w="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80" w:type="dxa"/>
            <w:vAlign w:val="bottom"/>
          </w:tcPr>
          <w:p>
            <w:pPr>
              <w:ind w:left="20"/>
              <w:spacing w:after="0"/>
              <w:rPr>
                <w:sz w:val="20"/>
                <w:szCs w:val="20"/>
                <w:color w:val="auto"/>
              </w:rPr>
            </w:pPr>
            <w:r>
              <w:rPr>
                <w:rFonts w:ascii="Arial" w:cs="Arial" w:eastAsia="Arial" w:hAnsi="Arial"/>
                <w:sz w:val="18"/>
                <w:szCs w:val="18"/>
                <w:color w:val="auto"/>
              </w:rPr>
              <w:t>Free cash flow</w:t>
            </w:r>
          </w:p>
        </w:tc>
        <w:tc>
          <w:tcPr>
            <w:tcW w:w="200" w:type="dxa"/>
            <w:vAlign w:val="bottom"/>
          </w:tcPr>
          <w:p>
            <w:pPr>
              <w:spacing w:after="0"/>
              <w:rPr>
                <w:sz w:val="19"/>
                <w:szCs w:val="19"/>
                <w:color w:val="auto"/>
              </w:rPr>
            </w:pPr>
          </w:p>
        </w:tc>
        <w:tc>
          <w:tcPr>
            <w:tcW w:w="760" w:type="dxa"/>
            <w:vAlign w:val="bottom"/>
            <w:gridSpan w:val="2"/>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507</w:t>
            </w:r>
          </w:p>
        </w:tc>
        <w:tc>
          <w:tcPr>
            <w:tcW w:w="80" w:type="dxa"/>
            <w:vAlign w:val="bottom"/>
            <w:tcBorders>
              <w:bottom w:val="single" w:sz="8" w:color="auto"/>
            </w:tcBorders>
            <w:gridSpan w:val="2"/>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w:t>
            </w: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1"/>
        </w:trPr>
        <w:tc>
          <w:tcPr>
            <w:tcW w:w="5380" w:type="dxa"/>
            <w:vAlign w:val="bottom"/>
            <w:vMerge w:val="restart"/>
          </w:tcPr>
          <w:p>
            <w:pPr>
              <w:spacing w:after="0"/>
              <w:rPr>
                <w:sz w:val="20"/>
                <w:szCs w:val="20"/>
                <w:color w:val="auto"/>
              </w:rPr>
            </w:pPr>
            <w:r>
              <w:rPr>
                <w:rFonts w:ascii="Arial" w:cs="Arial" w:eastAsia="Arial" w:hAnsi="Arial"/>
                <w:sz w:val="18"/>
                <w:szCs w:val="18"/>
                <w:b w:val="1"/>
                <w:bCs w:val="1"/>
                <w:color w:val="auto"/>
              </w:rPr>
              <w:t>Table 5: Forecasted adjusted DEPS reconciliation</w:t>
            </w: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0"/>
        </w:trPr>
        <w:tc>
          <w:tcPr>
            <w:tcW w:w="53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80" w:type="dxa"/>
            <w:vAlign w:val="bottom"/>
            <w:gridSpan w:val="3"/>
            <w:vMerge w:val="restart"/>
          </w:tcPr>
          <w:p>
            <w:pPr>
              <w:jc w:val="right"/>
              <w:ind w:right="510"/>
              <w:spacing w:after="0"/>
              <w:rPr>
                <w:sz w:val="20"/>
                <w:szCs w:val="20"/>
                <w:color w:val="auto"/>
              </w:rPr>
            </w:pPr>
            <w:r>
              <w:rPr>
                <w:rFonts w:ascii="Arial" w:cs="Arial" w:eastAsia="Arial" w:hAnsi="Arial"/>
                <w:sz w:val="18"/>
                <w:szCs w:val="18"/>
                <w:b w:val="1"/>
                <w:bCs w:val="1"/>
                <w:color w:val="auto"/>
              </w:rPr>
              <w:t>Q2 2026</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60" w:type="dxa"/>
            <w:vAlign w:val="bottom"/>
            <w:gridSpan w:val="5"/>
            <w:vMerge w:val="restart"/>
          </w:tcPr>
          <w:p>
            <w:pPr>
              <w:jc w:val="right"/>
              <w:spacing w:after="0"/>
              <w:rPr>
                <w:sz w:val="20"/>
                <w:szCs w:val="20"/>
                <w:color w:val="auto"/>
              </w:rPr>
            </w:pPr>
            <w:r>
              <w:rPr>
                <w:rFonts w:ascii="Arial" w:cs="Arial" w:eastAsia="Arial" w:hAnsi="Arial"/>
                <w:sz w:val="18"/>
                <w:szCs w:val="18"/>
                <w:b w:val="1"/>
                <w:bCs w:val="1"/>
                <w:color w:val="auto"/>
              </w:rPr>
              <w:t>FY 2026</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53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5"/>
            <w:vMerge w:val="continue"/>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380" w:type="dxa"/>
            <w:vAlign w:val="bottom"/>
            <w:vMerge w:val="restart"/>
          </w:tcPr>
          <w:p>
            <w:pPr>
              <w:spacing w:after="0"/>
              <w:rPr>
                <w:sz w:val="20"/>
                <w:szCs w:val="20"/>
                <w:color w:val="auto"/>
              </w:rPr>
            </w:pPr>
            <w:r>
              <w:rPr>
                <w:rFonts w:ascii="Arial" w:cs="Arial" w:eastAsia="Arial" w:hAnsi="Arial"/>
                <w:sz w:val="18"/>
                <w:szCs w:val="18"/>
                <w:color w:val="auto"/>
              </w:rPr>
              <w:t xml:space="preserve">GAAP DEPS </w:t>
            </w:r>
            <w:r>
              <w:rPr>
                <w:rFonts w:ascii="Arial" w:cs="Arial" w:eastAsia="Arial" w:hAnsi="Arial"/>
                <w:sz w:val="23"/>
                <w:szCs w:val="23"/>
                <w:color w:val="auto"/>
                <w:vertAlign w:val="superscript"/>
              </w:rPr>
              <w:t>D</w:t>
            </w:r>
          </w:p>
        </w:tc>
        <w:tc>
          <w:tcPr>
            <w:tcW w:w="200" w:type="dxa"/>
            <w:vAlign w:val="bottom"/>
          </w:tcPr>
          <w:p>
            <w:pPr>
              <w:spacing w:after="0"/>
              <w:rPr>
                <w:sz w:val="19"/>
                <w:szCs w:val="19"/>
                <w:color w:val="auto"/>
              </w:rPr>
            </w:pPr>
          </w:p>
        </w:tc>
        <w:tc>
          <w:tcPr>
            <w:tcW w:w="1100" w:type="dxa"/>
            <w:vAlign w:val="bottom"/>
            <w:gridSpan w:val="3"/>
          </w:tcPr>
          <w:p>
            <w:pPr>
              <w:jc w:val="right"/>
              <w:ind w:right="190"/>
              <w:spacing w:after="0"/>
              <w:rPr>
                <w:sz w:val="20"/>
                <w:szCs w:val="20"/>
                <w:color w:val="auto"/>
              </w:rPr>
            </w:pPr>
            <w:r>
              <w:rPr>
                <w:rFonts w:ascii="Arial" w:cs="Arial" w:eastAsia="Arial" w:hAnsi="Arial"/>
                <w:sz w:val="18"/>
                <w:szCs w:val="18"/>
                <w:b w:val="1"/>
                <w:bCs w:val="1"/>
                <w:color w:val="auto"/>
              </w:rPr>
              <w:t>Low end</w:t>
            </w:r>
          </w:p>
        </w:tc>
        <w:tc>
          <w:tcPr>
            <w:tcW w:w="180" w:type="dxa"/>
            <w:vAlign w:val="bottom"/>
          </w:tcPr>
          <w:p>
            <w:pPr>
              <w:spacing w:after="0"/>
              <w:rPr>
                <w:sz w:val="19"/>
                <w:szCs w:val="19"/>
                <w:color w:val="auto"/>
              </w:rPr>
            </w:pPr>
          </w:p>
        </w:tc>
        <w:tc>
          <w:tcPr>
            <w:tcW w:w="1300" w:type="dxa"/>
            <w:vAlign w:val="bottom"/>
            <w:gridSpan w:val="5"/>
          </w:tcPr>
          <w:p>
            <w:pPr>
              <w:jc w:val="right"/>
              <w:ind w:right="170"/>
              <w:spacing w:after="0"/>
              <w:rPr>
                <w:sz w:val="20"/>
                <w:szCs w:val="20"/>
                <w:color w:val="auto"/>
              </w:rPr>
            </w:pPr>
            <w:r>
              <w:rPr>
                <w:rFonts w:ascii="Arial" w:cs="Arial" w:eastAsia="Arial" w:hAnsi="Arial"/>
                <w:sz w:val="18"/>
                <w:szCs w:val="18"/>
                <w:b w:val="1"/>
                <w:bCs w:val="1"/>
                <w:color w:val="auto"/>
              </w:rPr>
              <w:t>High end</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3"/>
          </w:tcPr>
          <w:p>
            <w:pPr>
              <w:ind w:left="80"/>
              <w:spacing w:after="0"/>
              <w:rPr>
                <w:sz w:val="20"/>
                <w:szCs w:val="20"/>
                <w:color w:val="auto"/>
              </w:rPr>
            </w:pPr>
            <w:r>
              <w:rPr>
                <w:rFonts w:ascii="Arial" w:cs="Arial" w:eastAsia="Arial" w:hAnsi="Arial"/>
                <w:sz w:val="18"/>
                <w:szCs w:val="18"/>
                <w:b w:val="1"/>
                <w:bCs w:val="1"/>
                <w:color w:val="auto"/>
              </w:rPr>
              <w:t>Low end</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170"/>
              <w:spacing w:after="0"/>
              <w:rPr>
                <w:sz w:val="20"/>
                <w:szCs w:val="20"/>
                <w:color w:val="auto"/>
              </w:rPr>
            </w:pPr>
            <w:r>
              <w:rPr>
                <w:rFonts w:ascii="Arial" w:cs="Arial" w:eastAsia="Arial" w:hAnsi="Arial"/>
                <w:sz w:val="18"/>
                <w:szCs w:val="18"/>
                <w:b w:val="1"/>
                <w:bCs w:val="1"/>
                <w:color w:val="auto"/>
                <w:w w:val="98"/>
              </w:rPr>
              <w:t>High end</w:t>
            </w:r>
          </w:p>
        </w:tc>
        <w:tc>
          <w:tcPr>
            <w:tcW w:w="0" w:type="dxa"/>
            <w:vAlign w:val="bottom"/>
          </w:tcPr>
          <w:p>
            <w:pPr>
              <w:spacing w:after="0"/>
              <w:rPr>
                <w:sz w:val="1"/>
                <w:szCs w:val="1"/>
                <w:color w:val="auto"/>
              </w:rPr>
            </w:pPr>
          </w:p>
        </w:tc>
      </w:tr>
      <w:tr>
        <w:trPr>
          <w:trHeight w:val="218"/>
        </w:trPr>
        <w:tc>
          <w:tcPr>
            <w:tcW w:w="5380" w:type="dxa"/>
            <w:vAlign w:val="bottom"/>
            <w:vMerge w:val="continue"/>
          </w:tcPr>
          <w:p>
            <w:pPr>
              <w:spacing w:after="0"/>
              <w:rPr>
                <w:sz w:val="18"/>
                <w:szCs w:val="18"/>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3.64</w:t>
            </w:r>
          </w:p>
        </w:tc>
        <w:tc>
          <w:tcPr>
            <w:tcW w:w="180" w:type="dxa"/>
            <w:vAlign w:val="bottom"/>
          </w:tcPr>
          <w:p>
            <w:pPr>
              <w:spacing w:after="0"/>
              <w:rPr>
                <w:sz w:val="18"/>
                <w:szCs w:val="18"/>
                <w:color w:val="auto"/>
              </w:rPr>
            </w:pPr>
          </w:p>
        </w:tc>
        <w:tc>
          <w:tcPr>
            <w:tcW w:w="860" w:type="dxa"/>
            <w:vAlign w:val="bottom"/>
            <w:tcBorders>
              <w:top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w w:val="96"/>
              </w:rPr>
              <w:t>3.69</w:t>
            </w:r>
          </w:p>
        </w:tc>
        <w:tc>
          <w:tcPr>
            <w:tcW w:w="220" w:type="dxa"/>
            <w:vAlign w:val="bottom"/>
          </w:tcPr>
          <w:p>
            <w:pPr>
              <w:spacing w:after="0"/>
              <w:rPr>
                <w:sz w:val="18"/>
                <w:szCs w:val="18"/>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16.67</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16.92</w:t>
            </w:r>
          </w:p>
        </w:tc>
        <w:tc>
          <w:tcPr>
            <w:tcW w:w="0" w:type="dxa"/>
            <w:vAlign w:val="bottom"/>
          </w:tcPr>
          <w:p>
            <w:pPr>
              <w:spacing w:after="0"/>
              <w:rPr>
                <w:sz w:val="1"/>
                <w:szCs w:val="1"/>
                <w:color w:val="auto"/>
              </w:rPr>
            </w:pPr>
          </w:p>
        </w:tc>
      </w:tr>
      <w:tr>
        <w:trPr>
          <w:trHeight w:val="187"/>
        </w:trPr>
        <w:tc>
          <w:tcPr>
            <w:tcW w:w="5380" w:type="dxa"/>
            <w:vAlign w:val="bottom"/>
          </w:tcPr>
          <w:p>
            <w:pPr>
              <w:ind w:left="100"/>
              <w:spacing w:after="0" w:line="187" w:lineRule="exact"/>
              <w:rPr>
                <w:sz w:val="20"/>
                <w:szCs w:val="20"/>
                <w:color w:val="auto"/>
              </w:rPr>
            </w:pPr>
            <w:r>
              <w:rPr>
                <w:rFonts w:ascii="Arial" w:cs="Arial" w:eastAsia="Arial" w:hAnsi="Arial"/>
                <w:sz w:val="18"/>
                <w:szCs w:val="18"/>
                <w:color w:val="auto"/>
              </w:rPr>
              <w:t>YTD financial impacts associated with the minority investment in</w:t>
            </w:r>
          </w:p>
        </w:tc>
        <w:tc>
          <w:tcPr>
            <w:tcW w:w="200" w:type="dxa"/>
            <w:vAlign w:val="bottom"/>
          </w:tcPr>
          <w:p>
            <w:pPr>
              <w:spacing w:after="0"/>
              <w:rPr>
                <w:sz w:val="16"/>
                <w:szCs w:val="16"/>
                <w:color w:val="auto"/>
              </w:rPr>
            </w:pPr>
          </w:p>
        </w:tc>
        <w:tc>
          <w:tcPr>
            <w:tcW w:w="1100" w:type="dxa"/>
            <w:vAlign w:val="bottom"/>
            <w:gridSpan w:val="3"/>
            <w:vMerge w:val="restart"/>
          </w:tcPr>
          <w:p>
            <w:pPr>
              <w:jc w:val="right"/>
              <w:spacing w:after="0"/>
              <w:rPr>
                <w:sz w:val="20"/>
                <w:szCs w:val="20"/>
                <w:color w:val="auto"/>
              </w:rPr>
            </w:pPr>
            <w:r>
              <w:rPr>
                <w:rFonts w:ascii="Arial" w:cs="Arial" w:eastAsia="Arial" w:hAnsi="Arial"/>
                <w:sz w:val="18"/>
                <w:szCs w:val="18"/>
                <w:color w:val="auto"/>
              </w:rPr>
              <w:t>TBD</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0" w:type="dxa"/>
            <w:vAlign w:val="bottom"/>
            <w:gridSpan w:val="4"/>
            <w:vMerge w:val="restart"/>
          </w:tcPr>
          <w:p>
            <w:pPr>
              <w:spacing w:after="0"/>
              <w:rPr>
                <w:sz w:val="20"/>
                <w:szCs w:val="20"/>
                <w:color w:val="auto"/>
              </w:rPr>
            </w:pPr>
            <w:r>
              <w:rPr>
                <w:rFonts w:ascii="Arial" w:cs="Arial" w:eastAsia="Arial" w:hAnsi="Arial"/>
                <w:sz w:val="18"/>
                <w:szCs w:val="18"/>
                <w:color w:val="auto"/>
              </w:rPr>
              <w:t>TBD</w:t>
            </w:r>
          </w:p>
        </w:tc>
        <w:tc>
          <w:tcPr>
            <w:tcW w:w="200" w:type="dxa"/>
            <w:vAlign w:val="bottom"/>
          </w:tcPr>
          <w:p>
            <w:pPr>
              <w:spacing w:after="0"/>
              <w:rPr>
                <w:sz w:val="16"/>
                <w:szCs w:val="16"/>
                <w:color w:val="auto"/>
              </w:rPr>
            </w:pPr>
          </w:p>
        </w:tc>
        <w:tc>
          <w:tcPr>
            <w:tcW w:w="110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(1.28)</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32"/>
        </w:trPr>
        <w:tc>
          <w:tcPr>
            <w:tcW w:w="5380" w:type="dxa"/>
            <w:vAlign w:val="bottom"/>
          </w:tcPr>
          <w:p>
            <w:pPr>
              <w:ind w:left="100"/>
              <w:spacing w:after="0" w:line="232" w:lineRule="exact"/>
              <w:rPr>
                <w:sz w:val="20"/>
                <w:szCs w:val="20"/>
                <w:color w:val="auto"/>
              </w:rPr>
            </w:pPr>
            <w:r>
              <w:rPr>
                <w:rFonts w:ascii="Arial" w:cs="Arial" w:eastAsia="Arial" w:hAnsi="Arial"/>
                <w:sz w:val="18"/>
                <w:szCs w:val="18"/>
                <w:color w:val="auto"/>
              </w:rPr>
              <w:t xml:space="preserve">Indicor </w:t>
            </w:r>
            <w:r>
              <w:rPr>
                <w:rFonts w:ascii="Arial" w:cs="Arial" w:eastAsia="Arial" w:hAnsi="Arial"/>
                <w:sz w:val="23"/>
                <w:szCs w:val="23"/>
                <w:color w:val="auto"/>
                <w:vertAlign w:val="superscript"/>
              </w:rPr>
              <w:t>A</w:t>
            </w:r>
          </w:p>
        </w:tc>
        <w:tc>
          <w:tcPr>
            <w:tcW w:w="200" w:type="dxa"/>
            <w:vAlign w:val="bottom"/>
          </w:tcPr>
          <w:p>
            <w:pPr>
              <w:spacing w:after="0"/>
              <w:rPr>
                <w:sz w:val="20"/>
                <w:szCs w:val="20"/>
                <w:color w:val="auto"/>
              </w:rPr>
            </w:pPr>
          </w:p>
        </w:tc>
        <w:tc>
          <w:tcPr>
            <w:tcW w:w="1100" w:type="dxa"/>
            <w:vAlign w:val="bottom"/>
            <w:gridSpan w:val="3"/>
            <w:vMerge w:val="continue"/>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0" w:type="dxa"/>
            <w:vAlign w:val="bottom"/>
            <w:gridSpan w:val="4"/>
            <w:vMerge w:val="continue"/>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vMerge w:val="continue"/>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5380" w:type="dxa"/>
            <w:vAlign w:val="bottom"/>
          </w:tcPr>
          <w:p>
            <w:pPr>
              <w:ind w:left="100"/>
              <w:spacing w:after="0" w:line="235" w:lineRule="exact"/>
              <w:rPr>
                <w:sz w:val="20"/>
                <w:szCs w:val="20"/>
                <w:color w:val="auto"/>
              </w:rPr>
            </w:pPr>
            <w:r>
              <w:rPr>
                <w:rFonts w:ascii="Arial" w:cs="Arial" w:eastAsia="Arial" w:hAnsi="Arial"/>
                <w:sz w:val="18"/>
                <w:szCs w:val="18"/>
                <w:color w:val="auto"/>
              </w:rPr>
              <w:t xml:space="preserve">Amortization of acquisition-related intangible assets </w:t>
            </w:r>
            <w:r>
              <w:rPr>
                <w:rFonts w:ascii="Arial" w:cs="Arial" w:eastAsia="Arial" w:hAnsi="Arial"/>
                <w:sz w:val="23"/>
                <w:szCs w:val="23"/>
                <w:color w:val="auto"/>
                <w:vertAlign w:val="superscript"/>
              </w:rPr>
              <w:t>B</w:t>
            </w: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1.61</w:t>
            </w:r>
          </w:p>
        </w:tc>
        <w:tc>
          <w:tcPr>
            <w:tcW w:w="18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96"/>
              </w:rPr>
              <w:t>1.61</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6.41</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r>
        <w:trPr>
          <w:trHeight w:val="223"/>
        </w:trPr>
        <w:tc>
          <w:tcPr>
            <w:tcW w:w="5380" w:type="dxa"/>
            <w:vAlign w:val="bottom"/>
          </w:tcPr>
          <w:p>
            <w:pPr>
              <w:spacing w:after="0" w:line="223" w:lineRule="exact"/>
              <w:rPr>
                <w:sz w:val="20"/>
                <w:szCs w:val="20"/>
                <w:color w:val="auto"/>
              </w:rPr>
            </w:pPr>
            <w:r>
              <w:rPr>
                <w:rFonts w:ascii="Arial" w:cs="Arial" w:eastAsia="Arial" w:hAnsi="Arial"/>
                <w:sz w:val="18"/>
                <w:szCs w:val="18"/>
                <w:color w:val="auto"/>
              </w:rPr>
              <w:t xml:space="preserve">Adjusted DEPS </w:t>
            </w:r>
            <w:r>
              <w:rPr>
                <w:rFonts w:ascii="Arial" w:cs="Arial" w:eastAsia="Arial" w:hAnsi="Arial"/>
                <w:sz w:val="23"/>
                <w:szCs w:val="23"/>
                <w:color w:val="auto"/>
                <w:vertAlign w:val="superscript"/>
              </w:rPr>
              <w:t>C</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5.25</w:t>
            </w:r>
          </w:p>
        </w:tc>
        <w:tc>
          <w:tcPr>
            <w:tcW w:w="180" w:type="dxa"/>
            <w:vAlign w:val="bottom"/>
          </w:tcPr>
          <w:p>
            <w:pPr>
              <w:spacing w:after="0"/>
              <w:rPr>
                <w:sz w:val="19"/>
                <w:szCs w:val="19"/>
                <w:color w:val="auto"/>
              </w:rPr>
            </w:pPr>
          </w:p>
        </w:tc>
        <w:tc>
          <w:tcPr>
            <w:tcW w:w="8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96"/>
              </w:rPr>
              <w:t>5.30</w:t>
            </w:r>
          </w:p>
        </w:tc>
        <w:tc>
          <w:tcPr>
            <w:tcW w:w="220" w:type="dxa"/>
            <w:vAlign w:val="bottom"/>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21.80</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22.05</w:t>
            </w:r>
          </w:p>
        </w:tc>
        <w:tc>
          <w:tcPr>
            <w:tcW w:w="0" w:type="dxa"/>
            <w:vAlign w:val="bottom"/>
          </w:tcPr>
          <w:p>
            <w:pPr>
              <w:spacing w:after="0"/>
              <w:rPr>
                <w:sz w:val="1"/>
                <w:szCs w:val="1"/>
                <w:color w:val="auto"/>
              </w:rPr>
            </w:pPr>
          </w:p>
        </w:tc>
      </w:tr>
      <w:tr>
        <w:trPr>
          <w:trHeight w:val="21"/>
        </w:trPr>
        <w:tc>
          <w:tcPr>
            <w:tcW w:w="5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80"/>
          </w:cols>
          <w:pgMar w:left="360" w:top="1214"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Footnotes:</w:t>
      </w:r>
    </w:p>
    <w:p>
      <w:pPr>
        <w:spacing w:after="0" w:line="293" w:lineRule="exact"/>
        <w:rPr>
          <w:sz w:val="20"/>
          <w:szCs w:val="20"/>
          <w:color w:val="auto"/>
        </w:rPr>
      </w:pPr>
    </w:p>
    <w:p>
      <w:pPr>
        <w:jc w:val="both"/>
        <w:ind w:left="460" w:right="20" w:hanging="421"/>
        <w:spacing w:after="0" w:line="233"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Adjustments related to the financial impacts associated with the minority investment in Indicor as shown below ($M, except per share data). Forecasted results do not include any potential impacts associated with our minority investment in Indicor, as these potential impacts cannot be reasonably predicted. These impacts will be excluded from all non-GAAP results in future periods.</w:t>
      </w:r>
    </w:p>
    <w:p>
      <w:pPr>
        <w:spacing w:after="0" w:line="145" w:lineRule="exact"/>
        <w:rPr>
          <w:sz w:val="20"/>
          <w:szCs w:val="20"/>
          <w:color w:val="auto"/>
        </w:rPr>
      </w:pPr>
    </w:p>
    <w:tbl>
      <w:tblPr>
        <w:tblLayout w:type="fixed"/>
        <w:tblInd w:w="460" w:type="dxa"/>
        <w:tblCellMar>
          <w:top w:w="0" w:type="dxa"/>
          <w:left w:w="0" w:type="dxa"/>
          <w:bottom w:w="0" w:type="dxa"/>
          <w:right w:w="0" w:type="dxa"/>
        </w:tblCellMar>
      </w:tblPr>
      <w:tr>
        <w:trPr>
          <w:trHeight w:val="229"/>
        </w:trPr>
        <w:tc>
          <w:tcPr>
            <w:tcW w:w="3440" w:type="dxa"/>
            <w:vAlign w:val="bottom"/>
            <w:vMerge w:val="restart"/>
          </w:tcPr>
          <w:p>
            <w:pPr>
              <w:spacing w:after="0"/>
              <w:rPr>
                <w:sz w:val="20"/>
                <w:szCs w:val="20"/>
                <w:color w:val="auto"/>
              </w:rPr>
            </w:pPr>
            <w:r>
              <w:rPr>
                <w:rFonts w:ascii="Arial" w:cs="Arial" w:eastAsia="Arial" w:hAnsi="Arial"/>
                <w:sz w:val="18"/>
                <w:szCs w:val="18"/>
                <w:color w:val="auto"/>
              </w:rPr>
              <w:t>Pretax</w:t>
            </w:r>
          </w:p>
        </w:tc>
        <w:tc>
          <w:tcPr>
            <w:tcW w:w="260" w:type="dxa"/>
            <w:vAlign w:val="bottom"/>
          </w:tcPr>
          <w:p>
            <w:pPr>
              <w:spacing w:after="0"/>
              <w:rPr>
                <w:sz w:val="19"/>
                <w:szCs w:val="19"/>
                <w:color w:val="auto"/>
              </w:rPr>
            </w:pPr>
          </w:p>
        </w:tc>
        <w:tc>
          <w:tcPr>
            <w:tcW w:w="156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Q1 2026A</w:t>
            </w:r>
          </w:p>
        </w:tc>
        <w:tc>
          <w:tcPr>
            <w:tcW w:w="160" w:type="dxa"/>
            <w:vAlign w:val="bottom"/>
          </w:tcPr>
          <w:p>
            <w:pPr>
              <w:spacing w:after="0"/>
              <w:rPr>
                <w:sz w:val="19"/>
                <w:szCs w:val="19"/>
                <w:color w:val="auto"/>
              </w:rPr>
            </w:pPr>
          </w:p>
        </w:tc>
        <w:tc>
          <w:tcPr>
            <w:tcW w:w="1200" w:type="dxa"/>
            <w:vAlign w:val="bottom"/>
          </w:tcPr>
          <w:p>
            <w:pPr>
              <w:ind w:left="400"/>
              <w:spacing w:after="0"/>
              <w:rPr>
                <w:sz w:val="20"/>
                <w:szCs w:val="20"/>
                <w:color w:val="auto"/>
              </w:rPr>
            </w:pPr>
            <w:r>
              <w:rPr>
                <w:rFonts w:ascii="Arial" w:cs="Arial" w:eastAsia="Arial" w:hAnsi="Arial"/>
                <w:sz w:val="18"/>
                <w:szCs w:val="18"/>
                <w:b w:val="1"/>
                <w:bCs w:val="1"/>
                <w:color w:val="auto"/>
                <w:w w:val="96"/>
              </w:rPr>
              <w:t>Q2 2026E</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ind w:left="400"/>
              <w:spacing w:after="0"/>
              <w:rPr>
                <w:sz w:val="20"/>
                <w:szCs w:val="20"/>
                <w:color w:val="auto"/>
              </w:rPr>
            </w:pPr>
            <w:r>
              <w:rPr>
                <w:rFonts w:ascii="Arial" w:cs="Arial" w:eastAsia="Arial" w:hAnsi="Arial"/>
                <w:sz w:val="18"/>
                <w:szCs w:val="18"/>
                <w:b w:val="1"/>
                <w:bCs w:val="1"/>
                <w:color w:val="auto"/>
                <w:w w:val="97"/>
              </w:rPr>
              <w:t>FY 2026E</w:t>
            </w:r>
          </w:p>
        </w:tc>
        <w:tc>
          <w:tcPr>
            <w:tcW w:w="400" w:type="dxa"/>
            <w:vAlign w:val="bottom"/>
          </w:tcPr>
          <w:p>
            <w:pPr>
              <w:spacing w:after="0"/>
              <w:rPr>
                <w:sz w:val="19"/>
                <w:szCs w:val="19"/>
                <w:color w:val="auto"/>
              </w:rPr>
            </w:pPr>
          </w:p>
        </w:tc>
        <w:tc>
          <w:tcPr>
            <w:tcW w:w="200" w:type="dxa"/>
            <w:vAlign w:val="bottom"/>
            <w:tcBorders>
              <w:right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ind w:right="230"/>
              <w:spacing w:after="0"/>
              <w:rPr>
                <w:sz w:val="20"/>
                <w:szCs w:val="20"/>
                <w:color w:val="auto"/>
              </w:rPr>
            </w:pPr>
            <w:r>
              <w:rPr>
                <w:rFonts w:ascii="Arial" w:cs="Arial" w:eastAsia="Arial" w:hAnsi="Arial"/>
                <w:sz w:val="18"/>
                <w:szCs w:val="18"/>
                <w:b w:val="1"/>
                <w:bCs w:val="1"/>
                <w:color w:val="auto"/>
              </w:rPr>
              <w:t>YTD 2026A</w:t>
            </w:r>
          </w:p>
        </w:tc>
        <w:tc>
          <w:tcPr>
            <w:tcW w:w="0" w:type="dxa"/>
            <w:vAlign w:val="bottom"/>
          </w:tcPr>
          <w:p>
            <w:pPr>
              <w:spacing w:after="0"/>
              <w:rPr>
                <w:sz w:val="1"/>
                <w:szCs w:val="1"/>
                <w:color w:val="auto"/>
              </w:rPr>
            </w:pPr>
          </w:p>
        </w:tc>
      </w:tr>
      <w:tr>
        <w:trPr>
          <w:trHeight w:val="218"/>
        </w:trPr>
        <w:tc>
          <w:tcPr>
            <w:tcW w:w="3440" w:type="dxa"/>
            <w:vAlign w:val="bottom"/>
            <w:vMerge w:val="continue"/>
          </w:tcPr>
          <w:p>
            <w:pPr>
              <w:spacing w:after="0"/>
              <w:rPr>
                <w:sz w:val="18"/>
                <w:szCs w:val="18"/>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2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9"/>
              </w:rPr>
              <w:t>TBD</w:t>
            </w:r>
          </w:p>
        </w:tc>
        <w:tc>
          <w:tcPr>
            <w:tcW w:w="18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9"/>
              </w:rPr>
              <w:t>TBD</w:t>
            </w:r>
          </w:p>
        </w:tc>
        <w:tc>
          <w:tcPr>
            <w:tcW w:w="200" w:type="dxa"/>
            <w:vAlign w:val="bottom"/>
            <w:tcBorders>
              <w:right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After-tax</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(134)</w:t>
            </w:r>
          </w:p>
        </w:tc>
        <w:tc>
          <w:tcPr>
            <w:tcW w:w="22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780" w:type="dxa"/>
            <w:vAlign w:val="bottom"/>
            <w:gridSpan w:val="3"/>
          </w:tcPr>
          <w:p>
            <w:pPr>
              <w:ind w:left="20"/>
              <w:spacing w:after="0"/>
              <w:rPr>
                <w:sz w:val="20"/>
                <w:szCs w:val="20"/>
                <w:color w:val="auto"/>
              </w:rPr>
            </w:pPr>
            <w:r>
              <w:rPr>
                <w:rFonts w:ascii="Arial" w:cs="Arial" w:eastAsia="Arial" w:hAnsi="Arial"/>
                <w:sz w:val="18"/>
                <w:szCs w:val="18"/>
                <w:color w:val="auto"/>
              </w:rPr>
              <w:t>TBD</w:t>
            </w:r>
          </w:p>
        </w:tc>
        <w:tc>
          <w:tcPr>
            <w:tcW w:w="6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TBD</w:t>
            </w:r>
          </w:p>
        </w:tc>
        <w:tc>
          <w:tcPr>
            <w:tcW w:w="1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35"/>
        </w:trPr>
        <w:tc>
          <w:tcPr>
            <w:tcW w:w="3440" w:type="dxa"/>
            <w:vAlign w:val="bottom"/>
          </w:tcPr>
          <w:p>
            <w:pPr>
              <w:spacing w:after="0"/>
              <w:rPr>
                <w:sz w:val="20"/>
                <w:szCs w:val="20"/>
                <w:color w:val="auto"/>
              </w:rPr>
            </w:pPr>
            <w:r>
              <w:rPr>
                <w:rFonts w:ascii="Arial" w:cs="Arial" w:eastAsia="Arial" w:hAnsi="Arial"/>
                <w:sz w:val="18"/>
                <w:szCs w:val="18"/>
                <w:color w:val="auto"/>
              </w:rPr>
              <w:t>Per share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(1.28)</w:t>
            </w:r>
          </w:p>
        </w:tc>
        <w:tc>
          <w:tcPr>
            <w:tcW w:w="22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780" w:type="dxa"/>
            <w:vAlign w:val="bottom"/>
            <w:gridSpan w:val="3"/>
          </w:tcPr>
          <w:p>
            <w:pPr>
              <w:ind w:left="20"/>
              <w:spacing w:after="0"/>
              <w:rPr>
                <w:sz w:val="20"/>
                <w:szCs w:val="20"/>
                <w:color w:val="auto"/>
              </w:rPr>
            </w:pPr>
            <w:r>
              <w:rPr>
                <w:rFonts w:ascii="Arial" w:cs="Arial" w:eastAsia="Arial" w:hAnsi="Arial"/>
                <w:sz w:val="18"/>
                <w:szCs w:val="18"/>
                <w:color w:val="auto"/>
              </w:rPr>
              <w:t>TBD</w:t>
            </w:r>
          </w:p>
        </w:tc>
        <w:tc>
          <w:tcPr>
            <w:tcW w:w="60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rPr>
              <w:t>TBD</w:t>
            </w:r>
          </w:p>
        </w:tc>
        <w:tc>
          <w:tcPr>
            <w:tcW w:w="18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bl>
    <w:p>
      <w:pPr>
        <w:spacing w:after="0" w:line="251" w:lineRule="exact"/>
        <w:rPr>
          <w:sz w:val="20"/>
          <w:szCs w:val="20"/>
          <w:color w:val="auto"/>
        </w:rPr>
      </w:pPr>
    </w:p>
    <w:p>
      <w:pPr>
        <w:ind w:left="460" w:right="20" w:hanging="421"/>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Actual results and forecast of estimated amortization of acquisition-related intangible assets as shown below ($M, except per share data).</w:t>
      </w:r>
    </w:p>
    <w:p>
      <w:pPr>
        <w:spacing w:after="0" w:line="158" w:lineRule="exact"/>
        <w:rPr>
          <w:sz w:val="20"/>
          <w:szCs w:val="20"/>
          <w:color w:val="auto"/>
        </w:rPr>
      </w:pPr>
    </w:p>
    <w:tbl>
      <w:tblPr>
        <w:tblLayout w:type="fixed"/>
        <w:tblInd w:w="460" w:type="dxa"/>
        <w:tblCellMar>
          <w:top w:w="0" w:type="dxa"/>
          <w:left w:w="0" w:type="dxa"/>
          <w:bottom w:w="0" w:type="dxa"/>
          <w:right w:w="0" w:type="dxa"/>
        </w:tblCellMar>
      </w:tblPr>
      <w:tr>
        <w:trPr>
          <w:trHeight w:val="229"/>
        </w:trPr>
        <w:tc>
          <w:tcPr>
            <w:tcW w:w="3440" w:type="dxa"/>
            <w:vAlign w:val="bottom"/>
            <w:vMerge w:val="restart"/>
          </w:tcPr>
          <w:p>
            <w:pPr>
              <w:spacing w:after="0"/>
              <w:rPr>
                <w:sz w:val="20"/>
                <w:szCs w:val="20"/>
                <w:color w:val="auto"/>
              </w:rPr>
            </w:pPr>
            <w:r>
              <w:rPr>
                <w:rFonts w:ascii="Arial" w:cs="Arial" w:eastAsia="Arial" w:hAnsi="Arial"/>
                <w:sz w:val="18"/>
                <w:szCs w:val="18"/>
                <w:color w:val="auto"/>
              </w:rPr>
              <w:t>Pretax</w:t>
            </w:r>
          </w:p>
        </w:tc>
        <w:tc>
          <w:tcPr>
            <w:tcW w:w="260" w:type="dxa"/>
            <w:vAlign w:val="bottom"/>
          </w:tcPr>
          <w:p>
            <w:pPr>
              <w:spacing w:after="0"/>
              <w:rPr>
                <w:sz w:val="19"/>
                <w:szCs w:val="19"/>
                <w:color w:val="auto"/>
              </w:rPr>
            </w:pPr>
          </w:p>
        </w:tc>
        <w:tc>
          <w:tcPr>
            <w:tcW w:w="1560" w:type="dxa"/>
            <w:vAlign w:val="bottom"/>
            <w:tcBorders>
              <w:right w:val="single" w:sz="8" w:color="auto"/>
            </w:tcBorders>
            <w:gridSpan w:val="2"/>
          </w:tcPr>
          <w:p>
            <w:pPr>
              <w:ind w:left="140"/>
              <w:spacing w:after="0"/>
              <w:rPr>
                <w:sz w:val="20"/>
                <w:szCs w:val="20"/>
                <w:color w:val="auto"/>
              </w:rPr>
            </w:pPr>
            <w:r>
              <w:rPr>
                <w:rFonts w:ascii="Arial" w:cs="Arial" w:eastAsia="Arial" w:hAnsi="Arial"/>
                <w:sz w:val="18"/>
                <w:szCs w:val="18"/>
                <w:b w:val="1"/>
                <w:bCs w:val="1"/>
                <w:color w:val="auto"/>
              </w:rPr>
              <w:t>Q1 2026A</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20" w:type="dxa"/>
            <w:vAlign w:val="bottom"/>
            <w:gridSpan w:val="2"/>
          </w:tcPr>
          <w:p>
            <w:pPr>
              <w:ind w:left="140"/>
              <w:spacing w:after="0"/>
              <w:rPr>
                <w:sz w:val="20"/>
                <w:szCs w:val="20"/>
                <w:color w:val="auto"/>
              </w:rPr>
            </w:pPr>
            <w:r>
              <w:rPr>
                <w:rFonts w:ascii="Arial" w:cs="Arial" w:eastAsia="Arial" w:hAnsi="Arial"/>
                <w:sz w:val="18"/>
                <w:szCs w:val="18"/>
                <w:b w:val="1"/>
                <w:bCs w:val="1"/>
                <w:color w:val="auto"/>
              </w:rPr>
              <w:t>Q2 2026E</w:t>
            </w:r>
          </w:p>
        </w:tc>
        <w:tc>
          <w:tcPr>
            <w:tcW w:w="260" w:type="dxa"/>
            <w:vAlign w:val="bottom"/>
          </w:tcPr>
          <w:p>
            <w:pPr>
              <w:spacing w:after="0"/>
              <w:rPr>
                <w:sz w:val="19"/>
                <w:szCs w:val="19"/>
                <w:color w:val="auto"/>
              </w:rPr>
            </w:pPr>
          </w:p>
        </w:tc>
        <w:tc>
          <w:tcPr>
            <w:tcW w:w="1340" w:type="dxa"/>
            <w:vAlign w:val="bottom"/>
          </w:tcPr>
          <w:p>
            <w:pPr>
              <w:jc w:val="right"/>
              <w:ind w:right="310"/>
              <w:spacing w:after="0"/>
              <w:rPr>
                <w:sz w:val="20"/>
                <w:szCs w:val="20"/>
                <w:color w:val="auto"/>
              </w:rPr>
            </w:pPr>
            <w:r>
              <w:rPr>
                <w:rFonts w:ascii="Arial" w:cs="Arial" w:eastAsia="Arial" w:hAnsi="Arial"/>
                <w:sz w:val="18"/>
                <w:szCs w:val="18"/>
                <w:b w:val="1"/>
                <w:bCs w:val="1"/>
                <w:color w:val="auto"/>
              </w:rPr>
              <w:t>FY 2026E</w:t>
            </w:r>
          </w:p>
        </w:tc>
        <w:tc>
          <w:tcPr>
            <w:tcW w:w="0" w:type="dxa"/>
            <w:vAlign w:val="bottom"/>
          </w:tcPr>
          <w:p>
            <w:pPr>
              <w:spacing w:after="0"/>
              <w:rPr>
                <w:sz w:val="1"/>
                <w:szCs w:val="1"/>
                <w:color w:val="auto"/>
              </w:rPr>
            </w:pPr>
          </w:p>
        </w:tc>
      </w:tr>
      <w:tr>
        <w:trPr>
          <w:trHeight w:val="218"/>
        </w:trPr>
        <w:tc>
          <w:tcPr>
            <w:tcW w:w="3440" w:type="dxa"/>
            <w:vAlign w:val="bottom"/>
            <w:vMerge w:val="continue"/>
          </w:tcPr>
          <w:p>
            <w:pPr>
              <w:spacing w:after="0"/>
              <w:rPr>
                <w:sz w:val="18"/>
                <w:szCs w:val="18"/>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220" w:type="dxa"/>
            <w:vAlign w:val="bottom"/>
            <w:tcBorders>
              <w:right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180" w:type="dxa"/>
            <w:vAlign w:val="bottom"/>
          </w:tcPr>
          <w:p>
            <w:pPr>
              <w:spacing w:after="0"/>
              <w:rPr>
                <w:sz w:val="18"/>
                <w:szCs w:val="18"/>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837</w:t>
            </w: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After-tax</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164</w:t>
            </w:r>
          </w:p>
        </w:tc>
        <w:tc>
          <w:tcPr>
            <w:tcW w:w="220" w:type="dxa"/>
            <w:vAlign w:val="bottom"/>
            <w:tcBorders>
              <w:right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165</w:t>
            </w:r>
          </w:p>
        </w:tc>
        <w:tc>
          <w:tcPr>
            <w:tcW w:w="1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661</w:t>
            </w:r>
          </w:p>
        </w:tc>
        <w:tc>
          <w:tcPr>
            <w:tcW w:w="0" w:type="dxa"/>
            <w:vAlign w:val="bottom"/>
          </w:tcPr>
          <w:p>
            <w:pPr>
              <w:spacing w:after="0"/>
              <w:rPr>
                <w:sz w:val="1"/>
                <w:szCs w:val="1"/>
                <w:color w:val="auto"/>
              </w:rPr>
            </w:pPr>
          </w:p>
        </w:tc>
      </w:tr>
      <w:tr>
        <w:trPr>
          <w:trHeight w:val="235"/>
        </w:trPr>
        <w:tc>
          <w:tcPr>
            <w:tcW w:w="3440" w:type="dxa"/>
            <w:vAlign w:val="bottom"/>
          </w:tcPr>
          <w:p>
            <w:pPr>
              <w:spacing w:after="0"/>
              <w:rPr>
                <w:sz w:val="20"/>
                <w:szCs w:val="20"/>
                <w:color w:val="auto"/>
              </w:rPr>
            </w:pPr>
            <w:r>
              <w:rPr>
                <w:rFonts w:ascii="Arial" w:cs="Arial" w:eastAsia="Arial" w:hAnsi="Arial"/>
                <w:sz w:val="18"/>
                <w:szCs w:val="18"/>
                <w:color w:val="auto"/>
              </w:rPr>
              <w:t>Per share</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1.57</w:t>
            </w:r>
          </w:p>
        </w:tc>
        <w:tc>
          <w:tcPr>
            <w:tcW w:w="220" w:type="dxa"/>
            <w:vAlign w:val="bottom"/>
            <w:tcBorders>
              <w:right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1.61</w:t>
            </w:r>
          </w:p>
        </w:tc>
        <w:tc>
          <w:tcPr>
            <w:tcW w:w="18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6.41</w:t>
            </w:r>
          </w:p>
        </w:tc>
        <w:tc>
          <w:tcPr>
            <w:tcW w:w="0" w:type="dxa"/>
            <w:vAlign w:val="bottom"/>
          </w:tcPr>
          <w:p>
            <w:pPr>
              <w:spacing w:after="0"/>
              <w:rPr>
                <w:sz w:val="1"/>
                <w:szCs w:val="1"/>
                <w:color w:val="auto"/>
              </w:rPr>
            </w:pPr>
          </w:p>
        </w:tc>
      </w:tr>
    </w:tbl>
    <w:p>
      <w:pPr>
        <w:spacing w:after="0" w:line="251" w:lineRule="exact"/>
        <w:rPr>
          <w:sz w:val="20"/>
          <w:szCs w:val="20"/>
          <w:color w:val="auto"/>
        </w:rPr>
      </w:pPr>
    </w:p>
    <w:p>
      <w:pPr>
        <w:ind w:left="460" w:right="20" w:hanging="421"/>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All actual and forecasted non-GAAP adjustments are taxed at 21% with the exception of the financial impacts associated with minority investments.</w:t>
      </w:r>
    </w:p>
    <w:p>
      <w:pPr>
        <w:spacing w:after="0" w:line="261" w:lineRule="exact"/>
        <w:rPr>
          <w:rFonts w:ascii="Arial" w:cs="Arial" w:eastAsia="Arial" w:hAnsi="Arial"/>
          <w:sz w:val="18"/>
          <w:szCs w:val="18"/>
          <w:color w:val="auto"/>
        </w:rPr>
      </w:pPr>
    </w:p>
    <w:p>
      <w:pPr>
        <w:ind w:left="460" w:right="20" w:hanging="421"/>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Forecasted GAAP DEPS do not include any potential impacts associated with our minority investment in Indicor. These impacts will be excluded from all non-GAAP results in future periods.</w:t>
      </w: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color w:val="auto"/>
        </w:rPr>
        <w:t>Note: Numbers may not foot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20"/>
          </w:cols>
          <w:pgMar w:left="320" w:top="1174"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About Roper Technologies</w:t>
      </w:r>
    </w:p>
    <w:p>
      <w:pPr>
        <w:spacing w:after="0" w:line="266" w:lineRule="exact"/>
        <w:rPr>
          <w:sz w:val="20"/>
          <w:szCs w:val="20"/>
          <w:color w:val="auto"/>
        </w:rPr>
      </w:pPr>
    </w:p>
    <w:p>
      <w:pPr>
        <w:jc w:val="both"/>
        <w:spacing w:after="0" w:line="283" w:lineRule="auto"/>
        <w:rPr>
          <w:sz w:val="20"/>
          <w:szCs w:val="20"/>
          <w:color w:val="auto"/>
        </w:rPr>
      </w:pPr>
      <w:r>
        <w:rPr>
          <w:rFonts w:ascii="Arial" w:cs="Arial" w:eastAsia="Arial" w:hAnsi="Arial"/>
          <w:sz w:val="18"/>
          <w:szCs w:val="18"/>
          <w:color w:val="auto"/>
        </w:rPr>
        <w:t xml:space="preserve">Roper Technologies is a constituent of the Nasdaq 100, S&amp;P 500, and Fortune 1000. Roper has a proven, long-term track record of compounding cash flow and shareholder value. The Company operates market leading businesses that design and develop vertical software and technology enabled products for a variety of defensible niche markets. Roper utilizes a disciplined, analytical, and process-driven approach to redeploy its excess capital toward high-quality acquisitions. Additional information about Roper is available on the Company’s website at </w:t>
      </w:r>
      <w:r>
        <w:rPr>
          <w:rFonts w:ascii="Arial" w:cs="Arial" w:eastAsia="Arial" w:hAnsi="Arial"/>
          <w:sz w:val="18"/>
          <w:szCs w:val="18"/>
          <w:u w:val="single" w:color="auto"/>
          <w:color w:val="0000FF"/>
        </w:rPr>
        <w:t>www.ropertech.com</w:t>
      </w:r>
      <w:r>
        <w:rPr>
          <w:rFonts w:ascii="Arial" w:cs="Arial" w:eastAsia="Arial" w:hAnsi="Arial"/>
          <w:sz w:val="18"/>
          <w:szCs w:val="18"/>
          <w:color w:val="auto"/>
        </w:rPr>
        <w: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 information:</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color w:val="auto"/>
        </w:rPr>
        <w:t>941-556-2601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investor-relations@ropertech.com</w:t>
      </w:r>
    </w:p>
    <w:p>
      <w:pPr>
        <w:spacing w:after="0" w:line="200" w:lineRule="exact"/>
        <w:rPr>
          <w:sz w:val="20"/>
          <w:szCs w:val="20"/>
          <w:color w:val="auto"/>
        </w:rPr>
      </w:pPr>
    </w:p>
    <w:p>
      <w:pPr>
        <w:spacing w:after="0" w:line="301" w:lineRule="exact"/>
        <w:rPr>
          <w:sz w:val="20"/>
          <w:szCs w:val="20"/>
          <w:color w:val="auto"/>
        </w:rPr>
      </w:pPr>
    </w:p>
    <w:p>
      <w:pPr>
        <w:jc w:val="both"/>
        <w:spacing w:after="0" w:line="273" w:lineRule="auto"/>
        <w:rPr>
          <w:sz w:val="20"/>
          <w:szCs w:val="20"/>
          <w:color w:val="auto"/>
        </w:rPr>
      </w:pPr>
      <w:r>
        <w:rPr>
          <w:rFonts w:ascii="Arial" w:cs="Arial" w:eastAsia="Arial" w:hAnsi="Arial"/>
          <w:sz w:val="18"/>
          <w:szCs w:val="18"/>
          <w:i w:val="1"/>
          <w:iCs w:val="1"/>
          <w:color w:val="auto"/>
        </w:rPr>
        <w:t>The information provided in this press release contains forward-looking statements within the meaning of the federal securities laws. These forward-looking statements may include, among others, statements regarding operating results, the success of our internal operating plans, and the prospects for newly acquired businesses to be integrated and contribute to future growth, profit and cash flow expectations. Forward-looking statements may be indicated by words or phrases such as "anticipate," "estimate," "plans," "expects," "projects," "should," "will," "believes," "intends" and similar words and phrases. These statements reflect management's current beliefs and are not guarantees of future performance. They involve risks and uncertainties that could cause actual results to differ materially from those contained in any forward-looking statement. Such risks and uncertainties include our ability to identify and complete acquisitions consistent with our business strategies, integrate acquisitions that have been completed, realize expected benefits and synergies from, and manage other risks associated with, acquired businesses, including obtaining any required regulatory approvals with respect thereto, and our ability to develop, deploy, and use artificial intelligence in our platforms and offerings. We also face other general risks, including our ability to realize cost savings from our operating initiatives, general economic conditions and the conditions of the specific markets in which we operate, including risks related to labor shortages and volatile interest rates, changes in foreign exchange rates, risks related to changing U.S. and foreign trade policies, including increased trade restrictions or tariffs, risks associated with our international operations, cybersecurity and data privacy risks, including litigation resulting therefrom, risks related to political instability, armed hostilities, incidents of terrorism, public health crises or natural disasters, increased product liability and insurance costs, increased warranty exposure, future competition, changes in the supply of, or price for, parts and components, including as a result of inflation and potential supply chain constraints, environmental compliance costs and liabilities, risks and cost associated with litigation, potential write-offs of our substantial intangible assets, and risks associated with obtaining governmental approvals and maintaining regulatory compliance for new and existing products. Important risks may be discussed in current and subsequent filings with the SEC. You should not place undue reliance on any forward-looking statements. These statements speak only as of the date they are made, and we undertake no obligation to update publicly any of them in light of new information or future events.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187"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Roper Technologies, Inc.</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(Amounts in millions)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540" w:type="dxa"/>
            <w:vAlign w:val="bottom"/>
            <w:vMerge w:val="restart"/>
          </w:tcPr>
          <w:p>
            <w:pPr>
              <w:spacing w:after="0"/>
              <w:rPr>
                <w:sz w:val="20"/>
                <w:szCs w:val="20"/>
                <w:color w:val="auto"/>
              </w:rPr>
            </w:pPr>
            <w:r>
              <w:rPr>
                <w:rFonts w:ascii="Arial" w:cs="Arial" w:eastAsia="Arial" w:hAnsi="Arial"/>
                <w:sz w:val="16"/>
                <w:szCs w:val="16"/>
                <w:color w:val="auto"/>
              </w:rPr>
              <w:t>ASSETS:</w:t>
            </w:r>
          </w:p>
        </w:tc>
        <w:tc>
          <w:tcPr>
            <w:tcW w:w="340" w:type="dxa"/>
            <w:vAlign w:val="bottom"/>
          </w:tcPr>
          <w:p>
            <w:pPr>
              <w:spacing w:after="0"/>
              <w:rPr>
                <w:sz w:val="18"/>
                <w:szCs w:val="18"/>
                <w:color w:val="auto"/>
              </w:rPr>
            </w:pPr>
          </w:p>
        </w:tc>
        <w:tc>
          <w:tcPr>
            <w:tcW w:w="2060" w:type="dxa"/>
            <w:vAlign w:val="bottom"/>
            <w:gridSpan w:val="2"/>
          </w:tcPr>
          <w:p>
            <w:pPr>
              <w:ind w:left="220"/>
              <w:spacing w:after="0"/>
              <w:rPr>
                <w:sz w:val="20"/>
                <w:szCs w:val="20"/>
                <w:color w:val="auto"/>
              </w:rPr>
            </w:pPr>
            <w:r>
              <w:rPr>
                <w:rFonts w:ascii="Arial" w:cs="Arial" w:eastAsia="Arial" w:hAnsi="Arial"/>
                <w:sz w:val="16"/>
                <w:szCs w:val="16"/>
                <w:b w:val="1"/>
                <w:bCs w:val="1"/>
                <w:color w:val="auto"/>
              </w:rPr>
              <w:t>March 31, 2026</w:t>
            </w:r>
          </w:p>
        </w:tc>
        <w:tc>
          <w:tcPr>
            <w:tcW w:w="260" w:type="dxa"/>
            <w:vAlign w:val="bottom"/>
          </w:tcPr>
          <w:p>
            <w:pPr>
              <w:spacing w:after="0"/>
              <w:rPr>
                <w:sz w:val="18"/>
                <w:szCs w:val="18"/>
                <w:color w:val="auto"/>
              </w:rPr>
            </w:pPr>
          </w:p>
        </w:tc>
        <w:tc>
          <w:tcPr>
            <w:tcW w:w="2020" w:type="dxa"/>
            <w:vAlign w:val="bottom"/>
          </w:tcPr>
          <w:p>
            <w:pPr>
              <w:jc w:val="right"/>
              <w:ind w:right="339"/>
              <w:spacing w:after="0"/>
              <w:rPr>
                <w:sz w:val="20"/>
                <w:szCs w:val="20"/>
                <w:color w:val="auto"/>
              </w:rPr>
            </w:pPr>
            <w:r>
              <w:rPr>
                <w:rFonts w:ascii="Arial" w:cs="Arial" w:eastAsia="Arial" w:hAnsi="Arial"/>
                <w:sz w:val="16"/>
                <w:szCs w:val="16"/>
                <w:b w:val="1"/>
                <w:bCs w:val="1"/>
                <w:color w:val="auto"/>
              </w:rPr>
              <w:t>December 31, 2025</w:t>
            </w:r>
          </w:p>
        </w:tc>
        <w:tc>
          <w:tcPr>
            <w:tcW w:w="0" w:type="dxa"/>
            <w:vAlign w:val="bottom"/>
          </w:tcPr>
          <w:p>
            <w:pPr>
              <w:spacing w:after="0"/>
              <w:rPr>
                <w:sz w:val="1"/>
                <w:szCs w:val="1"/>
                <w:color w:val="auto"/>
              </w:rPr>
            </w:pPr>
          </w:p>
        </w:tc>
      </w:tr>
      <w:tr>
        <w:trPr>
          <w:trHeight w:val="194"/>
        </w:trPr>
        <w:tc>
          <w:tcPr>
            <w:tcW w:w="6540" w:type="dxa"/>
            <w:vAlign w:val="bottom"/>
            <w:vMerge w:val="continue"/>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9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0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18"/>
        </w:trPr>
        <w:tc>
          <w:tcPr>
            <w:tcW w:w="6540" w:type="dxa"/>
            <w:vAlign w:val="bottom"/>
          </w:tcPr>
          <w:p>
            <w:pPr>
              <w:ind w:left="120"/>
              <w:spacing w:after="0"/>
              <w:rPr>
                <w:sz w:val="20"/>
                <w:szCs w:val="20"/>
                <w:color w:val="auto"/>
              </w:rPr>
            </w:pPr>
            <w:r>
              <w:rPr>
                <w:rFonts w:ascii="Arial" w:cs="Arial" w:eastAsia="Arial" w:hAnsi="Arial"/>
                <w:sz w:val="16"/>
                <w:szCs w:val="16"/>
                <w:color w:val="auto"/>
              </w:rPr>
              <w:t>Cash and cash equivalents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940" w:type="dxa"/>
            <w:vAlign w:val="bottom"/>
          </w:tcPr>
          <w:p>
            <w:pPr>
              <w:jc w:val="right"/>
              <w:spacing w:after="0"/>
              <w:rPr>
                <w:sz w:val="20"/>
                <w:szCs w:val="20"/>
                <w:color w:val="auto"/>
              </w:rPr>
            </w:pPr>
            <w:r>
              <w:rPr>
                <w:rFonts w:ascii="Arial" w:cs="Arial" w:eastAsia="Arial" w:hAnsi="Arial"/>
                <w:sz w:val="16"/>
                <w:szCs w:val="16"/>
                <w:color w:val="auto"/>
              </w:rPr>
              <w:t>382.9</w:t>
            </w:r>
          </w:p>
        </w:tc>
        <w:tc>
          <w:tcPr>
            <w:tcW w:w="12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2020" w:type="dxa"/>
            <w:vAlign w:val="bottom"/>
          </w:tcPr>
          <w:p>
            <w:pPr>
              <w:jc w:val="right"/>
              <w:spacing w:after="0"/>
              <w:rPr>
                <w:sz w:val="20"/>
                <w:szCs w:val="20"/>
                <w:color w:val="auto"/>
              </w:rPr>
            </w:pPr>
            <w:r>
              <w:rPr>
                <w:rFonts w:ascii="Arial" w:cs="Arial" w:eastAsia="Arial" w:hAnsi="Arial"/>
                <w:sz w:val="16"/>
                <w:szCs w:val="16"/>
                <w:color w:val="auto"/>
              </w:rPr>
              <w:t>297.4</w:t>
            </w:r>
          </w:p>
        </w:tc>
        <w:tc>
          <w:tcPr>
            <w:tcW w:w="0" w:type="dxa"/>
            <w:vAlign w:val="bottom"/>
          </w:tcPr>
          <w:p>
            <w:pPr>
              <w:spacing w:after="0"/>
              <w:rPr>
                <w:sz w:val="1"/>
                <w:szCs w:val="1"/>
                <w:color w:val="auto"/>
              </w:rPr>
            </w:pPr>
          </w:p>
        </w:tc>
      </w:tr>
      <w:tr>
        <w:trPr>
          <w:trHeight w:val="216"/>
        </w:trPr>
        <w:tc>
          <w:tcPr>
            <w:tcW w:w="6540" w:type="dxa"/>
            <w:vAlign w:val="bottom"/>
          </w:tcPr>
          <w:p>
            <w:pPr>
              <w:ind w:left="120"/>
              <w:spacing w:after="0"/>
              <w:rPr>
                <w:sz w:val="20"/>
                <w:szCs w:val="20"/>
                <w:color w:val="auto"/>
              </w:rPr>
            </w:pPr>
            <w:r>
              <w:rPr>
                <w:rFonts w:ascii="Arial" w:cs="Arial" w:eastAsia="Arial" w:hAnsi="Arial"/>
                <w:sz w:val="16"/>
                <w:szCs w:val="16"/>
                <w:color w:val="auto"/>
              </w:rPr>
              <w:t>Accounts receivable, net</w:t>
            </w:r>
          </w:p>
        </w:tc>
        <w:tc>
          <w:tcPr>
            <w:tcW w:w="3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877.3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1,001.0</w:t>
            </w:r>
          </w:p>
        </w:tc>
        <w:tc>
          <w:tcPr>
            <w:tcW w:w="0" w:type="dxa"/>
            <w:vAlign w:val="bottom"/>
          </w:tcPr>
          <w:p>
            <w:pPr>
              <w:spacing w:after="0"/>
              <w:rPr>
                <w:sz w:val="1"/>
                <w:szCs w:val="1"/>
                <w:color w:val="auto"/>
              </w:rPr>
            </w:pPr>
          </w:p>
        </w:tc>
      </w:tr>
      <w:tr>
        <w:trPr>
          <w:trHeight w:val="216"/>
        </w:trPr>
        <w:tc>
          <w:tcPr>
            <w:tcW w:w="6540" w:type="dxa"/>
            <w:vAlign w:val="bottom"/>
          </w:tcPr>
          <w:p>
            <w:pPr>
              <w:ind w:left="120"/>
              <w:spacing w:after="0"/>
              <w:rPr>
                <w:sz w:val="20"/>
                <w:szCs w:val="20"/>
                <w:color w:val="auto"/>
              </w:rPr>
            </w:pPr>
            <w:r>
              <w:rPr>
                <w:rFonts w:ascii="Arial" w:cs="Arial" w:eastAsia="Arial" w:hAnsi="Arial"/>
                <w:sz w:val="16"/>
                <w:szCs w:val="16"/>
                <w:color w:val="auto"/>
              </w:rPr>
              <w:t>Inventories, net</w:t>
            </w:r>
          </w:p>
        </w:tc>
        <w:tc>
          <w:tcPr>
            <w:tcW w:w="3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144.5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141.7</w:t>
            </w:r>
          </w:p>
        </w:tc>
        <w:tc>
          <w:tcPr>
            <w:tcW w:w="0" w:type="dxa"/>
            <w:vAlign w:val="bottom"/>
          </w:tcPr>
          <w:p>
            <w:pPr>
              <w:spacing w:after="0"/>
              <w:rPr>
                <w:sz w:val="1"/>
                <w:szCs w:val="1"/>
                <w:color w:val="auto"/>
              </w:rPr>
            </w:pPr>
          </w:p>
        </w:tc>
      </w:tr>
      <w:tr>
        <w:trPr>
          <w:trHeight w:val="216"/>
        </w:trPr>
        <w:tc>
          <w:tcPr>
            <w:tcW w:w="6540" w:type="dxa"/>
            <w:vAlign w:val="bottom"/>
          </w:tcPr>
          <w:p>
            <w:pPr>
              <w:ind w:left="120"/>
              <w:spacing w:after="0"/>
              <w:rPr>
                <w:sz w:val="20"/>
                <w:szCs w:val="20"/>
                <w:color w:val="auto"/>
              </w:rPr>
            </w:pPr>
            <w:r>
              <w:rPr>
                <w:rFonts w:ascii="Arial" w:cs="Arial" w:eastAsia="Arial" w:hAnsi="Arial"/>
                <w:sz w:val="16"/>
                <w:szCs w:val="16"/>
                <w:color w:val="auto"/>
              </w:rPr>
              <w:t>Income taxes receivable</w:t>
            </w:r>
          </w:p>
        </w:tc>
        <w:tc>
          <w:tcPr>
            <w:tcW w:w="3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88.3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128.2</w:t>
            </w:r>
          </w:p>
        </w:tc>
        <w:tc>
          <w:tcPr>
            <w:tcW w:w="0" w:type="dxa"/>
            <w:vAlign w:val="bottom"/>
          </w:tcPr>
          <w:p>
            <w:pPr>
              <w:spacing w:after="0"/>
              <w:rPr>
                <w:sz w:val="1"/>
                <w:szCs w:val="1"/>
                <w:color w:val="auto"/>
              </w:rPr>
            </w:pPr>
          </w:p>
        </w:tc>
      </w:tr>
      <w:tr>
        <w:trPr>
          <w:trHeight w:val="216"/>
        </w:trPr>
        <w:tc>
          <w:tcPr>
            <w:tcW w:w="6540" w:type="dxa"/>
            <w:vAlign w:val="bottom"/>
          </w:tcPr>
          <w:p>
            <w:pPr>
              <w:ind w:left="120"/>
              <w:spacing w:after="0"/>
              <w:rPr>
                <w:sz w:val="20"/>
                <w:szCs w:val="20"/>
                <w:color w:val="auto"/>
              </w:rPr>
            </w:pPr>
            <w:r>
              <w:rPr>
                <w:rFonts w:ascii="Arial" w:cs="Arial" w:eastAsia="Arial" w:hAnsi="Arial"/>
                <w:sz w:val="16"/>
                <w:szCs w:val="16"/>
                <w:color w:val="auto"/>
              </w:rPr>
              <w:t>Unbilled receivables</w:t>
            </w:r>
          </w:p>
        </w:tc>
        <w:tc>
          <w:tcPr>
            <w:tcW w:w="3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142.7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124.0</w:t>
            </w:r>
          </w:p>
        </w:tc>
        <w:tc>
          <w:tcPr>
            <w:tcW w:w="0" w:type="dxa"/>
            <w:vAlign w:val="bottom"/>
          </w:tcPr>
          <w:p>
            <w:pPr>
              <w:spacing w:after="0"/>
              <w:rPr>
                <w:sz w:val="1"/>
                <w:szCs w:val="1"/>
                <w:color w:val="auto"/>
              </w:rPr>
            </w:pPr>
          </w:p>
        </w:tc>
      </w:tr>
      <w:tr>
        <w:trPr>
          <w:trHeight w:val="216"/>
        </w:trPr>
        <w:tc>
          <w:tcPr>
            <w:tcW w:w="6540" w:type="dxa"/>
            <w:vAlign w:val="bottom"/>
          </w:tcPr>
          <w:p>
            <w:pPr>
              <w:ind w:left="120"/>
              <w:spacing w:after="0"/>
              <w:rPr>
                <w:sz w:val="20"/>
                <w:szCs w:val="20"/>
                <w:color w:val="auto"/>
              </w:rPr>
            </w:pPr>
            <w:r>
              <w:rPr>
                <w:rFonts w:ascii="Arial" w:cs="Arial" w:eastAsia="Arial" w:hAnsi="Arial"/>
                <w:sz w:val="16"/>
                <w:szCs w:val="16"/>
                <w:color w:val="auto"/>
              </w:rPr>
              <w:t>Prepaid expenses and other current assets</w:t>
            </w:r>
          </w:p>
        </w:tc>
        <w:tc>
          <w:tcPr>
            <w:tcW w:w="3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276.4</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235.8</w:t>
            </w:r>
          </w:p>
        </w:tc>
        <w:tc>
          <w:tcPr>
            <w:tcW w:w="0" w:type="dxa"/>
            <w:vAlign w:val="bottom"/>
          </w:tcPr>
          <w:p>
            <w:pPr>
              <w:spacing w:after="0"/>
              <w:rPr>
                <w:sz w:val="1"/>
                <w:szCs w:val="1"/>
                <w:color w:val="auto"/>
              </w:rPr>
            </w:pPr>
          </w:p>
        </w:tc>
      </w:tr>
      <w:tr>
        <w:trPr>
          <w:trHeight w:val="210"/>
        </w:trPr>
        <w:tc>
          <w:tcPr>
            <w:tcW w:w="6540" w:type="dxa"/>
            <w:vAlign w:val="bottom"/>
          </w:tcPr>
          <w:p>
            <w:pPr>
              <w:ind w:left="340"/>
              <w:spacing w:after="0"/>
              <w:rPr>
                <w:sz w:val="20"/>
                <w:szCs w:val="20"/>
                <w:color w:val="auto"/>
              </w:rPr>
            </w:pPr>
            <w:r>
              <w:rPr>
                <w:rFonts w:ascii="Arial" w:cs="Arial" w:eastAsia="Arial" w:hAnsi="Arial"/>
                <w:sz w:val="16"/>
                <w:szCs w:val="16"/>
                <w:color w:val="auto"/>
              </w:rPr>
              <w:t>Total current assets</w:t>
            </w:r>
          </w:p>
        </w:tc>
        <w:tc>
          <w:tcPr>
            <w:tcW w:w="3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1,912.1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1,928.1</w:t>
            </w:r>
          </w:p>
        </w:tc>
        <w:tc>
          <w:tcPr>
            <w:tcW w:w="0" w:type="dxa"/>
            <w:vAlign w:val="bottom"/>
          </w:tcPr>
          <w:p>
            <w:pPr>
              <w:spacing w:after="0"/>
              <w:rPr>
                <w:sz w:val="1"/>
                <w:szCs w:val="1"/>
                <w:color w:val="auto"/>
              </w:rPr>
            </w:pPr>
          </w:p>
        </w:tc>
      </w:tr>
      <w:tr>
        <w:trPr>
          <w:trHeight w:val="431"/>
        </w:trPr>
        <w:tc>
          <w:tcPr>
            <w:tcW w:w="6540" w:type="dxa"/>
            <w:vAlign w:val="bottom"/>
          </w:tcPr>
          <w:p>
            <w:pPr>
              <w:ind w:left="120"/>
              <w:spacing w:after="0"/>
              <w:rPr>
                <w:sz w:val="20"/>
                <w:szCs w:val="20"/>
                <w:color w:val="auto"/>
              </w:rPr>
            </w:pPr>
            <w:r>
              <w:rPr>
                <w:rFonts w:ascii="Arial" w:cs="Arial" w:eastAsia="Arial" w:hAnsi="Arial"/>
                <w:sz w:val="16"/>
                <w:szCs w:val="16"/>
                <w:color w:val="auto"/>
              </w:rPr>
              <w:t>Property, plant and equipment, net</w:t>
            </w:r>
          </w:p>
        </w:tc>
        <w:tc>
          <w:tcPr>
            <w:tcW w:w="340" w:type="dxa"/>
            <w:vAlign w:val="bottom"/>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158.2</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156.9</w:t>
            </w:r>
          </w:p>
        </w:tc>
        <w:tc>
          <w:tcPr>
            <w:tcW w:w="0" w:type="dxa"/>
            <w:vAlign w:val="bottom"/>
          </w:tcPr>
          <w:p>
            <w:pPr>
              <w:spacing w:after="0"/>
              <w:rPr>
                <w:sz w:val="1"/>
                <w:szCs w:val="1"/>
                <w:color w:val="auto"/>
              </w:rPr>
            </w:pPr>
          </w:p>
        </w:tc>
      </w:tr>
      <w:tr>
        <w:trPr>
          <w:trHeight w:val="216"/>
        </w:trPr>
        <w:tc>
          <w:tcPr>
            <w:tcW w:w="6540" w:type="dxa"/>
            <w:vAlign w:val="bottom"/>
          </w:tcPr>
          <w:p>
            <w:pPr>
              <w:ind w:left="120"/>
              <w:spacing w:after="0"/>
              <w:rPr>
                <w:sz w:val="20"/>
                <w:szCs w:val="20"/>
                <w:color w:val="auto"/>
              </w:rPr>
            </w:pPr>
            <w:r>
              <w:rPr>
                <w:rFonts w:ascii="Arial" w:cs="Arial" w:eastAsia="Arial" w:hAnsi="Arial"/>
                <w:sz w:val="16"/>
                <w:szCs w:val="16"/>
                <w:color w:val="auto"/>
              </w:rPr>
              <w:t>Goodwill</w:t>
            </w:r>
          </w:p>
        </w:tc>
        <w:tc>
          <w:tcPr>
            <w:tcW w:w="3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21,347.7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21,341.2</w:t>
            </w:r>
          </w:p>
        </w:tc>
        <w:tc>
          <w:tcPr>
            <w:tcW w:w="0" w:type="dxa"/>
            <w:vAlign w:val="bottom"/>
          </w:tcPr>
          <w:p>
            <w:pPr>
              <w:spacing w:after="0"/>
              <w:rPr>
                <w:sz w:val="1"/>
                <w:szCs w:val="1"/>
                <w:color w:val="auto"/>
              </w:rPr>
            </w:pPr>
          </w:p>
        </w:tc>
      </w:tr>
      <w:tr>
        <w:trPr>
          <w:trHeight w:val="216"/>
        </w:trPr>
        <w:tc>
          <w:tcPr>
            <w:tcW w:w="6540" w:type="dxa"/>
            <w:vAlign w:val="bottom"/>
          </w:tcPr>
          <w:p>
            <w:pPr>
              <w:ind w:left="120"/>
              <w:spacing w:after="0"/>
              <w:rPr>
                <w:sz w:val="20"/>
                <w:szCs w:val="20"/>
                <w:color w:val="auto"/>
              </w:rPr>
            </w:pPr>
            <w:r>
              <w:rPr>
                <w:rFonts w:ascii="Arial" w:cs="Arial" w:eastAsia="Arial" w:hAnsi="Arial"/>
                <w:sz w:val="16"/>
                <w:szCs w:val="16"/>
                <w:color w:val="auto"/>
              </w:rPr>
              <w:t>Other intangible assets, net</w:t>
            </w:r>
          </w:p>
        </w:tc>
        <w:tc>
          <w:tcPr>
            <w:tcW w:w="3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9,559.0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9,764.2</w:t>
            </w:r>
          </w:p>
        </w:tc>
        <w:tc>
          <w:tcPr>
            <w:tcW w:w="0" w:type="dxa"/>
            <w:vAlign w:val="bottom"/>
          </w:tcPr>
          <w:p>
            <w:pPr>
              <w:spacing w:after="0"/>
              <w:rPr>
                <w:sz w:val="1"/>
                <w:szCs w:val="1"/>
                <w:color w:val="auto"/>
              </w:rPr>
            </w:pPr>
          </w:p>
        </w:tc>
      </w:tr>
      <w:tr>
        <w:trPr>
          <w:trHeight w:val="216"/>
        </w:trPr>
        <w:tc>
          <w:tcPr>
            <w:tcW w:w="6540" w:type="dxa"/>
            <w:vAlign w:val="bottom"/>
          </w:tcPr>
          <w:p>
            <w:pPr>
              <w:ind w:left="120"/>
              <w:spacing w:after="0"/>
              <w:rPr>
                <w:sz w:val="20"/>
                <w:szCs w:val="20"/>
                <w:color w:val="auto"/>
              </w:rPr>
            </w:pPr>
            <w:r>
              <w:rPr>
                <w:rFonts w:ascii="Arial" w:cs="Arial" w:eastAsia="Arial" w:hAnsi="Arial"/>
                <w:sz w:val="16"/>
                <w:szCs w:val="16"/>
                <w:color w:val="auto"/>
              </w:rPr>
              <w:t>Deferred taxes</w:t>
            </w:r>
          </w:p>
        </w:tc>
        <w:tc>
          <w:tcPr>
            <w:tcW w:w="3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70.8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73.3</w:t>
            </w:r>
          </w:p>
        </w:tc>
        <w:tc>
          <w:tcPr>
            <w:tcW w:w="0" w:type="dxa"/>
            <w:vAlign w:val="bottom"/>
          </w:tcPr>
          <w:p>
            <w:pPr>
              <w:spacing w:after="0"/>
              <w:rPr>
                <w:sz w:val="1"/>
                <w:szCs w:val="1"/>
                <w:color w:val="auto"/>
              </w:rPr>
            </w:pPr>
          </w:p>
        </w:tc>
      </w:tr>
      <w:tr>
        <w:trPr>
          <w:trHeight w:val="216"/>
        </w:trPr>
        <w:tc>
          <w:tcPr>
            <w:tcW w:w="6540" w:type="dxa"/>
            <w:vAlign w:val="bottom"/>
          </w:tcPr>
          <w:p>
            <w:pPr>
              <w:ind w:left="120"/>
              <w:spacing w:after="0"/>
              <w:rPr>
                <w:sz w:val="20"/>
                <w:szCs w:val="20"/>
                <w:color w:val="auto"/>
              </w:rPr>
            </w:pPr>
            <w:r>
              <w:rPr>
                <w:rFonts w:ascii="Arial" w:cs="Arial" w:eastAsia="Arial" w:hAnsi="Arial"/>
                <w:sz w:val="16"/>
                <w:szCs w:val="16"/>
                <w:color w:val="auto"/>
              </w:rPr>
              <w:t>Equity investment</w:t>
            </w:r>
          </w:p>
        </w:tc>
        <w:tc>
          <w:tcPr>
            <w:tcW w:w="3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963.6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796.3</w:t>
            </w:r>
          </w:p>
        </w:tc>
        <w:tc>
          <w:tcPr>
            <w:tcW w:w="0" w:type="dxa"/>
            <w:vAlign w:val="bottom"/>
          </w:tcPr>
          <w:p>
            <w:pPr>
              <w:spacing w:after="0"/>
              <w:rPr>
                <w:sz w:val="1"/>
                <w:szCs w:val="1"/>
                <w:color w:val="auto"/>
              </w:rPr>
            </w:pPr>
          </w:p>
        </w:tc>
      </w:tr>
      <w:tr>
        <w:trPr>
          <w:trHeight w:val="217"/>
        </w:trPr>
        <w:tc>
          <w:tcPr>
            <w:tcW w:w="6540" w:type="dxa"/>
            <w:vAlign w:val="bottom"/>
          </w:tcPr>
          <w:p>
            <w:pPr>
              <w:ind w:left="120"/>
              <w:spacing w:after="0"/>
              <w:rPr>
                <w:sz w:val="20"/>
                <w:szCs w:val="20"/>
                <w:color w:val="auto"/>
              </w:rPr>
            </w:pPr>
            <w:r>
              <w:rPr>
                <w:rFonts w:ascii="Arial" w:cs="Arial" w:eastAsia="Arial" w:hAnsi="Arial"/>
                <w:sz w:val="16"/>
                <w:szCs w:val="16"/>
                <w:color w:val="auto"/>
              </w:rPr>
              <w:t>Other assets</w:t>
            </w:r>
          </w:p>
        </w:tc>
        <w:tc>
          <w:tcPr>
            <w:tcW w:w="3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539.4</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517.0</w:t>
            </w:r>
          </w:p>
        </w:tc>
        <w:tc>
          <w:tcPr>
            <w:tcW w:w="0" w:type="dxa"/>
            <w:vAlign w:val="bottom"/>
          </w:tcPr>
          <w:p>
            <w:pPr>
              <w:spacing w:after="0"/>
              <w:rPr>
                <w:sz w:val="1"/>
                <w:szCs w:val="1"/>
                <w:color w:val="auto"/>
              </w:rPr>
            </w:pPr>
          </w:p>
        </w:tc>
      </w:tr>
      <w:tr>
        <w:trPr>
          <w:trHeight w:val="210"/>
        </w:trPr>
        <w:tc>
          <w:tcPr>
            <w:tcW w:w="6540" w:type="dxa"/>
            <w:vAlign w:val="bottom"/>
          </w:tcPr>
          <w:p>
            <w:pPr>
              <w:ind w:left="340"/>
              <w:spacing w:after="0"/>
              <w:rPr>
                <w:sz w:val="20"/>
                <w:szCs w:val="20"/>
                <w:color w:val="auto"/>
              </w:rPr>
            </w:pPr>
            <w:r>
              <w:rPr>
                <w:rFonts w:ascii="Arial" w:cs="Arial" w:eastAsia="Arial" w:hAnsi="Arial"/>
                <w:sz w:val="16"/>
                <w:szCs w:val="16"/>
                <w:color w:val="auto"/>
              </w:rPr>
              <w:t>Total assets</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34,550.8</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34,577.0</w:t>
            </w:r>
          </w:p>
        </w:tc>
        <w:tc>
          <w:tcPr>
            <w:tcW w:w="0" w:type="dxa"/>
            <w:vAlign w:val="bottom"/>
          </w:tcPr>
          <w:p>
            <w:pPr>
              <w:spacing w:after="0"/>
              <w:rPr>
                <w:sz w:val="1"/>
                <w:szCs w:val="1"/>
                <w:color w:val="auto"/>
              </w:rPr>
            </w:pPr>
          </w:p>
        </w:tc>
      </w:tr>
      <w:tr>
        <w:trPr>
          <w:trHeight w:val="21"/>
        </w:trPr>
        <w:tc>
          <w:tcPr>
            <w:tcW w:w="6540" w:type="dxa"/>
            <w:vAlign w:val="bottom"/>
            <w:vMerge w:val="restart"/>
          </w:tcPr>
          <w:p>
            <w:pPr>
              <w:spacing w:after="0"/>
              <w:rPr>
                <w:sz w:val="20"/>
                <w:szCs w:val="20"/>
                <w:color w:val="auto"/>
              </w:rPr>
            </w:pPr>
            <w:r>
              <w:rPr>
                <w:rFonts w:ascii="Arial" w:cs="Arial" w:eastAsia="Arial" w:hAnsi="Arial"/>
                <w:sz w:val="16"/>
                <w:szCs w:val="16"/>
                <w:color w:val="auto"/>
              </w:rPr>
              <w:t>LIABILITIES AND STOCKHOLDERS’ EQUITY:</w:t>
            </w:r>
          </w:p>
        </w:tc>
        <w:tc>
          <w:tcPr>
            <w:tcW w:w="3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7"/>
        </w:trPr>
        <w:tc>
          <w:tcPr>
            <w:tcW w:w="65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9"/>
        </w:trPr>
        <w:tc>
          <w:tcPr>
            <w:tcW w:w="6540" w:type="dxa"/>
            <w:vAlign w:val="bottom"/>
          </w:tcPr>
          <w:p>
            <w:pPr>
              <w:ind w:left="120"/>
              <w:spacing w:after="0"/>
              <w:rPr>
                <w:sz w:val="20"/>
                <w:szCs w:val="20"/>
                <w:color w:val="auto"/>
              </w:rPr>
            </w:pPr>
            <w:r>
              <w:rPr>
                <w:rFonts w:ascii="Arial" w:cs="Arial" w:eastAsia="Arial" w:hAnsi="Arial"/>
                <w:sz w:val="16"/>
                <w:szCs w:val="16"/>
                <w:color w:val="auto"/>
              </w:rPr>
              <w:t>Accounts payable</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940" w:type="dxa"/>
            <w:vAlign w:val="bottom"/>
          </w:tcPr>
          <w:p>
            <w:pPr>
              <w:jc w:val="right"/>
              <w:spacing w:after="0"/>
              <w:rPr>
                <w:sz w:val="20"/>
                <w:szCs w:val="20"/>
                <w:color w:val="auto"/>
              </w:rPr>
            </w:pPr>
            <w:r>
              <w:rPr>
                <w:rFonts w:ascii="Arial" w:cs="Arial" w:eastAsia="Arial" w:hAnsi="Arial"/>
                <w:sz w:val="16"/>
                <w:szCs w:val="16"/>
                <w:color w:val="auto"/>
              </w:rPr>
              <w:t>184.5</w:t>
            </w:r>
          </w:p>
        </w:tc>
        <w:tc>
          <w:tcPr>
            <w:tcW w:w="120" w:type="dxa"/>
            <w:vAlign w:val="bottom"/>
          </w:tcPr>
          <w:p>
            <w:pPr>
              <w:spacing w:after="0"/>
              <w:rPr>
                <w:sz w:val="24"/>
                <w:szCs w:val="24"/>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2020" w:type="dxa"/>
            <w:vAlign w:val="bottom"/>
          </w:tcPr>
          <w:p>
            <w:pPr>
              <w:jc w:val="right"/>
              <w:spacing w:after="0"/>
              <w:rPr>
                <w:sz w:val="20"/>
                <w:szCs w:val="20"/>
                <w:color w:val="auto"/>
              </w:rPr>
            </w:pPr>
            <w:r>
              <w:rPr>
                <w:rFonts w:ascii="Arial" w:cs="Arial" w:eastAsia="Arial" w:hAnsi="Arial"/>
                <w:sz w:val="16"/>
                <w:szCs w:val="16"/>
                <w:color w:val="auto"/>
              </w:rPr>
              <w:t>150.3</w:t>
            </w:r>
          </w:p>
        </w:tc>
        <w:tc>
          <w:tcPr>
            <w:tcW w:w="0" w:type="dxa"/>
            <w:vAlign w:val="bottom"/>
          </w:tcPr>
          <w:p>
            <w:pPr>
              <w:spacing w:after="0"/>
              <w:rPr>
                <w:sz w:val="1"/>
                <w:szCs w:val="1"/>
                <w:color w:val="auto"/>
              </w:rPr>
            </w:pPr>
          </w:p>
        </w:tc>
      </w:tr>
      <w:tr>
        <w:trPr>
          <w:trHeight w:val="216"/>
        </w:trPr>
        <w:tc>
          <w:tcPr>
            <w:tcW w:w="6540" w:type="dxa"/>
            <w:vAlign w:val="bottom"/>
          </w:tcPr>
          <w:p>
            <w:pPr>
              <w:ind w:left="120"/>
              <w:spacing w:after="0"/>
              <w:rPr>
                <w:sz w:val="20"/>
                <w:szCs w:val="20"/>
                <w:color w:val="auto"/>
              </w:rPr>
            </w:pPr>
            <w:r>
              <w:rPr>
                <w:rFonts w:ascii="Arial" w:cs="Arial" w:eastAsia="Arial" w:hAnsi="Arial"/>
                <w:sz w:val="16"/>
                <w:szCs w:val="16"/>
                <w:color w:val="auto"/>
              </w:rPr>
              <w:t>Accrued compensation</w:t>
            </w:r>
          </w:p>
        </w:tc>
        <w:tc>
          <w:tcPr>
            <w:tcW w:w="3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226.7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293.0</w:t>
            </w:r>
          </w:p>
        </w:tc>
        <w:tc>
          <w:tcPr>
            <w:tcW w:w="0" w:type="dxa"/>
            <w:vAlign w:val="bottom"/>
          </w:tcPr>
          <w:p>
            <w:pPr>
              <w:spacing w:after="0"/>
              <w:rPr>
                <w:sz w:val="1"/>
                <w:szCs w:val="1"/>
                <w:color w:val="auto"/>
              </w:rPr>
            </w:pPr>
          </w:p>
        </w:tc>
      </w:tr>
      <w:tr>
        <w:trPr>
          <w:trHeight w:val="216"/>
        </w:trPr>
        <w:tc>
          <w:tcPr>
            <w:tcW w:w="6540" w:type="dxa"/>
            <w:vAlign w:val="bottom"/>
          </w:tcPr>
          <w:p>
            <w:pPr>
              <w:ind w:left="120"/>
              <w:spacing w:after="0"/>
              <w:rPr>
                <w:sz w:val="20"/>
                <w:szCs w:val="20"/>
                <w:color w:val="auto"/>
              </w:rPr>
            </w:pPr>
            <w:r>
              <w:rPr>
                <w:rFonts w:ascii="Arial" w:cs="Arial" w:eastAsia="Arial" w:hAnsi="Arial"/>
                <w:sz w:val="16"/>
                <w:szCs w:val="16"/>
                <w:color w:val="auto"/>
              </w:rPr>
              <w:t>Deferred revenue</w:t>
            </w:r>
          </w:p>
        </w:tc>
        <w:tc>
          <w:tcPr>
            <w:tcW w:w="3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1,792.5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1,906.8</w:t>
            </w:r>
          </w:p>
        </w:tc>
        <w:tc>
          <w:tcPr>
            <w:tcW w:w="0" w:type="dxa"/>
            <w:vAlign w:val="bottom"/>
          </w:tcPr>
          <w:p>
            <w:pPr>
              <w:spacing w:after="0"/>
              <w:rPr>
                <w:sz w:val="1"/>
                <w:szCs w:val="1"/>
                <w:color w:val="auto"/>
              </w:rPr>
            </w:pPr>
          </w:p>
        </w:tc>
      </w:tr>
      <w:tr>
        <w:trPr>
          <w:trHeight w:val="216"/>
        </w:trPr>
        <w:tc>
          <w:tcPr>
            <w:tcW w:w="6540" w:type="dxa"/>
            <w:vAlign w:val="bottom"/>
          </w:tcPr>
          <w:p>
            <w:pPr>
              <w:ind w:left="120"/>
              <w:spacing w:after="0"/>
              <w:rPr>
                <w:sz w:val="20"/>
                <w:szCs w:val="20"/>
                <w:color w:val="auto"/>
              </w:rPr>
            </w:pPr>
            <w:r>
              <w:rPr>
                <w:rFonts w:ascii="Arial" w:cs="Arial" w:eastAsia="Arial" w:hAnsi="Arial"/>
                <w:sz w:val="16"/>
                <w:szCs w:val="16"/>
                <w:color w:val="auto"/>
              </w:rPr>
              <w:t>Other accrued liabilities</w:t>
            </w:r>
          </w:p>
        </w:tc>
        <w:tc>
          <w:tcPr>
            <w:tcW w:w="3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619.0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642.3</w:t>
            </w:r>
          </w:p>
        </w:tc>
        <w:tc>
          <w:tcPr>
            <w:tcW w:w="0" w:type="dxa"/>
            <w:vAlign w:val="bottom"/>
          </w:tcPr>
          <w:p>
            <w:pPr>
              <w:spacing w:after="0"/>
              <w:rPr>
                <w:sz w:val="1"/>
                <w:szCs w:val="1"/>
                <w:color w:val="auto"/>
              </w:rPr>
            </w:pPr>
          </w:p>
        </w:tc>
      </w:tr>
      <w:tr>
        <w:trPr>
          <w:trHeight w:val="216"/>
        </w:trPr>
        <w:tc>
          <w:tcPr>
            <w:tcW w:w="6540" w:type="dxa"/>
            <w:vAlign w:val="bottom"/>
          </w:tcPr>
          <w:p>
            <w:pPr>
              <w:ind w:left="120"/>
              <w:spacing w:after="0"/>
              <w:rPr>
                <w:sz w:val="20"/>
                <w:szCs w:val="20"/>
                <w:color w:val="auto"/>
              </w:rPr>
            </w:pPr>
            <w:r>
              <w:rPr>
                <w:rFonts w:ascii="Arial" w:cs="Arial" w:eastAsia="Arial" w:hAnsi="Arial"/>
                <w:sz w:val="16"/>
                <w:szCs w:val="16"/>
                <w:color w:val="auto"/>
              </w:rPr>
              <w:t>Income taxes payable</w:t>
            </w:r>
          </w:p>
        </w:tc>
        <w:tc>
          <w:tcPr>
            <w:tcW w:w="3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39.3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28.0</w:t>
            </w:r>
          </w:p>
        </w:tc>
        <w:tc>
          <w:tcPr>
            <w:tcW w:w="0" w:type="dxa"/>
            <w:vAlign w:val="bottom"/>
          </w:tcPr>
          <w:p>
            <w:pPr>
              <w:spacing w:after="0"/>
              <w:rPr>
                <w:sz w:val="1"/>
                <w:szCs w:val="1"/>
                <w:color w:val="auto"/>
              </w:rPr>
            </w:pPr>
          </w:p>
        </w:tc>
      </w:tr>
      <w:tr>
        <w:trPr>
          <w:trHeight w:val="216"/>
        </w:trPr>
        <w:tc>
          <w:tcPr>
            <w:tcW w:w="6540" w:type="dxa"/>
            <w:vAlign w:val="bottom"/>
          </w:tcPr>
          <w:p>
            <w:pPr>
              <w:ind w:left="120"/>
              <w:spacing w:after="0"/>
              <w:rPr>
                <w:sz w:val="20"/>
                <w:szCs w:val="20"/>
                <w:color w:val="auto"/>
              </w:rPr>
            </w:pPr>
            <w:r>
              <w:rPr>
                <w:rFonts w:ascii="Arial" w:cs="Arial" w:eastAsia="Arial" w:hAnsi="Arial"/>
                <w:sz w:val="16"/>
                <w:szCs w:val="16"/>
                <w:color w:val="auto"/>
              </w:rPr>
              <w:t>Current portion of long-term debt, net</w:t>
            </w:r>
          </w:p>
        </w:tc>
        <w:tc>
          <w:tcPr>
            <w:tcW w:w="3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715.6</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705.2</w:t>
            </w:r>
          </w:p>
        </w:tc>
        <w:tc>
          <w:tcPr>
            <w:tcW w:w="0" w:type="dxa"/>
            <w:vAlign w:val="bottom"/>
          </w:tcPr>
          <w:p>
            <w:pPr>
              <w:spacing w:after="0"/>
              <w:rPr>
                <w:sz w:val="1"/>
                <w:szCs w:val="1"/>
                <w:color w:val="auto"/>
              </w:rPr>
            </w:pPr>
          </w:p>
        </w:tc>
      </w:tr>
      <w:tr>
        <w:trPr>
          <w:trHeight w:val="210"/>
        </w:trPr>
        <w:tc>
          <w:tcPr>
            <w:tcW w:w="6540" w:type="dxa"/>
            <w:vAlign w:val="bottom"/>
          </w:tcPr>
          <w:p>
            <w:pPr>
              <w:ind w:left="340"/>
              <w:spacing w:after="0"/>
              <w:rPr>
                <w:sz w:val="20"/>
                <w:szCs w:val="20"/>
                <w:color w:val="auto"/>
              </w:rPr>
            </w:pPr>
            <w:r>
              <w:rPr>
                <w:rFonts w:ascii="Arial" w:cs="Arial" w:eastAsia="Arial" w:hAnsi="Arial"/>
                <w:sz w:val="16"/>
                <w:szCs w:val="16"/>
                <w:color w:val="auto"/>
              </w:rPr>
              <w:t>Total current liabilities</w:t>
            </w:r>
          </w:p>
        </w:tc>
        <w:tc>
          <w:tcPr>
            <w:tcW w:w="3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3,577.6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3,725.6</w:t>
            </w:r>
          </w:p>
        </w:tc>
        <w:tc>
          <w:tcPr>
            <w:tcW w:w="0" w:type="dxa"/>
            <w:vAlign w:val="bottom"/>
          </w:tcPr>
          <w:p>
            <w:pPr>
              <w:spacing w:after="0"/>
              <w:rPr>
                <w:sz w:val="1"/>
                <w:szCs w:val="1"/>
                <w:color w:val="auto"/>
              </w:rPr>
            </w:pPr>
          </w:p>
        </w:tc>
      </w:tr>
      <w:tr>
        <w:trPr>
          <w:trHeight w:val="431"/>
        </w:trPr>
        <w:tc>
          <w:tcPr>
            <w:tcW w:w="6540" w:type="dxa"/>
            <w:vAlign w:val="bottom"/>
          </w:tcPr>
          <w:p>
            <w:pPr>
              <w:ind w:left="120"/>
              <w:spacing w:after="0"/>
              <w:rPr>
                <w:sz w:val="20"/>
                <w:szCs w:val="20"/>
                <w:color w:val="auto"/>
              </w:rPr>
            </w:pPr>
            <w:r>
              <w:rPr>
                <w:rFonts w:ascii="Arial" w:cs="Arial" w:eastAsia="Arial" w:hAnsi="Arial"/>
                <w:sz w:val="16"/>
                <w:szCs w:val="16"/>
                <w:color w:val="auto"/>
              </w:rPr>
              <w:t>Long-term debt, net of current portion</w:t>
            </w:r>
          </w:p>
        </w:tc>
        <w:tc>
          <w:tcPr>
            <w:tcW w:w="340" w:type="dxa"/>
            <w:vAlign w:val="bottom"/>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9,748.4</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8,595.8</w:t>
            </w:r>
          </w:p>
        </w:tc>
        <w:tc>
          <w:tcPr>
            <w:tcW w:w="0" w:type="dxa"/>
            <w:vAlign w:val="bottom"/>
          </w:tcPr>
          <w:p>
            <w:pPr>
              <w:spacing w:after="0"/>
              <w:rPr>
                <w:sz w:val="1"/>
                <w:szCs w:val="1"/>
                <w:color w:val="auto"/>
              </w:rPr>
            </w:pPr>
          </w:p>
        </w:tc>
      </w:tr>
      <w:tr>
        <w:trPr>
          <w:trHeight w:val="216"/>
        </w:trPr>
        <w:tc>
          <w:tcPr>
            <w:tcW w:w="6540" w:type="dxa"/>
            <w:vAlign w:val="bottom"/>
          </w:tcPr>
          <w:p>
            <w:pPr>
              <w:ind w:left="120"/>
              <w:spacing w:after="0"/>
              <w:rPr>
                <w:sz w:val="20"/>
                <w:szCs w:val="20"/>
                <w:color w:val="auto"/>
              </w:rPr>
            </w:pPr>
            <w:r>
              <w:rPr>
                <w:rFonts w:ascii="Arial" w:cs="Arial" w:eastAsia="Arial" w:hAnsi="Arial"/>
                <w:sz w:val="16"/>
                <w:szCs w:val="16"/>
                <w:color w:val="auto"/>
              </w:rPr>
              <w:t>Deferred taxes</w:t>
            </w:r>
          </w:p>
        </w:tc>
        <w:tc>
          <w:tcPr>
            <w:tcW w:w="3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1,915.1</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1,883.1</w:t>
            </w:r>
          </w:p>
        </w:tc>
        <w:tc>
          <w:tcPr>
            <w:tcW w:w="0" w:type="dxa"/>
            <w:vAlign w:val="bottom"/>
          </w:tcPr>
          <w:p>
            <w:pPr>
              <w:spacing w:after="0"/>
              <w:rPr>
                <w:sz w:val="1"/>
                <w:szCs w:val="1"/>
                <w:color w:val="auto"/>
              </w:rPr>
            </w:pPr>
          </w:p>
        </w:tc>
      </w:tr>
      <w:tr>
        <w:trPr>
          <w:trHeight w:val="216"/>
        </w:trPr>
        <w:tc>
          <w:tcPr>
            <w:tcW w:w="6540" w:type="dxa"/>
            <w:vAlign w:val="bottom"/>
          </w:tcPr>
          <w:p>
            <w:pPr>
              <w:ind w:left="120"/>
              <w:spacing w:after="0"/>
              <w:rPr>
                <w:sz w:val="20"/>
                <w:szCs w:val="20"/>
                <w:color w:val="auto"/>
              </w:rPr>
            </w:pPr>
            <w:r>
              <w:rPr>
                <w:rFonts w:ascii="Arial" w:cs="Arial" w:eastAsia="Arial" w:hAnsi="Arial"/>
                <w:sz w:val="16"/>
                <w:szCs w:val="16"/>
                <w:color w:val="auto"/>
              </w:rPr>
              <w:t>Other liabilities</w:t>
            </w:r>
          </w:p>
        </w:tc>
        <w:tc>
          <w:tcPr>
            <w:tcW w:w="3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491.7</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491.0</w:t>
            </w:r>
          </w:p>
        </w:tc>
        <w:tc>
          <w:tcPr>
            <w:tcW w:w="0" w:type="dxa"/>
            <w:vAlign w:val="bottom"/>
          </w:tcPr>
          <w:p>
            <w:pPr>
              <w:spacing w:after="0"/>
              <w:rPr>
                <w:sz w:val="1"/>
                <w:szCs w:val="1"/>
                <w:color w:val="auto"/>
              </w:rPr>
            </w:pPr>
          </w:p>
        </w:tc>
      </w:tr>
      <w:tr>
        <w:trPr>
          <w:trHeight w:val="210"/>
        </w:trPr>
        <w:tc>
          <w:tcPr>
            <w:tcW w:w="6540" w:type="dxa"/>
            <w:vAlign w:val="bottom"/>
          </w:tcPr>
          <w:p>
            <w:pPr>
              <w:ind w:left="340"/>
              <w:spacing w:after="0"/>
              <w:rPr>
                <w:sz w:val="20"/>
                <w:szCs w:val="20"/>
                <w:color w:val="auto"/>
              </w:rPr>
            </w:pPr>
            <w:r>
              <w:rPr>
                <w:rFonts w:ascii="Arial" w:cs="Arial" w:eastAsia="Arial" w:hAnsi="Arial"/>
                <w:sz w:val="16"/>
                <w:szCs w:val="16"/>
                <w:color w:val="auto"/>
              </w:rPr>
              <w:t>Total liabilities</w:t>
            </w:r>
          </w:p>
        </w:tc>
        <w:tc>
          <w:tcPr>
            <w:tcW w:w="3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15,732.8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14,695.5</w:t>
            </w:r>
          </w:p>
        </w:tc>
        <w:tc>
          <w:tcPr>
            <w:tcW w:w="0" w:type="dxa"/>
            <w:vAlign w:val="bottom"/>
          </w:tcPr>
          <w:p>
            <w:pPr>
              <w:spacing w:after="0"/>
              <w:rPr>
                <w:sz w:val="1"/>
                <w:szCs w:val="1"/>
                <w:color w:val="auto"/>
              </w:rPr>
            </w:pPr>
          </w:p>
        </w:tc>
      </w:tr>
      <w:tr>
        <w:trPr>
          <w:trHeight w:val="379"/>
        </w:trPr>
        <w:tc>
          <w:tcPr>
            <w:tcW w:w="6540" w:type="dxa"/>
            <w:vAlign w:val="bottom"/>
          </w:tcPr>
          <w:p>
            <w:pPr>
              <w:ind w:left="120"/>
              <w:spacing w:after="0"/>
              <w:rPr>
                <w:sz w:val="20"/>
                <w:szCs w:val="20"/>
                <w:color w:val="auto"/>
              </w:rPr>
            </w:pPr>
            <w:r>
              <w:rPr>
                <w:rFonts w:ascii="Arial" w:cs="Arial" w:eastAsia="Arial" w:hAnsi="Arial"/>
                <w:sz w:val="16"/>
                <w:szCs w:val="16"/>
                <w:color w:val="auto"/>
              </w:rPr>
              <w:t>Common stock, 350.0 shares authorized; 109.4 shares issued and 102.4 outstanding at</w:t>
            </w:r>
          </w:p>
        </w:tc>
        <w:tc>
          <w:tcPr>
            <w:tcW w:w="340" w:type="dxa"/>
            <w:vAlign w:val="bottom"/>
          </w:tcPr>
          <w:p>
            <w:pPr>
              <w:spacing w:after="0"/>
              <w:rPr>
                <w:sz w:val="24"/>
                <w:szCs w:val="24"/>
                <w:color w:val="auto"/>
              </w:rPr>
            </w:pPr>
          </w:p>
        </w:tc>
        <w:tc>
          <w:tcPr>
            <w:tcW w:w="1940" w:type="dxa"/>
            <w:vAlign w:val="bottom"/>
            <w:vMerge w:val="restart"/>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20" w:type="dxa"/>
            <w:vAlign w:val="bottom"/>
            <w:vMerge w:val="restart"/>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15"/>
        </w:trPr>
        <w:tc>
          <w:tcPr>
            <w:tcW w:w="6540" w:type="dxa"/>
            <w:vAlign w:val="bottom"/>
          </w:tcPr>
          <w:p>
            <w:pPr>
              <w:ind w:left="120"/>
              <w:spacing w:after="0"/>
              <w:rPr>
                <w:sz w:val="20"/>
                <w:szCs w:val="20"/>
                <w:color w:val="auto"/>
              </w:rPr>
            </w:pPr>
            <w:r>
              <w:rPr>
                <w:rFonts w:ascii="Arial" w:cs="Arial" w:eastAsia="Arial" w:hAnsi="Arial"/>
                <w:sz w:val="16"/>
                <w:szCs w:val="16"/>
                <w:color w:val="auto"/>
              </w:rPr>
              <w:t>March 31, 2026 and 109.3 shares issued and 106.6 outstanding at December 31, 2025</w:t>
            </w:r>
          </w:p>
        </w:tc>
        <w:tc>
          <w:tcPr>
            <w:tcW w:w="340" w:type="dxa"/>
            <w:vAlign w:val="bottom"/>
          </w:tcPr>
          <w:p>
            <w:pPr>
              <w:spacing w:after="0"/>
              <w:rPr>
                <w:sz w:val="18"/>
                <w:szCs w:val="18"/>
                <w:color w:val="auto"/>
              </w:rPr>
            </w:pPr>
          </w:p>
        </w:tc>
        <w:tc>
          <w:tcPr>
            <w:tcW w:w="1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40" w:type="dxa"/>
            <w:vAlign w:val="bottom"/>
          </w:tcPr>
          <w:p>
            <w:pPr>
              <w:ind w:left="120"/>
              <w:spacing w:after="0"/>
              <w:rPr>
                <w:sz w:val="20"/>
                <w:szCs w:val="20"/>
                <w:color w:val="auto"/>
              </w:rPr>
            </w:pPr>
            <w:r>
              <w:rPr>
                <w:rFonts w:ascii="Arial" w:cs="Arial" w:eastAsia="Arial" w:hAnsi="Arial"/>
                <w:sz w:val="16"/>
                <w:szCs w:val="16"/>
                <w:color w:val="auto"/>
              </w:rPr>
              <w:t>Additional paid-in capital</w:t>
            </w:r>
          </w:p>
        </w:tc>
        <w:tc>
          <w:tcPr>
            <w:tcW w:w="3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3,334.4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3,292.2</w:t>
            </w:r>
          </w:p>
        </w:tc>
        <w:tc>
          <w:tcPr>
            <w:tcW w:w="0" w:type="dxa"/>
            <w:vAlign w:val="bottom"/>
          </w:tcPr>
          <w:p>
            <w:pPr>
              <w:spacing w:after="0"/>
              <w:rPr>
                <w:sz w:val="1"/>
                <w:szCs w:val="1"/>
                <w:color w:val="auto"/>
              </w:rPr>
            </w:pPr>
          </w:p>
        </w:tc>
      </w:tr>
      <w:tr>
        <w:trPr>
          <w:trHeight w:val="216"/>
        </w:trPr>
        <w:tc>
          <w:tcPr>
            <w:tcW w:w="6540" w:type="dxa"/>
            <w:vAlign w:val="bottom"/>
          </w:tcPr>
          <w:p>
            <w:pPr>
              <w:ind w:left="120"/>
              <w:spacing w:after="0"/>
              <w:rPr>
                <w:sz w:val="20"/>
                <w:szCs w:val="20"/>
                <w:color w:val="auto"/>
              </w:rPr>
            </w:pPr>
            <w:r>
              <w:rPr>
                <w:rFonts w:ascii="Arial" w:cs="Arial" w:eastAsia="Arial" w:hAnsi="Arial"/>
                <w:sz w:val="16"/>
                <w:szCs w:val="16"/>
                <w:color w:val="auto"/>
              </w:rPr>
              <w:t>Retained earnings</w:t>
            </w:r>
          </w:p>
        </w:tc>
        <w:tc>
          <w:tcPr>
            <w:tcW w:w="3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17,620.2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17,205.7</w:t>
            </w:r>
          </w:p>
        </w:tc>
        <w:tc>
          <w:tcPr>
            <w:tcW w:w="0" w:type="dxa"/>
            <w:vAlign w:val="bottom"/>
          </w:tcPr>
          <w:p>
            <w:pPr>
              <w:spacing w:after="0"/>
              <w:rPr>
                <w:sz w:val="1"/>
                <w:szCs w:val="1"/>
                <w:color w:val="auto"/>
              </w:rPr>
            </w:pPr>
          </w:p>
        </w:tc>
      </w:tr>
      <w:tr>
        <w:trPr>
          <w:trHeight w:val="216"/>
        </w:trPr>
        <w:tc>
          <w:tcPr>
            <w:tcW w:w="6540" w:type="dxa"/>
            <w:vAlign w:val="bottom"/>
          </w:tcPr>
          <w:p>
            <w:pPr>
              <w:ind w:left="120"/>
              <w:spacing w:after="0"/>
              <w:rPr>
                <w:sz w:val="20"/>
                <w:szCs w:val="20"/>
                <w:color w:val="auto"/>
              </w:rPr>
            </w:pPr>
            <w:r>
              <w:rPr>
                <w:rFonts w:ascii="Arial" w:cs="Arial" w:eastAsia="Arial" w:hAnsi="Arial"/>
                <w:sz w:val="16"/>
                <w:szCs w:val="16"/>
                <w:color w:val="auto"/>
              </w:rPr>
              <w:t>Accumulated other comprehensive loss</w:t>
            </w:r>
          </w:p>
        </w:tc>
        <w:tc>
          <w:tcPr>
            <w:tcW w:w="3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auto"/>
              </w:rPr>
              <w:t>(113.7)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tcPr>
          <w:p>
            <w:pPr>
              <w:jc w:val="right"/>
              <w:spacing w:after="0"/>
              <w:rPr>
                <w:sz w:val="20"/>
                <w:szCs w:val="20"/>
                <w:color w:val="auto"/>
              </w:rPr>
            </w:pPr>
            <w:r>
              <w:rPr>
                <w:rFonts w:ascii="Arial" w:cs="Arial" w:eastAsia="Arial" w:hAnsi="Arial"/>
                <w:sz w:val="16"/>
                <w:szCs w:val="16"/>
                <w:color w:val="auto"/>
              </w:rPr>
              <w:t>(101.4)</w:t>
            </w:r>
          </w:p>
        </w:tc>
        <w:tc>
          <w:tcPr>
            <w:tcW w:w="0" w:type="dxa"/>
            <w:vAlign w:val="bottom"/>
          </w:tcPr>
          <w:p>
            <w:pPr>
              <w:spacing w:after="0"/>
              <w:rPr>
                <w:sz w:val="1"/>
                <w:szCs w:val="1"/>
                <w:color w:val="auto"/>
              </w:rPr>
            </w:pPr>
          </w:p>
        </w:tc>
      </w:tr>
      <w:tr>
        <w:trPr>
          <w:trHeight w:val="216"/>
        </w:trPr>
        <w:tc>
          <w:tcPr>
            <w:tcW w:w="6540" w:type="dxa"/>
            <w:vAlign w:val="bottom"/>
          </w:tcPr>
          <w:p>
            <w:pPr>
              <w:ind w:left="120"/>
              <w:spacing w:after="0"/>
              <w:rPr>
                <w:sz w:val="20"/>
                <w:szCs w:val="20"/>
                <w:color w:val="auto"/>
              </w:rPr>
            </w:pPr>
            <w:r>
              <w:rPr>
                <w:rFonts w:ascii="Arial" w:cs="Arial" w:eastAsia="Arial" w:hAnsi="Arial"/>
                <w:sz w:val="16"/>
                <w:szCs w:val="16"/>
                <w:color w:val="auto"/>
              </w:rPr>
              <w:t>Treasury stock, 7.0 shares at March 31, 2026 and 2.7 shares at December 31, 2025</w:t>
            </w:r>
          </w:p>
        </w:tc>
        <w:tc>
          <w:tcPr>
            <w:tcW w:w="3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(2,024.0)</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(516.1)</w:t>
            </w:r>
          </w:p>
        </w:tc>
        <w:tc>
          <w:tcPr>
            <w:tcW w:w="0" w:type="dxa"/>
            <w:vAlign w:val="bottom"/>
          </w:tcPr>
          <w:p>
            <w:pPr>
              <w:spacing w:after="0"/>
              <w:rPr>
                <w:sz w:val="1"/>
                <w:szCs w:val="1"/>
                <w:color w:val="auto"/>
              </w:rPr>
            </w:pPr>
          </w:p>
        </w:tc>
      </w:tr>
      <w:tr>
        <w:trPr>
          <w:trHeight w:val="211"/>
        </w:trPr>
        <w:tc>
          <w:tcPr>
            <w:tcW w:w="6540" w:type="dxa"/>
            <w:vAlign w:val="bottom"/>
          </w:tcPr>
          <w:p>
            <w:pPr>
              <w:ind w:left="340"/>
              <w:spacing w:after="0"/>
              <w:rPr>
                <w:sz w:val="20"/>
                <w:szCs w:val="20"/>
                <w:color w:val="auto"/>
              </w:rPr>
            </w:pPr>
            <w:r>
              <w:rPr>
                <w:rFonts w:ascii="Arial" w:cs="Arial" w:eastAsia="Arial" w:hAnsi="Arial"/>
                <w:sz w:val="16"/>
                <w:szCs w:val="16"/>
                <w:color w:val="auto"/>
              </w:rPr>
              <w:t>Total stockholders’ equity</w:t>
            </w:r>
          </w:p>
        </w:tc>
        <w:tc>
          <w:tcPr>
            <w:tcW w:w="3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18,818.0</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19,881.5</w:t>
            </w:r>
          </w:p>
        </w:tc>
        <w:tc>
          <w:tcPr>
            <w:tcW w:w="0" w:type="dxa"/>
            <w:vAlign w:val="bottom"/>
          </w:tcPr>
          <w:p>
            <w:pPr>
              <w:spacing w:after="0"/>
              <w:rPr>
                <w:sz w:val="1"/>
                <w:szCs w:val="1"/>
                <w:color w:val="auto"/>
              </w:rPr>
            </w:pPr>
          </w:p>
        </w:tc>
      </w:tr>
      <w:tr>
        <w:trPr>
          <w:trHeight w:val="210"/>
        </w:trPr>
        <w:tc>
          <w:tcPr>
            <w:tcW w:w="6540" w:type="dxa"/>
            <w:vAlign w:val="bottom"/>
          </w:tcPr>
          <w:p>
            <w:pPr>
              <w:ind w:left="340"/>
              <w:spacing w:after="0"/>
              <w:rPr>
                <w:sz w:val="20"/>
                <w:szCs w:val="20"/>
                <w:color w:val="auto"/>
              </w:rPr>
            </w:pPr>
            <w:r>
              <w:rPr>
                <w:rFonts w:ascii="Arial" w:cs="Arial" w:eastAsia="Arial" w:hAnsi="Arial"/>
                <w:sz w:val="16"/>
                <w:szCs w:val="16"/>
                <w:color w:val="auto"/>
              </w:rPr>
              <w:t>Total liabilities and stockholders’ equity</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34,550.8</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2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34,577.0</w:t>
            </w: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40" w:top="1214"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Roper Technologies, Inc.</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Earnings (unaudited)</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(Amounts in millions, except per share data)</w:t>
      </w:r>
    </w:p>
    <w:p>
      <w:pPr>
        <w:spacing w:after="0" w:line="279" w:lineRule="exact"/>
        <w:rPr>
          <w:sz w:val="20"/>
          <w:szCs w:val="20"/>
          <w:color w:val="auto"/>
        </w:rPr>
      </w:pPr>
    </w:p>
    <w:p>
      <w:pPr>
        <w:jc w:val="center"/>
        <w:ind w:left="8400"/>
        <w:spacing w:after="0"/>
        <w:rPr>
          <w:sz w:val="20"/>
          <w:szCs w:val="20"/>
          <w:color w:val="auto"/>
        </w:rPr>
      </w:pPr>
      <w:r>
        <w:rPr>
          <w:rFonts w:ascii="Arial" w:cs="Arial" w:eastAsia="Arial" w:hAnsi="Arial"/>
          <w:sz w:val="16"/>
          <w:szCs w:val="16"/>
          <w:b w:val="1"/>
          <w:bCs w:val="1"/>
          <w:color w:val="auto"/>
        </w:rPr>
        <w:t>Three months ended</w:t>
      </w:r>
    </w:p>
    <w:p>
      <w:pPr>
        <w:jc w:val="center"/>
        <w:ind w:left="8400"/>
        <w:spacing w:after="0"/>
        <w:rPr>
          <w:sz w:val="20"/>
          <w:szCs w:val="20"/>
          <w:color w:val="auto"/>
        </w:rPr>
      </w:pPr>
      <w:r>
        <w:rPr>
          <w:rFonts w:ascii="Arial" w:cs="Arial" w:eastAsia="Arial" w:hAnsi="Arial"/>
          <w:sz w:val="16"/>
          <w:szCs w:val="16"/>
          <w:b w:val="1"/>
          <w:bCs w:val="1"/>
          <w:color w:val="auto"/>
        </w:rPr>
        <w:t>March 31,</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08"/>
        </w:trPr>
        <w:tc>
          <w:tcPr>
            <w:tcW w:w="8400" w:type="dxa"/>
            <w:vAlign w:val="bottom"/>
          </w:tcPr>
          <w:p>
            <w:pPr>
              <w:spacing w:after="0"/>
              <w:rPr>
                <w:sz w:val="20"/>
                <w:szCs w:val="20"/>
                <w:color w:val="auto"/>
              </w:rPr>
            </w:pPr>
            <w:r>
              <w:rPr>
                <w:rFonts w:ascii="Arial" w:cs="Arial" w:eastAsia="Arial" w:hAnsi="Arial"/>
                <w:sz w:val="16"/>
                <w:szCs w:val="16"/>
                <w:color w:val="auto"/>
              </w:rPr>
              <w:t>Net revenues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2,095.3</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1,882.8</w:t>
            </w:r>
          </w:p>
        </w:tc>
        <w:tc>
          <w:tcPr>
            <w:tcW w:w="0" w:type="dxa"/>
            <w:vAlign w:val="bottom"/>
          </w:tcPr>
          <w:p>
            <w:pPr>
              <w:spacing w:after="0"/>
              <w:rPr>
                <w:sz w:val="1"/>
                <w:szCs w:val="1"/>
                <w:color w:val="auto"/>
              </w:rPr>
            </w:pPr>
          </w:p>
        </w:tc>
      </w:tr>
      <w:tr>
        <w:trPr>
          <w:trHeight w:val="215"/>
        </w:trPr>
        <w:tc>
          <w:tcPr>
            <w:tcW w:w="8400" w:type="dxa"/>
            <w:vAlign w:val="bottom"/>
          </w:tcPr>
          <w:p>
            <w:pPr>
              <w:spacing w:after="0"/>
              <w:rPr>
                <w:sz w:val="20"/>
                <w:szCs w:val="20"/>
                <w:color w:val="auto"/>
              </w:rPr>
            </w:pPr>
            <w:r>
              <w:rPr>
                <w:rFonts w:ascii="Arial" w:cs="Arial" w:eastAsia="Arial" w:hAnsi="Arial"/>
                <w:sz w:val="16"/>
                <w:szCs w:val="16"/>
                <w:color w:val="auto"/>
              </w:rPr>
              <w:t>Cost of sales</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641.5</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589.1</w:t>
            </w:r>
          </w:p>
        </w:tc>
        <w:tc>
          <w:tcPr>
            <w:tcW w:w="0" w:type="dxa"/>
            <w:vAlign w:val="bottom"/>
          </w:tcPr>
          <w:p>
            <w:pPr>
              <w:spacing w:after="0"/>
              <w:rPr>
                <w:sz w:val="1"/>
                <w:szCs w:val="1"/>
                <w:color w:val="auto"/>
              </w:rPr>
            </w:pPr>
          </w:p>
        </w:tc>
      </w:tr>
      <w:tr>
        <w:trPr>
          <w:trHeight w:val="210"/>
        </w:trPr>
        <w:tc>
          <w:tcPr>
            <w:tcW w:w="8400" w:type="dxa"/>
            <w:vAlign w:val="bottom"/>
          </w:tcPr>
          <w:p>
            <w:pPr>
              <w:spacing w:after="0"/>
              <w:rPr>
                <w:sz w:val="20"/>
                <w:szCs w:val="20"/>
                <w:color w:val="auto"/>
              </w:rPr>
            </w:pPr>
            <w:r>
              <w:rPr>
                <w:rFonts w:ascii="Arial" w:cs="Arial" w:eastAsia="Arial" w:hAnsi="Arial"/>
                <w:sz w:val="16"/>
                <w:szCs w:val="16"/>
                <w:color w:val="auto"/>
              </w:rPr>
              <w:t>Gross profit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1,453.8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1,293.7</w:t>
            </w:r>
          </w:p>
        </w:tc>
        <w:tc>
          <w:tcPr>
            <w:tcW w:w="0" w:type="dxa"/>
            <w:vAlign w:val="bottom"/>
          </w:tcPr>
          <w:p>
            <w:pPr>
              <w:spacing w:after="0"/>
              <w:rPr>
                <w:sz w:val="1"/>
                <w:szCs w:val="1"/>
                <w:color w:val="auto"/>
              </w:rPr>
            </w:pPr>
          </w:p>
        </w:tc>
      </w:tr>
      <w:tr>
        <w:trPr>
          <w:trHeight w:val="485"/>
        </w:trPr>
        <w:tc>
          <w:tcPr>
            <w:tcW w:w="8400" w:type="dxa"/>
            <w:vAlign w:val="bottom"/>
          </w:tcPr>
          <w:p>
            <w:pPr>
              <w:spacing w:after="0"/>
              <w:rPr>
                <w:sz w:val="20"/>
                <w:szCs w:val="20"/>
                <w:color w:val="auto"/>
              </w:rPr>
            </w:pPr>
            <w:r>
              <w:rPr>
                <w:rFonts w:ascii="Arial" w:cs="Arial" w:eastAsia="Arial" w:hAnsi="Arial"/>
                <w:sz w:val="16"/>
                <w:szCs w:val="16"/>
                <w:color w:val="auto"/>
              </w:rPr>
              <w:t>Selling, general and administrative expenses</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884.2</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767.9</w:t>
            </w:r>
          </w:p>
        </w:tc>
        <w:tc>
          <w:tcPr>
            <w:tcW w:w="0" w:type="dxa"/>
            <w:vAlign w:val="bottom"/>
          </w:tcPr>
          <w:p>
            <w:pPr>
              <w:spacing w:after="0"/>
              <w:rPr>
                <w:sz w:val="1"/>
                <w:szCs w:val="1"/>
                <w:color w:val="auto"/>
              </w:rPr>
            </w:pPr>
          </w:p>
        </w:tc>
      </w:tr>
      <w:tr>
        <w:trPr>
          <w:trHeight w:val="210"/>
        </w:trPr>
        <w:tc>
          <w:tcPr>
            <w:tcW w:w="8400" w:type="dxa"/>
            <w:vAlign w:val="bottom"/>
          </w:tcPr>
          <w:p>
            <w:pPr>
              <w:spacing w:after="0"/>
              <w:rPr>
                <w:sz w:val="20"/>
                <w:szCs w:val="20"/>
                <w:color w:val="auto"/>
              </w:rPr>
            </w:pPr>
            <w:r>
              <w:rPr>
                <w:rFonts w:ascii="Arial" w:cs="Arial" w:eastAsia="Arial" w:hAnsi="Arial"/>
                <w:sz w:val="16"/>
                <w:szCs w:val="16"/>
                <w:color w:val="auto"/>
              </w:rPr>
              <w:t>Income from operations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569.6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525.8</w:t>
            </w:r>
          </w:p>
        </w:tc>
        <w:tc>
          <w:tcPr>
            <w:tcW w:w="0" w:type="dxa"/>
            <w:vAlign w:val="bottom"/>
          </w:tcPr>
          <w:p>
            <w:pPr>
              <w:spacing w:after="0"/>
              <w:rPr>
                <w:sz w:val="1"/>
                <w:szCs w:val="1"/>
                <w:color w:val="auto"/>
              </w:rPr>
            </w:pPr>
          </w:p>
        </w:tc>
      </w:tr>
      <w:tr>
        <w:trPr>
          <w:trHeight w:val="485"/>
        </w:trPr>
        <w:tc>
          <w:tcPr>
            <w:tcW w:w="8400" w:type="dxa"/>
            <w:vAlign w:val="bottom"/>
          </w:tcPr>
          <w:p>
            <w:pPr>
              <w:spacing w:after="0"/>
              <w:rPr>
                <w:sz w:val="20"/>
                <w:szCs w:val="20"/>
                <w:color w:val="auto"/>
              </w:rPr>
            </w:pPr>
            <w:r>
              <w:rPr>
                <w:rFonts w:ascii="Arial" w:cs="Arial" w:eastAsia="Arial" w:hAnsi="Arial"/>
                <w:sz w:val="16"/>
                <w:szCs w:val="16"/>
                <w:color w:val="auto"/>
              </w:rPr>
              <w:t>Interest expense, net</w:t>
            </w: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99.3</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62.9</w:t>
            </w:r>
          </w:p>
        </w:tc>
        <w:tc>
          <w:tcPr>
            <w:tcW w:w="0" w:type="dxa"/>
            <w:vAlign w:val="bottom"/>
          </w:tcPr>
          <w:p>
            <w:pPr>
              <w:spacing w:after="0"/>
              <w:rPr>
                <w:sz w:val="1"/>
                <w:szCs w:val="1"/>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6"/>
                <w:szCs w:val="16"/>
                <w:color w:val="auto"/>
              </w:rPr>
              <w:t>Equity investment (gain) loss, net</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(167.3)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44.4</w:t>
            </w:r>
          </w:p>
        </w:tc>
        <w:tc>
          <w:tcPr>
            <w:tcW w:w="0" w:type="dxa"/>
            <w:vAlign w:val="bottom"/>
          </w:tcPr>
          <w:p>
            <w:pPr>
              <w:spacing w:after="0"/>
              <w:rPr>
                <w:sz w:val="1"/>
                <w:szCs w:val="1"/>
                <w:color w:val="auto"/>
              </w:rPr>
            </w:pPr>
          </w:p>
        </w:tc>
      </w:tr>
      <w:tr>
        <w:trPr>
          <w:trHeight w:val="216"/>
        </w:trPr>
        <w:tc>
          <w:tcPr>
            <w:tcW w:w="8400" w:type="dxa"/>
            <w:vAlign w:val="bottom"/>
          </w:tcPr>
          <w:p>
            <w:pPr>
              <w:spacing w:after="0"/>
              <w:rPr>
                <w:sz w:val="20"/>
                <w:szCs w:val="20"/>
                <w:color w:val="auto"/>
              </w:rPr>
            </w:pPr>
            <w:r>
              <w:rPr>
                <w:rFonts w:ascii="Arial" w:cs="Arial" w:eastAsia="Arial" w:hAnsi="Arial"/>
                <w:sz w:val="16"/>
                <w:szCs w:val="16"/>
                <w:color w:val="auto"/>
              </w:rPr>
              <w:t>Other expense, net</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10"/>
        </w:trPr>
        <w:tc>
          <w:tcPr>
            <w:tcW w:w="8400" w:type="dxa"/>
            <w:vAlign w:val="bottom"/>
          </w:tcPr>
          <w:p>
            <w:pPr>
              <w:spacing w:after="0"/>
              <w:rPr>
                <w:sz w:val="20"/>
                <w:szCs w:val="20"/>
                <w:color w:val="auto"/>
              </w:rPr>
            </w:pPr>
            <w:r>
              <w:rPr>
                <w:rFonts w:ascii="Arial" w:cs="Arial" w:eastAsia="Arial" w:hAnsi="Arial"/>
                <w:sz w:val="16"/>
                <w:szCs w:val="16"/>
                <w:color w:val="auto"/>
              </w:rPr>
              <w:t>Earnings before income taxes</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635.0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418.0</w:t>
            </w:r>
          </w:p>
        </w:tc>
        <w:tc>
          <w:tcPr>
            <w:tcW w:w="0" w:type="dxa"/>
            <w:vAlign w:val="bottom"/>
          </w:tcPr>
          <w:p>
            <w:pPr>
              <w:spacing w:after="0"/>
              <w:rPr>
                <w:sz w:val="1"/>
                <w:szCs w:val="1"/>
                <w:color w:val="auto"/>
              </w:rPr>
            </w:pPr>
          </w:p>
        </w:tc>
      </w:tr>
      <w:tr>
        <w:trPr>
          <w:trHeight w:val="486"/>
        </w:trPr>
        <w:tc>
          <w:tcPr>
            <w:tcW w:w="8400" w:type="dxa"/>
            <w:vAlign w:val="bottom"/>
          </w:tcPr>
          <w:p>
            <w:pPr>
              <w:spacing w:after="0"/>
              <w:rPr>
                <w:sz w:val="20"/>
                <w:szCs w:val="20"/>
                <w:color w:val="auto"/>
              </w:rPr>
            </w:pPr>
            <w:r>
              <w:rPr>
                <w:rFonts w:ascii="Arial" w:cs="Arial" w:eastAsia="Arial" w:hAnsi="Arial"/>
                <w:sz w:val="16"/>
                <w:szCs w:val="16"/>
                <w:color w:val="auto"/>
              </w:rPr>
              <w:t>Income taxes</w:t>
            </w: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126.1</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86.9</w:t>
            </w:r>
          </w:p>
        </w:tc>
        <w:tc>
          <w:tcPr>
            <w:tcW w:w="0" w:type="dxa"/>
            <w:vAlign w:val="bottom"/>
          </w:tcPr>
          <w:p>
            <w:pPr>
              <w:spacing w:after="0"/>
              <w:rPr>
                <w:sz w:val="1"/>
                <w:szCs w:val="1"/>
                <w:color w:val="auto"/>
              </w:rPr>
            </w:pPr>
          </w:p>
        </w:tc>
      </w:tr>
      <w:tr>
        <w:trPr>
          <w:trHeight w:val="211"/>
        </w:trPr>
        <w:tc>
          <w:tcPr>
            <w:tcW w:w="8400" w:type="dxa"/>
            <w:vAlign w:val="bottom"/>
          </w:tcPr>
          <w:p>
            <w:pPr>
              <w:spacing w:after="0"/>
              <w:rPr>
                <w:sz w:val="20"/>
                <w:szCs w:val="20"/>
                <w:color w:val="auto"/>
              </w:rPr>
            </w:pPr>
            <w:r>
              <w:rPr>
                <w:rFonts w:ascii="Arial" w:cs="Arial" w:eastAsia="Arial" w:hAnsi="Arial"/>
                <w:sz w:val="16"/>
                <w:szCs w:val="16"/>
                <w:color w:val="auto"/>
              </w:rPr>
              <w:t>Net earnings</w:t>
            </w: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508.9</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331.1</w:t>
            </w:r>
          </w:p>
        </w:tc>
        <w:tc>
          <w:tcPr>
            <w:tcW w:w="0" w:type="dxa"/>
            <w:vAlign w:val="bottom"/>
          </w:tcPr>
          <w:p>
            <w:pPr>
              <w:spacing w:after="0"/>
              <w:rPr>
                <w:sz w:val="1"/>
                <w:szCs w:val="1"/>
                <w:color w:val="auto"/>
              </w:rPr>
            </w:pPr>
          </w:p>
        </w:tc>
      </w:tr>
      <w:tr>
        <w:trPr>
          <w:trHeight w:val="20"/>
        </w:trPr>
        <w:tc>
          <w:tcPr>
            <w:tcW w:w="8400" w:type="dxa"/>
            <w:vAlign w:val="bottom"/>
            <w:vMerge w:val="restart"/>
          </w:tcPr>
          <w:p>
            <w:pPr>
              <w:spacing w:after="0"/>
              <w:rPr>
                <w:sz w:val="20"/>
                <w:szCs w:val="20"/>
                <w:color w:val="auto"/>
              </w:rPr>
            </w:pPr>
            <w:r>
              <w:rPr>
                <w:rFonts w:ascii="Arial" w:cs="Arial" w:eastAsia="Arial" w:hAnsi="Arial"/>
                <w:sz w:val="16"/>
                <w:szCs w:val="16"/>
                <w:color w:val="auto"/>
              </w:rPr>
              <w:t>Net earnings per share:</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0"/>
        </w:trPr>
        <w:tc>
          <w:tcPr>
            <w:tcW w:w="840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00" w:type="dxa"/>
            <w:vAlign w:val="bottom"/>
          </w:tcPr>
          <w:p>
            <w:pPr>
              <w:ind w:left="120"/>
              <w:spacing w:after="0"/>
              <w:rPr>
                <w:sz w:val="20"/>
                <w:szCs w:val="20"/>
                <w:color w:val="auto"/>
              </w:rPr>
            </w:pPr>
            <w:r>
              <w:rPr>
                <w:rFonts w:ascii="Arial" w:cs="Arial" w:eastAsia="Arial" w:hAnsi="Arial"/>
                <w:sz w:val="16"/>
                <w:szCs w:val="16"/>
                <w:color w:val="auto"/>
              </w:rPr>
              <w:t>Basic</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4.88</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3.08</w:t>
            </w:r>
          </w:p>
        </w:tc>
        <w:tc>
          <w:tcPr>
            <w:tcW w:w="0" w:type="dxa"/>
            <w:vAlign w:val="bottom"/>
          </w:tcPr>
          <w:p>
            <w:pPr>
              <w:spacing w:after="0"/>
              <w:rPr>
                <w:sz w:val="1"/>
                <w:szCs w:val="1"/>
                <w:color w:val="auto"/>
              </w:rPr>
            </w:pPr>
          </w:p>
        </w:tc>
      </w:tr>
      <w:tr>
        <w:trPr>
          <w:trHeight w:val="216"/>
        </w:trPr>
        <w:tc>
          <w:tcPr>
            <w:tcW w:w="8400" w:type="dxa"/>
            <w:vAlign w:val="bottom"/>
          </w:tcPr>
          <w:p>
            <w:pPr>
              <w:ind w:left="120"/>
              <w:spacing w:after="0"/>
              <w:rPr>
                <w:sz w:val="20"/>
                <w:szCs w:val="20"/>
                <w:color w:val="auto"/>
              </w:rPr>
            </w:pPr>
            <w:r>
              <w:rPr>
                <w:rFonts w:ascii="Arial" w:cs="Arial" w:eastAsia="Arial" w:hAnsi="Arial"/>
                <w:sz w:val="16"/>
                <w:szCs w:val="16"/>
                <w:color w:val="auto"/>
              </w:rPr>
              <w:t>Diluted</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4.87</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3.06</w:t>
            </w:r>
          </w:p>
        </w:tc>
        <w:tc>
          <w:tcPr>
            <w:tcW w:w="0" w:type="dxa"/>
            <w:vAlign w:val="bottom"/>
          </w:tcPr>
          <w:p>
            <w:pPr>
              <w:spacing w:after="0"/>
              <w:rPr>
                <w:sz w:val="1"/>
                <w:szCs w:val="1"/>
                <w:color w:val="auto"/>
              </w:rPr>
            </w:pPr>
          </w:p>
        </w:tc>
      </w:tr>
      <w:tr>
        <w:trPr>
          <w:trHeight w:val="486"/>
        </w:trPr>
        <w:tc>
          <w:tcPr>
            <w:tcW w:w="8400" w:type="dxa"/>
            <w:vAlign w:val="bottom"/>
          </w:tcPr>
          <w:p>
            <w:pPr>
              <w:spacing w:after="0"/>
              <w:rPr>
                <w:sz w:val="20"/>
                <w:szCs w:val="20"/>
                <w:color w:val="auto"/>
              </w:rPr>
            </w:pPr>
            <w:r>
              <w:rPr>
                <w:rFonts w:ascii="Arial" w:cs="Arial" w:eastAsia="Arial" w:hAnsi="Arial"/>
                <w:sz w:val="16"/>
                <w:szCs w:val="16"/>
                <w:color w:val="auto"/>
              </w:rPr>
              <w:t>Weighted average common shares outstanding:</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400" w:type="dxa"/>
            <w:vAlign w:val="bottom"/>
          </w:tcPr>
          <w:p>
            <w:pPr>
              <w:ind w:left="120"/>
              <w:spacing w:after="0"/>
              <w:rPr>
                <w:sz w:val="20"/>
                <w:szCs w:val="20"/>
                <w:color w:val="auto"/>
              </w:rPr>
            </w:pPr>
            <w:r>
              <w:rPr>
                <w:rFonts w:ascii="Arial" w:cs="Arial" w:eastAsia="Arial" w:hAnsi="Arial"/>
                <w:sz w:val="16"/>
                <w:szCs w:val="16"/>
                <w:color w:val="auto"/>
              </w:rPr>
              <w:t>Basic</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104.3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107.4</w:t>
            </w:r>
          </w:p>
        </w:tc>
        <w:tc>
          <w:tcPr>
            <w:tcW w:w="0" w:type="dxa"/>
            <w:vAlign w:val="bottom"/>
          </w:tcPr>
          <w:p>
            <w:pPr>
              <w:spacing w:after="0"/>
              <w:rPr>
                <w:sz w:val="1"/>
                <w:szCs w:val="1"/>
                <w:color w:val="auto"/>
              </w:rPr>
            </w:pPr>
          </w:p>
        </w:tc>
      </w:tr>
      <w:tr>
        <w:trPr>
          <w:trHeight w:val="216"/>
        </w:trPr>
        <w:tc>
          <w:tcPr>
            <w:tcW w:w="8400" w:type="dxa"/>
            <w:vAlign w:val="bottom"/>
          </w:tcPr>
          <w:p>
            <w:pPr>
              <w:ind w:left="120"/>
              <w:spacing w:after="0"/>
              <w:rPr>
                <w:sz w:val="20"/>
                <w:szCs w:val="20"/>
                <w:color w:val="auto"/>
              </w:rPr>
            </w:pPr>
            <w:r>
              <w:rPr>
                <w:rFonts w:ascii="Arial" w:cs="Arial" w:eastAsia="Arial" w:hAnsi="Arial"/>
                <w:sz w:val="16"/>
                <w:szCs w:val="16"/>
                <w:color w:val="auto"/>
              </w:rPr>
              <w:t>Diluted</w:t>
            </w: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104.6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108.2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340" w:top="1214"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Roper Technologies, Inc.</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Segment Financial Data (unaudited)</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(Amounts in millions; percentages of net revenues)</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8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gridSpan w:val="7"/>
          </w:tcPr>
          <w:p>
            <w:pPr>
              <w:jc w:val="right"/>
              <w:ind w:right="120"/>
              <w:spacing w:after="0"/>
              <w:rPr>
                <w:sz w:val="20"/>
                <w:szCs w:val="20"/>
                <w:color w:val="auto"/>
              </w:rPr>
            </w:pPr>
            <w:r>
              <w:rPr>
                <w:rFonts w:ascii="Arial" w:cs="Arial" w:eastAsia="Arial" w:hAnsi="Arial"/>
                <w:sz w:val="16"/>
                <w:szCs w:val="16"/>
                <w:b w:val="1"/>
                <w:bCs w:val="1"/>
                <w:color w:val="auto"/>
              </w:rPr>
              <w:t>Three months ended March 31,</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2026</w:t>
            </w:r>
          </w:p>
        </w:tc>
        <w:tc>
          <w:tcPr>
            <w:tcW w:w="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2025</w:t>
            </w: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60" w:type="dxa"/>
            <w:vAlign w:val="bottom"/>
            <w:vMerge w:val="restart"/>
          </w:tcPr>
          <w:p>
            <w:pPr>
              <w:spacing w:after="0"/>
              <w:rPr>
                <w:sz w:val="20"/>
                <w:szCs w:val="20"/>
                <w:color w:val="auto"/>
              </w:rPr>
            </w:pPr>
            <w:r>
              <w:rPr>
                <w:rFonts w:ascii="Arial" w:cs="Arial" w:eastAsia="Arial" w:hAnsi="Arial"/>
                <w:sz w:val="16"/>
                <w:szCs w:val="16"/>
                <w:b w:val="1"/>
                <w:bCs w:val="1"/>
                <w:color w:val="auto"/>
              </w:rPr>
              <w:t>Net revenues:</w:t>
            </w:r>
          </w:p>
        </w:tc>
        <w:tc>
          <w:tcPr>
            <w:tcW w:w="1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Amount</w:t>
            </w: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w w:val="98"/>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6"/>
                <w:szCs w:val="16"/>
                <w:b w:val="1"/>
                <w:bCs w:val="1"/>
                <w:color w:val="auto"/>
              </w:rPr>
              <w:t>Amount</w:t>
            </w: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w w:val="98"/>
              </w:rPr>
              <w:t>%</w:t>
            </w:r>
          </w:p>
        </w:tc>
        <w:tc>
          <w:tcPr>
            <w:tcW w:w="0" w:type="dxa"/>
            <w:vAlign w:val="bottom"/>
          </w:tcPr>
          <w:p>
            <w:pPr>
              <w:spacing w:after="0"/>
              <w:rPr>
                <w:sz w:val="1"/>
                <w:szCs w:val="1"/>
                <w:color w:val="auto"/>
              </w:rPr>
            </w:pPr>
          </w:p>
        </w:tc>
      </w:tr>
      <w:tr>
        <w:trPr>
          <w:trHeight w:val="195"/>
        </w:trPr>
        <w:tc>
          <w:tcPr>
            <w:tcW w:w="6860" w:type="dxa"/>
            <w:vAlign w:val="bottom"/>
            <w:vMerge w:val="continue"/>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860" w:type="dxa"/>
            <w:vAlign w:val="bottom"/>
          </w:tcPr>
          <w:p>
            <w:pPr>
              <w:ind w:left="120"/>
              <w:spacing w:after="0"/>
              <w:rPr>
                <w:sz w:val="20"/>
                <w:szCs w:val="20"/>
                <w:color w:val="auto"/>
              </w:rPr>
            </w:pPr>
            <w:r>
              <w:rPr>
                <w:rFonts w:ascii="Arial" w:cs="Arial" w:eastAsia="Arial" w:hAnsi="Arial"/>
                <w:sz w:val="16"/>
                <w:szCs w:val="16"/>
                <w:color w:val="auto"/>
              </w:rPr>
              <w:t>Application Software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1,191.5</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1,068.2</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tcPr>
          <w:p>
            <w:pPr>
              <w:ind w:left="120"/>
              <w:spacing w:after="0"/>
              <w:rPr>
                <w:sz w:val="20"/>
                <w:szCs w:val="20"/>
                <w:color w:val="auto"/>
              </w:rPr>
            </w:pPr>
            <w:r>
              <w:rPr>
                <w:rFonts w:ascii="Arial" w:cs="Arial" w:eastAsia="Arial" w:hAnsi="Arial"/>
                <w:sz w:val="16"/>
                <w:szCs w:val="16"/>
                <w:color w:val="auto"/>
              </w:rPr>
              <w:t>Network Software</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427.6</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375.9</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860" w:type="dxa"/>
            <w:vAlign w:val="bottom"/>
          </w:tcPr>
          <w:p>
            <w:pPr>
              <w:ind w:left="120"/>
              <w:spacing w:after="0"/>
              <w:rPr>
                <w:sz w:val="20"/>
                <w:szCs w:val="20"/>
                <w:color w:val="auto"/>
              </w:rPr>
            </w:pPr>
            <w:r>
              <w:rPr>
                <w:rFonts w:ascii="Arial" w:cs="Arial" w:eastAsia="Arial" w:hAnsi="Arial"/>
                <w:sz w:val="16"/>
                <w:szCs w:val="16"/>
                <w:color w:val="auto"/>
              </w:rPr>
              <w:t>Technology Enabled Products</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476.2</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438.7</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6860" w:type="dxa"/>
            <w:vAlign w:val="bottom"/>
          </w:tcPr>
          <w:p>
            <w:pPr>
              <w:ind w:left="30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2,095.3</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1,882.8</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860" w:type="dxa"/>
            <w:vAlign w:val="bottom"/>
            <w:vMerge w:val="restart"/>
          </w:tcPr>
          <w:p>
            <w:pPr>
              <w:spacing w:after="0"/>
              <w:rPr>
                <w:sz w:val="20"/>
                <w:szCs w:val="20"/>
                <w:color w:val="auto"/>
              </w:rPr>
            </w:pPr>
            <w:r>
              <w:rPr>
                <w:rFonts w:ascii="Arial" w:cs="Arial" w:eastAsia="Arial" w:hAnsi="Arial"/>
                <w:sz w:val="16"/>
                <w:szCs w:val="16"/>
                <w:b w:val="1"/>
                <w:bCs w:val="1"/>
                <w:color w:val="auto"/>
              </w:rPr>
              <w:t>Gross profit:</w:t>
            </w: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2"/>
        </w:trPr>
        <w:tc>
          <w:tcPr>
            <w:tcW w:w="68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6860" w:type="dxa"/>
            <w:vAlign w:val="bottom"/>
          </w:tcPr>
          <w:p>
            <w:pPr>
              <w:ind w:left="120"/>
              <w:spacing w:after="0"/>
              <w:rPr>
                <w:sz w:val="20"/>
                <w:szCs w:val="20"/>
                <w:color w:val="auto"/>
              </w:rPr>
            </w:pPr>
            <w:r>
              <w:rPr>
                <w:rFonts w:ascii="Arial" w:cs="Arial" w:eastAsia="Arial" w:hAnsi="Arial"/>
                <w:sz w:val="16"/>
                <w:szCs w:val="16"/>
                <w:color w:val="auto"/>
              </w:rPr>
              <w:t>Application Software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822.6</w:t>
            </w:r>
          </w:p>
        </w:tc>
        <w:tc>
          <w:tcPr>
            <w:tcW w:w="1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rPr>
              <w:t>69.0%</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720.8</w:t>
            </w:r>
          </w:p>
        </w:tc>
        <w:tc>
          <w:tcPr>
            <w:tcW w:w="1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rPr>
              <w:t>67.5%</w:t>
            </w:r>
          </w:p>
        </w:tc>
        <w:tc>
          <w:tcPr>
            <w:tcW w:w="0" w:type="dxa"/>
            <w:vAlign w:val="bottom"/>
          </w:tcPr>
          <w:p>
            <w:pPr>
              <w:spacing w:after="0"/>
              <w:rPr>
                <w:sz w:val="1"/>
                <w:szCs w:val="1"/>
                <w:color w:val="auto"/>
              </w:rPr>
            </w:pPr>
          </w:p>
        </w:tc>
      </w:tr>
      <w:tr>
        <w:trPr>
          <w:trHeight w:val="216"/>
        </w:trPr>
        <w:tc>
          <w:tcPr>
            <w:tcW w:w="6860" w:type="dxa"/>
            <w:vAlign w:val="bottom"/>
          </w:tcPr>
          <w:p>
            <w:pPr>
              <w:ind w:left="120"/>
              <w:spacing w:after="0"/>
              <w:rPr>
                <w:sz w:val="20"/>
                <w:szCs w:val="20"/>
                <w:color w:val="auto"/>
              </w:rPr>
            </w:pPr>
            <w:r>
              <w:rPr>
                <w:rFonts w:ascii="Arial" w:cs="Arial" w:eastAsia="Arial" w:hAnsi="Arial"/>
                <w:sz w:val="16"/>
                <w:szCs w:val="16"/>
                <w:color w:val="auto"/>
              </w:rPr>
              <w:t>Network Software</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360.4</w:t>
            </w:r>
          </w:p>
        </w:tc>
        <w:tc>
          <w:tcPr>
            <w:tcW w:w="1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rPr>
              <w:t>84.3%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315.6</w:t>
            </w:r>
          </w:p>
        </w:tc>
        <w:tc>
          <w:tcPr>
            <w:tcW w:w="1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rPr>
              <w:t>84.0%</w:t>
            </w:r>
          </w:p>
        </w:tc>
        <w:tc>
          <w:tcPr>
            <w:tcW w:w="0" w:type="dxa"/>
            <w:vAlign w:val="bottom"/>
          </w:tcPr>
          <w:p>
            <w:pPr>
              <w:spacing w:after="0"/>
              <w:rPr>
                <w:sz w:val="1"/>
                <w:szCs w:val="1"/>
                <w:color w:val="auto"/>
              </w:rPr>
            </w:pPr>
          </w:p>
        </w:tc>
      </w:tr>
      <w:tr>
        <w:trPr>
          <w:trHeight w:val="216"/>
        </w:trPr>
        <w:tc>
          <w:tcPr>
            <w:tcW w:w="6860" w:type="dxa"/>
            <w:vAlign w:val="bottom"/>
          </w:tcPr>
          <w:p>
            <w:pPr>
              <w:ind w:left="120"/>
              <w:spacing w:after="0"/>
              <w:rPr>
                <w:sz w:val="20"/>
                <w:szCs w:val="20"/>
                <w:color w:val="auto"/>
              </w:rPr>
            </w:pPr>
            <w:r>
              <w:rPr>
                <w:rFonts w:ascii="Arial" w:cs="Arial" w:eastAsia="Arial" w:hAnsi="Arial"/>
                <w:sz w:val="16"/>
                <w:szCs w:val="16"/>
                <w:color w:val="auto"/>
              </w:rPr>
              <w:t>Technology Enabled Products</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270.8</w:t>
            </w:r>
          </w:p>
        </w:tc>
        <w:tc>
          <w:tcPr>
            <w:tcW w:w="1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rPr>
              <w:t>56.9%</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257.3</w:t>
            </w:r>
          </w:p>
        </w:tc>
        <w:tc>
          <w:tcPr>
            <w:tcW w:w="1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rPr>
              <w:t>58.7%</w:t>
            </w:r>
          </w:p>
        </w:tc>
        <w:tc>
          <w:tcPr>
            <w:tcW w:w="0" w:type="dxa"/>
            <w:vAlign w:val="bottom"/>
          </w:tcPr>
          <w:p>
            <w:pPr>
              <w:spacing w:after="0"/>
              <w:rPr>
                <w:sz w:val="1"/>
                <w:szCs w:val="1"/>
                <w:color w:val="auto"/>
              </w:rPr>
            </w:pPr>
          </w:p>
        </w:tc>
      </w:tr>
      <w:tr>
        <w:trPr>
          <w:trHeight w:val="212"/>
        </w:trPr>
        <w:tc>
          <w:tcPr>
            <w:tcW w:w="6860" w:type="dxa"/>
            <w:vAlign w:val="bottom"/>
          </w:tcPr>
          <w:p>
            <w:pPr>
              <w:ind w:left="30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1,453.8</w:t>
            </w:r>
          </w:p>
        </w:tc>
        <w:tc>
          <w:tcPr>
            <w:tcW w:w="1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rPr>
              <w:t>69.4%</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1,293.7</w:t>
            </w:r>
          </w:p>
        </w:tc>
        <w:tc>
          <w:tcPr>
            <w:tcW w:w="1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rPr>
              <w:t>68.7%</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6"/>
                <w:szCs w:val="16"/>
                <w:b w:val="1"/>
                <w:bCs w:val="1"/>
                <w:color w:val="auto"/>
              </w:rPr>
              <w:t>Operating profit*:</w:t>
            </w: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2"/>
        </w:trPr>
        <w:tc>
          <w:tcPr>
            <w:tcW w:w="68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6860" w:type="dxa"/>
            <w:vAlign w:val="bottom"/>
          </w:tcPr>
          <w:p>
            <w:pPr>
              <w:ind w:left="120"/>
              <w:spacing w:after="0"/>
              <w:rPr>
                <w:sz w:val="20"/>
                <w:szCs w:val="20"/>
                <w:color w:val="auto"/>
              </w:rPr>
            </w:pPr>
            <w:r>
              <w:rPr>
                <w:rFonts w:ascii="Arial" w:cs="Arial" w:eastAsia="Arial" w:hAnsi="Arial"/>
                <w:sz w:val="16"/>
                <w:szCs w:val="16"/>
                <w:color w:val="auto"/>
              </w:rPr>
              <w:t>Application Software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319.2</w:t>
            </w:r>
          </w:p>
        </w:tc>
        <w:tc>
          <w:tcPr>
            <w:tcW w:w="1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rPr>
              <w:t>26.8%</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276.8</w:t>
            </w:r>
          </w:p>
        </w:tc>
        <w:tc>
          <w:tcPr>
            <w:tcW w:w="1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rPr>
              <w:t>25.9%</w:t>
            </w:r>
          </w:p>
        </w:tc>
        <w:tc>
          <w:tcPr>
            <w:tcW w:w="0" w:type="dxa"/>
            <w:vAlign w:val="bottom"/>
          </w:tcPr>
          <w:p>
            <w:pPr>
              <w:spacing w:after="0"/>
              <w:rPr>
                <w:sz w:val="1"/>
                <w:szCs w:val="1"/>
                <w:color w:val="auto"/>
              </w:rPr>
            </w:pPr>
          </w:p>
        </w:tc>
      </w:tr>
      <w:tr>
        <w:trPr>
          <w:trHeight w:val="216"/>
        </w:trPr>
        <w:tc>
          <w:tcPr>
            <w:tcW w:w="6860" w:type="dxa"/>
            <w:vAlign w:val="bottom"/>
          </w:tcPr>
          <w:p>
            <w:pPr>
              <w:ind w:left="120"/>
              <w:spacing w:after="0"/>
              <w:rPr>
                <w:sz w:val="20"/>
                <w:szCs w:val="20"/>
                <w:color w:val="auto"/>
              </w:rPr>
            </w:pPr>
            <w:r>
              <w:rPr>
                <w:rFonts w:ascii="Arial" w:cs="Arial" w:eastAsia="Arial" w:hAnsi="Arial"/>
                <w:sz w:val="16"/>
                <w:szCs w:val="16"/>
                <w:color w:val="auto"/>
              </w:rPr>
              <w:t>Network Software</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173.8</w:t>
            </w:r>
          </w:p>
        </w:tc>
        <w:tc>
          <w:tcPr>
            <w:tcW w:w="1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rPr>
              <w:t>40.6%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166.7</w:t>
            </w:r>
          </w:p>
        </w:tc>
        <w:tc>
          <w:tcPr>
            <w:tcW w:w="1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rPr>
              <w:t>44.3%</w:t>
            </w:r>
          </w:p>
        </w:tc>
        <w:tc>
          <w:tcPr>
            <w:tcW w:w="0" w:type="dxa"/>
            <w:vAlign w:val="bottom"/>
          </w:tcPr>
          <w:p>
            <w:pPr>
              <w:spacing w:after="0"/>
              <w:rPr>
                <w:sz w:val="1"/>
                <w:szCs w:val="1"/>
                <w:color w:val="auto"/>
              </w:rPr>
            </w:pPr>
          </w:p>
        </w:tc>
      </w:tr>
      <w:tr>
        <w:trPr>
          <w:trHeight w:val="216"/>
        </w:trPr>
        <w:tc>
          <w:tcPr>
            <w:tcW w:w="6860" w:type="dxa"/>
            <w:vAlign w:val="bottom"/>
          </w:tcPr>
          <w:p>
            <w:pPr>
              <w:ind w:left="120"/>
              <w:spacing w:after="0"/>
              <w:rPr>
                <w:sz w:val="20"/>
                <w:szCs w:val="20"/>
                <w:color w:val="auto"/>
              </w:rPr>
            </w:pPr>
            <w:r>
              <w:rPr>
                <w:rFonts w:ascii="Arial" w:cs="Arial" w:eastAsia="Arial" w:hAnsi="Arial"/>
                <w:sz w:val="16"/>
                <w:szCs w:val="16"/>
                <w:color w:val="auto"/>
              </w:rPr>
              <w:t>Technology Enabled Products</w:t>
            </w: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154.4</w:t>
            </w:r>
          </w:p>
        </w:tc>
        <w:tc>
          <w:tcPr>
            <w:tcW w:w="1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rPr>
              <w:t>32.4%</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153.6</w:t>
            </w:r>
          </w:p>
        </w:tc>
        <w:tc>
          <w:tcPr>
            <w:tcW w:w="1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r>
        <w:trPr>
          <w:trHeight w:val="211"/>
        </w:trPr>
        <w:tc>
          <w:tcPr>
            <w:tcW w:w="6860" w:type="dxa"/>
            <w:vAlign w:val="bottom"/>
          </w:tcPr>
          <w:p>
            <w:pPr>
              <w:ind w:left="30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647.4</w:t>
            </w:r>
          </w:p>
        </w:tc>
        <w:tc>
          <w:tcPr>
            <w:tcW w:w="1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rPr>
              <w:t>30.9%</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597.1</w:t>
            </w:r>
          </w:p>
        </w:tc>
        <w:tc>
          <w:tcPr>
            <w:tcW w:w="120" w:type="dxa"/>
            <w:vAlign w:val="bottom"/>
          </w:tcPr>
          <w:p>
            <w:pPr>
              <w:spacing w:after="0"/>
              <w:rPr>
                <w:sz w:val="18"/>
                <w:szCs w:val="18"/>
                <w:color w:val="auto"/>
              </w:rPr>
            </w:pPr>
          </w:p>
        </w:tc>
        <w:tc>
          <w:tcPr>
            <w:tcW w:w="860" w:type="dxa"/>
            <w:vAlign w:val="bottom"/>
          </w:tcPr>
          <w:p>
            <w:pPr>
              <w:jc w:val="center"/>
              <w:spacing w:after="0"/>
              <w:rPr>
                <w:sz w:val="20"/>
                <w:szCs w:val="20"/>
                <w:color w:val="auto"/>
              </w:rPr>
            </w:pPr>
            <w:r>
              <w:rPr>
                <w:rFonts w:ascii="Arial" w:cs="Arial" w:eastAsia="Arial" w:hAnsi="Arial"/>
                <w:sz w:val="16"/>
                <w:szCs w:val="16"/>
                <w:color w:val="auto"/>
              </w:rPr>
              <w:t>31.7%</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2" w:lineRule="exact"/>
        <w:rPr>
          <w:sz w:val="20"/>
          <w:szCs w:val="20"/>
          <w:color w:val="auto"/>
        </w:rPr>
      </w:pPr>
    </w:p>
    <w:p>
      <w:pPr>
        <w:ind w:right="20" w:firstLine="6"/>
        <w:spacing w:after="0" w:line="251" w:lineRule="auto"/>
        <w:tabs>
          <w:tab w:leader="none" w:pos="132" w:val="left"/>
        </w:tabs>
        <w:numPr>
          <w:ilvl w:val="0"/>
          <w:numId w:val="7"/>
        </w:numPr>
        <w:rPr>
          <w:rFonts w:ascii="Arial" w:cs="Arial" w:eastAsia="Arial" w:hAnsi="Arial"/>
          <w:sz w:val="16"/>
          <w:szCs w:val="16"/>
          <w:color w:val="auto"/>
        </w:rPr>
      </w:pPr>
      <w:r>
        <w:rPr>
          <w:rFonts w:ascii="Arial" w:cs="Arial" w:eastAsia="Arial" w:hAnsi="Arial"/>
          <w:sz w:val="16"/>
          <w:szCs w:val="16"/>
          <w:color w:val="auto"/>
        </w:rPr>
        <w:t>Segment operating profit is before unallocated corporate general and administrative expenses and enterprise-wide stock-based compensation. These expenses were $77.8 and $71.3 for the three months ended March 31, 2026 and 2025, respectively.</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340" w:top="1214"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Roper Technologies, Inc.</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(Amounts in millions)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700" w:type="dxa"/>
            <w:vAlign w:val="bottom"/>
          </w:tcPr>
          <w:p>
            <w:pPr>
              <w:spacing w:after="0"/>
              <w:rPr>
                <w:sz w:val="18"/>
                <w:szCs w:val="18"/>
                <w:color w:val="auto"/>
              </w:rPr>
            </w:pPr>
          </w:p>
        </w:tc>
        <w:tc>
          <w:tcPr>
            <w:tcW w:w="2520" w:type="dxa"/>
            <w:vAlign w:val="bottom"/>
            <w:tcBorders>
              <w:bottom w:val="single" w:sz="8" w:color="auto"/>
            </w:tcBorders>
            <w:gridSpan w:val="5"/>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10"/>
        </w:trPr>
        <w:tc>
          <w:tcPr>
            <w:tcW w:w="8700" w:type="dxa"/>
            <w:vAlign w:val="bottom"/>
            <w:vMerge w:val="restart"/>
          </w:tcPr>
          <w:p>
            <w:pPr>
              <w:spacing w:after="0"/>
              <w:rPr>
                <w:sz w:val="20"/>
                <w:szCs w:val="20"/>
                <w:color w:val="auto"/>
              </w:rPr>
            </w:pPr>
            <w:r>
              <w:rPr>
                <w:rFonts w:ascii="Arial" w:cs="Arial" w:eastAsia="Arial" w:hAnsi="Arial"/>
                <w:sz w:val="16"/>
                <w:szCs w:val="16"/>
                <w:color w:val="auto"/>
              </w:rPr>
              <w:t>Cash flows from operating activities:</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2026</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194"/>
        </w:trPr>
        <w:tc>
          <w:tcPr>
            <w:tcW w:w="87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120"/>
              <w:spacing w:after="0"/>
              <w:rPr>
                <w:sz w:val="20"/>
                <w:szCs w:val="20"/>
                <w:color w:val="auto"/>
              </w:rPr>
            </w:pPr>
            <w:r>
              <w:rPr>
                <w:rFonts w:ascii="Arial" w:cs="Arial" w:eastAsia="Arial" w:hAnsi="Arial"/>
                <w:sz w:val="16"/>
                <w:szCs w:val="16"/>
                <w:color w:val="auto"/>
              </w:rPr>
              <w:t>Net earnings</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508.9</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331.1</w:t>
            </w:r>
          </w:p>
        </w:tc>
        <w:tc>
          <w:tcPr>
            <w:tcW w:w="0" w:type="dxa"/>
            <w:vAlign w:val="bottom"/>
          </w:tcPr>
          <w:p>
            <w:pPr>
              <w:spacing w:after="0"/>
              <w:rPr>
                <w:sz w:val="1"/>
                <w:szCs w:val="1"/>
                <w:color w:val="auto"/>
              </w:rPr>
            </w:pPr>
          </w:p>
        </w:tc>
      </w:tr>
      <w:tr>
        <w:trPr>
          <w:trHeight w:val="216"/>
        </w:trPr>
        <w:tc>
          <w:tcPr>
            <w:tcW w:w="8700" w:type="dxa"/>
            <w:vAlign w:val="bottom"/>
          </w:tcPr>
          <w:p>
            <w:pPr>
              <w:ind w:left="120"/>
              <w:spacing w:after="0"/>
              <w:rPr>
                <w:sz w:val="20"/>
                <w:szCs w:val="20"/>
                <w:color w:val="auto"/>
              </w:rPr>
            </w:pPr>
            <w:r>
              <w:rPr>
                <w:rFonts w:ascii="Arial" w:cs="Arial" w:eastAsia="Arial" w:hAnsi="Arial"/>
                <w:sz w:val="16"/>
                <w:szCs w:val="16"/>
                <w:color w:val="auto"/>
              </w:rPr>
              <w:t>Adjustments to reconcile net earnings to cash flows from operating activities: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6"/>
                <w:szCs w:val="16"/>
                <w:color w:val="auto"/>
              </w:rPr>
              <w:t>Depreciation and amortization of property, plant and equipment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9.1</w:t>
            </w:r>
          </w:p>
        </w:tc>
        <w:tc>
          <w:tcPr>
            <w:tcW w:w="0" w:type="dxa"/>
            <w:vAlign w:val="bottom"/>
          </w:tcPr>
          <w:p>
            <w:pPr>
              <w:spacing w:after="0"/>
              <w:rPr>
                <w:sz w:val="1"/>
                <w:szCs w:val="1"/>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6"/>
                <w:szCs w:val="16"/>
                <w:color w:val="auto"/>
              </w:rPr>
              <w:t>Amortization of intangible assets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220.4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204.0</w:t>
            </w:r>
          </w:p>
        </w:tc>
        <w:tc>
          <w:tcPr>
            <w:tcW w:w="0" w:type="dxa"/>
            <w:vAlign w:val="bottom"/>
          </w:tcPr>
          <w:p>
            <w:pPr>
              <w:spacing w:after="0"/>
              <w:rPr>
                <w:sz w:val="1"/>
                <w:szCs w:val="1"/>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6"/>
                <w:szCs w:val="16"/>
                <w:color w:val="auto"/>
              </w:rPr>
              <w:t>Amortization of deferred financing costs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6"/>
                <w:szCs w:val="16"/>
                <w:color w:val="auto"/>
              </w:rPr>
              <w:t>Non-cash stock compensation</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52.6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38.8</w:t>
            </w:r>
          </w:p>
        </w:tc>
        <w:tc>
          <w:tcPr>
            <w:tcW w:w="0" w:type="dxa"/>
            <w:vAlign w:val="bottom"/>
          </w:tcPr>
          <w:p>
            <w:pPr>
              <w:spacing w:after="0"/>
              <w:rPr>
                <w:sz w:val="1"/>
                <w:szCs w:val="1"/>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6"/>
                <w:szCs w:val="16"/>
                <w:color w:val="auto"/>
              </w:rPr>
              <w:t>Equity investment (gain) loss, net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(167.3)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44.4</w:t>
            </w:r>
          </w:p>
        </w:tc>
        <w:tc>
          <w:tcPr>
            <w:tcW w:w="0" w:type="dxa"/>
            <w:vAlign w:val="bottom"/>
          </w:tcPr>
          <w:p>
            <w:pPr>
              <w:spacing w:after="0"/>
              <w:rPr>
                <w:sz w:val="1"/>
                <w:szCs w:val="1"/>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6"/>
                <w:szCs w:val="16"/>
                <w:color w:val="auto"/>
              </w:rPr>
              <w:t>Income tax provision</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126.1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86.9</w:t>
            </w:r>
          </w:p>
        </w:tc>
        <w:tc>
          <w:tcPr>
            <w:tcW w:w="0" w:type="dxa"/>
            <w:vAlign w:val="bottom"/>
          </w:tcPr>
          <w:p>
            <w:pPr>
              <w:spacing w:after="0"/>
              <w:rPr>
                <w:sz w:val="1"/>
                <w:szCs w:val="1"/>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6"/>
                <w:szCs w:val="16"/>
                <w:color w:val="auto"/>
              </w:rPr>
              <w:t>Changes in operating assets and liabilities, net of acquired businesses:</w:t>
            </w: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320"/>
              <w:spacing w:after="0"/>
              <w:rPr>
                <w:sz w:val="20"/>
                <w:szCs w:val="20"/>
                <w:color w:val="auto"/>
              </w:rPr>
            </w:pPr>
            <w:r>
              <w:rPr>
                <w:rFonts w:ascii="Arial" w:cs="Arial" w:eastAsia="Arial" w:hAnsi="Arial"/>
                <w:sz w:val="16"/>
                <w:szCs w:val="16"/>
                <w:color w:val="auto"/>
              </w:rPr>
              <w:t>Accounts receivable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122.4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74.4</w:t>
            </w:r>
          </w:p>
        </w:tc>
        <w:tc>
          <w:tcPr>
            <w:tcW w:w="0" w:type="dxa"/>
            <w:vAlign w:val="bottom"/>
          </w:tcPr>
          <w:p>
            <w:pPr>
              <w:spacing w:after="0"/>
              <w:rPr>
                <w:sz w:val="1"/>
                <w:szCs w:val="1"/>
                <w:color w:val="auto"/>
              </w:rPr>
            </w:pPr>
          </w:p>
        </w:tc>
      </w:tr>
      <w:tr>
        <w:trPr>
          <w:trHeight w:val="216"/>
        </w:trPr>
        <w:tc>
          <w:tcPr>
            <w:tcW w:w="8700" w:type="dxa"/>
            <w:vAlign w:val="bottom"/>
          </w:tcPr>
          <w:p>
            <w:pPr>
              <w:ind w:left="320"/>
              <w:spacing w:after="0"/>
              <w:rPr>
                <w:sz w:val="20"/>
                <w:szCs w:val="20"/>
                <w:color w:val="auto"/>
              </w:rPr>
            </w:pPr>
            <w:r>
              <w:rPr>
                <w:rFonts w:ascii="Arial" w:cs="Arial" w:eastAsia="Arial" w:hAnsi="Arial"/>
                <w:sz w:val="16"/>
                <w:szCs w:val="16"/>
                <w:color w:val="auto"/>
              </w:rPr>
              <w:t>Unbilled receivables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(19.1)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16"/>
        </w:trPr>
        <w:tc>
          <w:tcPr>
            <w:tcW w:w="8700" w:type="dxa"/>
            <w:vAlign w:val="bottom"/>
          </w:tcPr>
          <w:p>
            <w:pPr>
              <w:ind w:left="320"/>
              <w:spacing w:after="0"/>
              <w:rPr>
                <w:sz w:val="20"/>
                <w:szCs w:val="20"/>
                <w:color w:val="auto"/>
              </w:rPr>
            </w:pPr>
            <w:r>
              <w:rPr>
                <w:rFonts w:ascii="Arial" w:cs="Arial" w:eastAsia="Arial" w:hAnsi="Arial"/>
                <w:sz w:val="16"/>
                <w:szCs w:val="16"/>
                <w:color w:val="auto"/>
              </w:rPr>
              <w:t>Inventories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16"/>
        </w:trPr>
        <w:tc>
          <w:tcPr>
            <w:tcW w:w="8700" w:type="dxa"/>
            <w:vAlign w:val="bottom"/>
          </w:tcPr>
          <w:p>
            <w:pPr>
              <w:ind w:left="320"/>
              <w:spacing w:after="0"/>
              <w:rPr>
                <w:sz w:val="20"/>
                <w:szCs w:val="20"/>
                <w:color w:val="auto"/>
              </w:rPr>
            </w:pPr>
            <w:r>
              <w:rPr>
                <w:rFonts w:ascii="Arial" w:cs="Arial" w:eastAsia="Arial" w:hAnsi="Arial"/>
                <w:sz w:val="16"/>
                <w:szCs w:val="16"/>
                <w:color w:val="auto"/>
              </w:rPr>
              <w:t>Prepaid expenses and other current assets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(41.6)</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(41.3)</w:t>
            </w:r>
          </w:p>
        </w:tc>
        <w:tc>
          <w:tcPr>
            <w:tcW w:w="0" w:type="dxa"/>
            <w:vAlign w:val="bottom"/>
          </w:tcPr>
          <w:p>
            <w:pPr>
              <w:spacing w:after="0"/>
              <w:rPr>
                <w:sz w:val="1"/>
                <w:szCs w:val="1"/>
                <w:color w:val="auto"/>
              </w:rPr>
            </w:pPr>
          </w:p>
        </w:tc>
      </w:tr>
      <w:tr>
        <w:trPr>
          <w:trHeight w:val="216"/>
        </w:trPr>
        <w:tc>
          <w:tcPr>
            <w:tcW w:w="8700" w:type="dxa"/>
            <w:vAlign w:val="bottom"/>
          </w:tcPr>
          <w:p>
            <w:pPr>
              <w:ind w:left="320"/>
              <w:spacing w:after="0"/>
              <w:rPr>
                <w:sz w:val="20"/>
                <w:szCs w:val="20"/>
                <w:color w:val="auto"/>
              </w:rPr>
            </w:pPr>
            <w:r>
              <w:rPr>
                <w:rFonts w:ascii="Arial" w:cs="Arial" w:eastAsia="Arial" w:hAnsi="Arial"/>
                <w:sz w:val="16"/>
                <w:szCs w:val="16"/>
                <w:color w:val="auto"/>
              </w:rPr>
              <w:t>Accounts payable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16"/>
        </w:trPr>
        <w:tc>
          <w:tcPr>
            <w:tcW w:w="8700" w:type="dxa"/>
            <w:vAlign w:val="bottom"/>
          </w:tcPr>
          <w:p>
            <w:pPr>
              <w:ind w:left="320"/>
              <w:spacing w:after="0"/>
              <w:rPr>
                <w:sz w:val="20"/>
                <w:szCs w:val="20"/>
                <w:color w:val="auto"/>
              </w:rPr>
            </w:pPr>
            <w:r>
              <w:rPr>
                <w:rFonts w:ascii="Arial" w:cs="Arial" w:eastAsia="Arial" w:hAnsi="Arial"/>
                <w:sz w:val="16"/>
                <w:szCs w:val="16"/>
                <w:color w:val="auto"/>
              </w:rPr>
              <w:t>Other accrued liabilities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(94.9)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(107.4)</w:t>
            </w:r>
          </w:p>
        </w:tc>
        <w:tc>
          <w:tcPr>
            <w:tcW w:w="0" w:type="dxa"/>
            <w:vAlign w:val="bottom"/>
          </w:tcPr>
          <w:p>
            <w:pPr>
              <w:spacing w:after="0"/>
              <w:rPr>
                <w:sz w:val="1"/>
                <w:szCs w:val="1"/>
                <w:color w:val="auto"/>
              </w:rPr>
            </w:pPr>
          </w:p>
        </w:tc>
      </w:tr>
      <w:tr>
        <w:trPr>
          <w:trHeight w:val="216"/>
        </w:trPr>
        <w:tc>
          <w:tcPr>
            <w:tcW w:w="8700" w:type="dxa"/>
            <w:vAlign w:val="bottom"/>
          </w:tcPr>
          <w:p>
            <w:pPr>
              <w:ind w:left="320"/>
              <w:spacing w:after="0"/>
              <w:rPr>
                <w:sz w:val="20"/>
                <w:szCs w:val="20"/>
                <w:color w:val="auto"/>
              </w:rPr>
            </w:pPr>
            <w:r>
              <w:rPr>
                <w:rFonts w:ascii="Arial" w:cs="Arial" w:eastAsia="Arial" w:hAnsi="Arial"/>
                <w:sz w:val="16"/>
                <w:szCs w:val="16"/>
                <w:color w:val="auto"/>
              </w:rPr>
              <w:t>Deferred revenue</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(117.1)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(70.6)</w:t>
            </w:r>
          </w:p>
        </w:tc>
        <w:tc>
          <w:tcPr>
            <w:tcW w:w="0" w:type="dxa"/>
            <w:vAlign w:val="bottom"/>
          </w:tcPr>
          <w:p>
            <w:pPr>
              <w:spacing w:after="0"/>
              <w:rPr>
                <w:sz w:val="1"/>
                <w:szCs w:val="1"/>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6"/>
                <w:szCs w:val="16"/>
                <w:color w:val="auto"/>
              </w:rPr>
              <w:t>Cash income taxes paid</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(34.2)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(29.1)</w:t>
            </w:r>
          </w:p>
        </w:tc>
        <w:tc>
          <w:tcPr>
            <w:tcW w:w="0" w:type="dxa"/>
            <w:vAlign w:val="bottom"/>
          </w:tcPr>
          <w:p>
            <w:pPr>
              <w:spacing w:after="0"/>
              <w:rPr>
                <w:sz w:val="1"/>
                <w:szCs w:val="1"/>
                <w:color w:val="auto"/>
              </w:rPr>
            </w:pPr>
          </w:p>
        </w:tc>
      </w:tr>
      <w:tr>
        <w:trPr>
          <w:trHeight w:val="216"/>
        </w:trPr>
        <w:tc>
          <w:tcPr>
            <w:tcW w:w="8700" w:type="dxa"/>
            <w:vAlign w:val="bottom"/>
          </w:tcPr>
          <w:p>
            <w:pPr>
              <w:ind w:left="220"/>
              <w:spacing w:after="0"/>
              <w:rPr>
                <w:sz w:val="20"/>
                <w:szCs w:val="20"/>
                <w:color w:val="auto"/>
              </w:rPr>
            </w:pPr>
            <w:r>
              <w:rPr>
                <w:rFonts w:ascii="Arial" w:cs="Arial" w:eastAsia="Arial" w:hAnsi="Arial"/>
                <w:sz w:val="16"/>
                <w:szCs w:val="16"/>
                <w:color w:val="auto"/>
              </w:rPr>
              <w:t>Other, net</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210"/>
        </w:trPr>
        <w:tc>
          <w:tcPr>
            <w:tcW w:w="8700" w:type="dxa"/>
            <w:vAlign w:val="bottom"/>
          </w:tcPr>
          <w:p>
            <w:pPr>
              <w:ind w:left="460"/>
              <w:spacing w:after="0"/>
              <w:rPr>
                <w:sz w:val="20"/>
                <w:szCs w:val="20"/>
                <w:color w:val="auto"/>
              </w:rPr>
            </w:pPr>
            <w:r>
              <w:rPr>
                <w:rFonts w:ascii="Arial" w:cs="Arial" w:eastAsia="Arial" w:hAnsi="Arial"/>
                <w:sz w:val="16"/>
                <w:szCs w:val="16"/>
                <w:color w:val="auto"/>
              </w:rPr>
              <w:t>Cash provided by operating activities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592.1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528.7</w:t>
            </w:r>
          </w:p>
        </w:tc>
        <w:tc>
          <w:tcPr>
            <w:tcW w:w="0" w:type="dxa"/>
            <w:vAlign w:val="bottom"/>
          </w:tcPr>
          <w:p>
            <w:pPr>
              <w:spacing w:after="0"/>
              <w:rPr>
                <w:sz w:val="1"/>
                <w:szCs w:val="1"/>
                <w:color w:val="auto"/>
              </w:rPr>
            </w:pPr>
          </w:p>
        </w:tc>
      </w:tr>
      <w:tr>
        <w:trPr>
          <w:trHeight w:val="377"/>
        </w:trPr>
        <w:tc>
          <w:tcPr>
            <w:tcW w:w="8700" w:type="dxa"/>
            <w:vAlign w:val="bottom"/>
          </w:tcPr>
          <w:p>
            <w:pPr>
              <w:spacing w:after="0"/>
              <w:rPr>
                <w:sz w:val="20"/>
                <w:szCs w:val="20"/>
                <w:color w:val="auto"/>
              </w:rPr>
            </w:pPr>
            <w:r>
              <w:rPr>
                <w:rFonts w:ascii="Arial" w:cs="Arial" w:eastAsia="Arial" w:hAnsi="Arial"/>
                <w:sz w:val="16"/>
                <w:szCs w:val="16"/>
                <w:color w:val="auto"/>
              </w:rPr>
              <w:t>Cash flows from (used in) investing activities:</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120"/>
              <w:spacing w:after="0"/>
              <w:rPr>
                <w:sz w:val="20"/>
                <w:szCs w:val="20"/>
                <w:color w:val="auto"/>
              </w:rPr>
            </w:pPr>
            <w:r>
              <w:rPr>
                <w:rFonts w:ascii="Arial" w:cs="Arial" w:eastAsia="Arial" w:hAnsi="Arial"/>
                <w:sz w:val="16"/>
                <w:szCs w:val="16"/>
                <w:color w:val="auto"/>
              </w:rPr>
              <w:t>Acquisitions of businesses, net of cash acquired</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(27.5)</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(124.9)</w:t>
            </w:r>
          </w:p>
        </w:tc>
        <w:tc>
          <w:tcPr>
            <w:tcW w:w="0" w:type="dxa"/>
            <w:vAlign w:val="bottom"/>
          </w:tcPr>
          <w:p>
            <w:pPr>
              <w:spacing w:after="0"/>
              <w:rPr>
                <w:sz w:val="1"/>
                <w:szCs w:val="1"/>
                <w:color w:val="auto"/>
              </w:rPr>
            </w:pPr>
          </w:p>
        </w:tc>
      </w:tr>
      <w:tr>
        <w:trPr>
          <w:trHeight w:val="216"/>
        </w:trPr>
        <w:tc>
          <w:tcPr>
            <w:tcW w:w="8700" w:type="dxa"/>
            <w:vAlign w:val="bottom"/>
          </w:tcPr>
          <w:p>
            <w:pPr>
              <w:ind w:left="120"/>
              <w:spacing w:after="0"/>
              <w:rPr>
                <w:sz w:val="20"/>
                <w:szCs w:val="20"/>
                <w:color w:val="auto"/>
              </w:rPr>
            </w:pPr>
            <w:r>
              <w:rPr>
                <w:rFonts w:ascii="Arial" w:cs="Arial" w:eastAsia="Arial" w:hAnsi="Arial"/>
                <w:sz w:val="16"/>
                <w:szCs w:val="16"/>
                <w:color w:val="auto"/>
              </w:rPr>
              <w:t>Capital expenditures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(14.3)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16"/>
        </w:trPr>
        <w:tc>
          <w:tcPr>
            <w:tcW w:w="8700" w:type="dxa"/>
            <w:vAlign w:val="bottom"/>
          </w:tcPr>
          <w:p>
            <w:pPr>
              <w:ind w:left="120"/>
              <w:spacing w:after="0"/>
              <w:rPr>
                <w:sz w:val="20"/>
                <w:szCs w:val="20"/>
                <w:color w:val="auto"/>
              </w:rPr>
            </w:pPr>
            <w:r>
              <w:rPr>
                <w:rFonts w:ascii="Arial" w:cs="Arial" w:eastAsia="Arial" w:hAnsi="Arial"/>
                <w:sz w:val="16"/>
                <w:szCs w:val="16"/>
                <w:color w:val="auto"/>
              </w:rPr>
              <w:t>Capitalized software expenditures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16"/>
        </w:trPr>
        <w:tc>
          <w:tcPr>
            <w:tcW w:w="8700" w:type="dxa"/>
            <w:vAlign w:val="bottom"/>
          </w:tcPr>
          <w:p>
            <w:pPr>
              <w:ind w:left="120"/>
              <w:spacing w:after="0"/>
              <w:rPr>
                <w:sz w:val="20"/>
                <w:szCs w:val="20"/>
                <w:color w:val="auto"/>
              </w:rPr>
            </w:pPr>
            <w:r>
              <w:rPr>
                <w:rFonts w:ascii="Arial" w:cs="Arial" w:eastAsia="Arial" w:hAnsi="Arial"/>
                <w:sz w:val="16"/>
                <w:szCs w:val="16"/>
                <w:color w:val="auto"/>
              </w:rPr>
              <w:t>Other, net</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8700" w:type="dxa"/>
            <w:vAlign w:val="bottom"/>
          </w:tcPr>
          <w:p>
            <w:pPr>
              <w:ind w:left="460"/>
              <w:spacing w:after="0"/>
              <w:rPr>
                <w:sz w:val="20"/>
                <w:szCs w:val="20"/>
                <w:color w:val="auto"/>
              </w:rPr>
            </w:pPr>
            <w:r>
              <w:rPr>
                <w:rFonts w:ascii="Arial" w:cs="Arial" w:eastAsia="Arial" w:hAnsi="Arial"/>
                <w:sz w:val="16"/>
                <w:szCs w:val="16"/>
                <w:color w:val="auto"/>
              </w:rPr>
              <w:t>Cash used in investing activities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(56.1)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(146.8)</w:t>
            </w:r>
          </w:p>
        </w:tc>
        <w:tc>
          <w:tcPr>
            <w:tcW w:w="0" w:type="dxa"/>
            <w:vAlign w:val="bottom"/>
          </w:tcPr>
          <w:p>
            <w:pPr>
              <w:spacing w:after="0"/>
              <w:rPr>
                <w:sz w:val="1"/>
                <w:szCs w:val="1"/>
                <w:color w:val="auto"/>
              </w:rPr>
            </w:pPr>
          </w:p>
        </w:tc>
      </w:tr>
      <w:tr>
        <w:trPr>
          <w:trHeight w:val="377"/>
        </w:trPr>
        <w:tc>
          <w:tcPr>
            <w:tcW w:w="8700" w:type="dxa"/>
            <w:vAlign w:val="bottom"/>
          </w:tcPr>
          <w:p>
            <w:pPr>
              <w:spacing w:after="0"/>
              <w:rPr>
                <w:sz w:val="20"/>
                <w:szCs w:val="20"/>
                <w:color w:val="auto"/>
              </w:rPr>
            </w:pPr>
            <w:r>
              <w:rPr>
                <w:rFonts w:ascii="Arial" w:cs="Arial" w:eastAsia="Arial" w:hAnsi="Arial"/>
                <w:sz w:val="16"/>
                <w:szCs w:val="16"/>
                <w:color w:val="auto"/>
              </w:rPr>
              <w:t>Cash flows from (used in) financing activities:</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700" w:type="dxa"/>
            <w:vAlign w:val="bottom"/>
          </w:tcPr>
          <w:p>
            <w:pPr>
              <w:ind w:left="120"/>
              <w:spacing w:after="0"/>
              <w:rPr>
                <w:sz w:val="20"/>
                <w:szCs w:val="20"/>
                <w:color w:val="auto"/>
              </w:rPr>
            </w:pPr>
            <w:r>
              <w:rPr>
                <w:rFonts w:ascii="Arial" w:cs="Arial" w:eastAsia="Arial" w:hAnsi="Arial"/>
                <w:sz w:val="16"/>
                <w:szCs w:val="16"/>
                <w:color w:val="auto"/>
              </w:rPr>
              <w:t>Borrowings (payments) under revolving credit facility, net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1,150.0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(125.0)</w:t>
            </w:r>
          </w:p>
        </w:tc>
        <w:tc>
          <w:tcPr>
            <w:tcW w:w="0" w:type="dxa"/>
            <w:vAlign w:val="bottom"/>
          </w:tcPr>
          <w:p>
            <w:pPr>
              <w:spacing w:after="0"/>
              <w:rPr>
                <w:sz w:val="1"/>
                <w:szCs w:val="1"/>
                <w:color w:val="auto"/>
              </w:rPr>
            </w:pPr>
          </w:p>
        </w:tc>
      </w:tr>
      <w:tr>
        <w:trPr>
          <w:trHeight w:val="216"/>
        </w:trPr>
        <w:tc>
          <w:tcPr>
            <w:tcW w:w="8700" w:type="dxa"/>
            <w:vAlign w:val="bottom"/>
          </w:tcPr>
          <w:p>
            <w:pPr>
              <w:ind w:left="120"/>
              <w:spacing w:after="0"/>
              <w:rPr>
                <w:sz w:val="20"/>
                <w:szCs w:val="20"/>
                <w:color w:val="auto"/>
              </w:rPr>
            </w:pPr>
            <w:r>
              <w:rPr>
                <w:rFonts w:ascii="Arial" w:cs="Arial" w:eastAsia="Arial" w:hAnsi="Arial"/>
                <w:sz w:val="16"/>
                <w:szCs w:val="16"/>
                <w:color w:val="auto"/>
              </w:rPr>
              <w:t>Debt issuance costs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700" w:type="dxa"/>
            <w:vAlign w:val="bottom"/>
          </w:tcPr>
          <w:p>
            <w:pPr>
              <w:ind w:left="120"/>
              <w:spacing w:after="0"/>
              <w:rPr>
                <w:sz w:val="20"/>
                <w:szCs w:val="20"/>
                <w:color w:val="auto"/>
              </w:rPr>
            </w:pPr>
            <w:r>
              <w:rPr>
                <w:rFonts w:ascii="Arial" w:cs="Arial" w:eastAsia="Arial" w:hAnsi="Arial"/>
                <w:sz w:val="16"/>
                <w:szCs w:val="16"/>
                <w:color w:val="auto"/>
              </w:rPr>
              <w:t>Cash dividends to stockholders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(97.4)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(88.6)</w:t>
            </w:r>
          </w:p>
        </w:tc>
        <w:tc>
          <w:tcPr>
            <w:tcW w:w="0" w:type="dxa"/>
            <w:vAlign w:val="bottom"/>
          </w:tcPr>
          <w:p>
            <w:pPr>
              <w:spacing w:after="0"/>
              <w:rPr>
                <w:sz w:val="1"/>
                <w:szCs w:val="1"/>
                <w:color w:val="auto"/>
              </w:rPr>
            </w:pPr>
          </w:p>
        </w:tc>
      </w:tr>
      <w:tr>
        <w:trPr>
          <w:trHeight w:val="216"/>
        </w:trPr>
        <w:tc>
          <w:tcPr>
            <w:tcW w:w="8700" w:type="dxa"/>
            <w:vAlign w:val="bottom"/>
          </w:tcPr>
          <w:p>
            <w:pPr>
              <w:ind w:left="120"/>
              <w:spacing w:after="0"/>
              <w:rPr>
                <w:sz w:val="20"/>
                <w:szCs w:val="20"/>
                <w:color w:val="auto"/>
              </w:rPr>
            </w:pPr>
            <w:r>
              <w:rPr>
                <w:rFonts w:ascii="Arial" w:cs="Arial" w:eastAsia="Arial" w:hAnsi="Arial"/>
                <w:sz w:val="16"/>
                <w:szCs w:val="16"/>
                <w:color w:val="auto"/>
              </w:rPr>
              <w:t>Repurchases of common stock</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(1,500.1)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700" w:type="dxa"/>
            <w:vAlign w:val="bottom"/>
          </w:tcPr>
          <w:p>
            <w:pPr>
              <w:ind w:left="120"/>
              <w:spacing w:after="0"/>
              <w:rPr>
                <w:sz w:val="20"/>
                <w:szCs w:val="20"/>
                <w:color w:val="auto"/>
              </w:rPr>
            </w:pPr>
            <w:r>
              <w:rPr>
                <w:rFonts w:ascii="Arial" w:cs="Arial" w:eastAsia="Arial" w:hAnsi="Arial"/>
                <w:sz w:val="16"/>
                <w:szCs w:val="16"/>
                <w:color w:val="auto"/>
              </w:rPr>
              <w:t>Proceeds from (tax withholding payments for) stock-based compensation, net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42.7</w:t>
            </w:r>
          </w:p>
        </w:tc>
        <w:tc>
          <w:tcPr>
            <w:tcW w:w="0" w:type="dxa"/>
            <w:vAlign w:val="bottom"/>
          </w:tcPr>
          <w:p>
            <w:pPr>
              <w:spacing w:after="0"/>
              <w:rPr>
                <w:sz w:val="1"/>
                <w:szCs w:val="1"/>
                <w:color w:val="auto"/>
              </w:rPr>
            </w:pPr>
          </w:p>
        </w:tc>
      </w:tr>
      <w:tr>
        <w:trPr>
          <w:trHeight w:val="216"/>
        </w:trPr>
        <w:tc>
          <w:tcPr>
            <w:tcW w:w="8700" w:type="dxa"/>
            <w:vAlign w:val="bottom"/>
          </w:tcPr>
          <w:p>
            <w:pPr>
              <w:ind w:left="120"/>
              <w:spacing w:after="0"/>
              <w:rPr>
                <w:sz w:val="20"/>
                <w:szCs w:val="20"/>
                <w:color w:val="auto"/>
              </w:rPr>
            </w:pPr>
            <w:r>
              <w:rPr>
                <w:rFonts w:ascii="Arial" w:cs="Arial" w:eastAsia="Arial" w:hAnsi="Arial"/>
                <w:sz w:val="16"/>
                <w:szCs w:val="16"/>
                <w:color w:val="auto"/>
              </w:rPr>
              <w:t>Treasury stock sales under employee stock purchase plan</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216"/>
        </w:trPr>
        <w:tc>
          <w:tcPr>
            <w:tcW w:w="8700" w:type="dxa"/>
            <w:vAlign w:val="bottom"/>
          </w:tcPr>
          <w:p>
            <w:pPr>
              <w:ind w:left="120"/>
              <w:spacing w:after="0"/>
              <w:rPr>
                <w:sz w:val="20"/>
                <w:szCs w:val="20"/>
                <w:color w:val="auto"/>
              </w:rPr>
            </w:pPr>
            <w:r>
              <w:rPr>
                <w:rFonts w:ascii="Arial" w:cs="Arial" w:eastAsia="Arial" w:hAnsi="Arial"/>
                <w:sz w:val="16"/>
                <w:szCs w:val="16"/>
                <w:color w:val="auto"/>
              </w:rPr>
              <w:t>Other, net</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(44.1)</w:t>
            </w:r>
          </w:p>
        </w:tc>
        <w:tc>
          <w:tcPr>
            <w:tcW w:w="0" w:type="dxa"/>
            <w:vAlign w:val="bottom"/>
          </w:tcPr>
          <w:p>
            <w:pPr>
              <w:spacing w:after="0"/>
              <w:rPr>
                <w:sz w:val="1"/>
                <w:szCs w:val="1"/>
                <w:color w:val="auto"/>
              </w:rPr>
            </w:pPr>
          </w:p>
        </w:tc>
      </w:tr>
      <w:tr>
        <w:trPr>
          <w:trHeight w:val="210"/>
        </w:trPr>
        <w:tc>
          <w:tcPr>
            <w:tcW w:w="8700" w:type="dxa"/>
            <w:vAlign w:val="bottom"/>
          </w:tcPr>
          <w:p>
            <w:pPr>
              <w:ind w:left="460"/>
              <w:spacing w:after="0"/>
              <w:rPr>
                <w:sz w:val="20"/>
                <w:szCs w:val="20"/>
                <w:color w:val="auto"/>
              </w:rPr>
            </w:pPr>
            <w:r>
              <w:rPr>
                <w:rFonts w:ascii="Arial" w:cs="Arial" w:eastAsia="Arial" w:hAnsi="Arial"/>
                <w:sz w:val="16"/>
                <w:szCs w:val="16"/>
                <w:color w:val="auto"/>
              </w:rPr>
              <w:t>Cash used in financing activities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(444.7)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(207.8)</w:t>
            </w:r>
          </w:p>
        </w:tc>
        <w:tc>
          <w:tcPr>
            <w:tcW w:w="0" w:type="dxa"/>
            <w:vAlign w:val="bottom"/>
          </w:tcPr>
          <w:p>
            <w:pPr>
              <w:spacing w:after="0"/>
              <w:rPr>
                <w:sz w:val="1"/>
                <w:szCs w:val="1"/>
                <w:color w:val="auto"/>
              </w:rPr>
            </w:pPr>
          </w:p>
        </w:tc>
      </w:tr>
      <w:tr>
        <w:trPr>
          <w:trHeight w:val="377"/>
        </w:trPr>
        <w:tc>
          <w:tcPr>
            <w:tcW w:w="8700" w:type="dxa"/>
            <w:vAlign w:val="bottom"/>
          </w:tcPr>
          <w:p>
            <w:pPr>
              <w:spacing w:after="0"/>
              <w:rPr>
                <w:sz w:val="20"/>
                <w:szCs w:val="20"/>
                <w:color w:val="auto"/>
              </w:rPr>
            </w:pPr>
            <w:r>
              <w:rPr>
                <w:rFonts w:ascii="Arial" w:cs="Arial" w:eastAsia="Arial" w:hAnsi="Arial"/>
                <w:sz w:val="16"/>
                <w:szCs w:val="16"/>
                <w:color w:val="auto"/>
              </w:rPr>
              <w:t>Effect of exchange rate changes on cash</w:t>
            </w: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10.5</w:t>
            </w:r>
          </w:p>
        </w:tc>
        <w:tc>
          <w:tcPr>
            <w:tcW w:w="0" w:type="dxa"/>
            <w:vAlign w:val="bottom"/>
          </w:tcPr>
          <w:p>
            <w:pPr>
              <w:spacing w:after="0"/>
              <w:rPr>
                <w:sz w:val="1"/>
                <w:szCs w:val="1"/>
                <w:color w:val="auto"/>
              </w:rPr>
            </w:pPr>
          </w:p>
        </w:tc>
      </w:tr>
      <w:tr>
        <w:trPr>
          <w:trHeight w:val="378"/>
        </w:trPr>
        <w:tc>
          <w:tcPr>
            <w:tcW w:w="8700" w:type="dxa"/>
            <w:vAlign w:val="bottom"/>
          </w:tcPr>
          <w:p>
            <w:pPr>
              <w:spacing w:after="0"/>
              <w:rPr>
                <w:sz w:val="20"/>
                <w:szCs w:val="20"/>
                <w:color w:val="auto"/>
              </w:rPr>
            </w:pPr>
            <w:r>
              <w:rPr>
                <w:rFonts w:ascii="Arial" w:cs="Arial" w:eastAsia="Arial" w:hAnsi="Arial"/>
                <w:sz w:val="16"/>
                <w:szCs w:val="16"/>
                <w:color w:val="auto"/>
              </w:rPr>
              <w:t>Net increase in cash and cash equivalents</w:t>
            </w: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85.5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184.6</w:t>
            </w:r>
          </w:p>
        </w:tc>
        <w:tc>
          <w:tcPr>
            <w:tcW w:w="0" w:type="dxa"/>
            <w:vAlign w:val="bottom"/>
          </w:tcPr>
          <w:p>
            <w:pPr>
              <w:spacing w:after="0"/>
              <w:rPr>
                <w:sz w:val="1"/>
                <w:szCs w:val="1"/>
                <w:color w:val="auto"/>
              </w:rPr>
            </w:pPr>
          </w:p>
        </w:tc>
      </w:tr>
      <w:tr>
        <w:trPr>
          <w:trHeight w:val="378"/>
        </w:trPr>
        <w:tc>
          <w:tcPr>
            <w:tcW w:w="8700" w:type="dxa"/>
            <w:vAlign w:val="bottom"/>
          </w:tcPr>
          <w:p>
            <w:pPr>
              <w:spacing w:after="0"/>
              <w:rPr>
                <w:sz w:val="20"/>
                <w:szCs w:val="20"/>
                <w:color w:val="auto"/>
              </w:rPr>
            </w:pPr>
            <w:r>
              <w:rPr>
                <w:rFonts w:ascii="Arial" w:cs="Arial" w:eastAsia="Arial" w:hAnsi="Arial"/>
                <w:sz w:val="16"/>
                <w:szCs w:val="16"/>
                <w:color w:val="auto"/>
              </w:rPr>
              <w:t>Cash and cash equivalents, beginning of period</w:t>
            </w: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297.4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188.2</w:t>
            </w:r>
          </w:p>
        </w:tc>
        <w:tc>
          <w:tcPr>
            <w:tcW w:w="0" w:type="dxa"/>
            <w:vAlign w:val="bottom"/>
          </w:tcPr>
          <w:p>
            <w:pPr>
              <w:spacing w:after="0"/>
              <w:rPr>
                <w:sz w:val="1"/>
                <w:szCs w:val="1"/>
                <w:color w:val="auto"/>
              </w:rPr>
            </w:pPr>
          </w:p>
        </w:tc>
      </w:tr>
      <w:tr>
        <w:trPr>
          <w:trHeight w:val="164"/>
        </w:trPr>
        <w:tc>
          <w:tcPr>
            <w:tcW w:w="87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8700" w:type="dxa"/>
            <w:vAlign w:val="bottom"/>
          </w:tcPr>
          <w:p>
            <w:pPr>
              <w:spacing w:after="0"/>
              <w:rPr>
                <w:sz w:val="20"/>
                <w:szCs w:val="20"/>
                <w:color w:val="auto"/>
              </w:rPr>
            </w:pPr>
            <w:r>
              <w:rPr>
                <w:rFonts w:ascii="Arial" w:cs="Arial" w:eastAsia="Arial" w:hAnsi="Arial"/>
                <w:sz w:val="16"/>
                <w:szCs w:val="16"/>
                <w:color w:val="auto"/>
              </w:rPr>
              <w:t>Cash and cash equivalents, end of period</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382.9</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372.8</w:t>
            </w:r>
          </w:p>
        </w:tc>
        <w:tc>
          <w:tcPr>
            <w:tcW w:w="0" w:type="dxa"/>
            <w:vAlign w:val="bottom"/>
          </w:tcPr>
          <w:p>
            <w:pPr>
              <w:spacing w:after="0"/>
              <w:rPr>
                <w:sz w:val="1"/>
                <w:szCs w:val="1"/>
                <w:color w:val="auto"/>
              </w:rPr>
            </w:pPr>
          </w:p>
        </w:tc>
      </w:tr>
      <w:tr>
        <w:trPr>
          <w:trHeight w:val="20"/>
        </w:trPr>
        <w:tc>
          <w:tcPr>
            <w:tcW w:w="8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10</w:t>
      </w:r>
    </w:p>
    <w:sectPr>
      <w:pgSz w:w="11900" w:h="16838" w:orient="portrait"/>
      <w:cols w:equalWidth="0" w:num="1">
        <w:col w:w="11220"/>
      </w:cols>
      <w:pgMar w:left="340" w:top="12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4"/>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upperLetter"/>
      <w:start w:val="1"/>
    </w:lvl>
  </w:abstractNum>
  <w:abstractNum w:abstractNumId="4">
    <w:nsid w:val="507ED7AB"/>
    <w:multiLevelType w:val="hybridMultilevel"/>
    <w:lvl w:ilvl="0">
      <w:lvlJc w:val="left"/>
      <w:lvlText w:val="%1."/>
      <w:numFmt w:val="upperLetter"/>
      <w:start w:val="2"/>
    </w:lvl>
  </w:abstractNum>
  <w:abstractNum w:abstractNumId="5">
    <w:nsid w:val="2EB141F2"/>
    <w:multiLevelType w:val="hybridMultilevel"/>
    <w:lvl w:ilvl="0">
      <w:lvlJc w:val="left"/>
      <w:lvlText w:val="%1."/>
      <w:numFmt w:val="upperLetter"/>
      <w:start w:val="3"/>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2026-04-23T06:05:06Z</dcterms:created>
  <dcterms:modified xsi:type="dcterms:W3CDTF">2026-04-23T06:05:06Z</dcterms:modified>
</cp:coreProperties>
</file>